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AB23EB9" w14:textId="25B1A210" w:rsidR="00BD499F" w:rsidRPr="004C23F4" w:rsidRDefault="0079320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Methyl acetylene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6698CB08" w14:textId="77777777" w:rsidTr="0059082F">
        <w:trPr>
          <w:cantSplit/>
          <w:tblHeader/>
        </w:trPr>
        <w:tc>
          <w:tcPr>
            <w:tcW w:w="3991" w:type="dxa"/>
          </w:tcPr>
          <w:p w14:paraId="531D3CD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5" w:type="dxa"/>
          </w:tcPr>
          <w:p w14:paraId="23B4B537" w14:textId="035F7217" w:rsidR="00F43AD5" w:rsidRPr="00717D45" w:rsidRDefault="007967B3" w:rsidP="00B76A41">
            <w:pPr>
              <w:pStyle w:val="Tablefont"/>
            </w:pPr>
            <w:r w:rsidRPr="007967B3">
              <w:t>74-99-7</w:t>
            </w:r>
          </w:p>
        </w:tc>
      </w:tr>
      <w:tr w:rsidR="00F43AD5" w:rsidRPr="004C23F4" w14:paraId="6EC9E264" w14:textId="77777777" w:rsidTr="0059082F">
        <w:trPr>
          <w:cantSplit/>
        </w:trPr>
        <w:tc>
          <w:tcPr>
            <w:tcW w:w="3991" w:type="dxa"/>
          </w:tcPr>
          <w:p w14:paraId="0EB1D9C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5" w:type="dxa"/>
          </w:tcPr>
          <w:p w14:paraId="57FBB7E0" w14:textId="0BDEF106" w:rsidR="00F43AD5" w:rsidRPr="00717D45" w:rsidRDefault="002034D0" w:rsidP="00B76A41">
            <w:pPr>
              <w:pStyle w:val="Tablefont"/>
            </w:pPr>
            <w:r>
              <w:t>Allylene, Propyne</w:t>
            </w:r>
          </w:p>
        </w:tc>
      </w:tr>
      <w:tr w:rsidR="00F43AD5" w:rsidRPr="004C23F4" w14:paraId="671D9834" w14:textId="77777777" w:rsidTr="0059082F">
        <w:trPr>
          <w:cantSplit/>
        </w:trPr>
        <w:tc>
          <w:tcPr>
            <w:tcW w:w="3991" w:type="dxa"/>
          </w:tcPr>
          <w:p w14:paraId="51FF043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5" w:type="dxa"/>
          </w:tcPr>
          <w:p w14:paraId="3F52D0B5" w14:textId="111A3170" w:rsidR="00F43AD5" w:rsidRPr="00717D45" w:rsidRDefault="00E43067" w:rsidP="00B76A41">
            <w:pPr>
              <w:pStyle w:val="Tablefont"/>
            </w:pPr>
            <w:r>
              <w:t>C</w:t>
            </w:r>
            <w:r w:rsidRPr="00E43067">
              <w:rPr>
                <w:vertAlign w:val="subscript"/>
              </w:rPr>
              <w:t>3</w:t>
            </w:r>
            <w:r>
              <w:t>H</w:t>
            </w:r>
            <w:r w:rsidRPr="00E43067">
              <w:rPr>
                <w:vertAlign w:val="subscript"/>
              </w:rPr>
              <w:t>4</w:t>
            </w:r>
          </w:p>
        </w:tc>
      </w:tr>
    </w:tbl>
    <w:p w14:paraId="7D51D8BE" w14:textId="26D8228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525E3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A52CA89" w14:textId="77777777" w:rsidTr="00EA2E99">
        <w:trPr>
          <w:cantSplit/>
          <w:tblHeader/>
        </w:trPr>
        <w:tc>
          <w:tcPr>
            <w:tcW w:w="4005" w:type="dxa"/>
            <w:vAlign w:val="center"/>
          </w:tcPr>
          <w:p w14:paraId="47F4EDA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A4D1607" w14:textId="5FBE2A51" w:rsidR="002C7AFE" w:rsidRPr="00EA2E99" w:rsidRDefault="0049546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="004F3821">
              <w:rPr>
                <w:b/>
              </w:rPr>
              <w:t>,</w:t>
            </w:r>
            <w:r>
              <w:rPr>
                <w:b/>
              </w:rPr>
              <w:t>000</w:t>
            </w:r>
            <w:r w:rsidR="00EA2E99" w:rsidRPr="00EA2E99">
              <w:rPr>
                <w:b/>
              </w:rPr>
              <w:t xml:space="preserve"> ppm (</w:t>
            </w:r>
            <w:r>
              <w:rPr>
                <w:b/>
              </w:rPr>
              <w:t>1</w:t>
            </w:r>
            <w:r w:rsidR="004F3821">
              <w:rPr>
                <w:b/>
              </w:rPr>
              <w:t>,</w:t>
            </w:r>
            <w:r>
              <w:rPr>
                <w:b/>
              </w:rPr>
              <w:t>640</w:t>
            </w:r>
            <w:r w:rsidR="00EA2E99" w:rsidRPr="00EA2E99">
              <w:rPr>
                <w:b/>
              </w:rPr>
              <w:t xml:space="preserve"> mg/m</w:t>
            </w:r>
            <w:r w:rsidR="00EA2E99" w:rsidRPr="00EA2E99">
              <w:rPr>
                <w:b/>
                <w:vertAlign w:val="superscript"/>
              </w:rPr>
              <w:t>3</w:t>
            </w:r>
            <w:r w:rsidR="00EA2E99" w:rsidRPr="00EA2E99">
              <w:rPr>
                <w:b/>
              </w:rPr>
              <w:t>)</w:t>
            </w:r>
          </w:p>
        </w:tc>
      </w:tr>
      <w:tr w:rsidR="002C7AFE" w:rsidRPr="004C23F4" w14:paraId="7F262B8E" w14:textId="77777777" w:rsidTr="00EA2E99">
        <w:trPr>
          <w:cantSplit/>
        </w:trPr>
        <w:tc>
          <w:tcPr>
            <w:tcW w:w="4005" w:type="dxa"/>
            <w:vAlign w:val="center"/>
          </w:tcPr>
          <w:p w14:paraId="7530A1E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5BF838A" w14:textId="537E4E97" w:rsidR="002C7AFE" w:rsidRPr="00EA2E99" w:rsidRDefault="00EA2E99" w:rsidP="00017C82">
            <w:pPr>
              <w:pStyle w:val="Tablefont"/>
              <w:rPr>
                <w:b/>
              </w:rPr>
            </w:pPr>
            <w:r w:rsidRPr="00EA2E99">
              <w:rPr>
                <w:b/>
              </w:rPr>
              <w:t>—</w:t>
            </w:r>
          </w:p>
        </w:tc>
      </w:tr>
      <w:tr w:rsidR="002C7AFE" w:rsidRPr="004C23F4" w14:paraId="7773C057" w14:textId="77777777" w:rsidTr="00EA2E99">
        <w:trPr>
          <w:cantSplit/>
        </w:trPr>
        <w:tc>
          <w:tcPr>
            <w:tcW w:w="4005" w:type="dxa"/>
            <w:vAlign w:val="center"/>
          </w:tcPr>
          <w:p w14:paraId="7661F26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69D3129" w14:textId="75C4D154" w:rsidR="002C7AFE" w:rsidRPr="00EB3D1B" w:rsidRDefault="00EA2E99" w:rsidP="00017C82">
            <w:pPr>
              <w:pStyle w:val="Tablefont"/>
              <w:rPr>
                <w:b/>
              </w:rPr>
            </w:pPr>
            <w:r w:rsidRPr="00EA2E99">
              <w:rPr>
                <w:b/>
              </w:rPr>
              <w:t>—</w:t>
            </w:r>
          </w:p>
        </w:tc>
      </w:tr>
      <w:tr w:rsidR="002C7AFE" w:rsidRPr="004C23F4" w14:paraId="69453731" w14:textId="77777777" w:rsidTr="00EA2E99">
        <w:trPr>
          <w:cantSplit/>
        </w:trPr>
        <w:tc>
          <w:tcPr>
            <w:tcW w:w="4005" w:type="dxa"/>
          </w:tcPr>
          <w:p w14:paraId="2EA6D0A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09E7040" w14:textId="038635F9" w:rsidR="002C7AFE" w:rsidRPr="00EB3D1B" w:rsidRDefault="00EA2E99" w:rsidP="008A36CF">
            <w:pPr>
              <w:pStyle w:val="Tablefont"/>
              <w:rPr>
                <w:b/>
              </w:rPr>
            </w:pPr>
            <w:r w:rsidRPr="00EA2E99">
              <w:rPr>
                <w:b/>
              </w:rPr>
              <w:t>—</w:t>
            </w:r>
          </w:p>
        </w:tc>
      </w:tr>
      <w:tr w:rsidR="002C7AFE" w:rsidRPr="004C23F4" w14:paraId="0D4644DE" w14:textId="77777777" w:rsidTr="00EA2E99">
        <w:trPr>
          <w:cantSplit/>
        </w:trPr>
        <w:tc>
          <w:tcPr>
            <w:tcW w:w="4005" w:type="dxa"/>
            <w:vAlign w:val="center"/>
          </w:tcPr>
          <w:p w14:paraId="1F633AE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3CD688AE" w14:textId="015CF95A" w:rsidR="002C7AFE" w:rsidRPr="00EB3D1B" w:rsidRDefault="00E4306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="008B2FB4">
              <w:rPr>
                <w:b/>
              </w:rPr>
              <w:t>,</w:t>
            </w:r>
            <w:r>
              <w:rPr>
                <w:b/>
              </w:rPr>
              <w:t xml:space="preserve">700 ppm </w:t>
            </w:r>
          </w:p>
        </w:tc>
      </w:tr>
      <w:tr w:rsidR="00EA2E99" w14:paraId="1EF0993C" w14:textId="77777777" w:rsidTr="00EA2E99">
        <w:trPr>
          <w:cantSplit/>
        </w:trPr>
        <w:tc>
          <w:tcPr>
            <w:tcW w:w="9026" w:type="dxa"/>
            <w:gridSpan w:val="2"/>
            <w:vAlign w:val="center"/>
          </w:tcPr>
          <w:p w14:paraId="40EEA9B0" w14:textId="1F9296CD" w:rsidR="00EA2E99" w:rsidRDefault="00EA2E99" w:rsidP="00CE1F4A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4467C622BC6A4958B09E1CAB010AA48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79320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B62419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37BCA53" w14:textId="265D80A8" w:rsidR="006639B4" w:rsidRPr="004C23F4" w:rsidRDefault="00EA2E99" w:rsidP="000C139A">
      <w:pPr>
        <w:rPr>
          <w:rFonts w:cs="Arial"/>
        </w:rPr>
      </w:pPr>
      <w:r w:rsidRPr="00D20616">
        <w:rPr>
          <w:rFonts w:cs="Arial"/>
        </w:rPr>
        <w:t xml:space="preserve">A TWA of </w:t>
      </w:r>
      <w:r w:rsidR="00D35069">
        <w:rPr>
          <w:rFonts w:cs="Arial"/>
        </w:rPr>
        <w:t xml:space="preserve">1,000 </w:t>
      </w:r>
      <w:r w:rsidR="008B2FB4">
        <w:rPr>
          <w:rFonts w:cs="Arial"/>
        </w:rPr>
        <w:t>ppm (</w:t>
      </w:r>
      <w:r w:rsidR="00D35069">
        <w:rPr>
          <w:rFonts w:cs="Arial"/>
        </w:rPr>
        <w:t>1,640</w:t>
      </w:r>
      <w:r w:rsidR="00D35069" w:rsidRPr="00EA2E99">
        <w:rPr>
          <w:rFonts w:cs="Arial"/>
        </w:rPr>
        <w:t xml:space="preserve"> </w:t>
      </w:r>
      <w:r w:rsidRPr="00EA2E99">
        <w:rPr>
          <w:rFonts w:cs="Arial"/>
        </w:rPr>
        <w:t>mg/m</w:t>
      </w:r>
      <w:r w:rsidRPr="00EA2E99">
        <w:rPr>
          <w:rFonts w:cs="Arial"/>
          <w:vertAlign w:val="superscript"/>
        </w:rPr>
        <w:t>3</w:t>
      </w:r>
      <w:r w:rsidRPr="00EA2E99">
        <w:rPr>
          <w:rFonts w:cs="Arial"/>
        </w:rPr>
        <w:t>)</w:t>
      </w:r>
      <w:r>
        <w:rPr>
          <w:rFonts w:cs="Arial"/>
        </w:rPr>
        <w:t xml:space="preserve"> </w:t>
      </w:r>
      <w:r w:rsidRPr="00D20616">
        <w:rPr>
          <w:rFonts w:cs="Arial"/>
        </w:rPr>
        <w:t>is recommended to protect for</w:t>
      </w:r>
      <w:r>
        <w:rPr>
          <w:rFonts w:cs="Arial"/>
        </w:rPr>
        <w:t xml:space="preserve"> </w:t>
      </w:r>
      <w:r>
        <w:t>anaesthesia in exposed workers</w:t>
      </w:r>
      <w:r>
        <w:rPr>
          <w:rFonts w:cs="Arial"/>
        </w:rPr>
        <w:t>.</w:t>
      </w:r>
    </w:p>
    <w:p w14:paraId="4F0DA50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1DB17B6" w14:textId="10B642E5" w:rsidR="006B5ED8" w:rsidRDefault="00EA2E99" w:rsidP="006639B4">
      <w:pPr>
        <w:rPr>
          <w:rFonts w:cs="Arial"/>
        </w:rPr>
      </w:pPr>
      <w:r w:rsidRPr="00EA2E99">
        <w:rPr>
          <w:rFonts w:cs="Arial"/>
        </w:rPr>
        <w:t xml:space="preserve">Methyl acetylene </w:t>
      </w:r>
      <w:r w:rsidR="008B2FB4">
        <w:rPr>
          <w:rFonts w:cs="Arial"/>
        </w:rPr>
        <w:t xml:space="preserve">is used </w:t>
      </w:r>
      <w:r w:rsidR="002346F7" w:rsidRPr="002346F7">
        <w:rPr>
          <w:rFonts w:cs="Arial"/>
        </w:rPr>
        <w:t>as a welding torch fuel, a chemical intermediate and propellant</w:t>
      </w:r>
      <w:r>
        <w:rPr>
          <w:rFonts w:cs="Arial"/>
        </w:rPr>
        <w:t>.</w:t>
      </w:r>
      <w:r w:rsidR="002346F7" w:rsidRPr="002346F7">
        <w:rPr>
          <w:rFonts w:cs="Arial"/>
        </w:rPr>
        <w:t xml:space="preserve"> </w:t>
      </w:r>
    </w:p>
    <w:p w14:paraId="73AE4961" w14:textId="18CB15CF" w:rsidR="006B5ED8" w:rsidRDefault="00EA2E99" w:rsidP="006639B4">
      <w:pPr>
        <w:rPr>
          <w:rFonts w:cs="Arial"/>
        </w:rPr>
      </w:pPr>
      <w:r>
        <w:rPr>
          <w:rFonts w:cs="Arial"/>
        </w:rPr>
        <w:t>The critical effect</w:t>
      </w:r>
      <w:r w:rsidRPr="00E13821">
        <w:rPr>
          <w:rFonts w:cs="Arial"/>
        </w:rPr>
        <w:t xml:space="preserve"> </w:t>
      </w:r>
      <w:r w:rsidR="006B5ED8">
        <w:rPr>
          <w:rFonts w:cs="Arial"/>
        </w:rPr>
        <w:t xml:space="preserve">of exposure </w:t>
      </w:r>
      <w:r>
        <w:rPr>
          <w:rFonts w:cs="Arial"/>
        </w:rPr>
        <w:t xml:space="preserve">is </w:t>
      </w:r>
      <w:r>
        <w:t>anaesthesia</w:t>
      </w:r>
      <w:r>
        <w:rPr>
          <w:rFonts w:cs="Arial"/>
        </w:rPr>
        <w:t>.</w:t>
      </w:r>
      <w:r w:rsidR="006B5ED8">
        <w:rPr>
          <w:rFonts w:cs="Arial"/>
        </w:rPr>
        <w:t xml:space="preserve"> </w:t>
      </w:r>
      <w:r>
        <w:rPr>
          <w:rFonts w:cs="Arial"/>
        </w:rPr>
        <w:t>The toxicological database is very limited</w:t>
      </w:r>
      <w:r w:rsidR="0059082F">
        <w:rPr>
          <w:rFonts w:cs="Arial"/>
        </w:rPr>
        <w:t xml:space="preserve"> and</w:t>
      </w:r>
      <w:r>
        <w:rPr>
          <w:rFonts w:cs="Arial"/>
        </w:rPr>
        <w:t xml:space="preserve"> indicates low acute toxicity (ACGIH, 2018). Appropriate chronic exposure studies </w:t>
      </w:r>
      <w:r w:rsidR="0059082F">
        <w:rPr>
          <w:rFonts w:cs="Arial"/>
        </w:rPr>
        <w:t>in</w:t>
      </w:r>
      <w:r>
        <w:rPr>
          <w:rFonts w:cs="Arial"/>
        </w:rPr>
        <w:t xml:space="preserve"> animals or humans </w:t>
      </w:r>
      <w:r w:rsidR="006B5ED8">
        <w:rPr>
          <w:rFonts w:cs="Arial"/>
        </w:rPr>
        <w:t>a</w:t>
      </w:r>
      <w:r>
        <w:rPr>
          <w:rFonts w:cs="Arial"/>
        </w:rPr>
        <w:t xml:space="preserve">re not </w:t>
      </w:r>
      <w:r w:rsidR="008223C3">
        <w:rPr>
          <w:rFonts w:cs="Arial"/>
        </w:rPr>
        <w:t xml:space="preserve">reported </w:t>
      </w:r>
      <w:r>
        <w:rPr>
          <w:rFonts w:cs="Arial"/>
        </w:rPr>
        <w:t>in the available source material.</w:t>
      </w:r>
      <w:r w:rsidR="006B5ED8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="004F3821">
        <w:rPr>
          <w:rFonts w:cs="Arial"/>
        </w:rPr>
        <w:t>sub</w:t>
      </w:r>
      <w:r>
        <w:rPr>
          <w:rFonts w:cs="Arial"/>
        </w:rPr>
        <w:t xml:space="preserve">chronic animal inhalation study </w:t>
      </w:r>
      <w:r w:rsidR="006B5ED8">
        <w:rPr>
          <w:rFonts w:cs="Arial"/>
        </w:rPr>
        <w:t xml:space="preserve">(rats and dogs) </w:t>
      </w:r>
      <w:r w:rsidR="008223C3">
        <w:rPr>
          <w:rFonts w:cs="Arial"/>
        </w:rPr>
        <w:t xml:space="preserve">caused </w:t>
      </w:r>
      <w:r w:rsidR="004F3821">
        <w:rPr>
          <w:rFonts w:cs="Arial"/>
        </w:rPr>
        <w:t>anaesthetic effects and pulmonary irritation at 28,700 </w:t>
      </w:r>
      <w:r>
        <w:rPr>
          <w:rFonts w:cs="Arial"/>
        </w:rPr>
        <w:t xml:space="preserve">ppm </w:t>
      </w:r>
      <w:r w:rsidR="00896E2E">
        <w:rPr>
          <w:rFonts w:cs="Arial"/>
        </w:rPr>
        <w:t>and</w:t>
      </w:r>
      <w:r>
        <w:rPr>
          <w:rFonts w:cs="Arial"/>
        </w:rPr>
        <w:t xml:space="preserve"> resulted in fatalities (ACGIH, 2018). </w:t>
      </w:r>
    </w:p>
    <w:p w14:paraId="36C16258" w14:textId="1F534615" w:rsidR="00E54E38" w:rsidRDefault="00EA2E99" w:rsidP="006639B4">
      <w:pPr>
        <w:rPr>
          <w:rFonts w:cs="Arial"/>
        </w:rPr>
      </w:pPr>
      <w:r>
        <w:rPr>
          <w:rFonts w:cs="Arial"/>
        </w:rPr>
        <w:t>The</w:t>
      </w:r>
      <w:r w:rsidR="008223C3">
        <w:rPr>
          <w:rFonts w:cs="Arial"/>
        </w:rPr>
        <w:t xml:space="preserve"> </w:t>
      </w:r>
      <w:r>
        <w:rPr>
          <w:rFonts w:cs="Arial"/>
        </w:rPr>
        <w:t xml:space="preserve">TWA </w:t>
      </w:r>
      <w:r w:rsidR="00495464">
        <w:rPr>
          <w:rFonts w:cs="Arial"/>
        </w:rPr>
        <w:t xml:space="preserve">of 1,000 ppm is </w:t>
      </w:r>
      <w:r w:rsidR="006B5ED8">
        <w:rPr>
          <w:rFonts w:cs="Arial"/>
        </w:rPr>
        <w:t>recommended</w:t>
      </w:r>
      <w:r>
        <w:rPr>
          <w:rFonts w:cs="Arial"/>
        </w:rPr>
        <w:t xml:space="preserve"> </w:t>
      </w:r>
      <w:r w:rsidR="008223C3">
        <w:rPr>
          <w:rFonts w:cs="Arial"/>
        </w:rPr>
        <w:t xml:space="preserve">to be retained </w:t>
      </w:r>
      <w:r>
        <w:rPr>
          <w:rFonts w:cs="Arial"/>
        </w:rPr>
        <w:t>as it is expected to be protective of these effects.</w:t>
      </w:r>
      <w:r w:rsidR="004F3821">
        <w:rPr>
          <w:rFonts w:cs="Arial"/>
        </w:rPr>
        <w:t xml:space="preserve"> </w:t>
      </w:r>
    </w:p>
    <w:p w14:paraId="3878A579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6381D5F" w14:textId="6C1D6932" w:rsidR="007967B3" w:rsidRDefault="007967B3" w:rsidP="007967B3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D35069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01CB83A2" w14:textId="4AB57666" w:rsidR="007967B3" w:rsidRDefault="007967B3" w:rsidP="007967B3">
      <w:pPr>
        <w:rPr>
          <w:rFonts w:cs="Arial"/>
        </w:rPr>
      </w:pPr>
      <w:r>
        <w:rPr>
          <w:rFonts w:cs="Arial"/>
        </w:rPr>
        <w:t>Not classified as a skin</w:t>
      </w:r>
      <w:r w:rsidR="00D35069">
        <w:rPr>
          <w:rFonts w:cs="Arial"/>
        </w:rPr>
        <w:t xml:space="preserve"> sensitiser</w:t>
      </w:r>
      <w:r>
        <w:rPr>
          <w:rFonts w:cs="Arial"/>
        </w:rPr>
        <w:t xml:space="preserve"> or respiratory sensitiser according to the GHS.</w:t>
      </w:r>
    </w:p>
    <w:p w14:paraId="77858137" w14:textId="06F2AEBD" w:rsidR="007967B3" w:rsidRDefault="00D35069" w:rsidP="007967B3">
      <w:pPr>
        <w:rPr>
          <w:rFonts w:cs="Arial"/>
        </w:rPr>
      </w:pPr>
      <w:r>
        <w:rPr>
          <w:rFonts w:cs="Arial"/>
        </w:rPr>
        <w:t xml:space="preserve">There </w:t>
      </w:r>
      <w:r w:rsidR="006B5ED8">
        <w:rPr>
          <w:rFonts w:cs="Arial"/>
        </w:rPr>
        <w:t>are</w:t>
      </w:r>
      <w:r>
        <w:rPr>
          <w:rFonts w:cs="Arial"/>
        </w:rPr>
        <w:t xml:space="preserve"> i</w:t>
      </w:r>
      <w:r w:rsidR="007967B3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7967B3">
        <w:rPr>
          <w:rFonts w:cs="Arial"/>
        </w:rPr>
        <w:t>to recommend a skin notation.</w:t>
      </w:r>
    </w:p>
    <w:p w14:paraId="1102ADC0" w14:textId="77777777" w:rsidR="0025734A" w:rsidRPr="004C23F4" w:rsidRDefault="0025734A">
      <w:pPr>
        <w:rPr>
          <w:rFonts w:cs="Arial"/>
        </w:rPr>
      </w:pPr>
    </w:p>
    <w:p w14:paraId="36AF5A3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023B25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47D715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6BEB6D8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B72309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378004B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7959D4" w14:textId="7415BAF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9320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43067">
                  <w:t>TWA: 1</w:t>
                </w:r>
                <w:r w:rsidR="00CD08A7">
                  <w:t>,</w:t>
                </w:r>
                <w:r w:rsidR="00E43067">
                  <w:t>000 ppm (1640 mg/m</w:t>
                </w:r>
                <w:r w:rsidR="00E43067" w:rsidRPr="00E43067">
                  <w:rPr>
                    <w:vertAlign w:val="superscript"/>
                  </w:rPr>
                  <w:t>3</w:t>
                </w:r>
                <w:r w:rsidR="00E43067">
                  <w:t>)</w:t>
                </w:r>
              </w:sdtContent>
            </w:sdt>
          </w:p>
        </w:tc>
      </w:tr>
      <w:tr w:rsidR="00C978F0" w:rsidRPr="00DA352E" w14:paraId="17195CA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B014C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58E08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05189D" w14:textId="37233B2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9320C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43067">
                  <w:t>TLV-TWA: 1</w:t>
                </w:r>
                <w:r w:rsidR="00CD08A7">
                  <w:t>,</w:t>
                </w:r>
                <w:r w:rsidR="00E43067">
                  <w:t>000 ppm (1640 mg/m</w:t>
                </w:r>
                <w:r w:rsidR="00E43067" w:rsidRPr="00E43067">
                  <w:rPr>
                    <w:vertAlign w:val="superscript"/>
                  </w:rPr>
                  <w:t>3</w:t>
                </w:r>
                <w:r w:rsidR="00E43067">
                  <w:t>)</w:t>
                </w:r>
              </w:sdtContent>
            </w:sdt>
          </w:p>
        </w:tc>
      </w:tr>
      <w:tr w:rsidR="00C978F0" w:rsidRPr="00DA352E" w14:paraId="4033B27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CFA295E" w14:textId="77777777" w:rsidR="00902715" w:rsidRDefault="00902715" w:rsidP="00902715">
            <w:pPr>
              <w:pStyle w:val="Tabletextprimarysource"/>
            </w:pPr>
            <w:r>
              <w:t>TLV-TWA recommended to minimise the risk of anaesthesia in exposed workers.</w:t>
            </w:r>
          </w:p>
          <w:p w14:paraId="3411CD92" w14:textId="77777777" w:rsidR="00902715" w:rsidRDefault="00902715" w:rsidP="00902715">
            <w:pPr>
              <w:pStyle w:val="Tabletextprimarysource"/>
            </w:pPr>
            <w:r>
              <w:t>Summary of data:</w:t>
            </w:r>
          </w:p>
          <w:p w14:paraId="169B9D58" w14:textId="77777777" w:rsidR="00902715" w:rsidRDefault="00902715" w:rsidP="009027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3CC6C9B9" w14:textId="406B51E6" w:rsidR="006B5ED8" w:rsidRDefault="00902715" w:rsidP="00902715">
            <w:pPr>
              <w:pStyle w:val="ListBullet"/>
              <w:spacing w:before="0" w:line="276" w:lineRule="auto"/>
              <w:ind w:left="720"/>
            </w:pPr>
            <w:r>
              <w:t>42,000 ppm (rats, inhalation) produced hyper</w:t>
            </w:r>
            <w:r w:rsidR="006B5ED8">
              <w:t>-</w:t>
            </w:r>
            <w:r>
              <w:t>activity</w:t>
            </w:r>
          </w:p>
          <w:p w14:paraId="18269D50" w14:textId="480ECC14" w:rsidR="006B5ED8" w:rsidRDefault="00902715" w:rsidP="006B5ED8">
            <w:pPr>
              <w:pStyle w:val="ListBullet"/>
              <w:numPr>
                <w:ilvl w:val="0"/>
                <w:numId w:val="2"/>
              </w:numPr>
              <w:spacing w:before="0" w:line="276" w:lineRule="auto"/>
              <w:ind w:left="1047"/>
            </w:pPr>
            <w:r>
              <w:t>7 min</w:t>
            </w:r>
            <w:r w:rsidR="006B5ED8">
              <w:t>:</w:t>
            </w:r>
            <w:r>
              <w:t xml:space="preserve"> lethargy and ataxia</w:t>
            </w:r>
          </w:p>
          <w:p w14:paraId="56D683A4" w14:textId="7BC79B0F" w:rsidR="006B5ED8" w:rsidRDefault="00902715" w:rsidP="006B5ED8">
            <w:pPr>
              <w:pStyle w:val="ListBullet"/>
              <w:numPr>
                <w:ilvl w:val="0"/>
                <w:numId w:val="2"/>
              </w:numPr>
              <w:spacing w:before="0" w:line="276" w:lineRule="auto"/>
              <w:ind w:left="1047"/>
            </w:pPr>
            <w:r>
              <w:t>95</w:t>
            </w:r>
            <w:r w:rsidR="00486168">
              <w:t xml:space="preserve"> min</w:t>
            </w:r>
            <w:r w:rsidR="006B5ED8">
              <w:t>:</w:t>
            </w:r>
            <w:r>
              <w:t xml:space="preserve"> anaesthesia</w:t>
            </w:r>
          </w:p>
          <w:p w14:paraId="6AF00877" w14:textId="63A4C043" w:rsidR="00902715" w:rsidRDefault="00A73AFD" w:rsidP="006B5ED8">
            <w:pPr>
              <w:pStyle w:val="ListBullet"/>
              <w:numPr>
                <w:ilvl w:val="0"/>
                <w:numId w:val="2"/>
              </w:numPr>
              <w:spacing w:before="0" w:line="276" w:lineRule="auto"/>
              <w:ind w:left="1047"/>
            </w:pPr>
            <w:r>
              <w:t>no fatalities after 5 h</w:t>
            </w:r>
          </w:p>
          <w:p w14:paraId="1581B2B9" w14:textId="659F88B9" w:rsidR="00902715" w:rsidRDefault="00902715" w:rsidP="00902715">
            <w:pPr>
              <w:pStyle w:val="ListBullet"/>
              <w:ind w:left="720"/>
            </w:pPr>
            <w:r>
              <w:t>28,700 ppm (</w:t>
            </w:r>
            <w:r w:rsidR="0059082F">
              <w:t xml:space="preserve">average exposure; </w:t>
            </w:r>
            <w:r>
              <w:t>dogs, rats, 6</w:t>
            </w:r>
            <w:r w:rsidR="008B2FB4">
              <w:t xml:space="preserve"> </w:t>
            </w:r>
            <w:r>
              <w:t>h/d, 5</w:t>
            </w:r>
            <w:r w:rsidR="008B2FB4">
              <w:t xml:space="preserve"> </w:t>
            </w:r>
            <w:r>
              <w:t>d/wk, 6</w:t>
            </w:r>
            <w:r w:rsidR="008B2FB4">
              <w:t xml:space="preserve"> </w:t>
            </w:r>
            <w:r>
              <w:t>mo)</w:t>
            </w:r>
          </w:p>
          <w:p w14:paraId="2BB20F7E" w14:textId="77777777" w:rsidR="00902715" w:rsidRDefault="00902715" w:rsidP="00902715">
            <w:pPr>
              <w:pStyle w:val="ListBullet"/>
              <w:numPr>
                <w:ilvl w:val="0"/>
                <w:numId w:val="2"/>
              </w:numPr>
              <w:spacing w:before="0" w:line="276" w:lineRule="auto"/>
              <w:ind w:left="1047"/>
            </w:pPr>
            <w:r>
              <w:t>symptoms included excitement, ataxia, salivation, mydriasis, tremors, reduced weight gain and signs of pulmonary irritation</w:t>
            </w:r>
          </w:p>
          <w:p w14:paraId="690915A9" w14:textId="5171779B" w:rsidR="00902715" w:rsidRDefault="00902715" w:rsidP="00902715">
            <w:pPr>
              <w:pStyle w:val="ListBullet"/>
              <w:numPr>
                <w:ilvl w:val="0"/>
                <w:numId w:val="2"/>
              </w:numPr>
              <w:spacing w:before="0" w:after="0" w:line="276" w:lineRule="auto"/>
              <w:ind w:left="1047"/>
            </w:pPr>
            <w:r>
              <w:t>exposure fatal to 8/20 rats and 0/2 dogs</w:t>
            </w:r>
            <w:r w:rsidR="00486168">
              <w:t>.</w:t>
            </w:r>
          </w:p>
          <w:p w14:paraId="60ED3D82" w14:textId="77777777" w:rsidR="006B5ED8" w:rsidRDefault="006B5ED8" w:rsidP="00902715">
            <w:pPr>
              <w:pStyle w:val="Tabletextprimarysource"/>
            </w:pPr>
          </w:p>
          <w:p w14:paraId="44C6DAE8" w14:textId="77777777" w:rsidR="00C978F0" w:rsidRDefault="00902715" w:rsidP="00902715">
            <w:pPr>
              <w:pStyle w:val="Tabletextprimarysource"/>
            </w:pPr>
            <w:r>
              <w:t>Insufficient data to recommend a skin, sensitiser or carcinogen notation.</w:t>
            </w:r>
          </w:p>
          <w:p w14:paraId="24ED571D" w14:textId="7D47C112" w:rsidR="006B5ED8" w:rsidRPr="00DA352E" w:rsidRDefault="006B5ED8" w:rsidP="00902715">
            <w:pPr>
              <w:pStyle w:val="Tabletextprimarysource"/>
            </w:pPr>
          </w:p>
        </w:tc>
      </w:tr>
      <w:tr w:rsidR="00C978F0" w:rsidRPr="00DA352E" w14:paraId="73022E7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A52BBFA" w14:textId="0399222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9320C">
                  <w:t>2000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43067">
                  <w:t>Not assigned</w:t>
                </w:r>
              </w:sdtContent>
            </w:sdt>
          </w:p>
        </w:tc>
      </w:tr>
      <w:tr w:rsidR="00C978F0" w:rsidRPr="00DA352E" w14:paraId="72B294A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6F3467E" w14:textId="747A8AB4" w:rsidR="002346F7" w:rsidRDefault="002346F7" w:rsidP="002346F7">
            <w:pPr>
              <w:pStyle w:val="Tabletextprimarysource"/>
            </w:pPr>
            <w:r w:rsidRPr="002346F7">
              <w:t xml:space="preserve">Experiences </w:t>
            </w:r>
            <w:r w:rsidR="006B5ED8">
              <w:t>i</w:t>
            </w:r>
            <w:r w:rsidRPr="002346F7">
              <w:t>n humans and animals, which are suitable for the derivation of a MAK value, not available.</w:t>
            </w:r>
          </w:p>
          <w:p w14:paraId="1F6D8566" w14:textId="771948B3" w:rsidR="00C978F0" w:rsidRDefault="008B2FB4" w:rsidP="002346F7">
            <w:pPr>
              <w:pStyle w:val="ListBullet"/>
              <w:spacing w:before="0" w:line="276" w:lineRule="auto"/>
              <w:ind w:left="720"/>
            </w:pPr>
            <w:r>
              <w:t>Le</w:t>
            </w:r>
            <w:r w:rsidR="002346F7">
              <w:t>d to mutations</w:t>
            </w:r>
            <w:r w:rsidR="002346F7" w:rsidRPr="002346F7">
              <w:t xml:space="preserve"> in</w:t>
            </w:r>
            <w:r w:rsidR="002346F7">
              <w:t xml:space="preserve"> assays on </w:t>
            </w:r>
            <w:r w:rsidR="002346F7" w:rsidRPr="00525E3E">
              <w:rPr>
                <w:i/>
              </w:rPr>
              <w:t>E. coli</w:t>
            </w:r>
            <w:r w:rsidR="002346F7" w:rsidRPr="002346F7">
              <w:t xml:space="preserve"> strain WP2uvrA</w:t>
            </w:r>
          </w:p>
          <w:p w14:paraId="321B047D" w14:textId="77777777" w:rsidR="00985D4B" w:rsidRPr="006B5ED8" w:rsidRDefault="00985D4B" w:rsidP="002346F7">
            <w:pPr>
              <w:pStyle w:val="ListBullet"/>
              <w:spacing w:before="0" w:line="276" w:lineRule="auto"/>
              <w:ind w:left="720"/>
              <w:rPr>
                <w:rFonts w:cs="Arial"/>
              </w:rPr>
            </w:pPr>
            <w:r w:rsidRPr="00985D4B">
              <w:rPr>
                <w:rFonts w:cs="Arial"/>
              </w:rPr>
              <w:t>Negative in</w:t>
            </w:r>
            <w:r w:rsidRPr="00985D4B">
              <w:rPr>
                <w:rFonts w:cs="Arial"/>
                <w:i/>
                <w:iCs/>
                <w:color w:val="000000"/>
                <w:szCs w:val="20"/>
                <w:lang w:val="en-US"/>
              </w:rPr>
              <w:t xml:space="preserve"> S. typhimurium</w:t>
            </w:r>
            <w:r w:rsidRPr="00985D4B">
              <w:rPr>
                <w:rFonts w:cs="Arial"/>
                <w:color w:val="000000"/>
                <w:szCs w:val="20"/>
                <w:lang w:val="en-US"/>
              </w:rPr>
              <w:t xml:space="preserve"> strains TA98, TA100, TA1535, and TA1537 assays</w:t>
            </w:r>
            <w:r w:rsidR="00486168">
              <w:rPr>
                <w:rFonts w:cs="Arial"/>
                <w:color w:val="000000"/>
                <w:szCs w:val="20"/>
                <w:lang w:val="en-US"/>
              </w:rPr>
              <w:t>.</w:t>
            </w:r>
          </w:p>
          <w:p w14:paraId="35BEC5AF" w14:textId="0F6BB568" w:rsidR="006B5ED8" w:rsidRPr="00985D4B" w:rsidRDefault="006B5ED8" w:rsidP="006B5ED8">
            <w:pPr>
              <w:pStyle w:val="ListBullet"/>
              <w:numPr>
                <w:ilvl w:val="0"/>
                <w:numId w:val="0"/>
              </w:numPr>
              <w:spacing w:before="0" w:line="276" w:lineRule="auto"/>
              <w:ind w:left="360"/>
              <w:rPr>
                <w:rFonts w:cs="Arial"/>
              </w:rPr>
            </w:pPr>
          </w:p>
        </w:tc>
      </w:tr>
      <w:tr w:rsidR="00C978F0" w:rsidRPr="00DA352E" w14:paraId="0ECD09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7FEA357" w14:textId="3B0A647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9320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E43067">
                  <w:t>NA</w:t>
                </w:r>
              </w:sdtContent>
            </w:sdt>
          </w:p>
        </w:tc>
      </w:tr>
      <w:tr w:rsidR="00C978F0" w:rsidRPr="00DA352E" w14:paraId="66A283B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AE17716" w14:textId="322067FF" w:rsidR="00C978F0" w:rsidRPr="00DA352E" w:rsidRDefault="00E43067" w:rsidP="003365A5">
            <w:pPr>
              <w:pStyle w:val="Tabletextprimarysource"/>
            </w:pPr>
            <w:r>
              <w:t>No report</w:t>
            </w:r>
            <w:r w:rsidR="00486168">
              <w:t>.</w:t>
            </w:r>
          </w:p>
        </w:tc>
      </w:tr>
      <w:tr w:rsidR="00DA352E" w:rsidRPr="00DA352E" w14:paraId="70EA760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3A520DD" w14:textId="295EA14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9320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E43067">
                  <w:t>NA</w:t>
                </w:r>
              </w:sdtContent>
            </w:sdt>
          </w:p>
        </w:tc>
      </w:tr>
      <w:tr w:rsidR="00DA352E" w:rsidRPr="00DA352E" w14:paraId="510F69D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DBEF023" w14:textId="749431B5" w:rsidR="00DA352E" w:rsidRPr="00DA352E" w:rsidRDefault="00E43067" w:rsidP="003365A5">
            <w:pPr>
              <w:pStyle w:val="Tabletextprimarysource"/>
            </w:pPr>
            <w:r>
              <w:t>No report</w:t>
            </w:r>
            <w:r w:rsidR="00486168">
              <w:t>.</w:t>
            </w:r>
          </w:p>
        </w:tc>
      </w:tr>
      <w:tr w:rsidR="00DA352E" w:rsidRPr="00DA352E" w14:paraId="6D79E1B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75B87E9" w14:textId="7541BC1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9320C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43067" w:rsidRPr="00E43067">
                  <w:t>TWA</w:t>
                </w:r>
                <w:r w:rsidR="00E43067">
                  <w:t>: 1</w:t>
                </w:r>
                <w:r w:rsidR="00CD08A7">
                  <w:t>,</w:t>
                </w:r>
                <w:r w:rsidR="00E43067">
                  <w:t>000 ppm (1650 mg/m</w:t>
                </w:r>
                <w:r w:rsidR="00E43067" w:rsidRPr="00E43067">
                  <w:rPr>
                    <w:vertAlign w:val="superscript"/>
                  </w:rPr>
                  <w:t>3</w:t>
                </w:r>
                <w:r w:rsidR="00E43067">
                  <w:t>)</w:t>
                </w:r>
              </w:sdtContent>
            </w:sdt>
          </w:p>
        </w:tc>
      </w:tr>
      <w:tr w:rsidR="00DA352E" w:rsidRPr="00DA352E" w14:paraId="1F0184B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45E8FCA" w14:textId="42C44BDA" w:rsidR="002346F7" w:rsidRDefault="00985D4B" w:rsidP="003365A5">
            <w:pPr>
              <w:pStyle w:val="Tabletextprimarysource"/>
            </w:pPr>
            <w:r w:rsidRPr="00985D4B">
              <w:t xml:space="preserve">The committee concludes that, based on the mortality observed in the 6-mo inhalation study, the present </w:t>
            </w:r>
            <w:r w:rsidR="00486168">
              <w:t>TWA</w:t>
            </w:r>
            <w:r w:rsidRPr="00985D4B">
              <w:t xml:space="preserve"> of </w:t>
            </w:r>
            <w:r w:rsidR="00CD08A7">
              <w:t>1,000 ppm (</w:t>
            </w:r>
            <w:r w:rsidRPr="00985D4B">
              <w:t>1</w:t>
            </w:r>
            <w:r w:rsidR="00CD08A7">
              <w:t>,</w:t>
            </w:r>
            <w:r w:rsidRPr="00985D4B">
              <w:t>650 mg/m</w:t>
            </w:r>
            <w:r w:rsidRPr="008B2FB4">
              <w:rPr>
                <w:vertAlign w:val="superscript"/>
              </w:rPr>
              <w:t>3</w:t>
            </w:r>
            <w:r w:rsidR="00CD08A7">
              <w:t>)</w:t>
            </w:r>
            <w:r w:rsidRPr="00985D4B">
              <w:t>, may be too high</w:t>
            </w:r>
            <w:r w:rsidR="00486168">
              <w:t xml:space="preserve">. </w:t>
            </w:r>
          </w:p>
          <w:p w14:paraId="23AA0F98" w14:textId="13E03214" w:rsidR="002346F7" w:rsidRDefault="002346F7" w:rsidP="003365A5">
            <w:pPr>
              <w:pStyle w:val="ListBullet"/>
              <w:ind w:left="720"/>
            </w:pPr>
            <w:r w:rsidRPr="002346F7">
              <w:t>100,000-150,000 ppm</w:t>
            </w:r>
            <w:r w:rsidR="00985D4B">
              <w:t xml:space="preserve"> (rats, cats, inhalation) induced anaesthesia, </w:t>
            </w:r>
            <w:r w:rsidRPr="002346F7">
              <w:t>cardiac irregularities and convuls</w:t>
            </w:r>
            <w:r w:rsidR="00985D4B">
              <w:t>ions</w:t>
            </w:r>
            <w:r w:rsidR="00486168">
              <w:t>.</w:t>
            </w:r>
          </w:p>
          <w:p w14:paraId="77D41A4A" w14:textId="58933D78" w:rsidR="006B5ED8" w:rsidRPr="00DA352E" w:rsidRDefault="006B5ED8" w:rsidP="006B5ED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184E2A3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1"/>
        <w:gridCol w:w="574"/>
        <w:gridCol w:w="661"/>
        <w:gridCol w:w="6310"/>
      </w:tblGrid>
      <w:tr w:rsidR="004966BF" w:rsidRPr="00263255" w14:paraId="187C0558" w14:textId="77777777" w:rsidTr="00913040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09B74F5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86C572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F58987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14DDB52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2862591" w14:textId="77777777" w:rsidTr="00913040">
        <w:trPr>
          <w:cantSplit/>
        </w:trPr>
        <w:tc>
          <w:tcPr>
            <w:tcW w:w="1497" w:type="dxa"/>
          </w:tcPr>
          <w:p w14:paraId="78C2A2B1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5DE84740" w14:textId="2D3CF43D" w:rsidR="004966BF" w:rsidRPr="00CE617F" w:rsidRDefault="00D14E1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83CFB1346E4247C3B8D45651AA4F4D1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86168">
                  <w:rPr>
                    <w:rStyle w:val="checkbox"/>
                  </w:rPr>
                  <w:t></w:t>
                </w:r>
              </w:sdtContent>
            </w:sdt>
            <w:r w:rsidR="00486168" w:rsidDel="00486168">
              <w:rPr>
                <w:rStyle w:val="checkbox"/>
              </w:rPr>
              <w:t></w:t>
            </w:r>
          </w:p>
        </w:tc>
        <w:tc>
          <w:tcPr>
            <w:tcW w:w="661" w:type="dxa"/>
          </w:tcPr>
          <w:p w14:paraId="33025245" w14:textId="39C20BD3" w:rsidR="004966BF" w:rsidRPr="004C23F4" w:rsidRDefault="00985D4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4" w:type="dxa"/>
          </w:tcPr>
          <w:p w14:paraId="7B1AE9BE" w14:textId="2F8AE3AD" w:rsidR="004966BF" w:rsidRPr="004C23F4" w:rsidRDefault="0091304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</w:p>
        </w:tc>
      </w:tr>
    </w:tbl>
    <w:p w14:paraId="5390D9D5" w14:textId="77777777" w:rsidR="007E2A4B" w:rsidRDefault="007E2A4B"/>
    <w:bookmarkEnd w:id="0"/>
    <w:p w14:paraId="7701993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AFBCBED" w14:textId="77777777" w:rsidTr="00913040">
        <w:trPr>
          <w:trHeight w:val="454"/>
          <w:tblHeader/>
        </w:trPr>
        <w:tc>
          <w:tcPr>
            <w:tcW w:w="6597" w:type="dxa"/>
            <w:vAlign w:val="center"/>
          </w:tcPr>
          <w:p w14:paraId="1360C9B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3269A58" w14:textId="51EFEC57" w:rsidR="002E0D61" w:rsidRDefault="0079320C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1662560" w14:textId="77777777" w:rsidTr="00913040">
        <w:trPr>
          <w:trHeight w:val="454"/>
        </w:trPr>
        <w:tc>
          <w:tcPr>
            <w:tcW w:w="6597" w:type="dxa"/>
            <w:vAlign w:val="center"/>
          </w:tcPr>
          <w:p w14:paraId="28CB388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743DC46" w14:textId="7C946F6E" w:rsidR="008A36CF" w:rsidRDefault="0079320C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6B5ED8" w14:paraId="6BA8730B" w14:textId="77777777" w:rsidTr="00F460C6">
        <w:trPr>
          <w:trHeight w:val="454"/>
        </w:trPr>
        <w:sdt>
          <w:sdtPr>
            <w:rPr>
              <w:b/>
            </w:rPr>
            <w:id w:val="1830936485"/>
            <w:placeholder>
              <w:docPart w:val="0EFA0670E55E478EAEFC3716CD7BE181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388544AD" w14:textId="4BE1BF98" w:rsidR="006B5ED8" w:rsidRDefault="006B5ED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E89869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0EEF42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CFD8FCB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682547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833E05F" w14:textId="77777777" w:rsidTr="00812887">
        <w:trPr>
          <w:cantSplit/>
        </w:trPr>
        <w:tc>
          <w:tcPr>
            <w:tcW w:w="3227" w:type="dxa"/>
          </w:tcPr>
          <w:p w14:paraId="1A1877D9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7BA7C00" w14:textId="5995ED57" w:rsidR="00687890" w:rsidRPr="00DD2F9B" w:rsidRDefault="00E43067" w:rsidP="00DD2F9B">
            <w:pPr>
              <w:pStyle w:val="Tablefont"/>
            </w:pPr>
            <w:r w:rsidRPr="00E43067">
              <w:t>—</w:t>
            </w:r>
          </w:p>
        </w:tc>
      </w:tr>
      <w:tr w:rsidR="007925F0" w:rsidRPr="004C23F4" w14:paraId="1E32D200" w14:textId="77777777" w:rsidTr="00812887">
        <w:trPr>
          <w:cantSplit/>
        </w:trPr>
        <w:tc>
          <w:tcPr>
            <w:tcW w:w="3227" w:type="dxa"/>
          </w:tcPr>
          <w:p w14:paraId="4933643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3988BAA" w14:textId="52AE8637" w:rsidR="007925F0" w:rsidRPr="00DD2F9B" w:rsidRDefault="00E4306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76B5EF7" w14:textId="77777777" w:rsidTr="00812887">
        <w:trPr>
          <w:cantSplit/>
        </w:trPr>
        <w:tc>
          <w:tcPr>
            <w:tcW w:w="3227" w:type="dxa"/>
          </w:tcPr>
          <w:p w14:paraId="1EAF0A4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C2A8CE1" w14:textId="2BCDEA4C" w:rsidR="00AF483F" w:rsidRPr="00DD2F9B" w:rsidRDefault="00E4306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6BCE819" w14:textId="77777777" w:rsidTr="00812887">
        <w:trPr>
          <w:cantSplit/>
        </w:trPr>
        <w:tc>
          <w:tcPr>
            <w:tcW w:w="3227" w:type="dxa"/>
          </w:tcPr>
          <w:p w14:paraId="7D2711A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EDD3165" w14:textId="7AFE7D93" w:rsidR="00687890" w:rsidRPr="00DD2F9B" w:rsidRDefault="00B0646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2073E10" w14:textId="77777777" w:rsidTr="00812887">
        <w:trPr>
          <w:cantSplit/>
        </w:trPr>
        <w:tc>
          <w:tcPr>
            <w:tcW w:w="3227" w:type="dxa"/>
          </w:tcPr>
          <w:p w14:paraId="7821034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588F40C" w14:textId="554AEFA1" w:rsidR="00E41A26" w:rsidRPr="00DD2F9B" w:rsidRDefault="00B0646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807C5BF" w14:textId="77777777" w:rsidTr="00812887">
        <w:trPr>
          <w:cantSplit/>
        </w:trPr>
        <w:tc>
          <w:tcPr>
            <w:tcW w:w="3227" w:type="dxa"/>
          </w:tcPr>
          <w:p w14:paraId="3AE4AD2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1D373A0" w14:textId="4906D75D" w:rsidR="002E0D61" w:rsidRPr="00DD2F9B" w:rsidRDefault="00B06463" w:rsidP="00DD2F9B">
            <w:pPr>
              <w:pStyle w:val="Tablefont"/>
            </w:pPr>
            <w:r w:rsidRPr="00E43067">
              <w:t>—</w:t>
            </w:r>
          </w:p>
        </w:tc>
      </w:tr>
      <w:tr w:rsidR="002E0D61" w:rsidRPr="004C23F4" w14:paraId="04BCF1FD" w14:textId="77777777" w:rsidTr="00812887">
        <w:trPr>
          <w:cantSplit/>
        </w:trPr>
        <w:tc>
          <w:tcPr>
            <w:tcW w:w="3227" w:type="dxa"/>
          </w:tcPr>
          <w:p w14:paraId="3D3A1DB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992831D" w14:textId="271F6382" w:rsidR="002E0D61" w:rsidRPr="00DD2F9B" w:rsidRDefault="00B06463" w:rsidP="00DD2F9B">
            <w:pPr>
              <w:pStyle w:val="Tablefont"/>
            </w:pPr>
            <w:r w:rsidRPr="00E43067">
              <w:t>—</w:t>
            </w:r>
          </w:p>
        </w:tc>
      </w:tr>
      <w:tr w:rsidR="002E0D61" w:rsidRPr="004C23F4" w14:paraId="4F286244" w14:textId="77777777" w:rsidTr="00812887">
        <w:trPr>
          <w:cantSplit/>
        </w:trPr>
        <w:tc>
          <w:tcPr>
            <w:tcW w:w="3227" w:type="dxa"/>
          </w:tcPr>
          <w:p w14:paraId="5F9C338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67199DD" w14:textId="0D04F861" w:rsidR="002E0D61" w:rsidRPr="00DD2F9B" w:rsidRDefault="00B0646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315C93F" w14:textId="77777777" w:rsidTr="00812887">
        <w:trPr>
          <w:cantSplit/>
        </w:trPr>
        <w:tc>
          <w:tcPr>
            <w:tcW w:w="3227" w:type="dxa"/>
          </w:tcPr>
          <w:p w14:paraId="5B4EA04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2676189" w14:textId="00B378CB" w:rsidR="002E0D61" w:rsidRPr="00DD2F9B" w:rsidRDefault="00B06463" w:rsidP="00DD2F9B">
            <w:pPr>
              <w:pStyle w:val="Tablefont"/>
            </w:pPr>
            <w:r w:rsidRPr="00E43067">
              <w:t>—</w:t>
            </w:r>
          </w:p>
        </w:tc>
      </w:tr>
      <w:tr w:rsidR="00386093" w:rsidRPr="004C23F4" w14:paraId="28B58F1A" w14:textId="77777777" w:rsidTr="00812887">
        <w:trPr>
          <w:cantSplit/>
        </w:trPr>
        <w:tc>
          <w:tcPr>
            <w:tcW w:w="3227" w:type="dxa"/>
          </w:tcPr>
          <w:p w14:paraId="75D62EC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4CC9D26" w14:textId="47DAEB36" w:rsidR="00386093" w:rsidRPr="00DD2F9B" w:rsidRDefault="00B0646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9C9DBD1" w14:textId="77777777" w:rsidTr="00812887">
        <w:trPr>
          <w:cantSplit/>
        </w:trPr>
        <w:tc>
          <w:tcPr>
            <w:tcW w:w="3227" w:type="dxa"/>
          </w:tcPr>
          <w:p w14:paraId="583F992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E47785" w14:textId="500E3667" w:rsidR="00386093" w:rsidRPr="00DD2F9B" w:rsidRDefault="00B0646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002CB1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63666AE" w14:textId="24F4A9F9" w:rsidR="00474E33" w:rsidRDefault="00474E33" w:rsidP="00474E33">
      <w:pPr>
        <w:pStyle w:val="Heading3"/>
      </w:pPr>
      <w:r>
        <w:t>Skin notation assessment</w:t>
      </w:r>
    </w:p>
    <w:p w14:paraId="37B544EF" w14:textId="77777777" w:rsidR="00913040" w:rsidRDefault="00913040" w:rsidP="00913040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4B56270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74F0060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3253CB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697499F" w14:textId="72E278C3" w:rsidR="00EB3D1B" w:rsidRDefault="0079320C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3723BC9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37B6DE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105DCE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8F8FFD6" w14:textId="71A1C31A" w:rsidR="001B79E5" w:rsidRDefault="00B06463" w:rsidP="001B79E5">
                <w:pPr>
                  <w:pStyle w:val="Tablefont"/>
                </w:pPr>
                <w:r w:rsidRPr="00B06463">
                  <w:t>40.06</w:t>
                </w:r>
              </w:p>
            </w:tc>
          </w:sdtContent>
        </w:sdt>
      </w:tr>
      <w:tr w:rsidR="00A31D99" w:rsidRPr="004C23F4" w14:paraId="61D1D41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134743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45A2889" w14:textId="118AABA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B06463">
                  <w:t>1.64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B06463">
                  <w:t>0.611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6CEC17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C2DC7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3906DB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8EA2C26" w14:textId="77777777" w:rsidTr="00EA6243">
        <w:trPr>
          <w:cantSplit/>
        </w:trPr>
        <w:tc>
          <w:tcPr>
            <w:tcW w:w="4077" w:type="dxa"/>
            <w:vAlign w:val="center"/>
          </w:tcPr>
          <w:p w14:paraId="24E0582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DA2C847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B9EA946" w14:textId="77777777" w:rsidTr="00EA6243">
        <w:trPr>
          <w:cantSplit/>
        </w:trPr>
        <w:tc>
          <w:tcPr>
            <w:tcW w:w="4077" w:type="dxa"/>
            <w:vAlign w:val="center"/>
          </w:tcPr>
          <w:p w14:paraId="4AAC9E46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40AFA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91C7A06" w14:textId="77777777" w:rsidTr="00EA6243">
        <w:trPr>
          <w:cantSplit/>
        </w:trPr>
        <w:tc>
          <w:tcPr>
            <w:tcW w:w="4077" w:type="dxa"/>
            <w:vAlign w:val="center"/>
          </w:tcPr>
          <w:p w14:paraId="70D0D0F2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5ECD10C" w14:textId="77777777" w:rsidR="00E06F40" w:rsidRPr="00A006A0" w:rsidRDefault="00D14E1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48208A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4A7545A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B92CBA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99BAF7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AA2076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25BDEA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979A45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5503C36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C6D1CD8" w14:textId="6548C22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34E6668" w14:textId="242C61F3" w:rsidR="00B06463" w:rsidRDefault="00B06463" w:rsidP="00B06463">
      <w:r w:rsidRPr="002022B6">
        <w:t>Deutsche Forschungsgemeinschaft (DFG)</w:t>
      </w:r>
      <w:r>
        <w:t xml:space="preserve"> (2000) Methylacetylen – MAK value documentation.</w:t>
      </w:r>
    </w:p>
    <w:p w14:paraId="7414CBD4" w14:textId="77777777" w:rsidR="00CE5E23" w:rsidRPr="00E461B8" w:rsidRDefault="00CE5E23" w:rsidP="00CE5E23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72DC8A2A" w14:textId="5EA7B8AA" w:rsidR="00B06463" w:rsidRDefault="00B06463" w:rsidP="00084859">
      <w:r w:rsidRPr="002022B6">
        <w:t>Health Council of the Netherlands</w:t>
      </w:r>
      <w:r>
        <w:t xml:space="preserve"> (HCOTN) (</w:t>
      </w:r>
      <w:r w:rsidRPr="00B06463">
        <w:t>2004</w:t>
      </w:r>
      <w:r>
        <w:t xml:space="preserve">) </w:t>
      </w:r>
      <w:r w:rsidRPr="00B06463">
        <w:t>Propyne</w:t>
      </w:r>
      <w:r w:rsidRPr="005F7416">
        <w:t xml:space="preserve">. </w:t>
      </w:r>
      <w:r w:rsidR="00CE5E23" w:rsidRPr="00CE5E23">
        <w:t>Health-based Reassessment of Administrative Occupational Exposure Limits</w:t>
      </w:r>
      <w:r w:rsidRPr="005F7416">
        <w:t xml:space="preserve">. The Hague: Health Council of the Netherlands; publication no. </w:t>
      </w:r>
      <w:r w:rsidRPr="00B06463">
        <w:t>2000/15OSH/128</w:t>
      </w:r>
      <w:r>
        <w:t>.</w:t>
      </w:r>
    </w:p>
    <w:p w14:paraId="66549601" w14:textId="0EAE23AB" w:rsidR="00CE5E23" w:rsidRDefault="00CE5E23" w:rsidP="00084859">
      <w:r w:rsidRPr="00CE5E23">
        <w:t xml:space="preserve">US National Institute for Occupational Safety and Health (NIOSH) (1994) Immediately dangerous to life or health concentrations – </w:t>
      </w:r>
      <w:r>
        <w:t>m</w:t>
      </w:r>
      <w:r w:rsidRPr="00CE5E23">
        <w:t>ethyl acetylene.</w:t>
      </w:r>
    </w:p>
    <w:p w14:paraId="324E8188" w14:textId="2313692B" w:rsidR="00B06463" w:rsidRPr="00351FE0" w:rsidRDefault="00B06463" w:rsidP="00084859"/>
    <w:sectPr w:rsidR="00B06463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65CCE" w14:textId="77777777" w:rsidR="005F0178" w:rsidRDefault="005F0178" w:rsidP="00F43AD5">
      <w:pPr>
        <w:spacing w:after="0" w:line="240" w:lineRule="auto"/>
      </w:pPr>
      <w:r>
        <w:separator/>
      </w:r>
    </w:p>
  </w:endnote>
  <w:endnote w:type="continuationSeparator" w:id="0">
    <w:p w14:paraId="33E55F9F" w14:textId="77777777" w:rsidR="005F0178" w:rsidRDefault="005F017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D68C" w14:textId="77777777" w:rsidR="00D14E10" w:rsidRDefault="00D14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250C3F7" w14:textId="00146C5C" w:rsidR="008A36CF" w:rsidRDefault="007967B3" w:rsidP="0034744C">
        <w:pPr>
          <w:pStyle w:val="Footer"/>
          <w:rPr>
            <w:sz w:val="18"/>
            <w:szCs w:val="18"/>
          </w:rPr>
        </w:pPr>
        <w:r w:rsidRPr="007967B3">
          <w:rPr>
            <w:b/>
            <w:sz w:val="18"/>
            <w:szCs w:val="18"/>
          </w:rPr>
          <w:t>Methyl acetylene</w:t>
        </w:r>
        <w:r w:rsidR="008A36CF">
          <w:rPr>
            <w:b/>
            <w:sz w:val="18"/>
            <w:szCs w:val="18"/>
          </w:rPr>
          <w:t xml:space="preserve"> (</w:t>
        </w:r>
        <w:r w:rsidRPr="007967B3">
          <w:rPr>
            <w:b/>
            <w:sz w:val="18"/>
            <w:szCs w:val="18"/>
          </w:rPr>
          <w:t>74-99-7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F7AD7A3" w14:textId="0F42683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14E10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D9E8E" w14:textId="77777777" w:rsidR="00D14E10" w:rsidRDefault="00D1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45E7D" w14:textId="77777777" w:rsidR="005F0178" w:rsidRDefault="005F0178" w:rsidP="00F43AD5">
      <w:pPr>
        <w:spacing w:after="0" w:line="240" w:lineRule="auto"/>
      </w:pPr>
      <w:r>
        <w:separator/>
      </w:r>
    </w:p>
  </w:footnote>
  <w:footnote w:type="continuationSeparator" w:id="0">
    <w:p w14:paraId="6F389A32" w14:textId="77777777" w:rsidR="005F0178" w:rsidRDefault="005F017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F1F51" w14:textId="77777777" w:rsidR="00D14E10" w:rsidRDefault="00D14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2E6B" w14:textId="34264D77" w:rsidR="00D14E10" w:rsidRDefault="00D14E10" w:rsidP="00D14E10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1780F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9864BC9" wp14:editId="29476CD1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365B0" w14:textId="50F30E85" w:rsidR="008A36CF" w:rsidRPr="00D14E10" w:rsidRDefault="008A36CF" w:rsidP="00D1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BD4D" w14:textId="77777777" w:rsidR="00D14E10" w:rsidRDefault="00D14E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F2BC" w14:textId="7D66F4E5" w:rsidR="00D14E10" w:rsidRDefault="00D14E10" w:rsidP="00D14E10">
    <w:pPr>
      <w:pStyle w:val="Header"/>
      <w:jc w:val="right"/>
    </w:pPr>
    <w:sdt>
      <w:sdtPr>
        <w:id w:val="366649363"/>
        <w:docPartObj>
          <w:docPartGallery w:val="Watermarks"/>
          <w:docPartUnique/>
        </w:docPartObj>
      </w:sdtPr>
      <w:sdtContent>
        <w:r>
          <w:pict w14:anchorId="168B02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DE4DE9A" wp14:editId="6038C83F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FCF81E" w14:textId="77777777" w:rsidR="008A36CF" w:rsidRDefault="008A36CF" w:rsidP="00F43AD5">
    <w:pPr>
      <w:pStyle w:val="Header"/>
      <w:jc w:val="right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06F4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D95883"/>
    <w:multiLevelType w:val="hybridMultilevel"/>
    <w:tmpl w:val="C5C6FA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34D0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46F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59F8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168"/>
    <w:rsid w:val="004867A2"/>
    <w:rsid w:val="004873F2"/>
    <w:rsid w:val="00490D4C"/>
    <w:rsid w:val="00493A35"/>
    <w:rsid w:val="0049527A"/>
    <w:rsid w:val="00495464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3821"/>
    <w:rsid w:val="004F448A"/>
    <w:rsid w:val="004F493D"/>
    <w:rsid w:val="004F65E8"/>
    <w:rsid w:val="0050005E"/>
    <w:rsid w:val="00502B88"/>
    <w:rsid w:val="005142C4"/>
    <w:rsid w:val="0051509C"/>
    <w:rsid w:val="00525E3E"/>
    <w:rsid w:val="005272E2"/>
    <w:rsid w:val="0053108F"/>
    <w:rsid w:val="00532B56"/>
    <w:rsid w:val="00534B10"/>
    <w:rsid w:val="005446A2"/>
    <w:rsid w:val="00544D2F"/>
    <w:rsid w:val="00551BD8"/>
    <w:rsid w:val="00581055"/>
    <w:rsid w:val="0059082F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0178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B5ED8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20C"/>
    <w:rsid w:val="007939B3"/>
    <w:rsid w:val="0079509C"/>
    <w:rsid w:val="00796708"/>
    <w:rsid w:val="007967B3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23C3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6E2E"/>
    <w:rsid w:val="008A36CF"/>
    <w:rsid w:val="008A3BC4"/>
    <w:rsid w:val="008B2E41"/>
    <w:rsid w:val="008B2FB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2715"/>
    <w:rsid w:val="009118A6"/>
    <w:rsid w:val="00913040"/>
    <w:rsid w:val="00916909"/>
    <w:rsid w:val="00916EC0"/>
    <w:rsid w:val="00920467"/>
    <w:rsid w:val="00921DE7"/>
    <w:rsid w:val="00927E5F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5D4B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3AFD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6463"/>
    <w:rsid w:val="00B1422A"/>
    <w:rsid w:val="00B1765C"/>
    <w:rsid w:val="00B213C4"/>
    <w:rsid w:val="00B40C60"/>
    <w:rsid w:val="00B479A9"/>
    <w:rsid w:val="00B52EDF"/>
    <w:rsid w:val="00B71188"/>
    <w:rsid w:val="00B76A41"/>
    <w:rsid w:val="00B87900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08A7"/>
    <w:rsid w:val="00CD2BFD"/>
    <w:rsid w:val="00CE1F4A"/>
    <w:rsid w:val="00CE5AD6"/>
    <w:rsid w:val="00CE5E23"/>
    <w:rsid w:val="00CE617F"/>
    <w:rsid w:val="00CE78EF"/>
    <w:rsid w:val="00D048F7"/>
    <w:rsid w:val="00D0517E"/>
    <w:rsid w:val="00D140FC"/>
    <w:rsid w:val="00D14E10"/>
    <w:rsid w:val="00D21D8C"/>
    <w:rsid w:val="00D31357"/>
    <w:rsid w:val="00D33220"/>
    <w:rsid w:val="00D334D1"/>
    <w:rsid w:val="00D35069"/>
    <w:rsid w:val="00D44C89"/>
    <w:rsid w:val="00D516CD"/>
    <w:rsid w:val="00D668E6"/>
    <w:rsid w:val="00D70670"/>
    <w:rsid w:val="00D74D80"/>
    <w:rsid w:val="00D76624"/>
    <w:rsid w:val="00D8457A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3067"/>
    <w:rsid w:val="00E46BCB"/>
    <w:rsid w:val="00E51CAF"/>
    <w:rsid w:val="00E54E38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2E99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EFE134D5-F573-474B-A3D6-C023F018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0271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E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ED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ED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467C622BC6A4958B09E1CAB010A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D0F5-1721-4B9C-92FE-BE062605B206}"/>
      </w:docPartPr>
      <w:docPartBody>
        <w:p w:rsidR="0067273B" w:rsidRDefault="007C55EF" w:rsidP="007C55EF">
          <w:pPr>
            <w:pStyle w:val="4467C622BC6A4958B09E1CAB010AA487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3CFB1346E4247C3B8D45651AA4F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C8CE-C52E-4DAA-A069-07F93B1EBA46}"/>
      </w:docPartPr>
      <w:docPartBody>
        <w:p w:rsidR="00410100" w:rsidRDefault="00DE2C9D" w:rsidP="00DE2C9D">
          <w:pPr>
            <w:pStyle w:val="83CFB1346E4247C3B8D45651AA4F4D1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EFA0670E55E478EAEFC3716CD7B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8F3C-F28E-43B9-B6B8-28775E498063}"/>
      </w:docPartPr>
      <w:docPartBody>
        <w:p w:rsidR="0077513B" w:rsidRDefault="00445689" w:rsidP="00445689">
          <w:pPr>
            <w:pStyle w:val="0EFA0670E55E478EAEFC3716CD7BE181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B02FD"/>
    <w:rsid w:val="00410100"/>
    <w:rsid w:val="00445689"/>
    <w:rsid w:val="0067273B"/>
    <w:rsid w:val="0077513B"/>
    <w:rsid w:val="007C55EF"/>
    <w:rsid w:val="0092611F"/>
    <w:rsid w:val="00D21A9F"/>
    <w:rsid w:val="00DE2C9D"/>
    <w:rsid w:val="00FA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68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9263DE22B48480EBEBD52FC14F3C4FB">
    <w:name w:val="69263DE22B48480EBEBD52FC14F3C4FB"/>
    <w:rsid w:val="00FA1665"/>
  </w:style>
  <w:style w:type="paragraph" w:customStyle="1" w:styleId="50C32456CC634E948242077D80B52FA3">
    <w:name w:val="50C32456CC634E948242077D80B52FA3"/>
    <w:rsid w:val="00FA1665"/>
  </w:style>
  <w:style w:type="paragraph" w:customStyle="1" w:styleId="7950B02699754160BC80684345870EBD">
    <w:name w:val="7950B02699754160BC80684345870EBD"/>
    <w:rsid w:val="00FA1665"/>
  </w:style>
  <w:style w:type="paragraph" w:customStyle="1" w:styleId="DFBD6BC7228D4853A49B4B4C033A0CCE">
    <w:name w:val="DFBD6BC7228D4853A49B4B4C033A0CCE"/>
    <w:rsid w:val="00FA1665"/>
  </w:style>
  <w:style w:type="paragraph" w:customStyle="1" w:styleId="8C68CDEE87854279BAA03439BCF576C4">
    <w:name w:val="8C68CDEE87854279BAA03439BCF576C4"/>
    <w:rsid w:val="00FA1665"/>
  </w:style>
  <w:style w:type="paragraph" w:customStyle="1" w:styleId="CCF5B803BFF84CF8A22436CA0515B041">
    <w:name w:val="CCF5B803BFF84CF8A22436CA0515B041"/>
    <w:rsid w:val="007C55EF"/>
    <w:rPr>
      <w:lang w:val="en-US" w:eastAsia="en-US"/>
    </w:rPr>
  </w:style>
  <w:style w:type="paragraph" w:customStyle="1" w:styleId="03C917418CD440C4BB9F761048DE024E">
    <w:name w:val="03C917418CD440C4BB9F761048DE024E"/>
    <w:rsid w:val="007C55EF"/>
    <w:rPr>
      <w:lang w:val="en-US" w:eastAsia="en-US"/>
    </w:rPr>
  </w:style>
  <w:style w:type="paragraph" w:customStyle="1" w:styleId="4467C622BC6A4958B09E1CAB010AA487">
    <w:name w:val="4467C622BC6A4958B09E1CAB010AA487"/>
    <w:rsid w:val="007C55EF"/>
    <w:rPr>
      <w:lang w:val="en-US" w:eastAsia="en-US"/>
    </w:rPr>
  </w:style>
  <w:style w:type="paragraph" w:customStyle="1" w:styleId="83CFB1346E4247C3B8D45651AA4F4D11">
    <w:name w:val="83CFB1346E4247C3B8D45651AA4F4D11"/>
    <w:rsid w:val="00DE2C9D"/>
  </w:style>
  <w:style w:type="paragraph" w:customStyle="1" w:styleId="0EFA0670E55E478EAEFC3716CD7BE181">
    <w:name w:val="0EFA0670E55E478EAEFC3716CD7BE181"/>
    <w:rsid w:val="00445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1367-CF0D-456E-B4BE-47B1B3A05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6BC3F-C058-4552-885C-54F8470B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2E32BBD7.dotm</Template>
  <TotalTime>156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15</cp:revision>
  <cp:lastPrinted>2018-10-22T22:41:00Z</cp:lastPrinted>
  <dcterms:created xsi:type="dcterms:W3CDTF">2019-09-09T06:05:00Z</dcterms:created>
  <dcterms:modified xsi:type="dcterms:W3CDTF">2020-01-30T01:45:00Z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