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5314593A" w14:textId="1F269942" w:rsidR="00BD499F" w:rsidRPr="004C23F4" w:rsidRDefault="000F0A17" w:rsidP="00B40C60">
          <w:pPr>
            <w:pStyle w:val="Heading1"/>
            <w:jc w:val="center"/>
            <w:rPr>
              <w:rFonts w:ascii="Arial" w:hAnsi="Arial" w:cs="Arial"/>
            </w:rPr>
          </w:pPr>
          <w:r w:rsidRPr="000F0A17">
            <w:rPr>
              <w:rFonts w:ascii="Arial" w:hAnsi="Arial" w:cs="Arial"/>
            </w:rPr>
            <w:t>Methyl acrylate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66"/>
        <w:gridCol w:w="5060"/>
      </w:tblGrid>
      <w:tr w:rsidR="00F43AD5" w:rsidRPr="004C23F4" w14:paraId="294167E7" w14:textId="77777777" w:rsidTr="00B76A41">
        <w:trPr>
          <w:cantSplit/>
          <w:tblHeader/>
        </w:trPr>
        <w:tc>
          <w:tcPr>
            <w:tcW w:w="4077" w:type="dxa"/>
          </w:tcPr>
          <w:p w14:paraId="4EAFF1AB" w14:textId="77777777" w:rsidR="00F43AD5" w:rsidRPr="00921DE7" w:rsidRDefault="00CB1CB1" w:rsidP="00B76A41">
            <w:pPr>
              <w:pStyle w:val="Tablerowright"/>
            </w:pPr>
            <w:r w:rsidRPr="00921DE7">
              <w:t>CAS number:</w:t>
            </w:r>
          </w:p>
        </w:tc>
        <w:tc>
          <w:tcPr>
            <w:tcW w:w="5165" w:type="dxa"/>
          </w:tcPr>
          <w:p w14:paraId="4ED700AA" w14:textId="4A641F26" w:rsidR="00F43AD5" w:rsidRPr="00717D45" w:rsidRDefault="00742B8F" w:rsidP="00B76A41">
            <w:pPr>
              <w:pStyle w:val="Tablefont"/>
            </w:pPr>
            <w:r w:rsidRPr="00742B8F">
              <w:t>96-33-3</w:t>
            </w:r>
          </w:p>
        </w:tc>
      </w:tr>
      <w:tr w:rsidR="00F43AD5" w:rsidRPr="004C23F4" w14:paraId="3EA74C8A" w14:textId="77777777" w:rsidTr="00B76A41">
        <w:trPr>
          <w:cantSplit/>
        </w:trPr>
        <w:tc>
          <w:tcPr>
            <w:tcW w:w="4077" w:type="dxa"/>
          </w:tcPr>
          <w:p w14:paraId="4D3BE335" w14:textId="77777777" w:rsidR="00F43AD5" w:rsidRPr="00921DE7" w:rsidRDefault="00CB1CB1" w:rsidP="00B76A41">
            <w:pPr>
              <w:pStyle w:val="Tablerowright"/>
            </w:pPr>
            <w:r w:rsidRPr="00921DE7">
              <w:t>Synonyms:</w:t>
            </w:r>
          </w:p>
        </w:tc>
        <w:tc>
          <w:tcPr>
            <w:tcW w:w="5165" w:type="dxa"/>
          </w:tcPr>
          <w:p w14:paraId="0D883D60" w14:textId="6FBF33E4" w:rsidR="00F43AD5" w:rsidRPr="00717D45" w:rsidRDefault="00D31E4D" w:rsidP="00B76A41">
            <w:pPr>
              <w:pStyle w:val="Tablefont"/>
            </w:pPr>
            <w:r>
              <w:t xml:space="preserve">Acrylic acid </w:t>
            </w:r>
            <w:r w:rsidRPr="00D31E4D">
              <w:t>methyl ester</w:t>
            </w:r>
            <w:r w:rsidR="0021036C">
              <w:t xml:space="preserve">, methyl </w:t>
            </w:r>
            <w:proofErr w:type="spellStart"/>
            <w:r w:rsidR="0021036C">
              <w:t>propenoate</w:t>
            </w:r>
            <w:proofErr w:type="spellEnd"/>
            <w:r w:rsidR="0021036C">
              <w:t xml:space="preserve">, </w:t>
            </w:r>
            <w:r w:rsidR="00CB2419">
              <w:br/>
            </w:r>
            <w:r w:rsidR="0021036C">
              <w:t xml:space="preserve">methyl-2-propenoate, methyl prop-2-enoate, </w:t>
            </w:r>
            <w:proofErr w:type="spellStart"/>
            <w:r w:rsidR="0021036C">
              <w:t>methoxycarbonylethylene</w:t>
            </w:r>
            <w:proofErr w:type="spellEnd"/>
            <w:r w:rsidR="0021036C">
              <w:t xml:space="preserve">, </w:t>
            </w:r>
            <w:r w:rsidR="00CB2419">
              <w:br/>
            </w:r>
            <w:proofErr w:type="spellStart"/>
            <w:r w:rsidR="0021036C">
              <w:t>propenoic</w:t>
            </w:r>
            <w:proofErr w:type="spellEnd"/>
            <w:r w:rsidR="0021036C">
              <w:t xml:space="preserve"> acid methyl ester, </w:t>
            </w:r>
            <w:r w:rsidR="00CB2419">
              <w:br/>
            </w:r>
            <w:r w:rsidR="0021036C">
              <w:t>2-propenoic acid methyl ester</w:t>
            </w:r>
          </w:p>
        </w:tc>
      </w:tr>
      <w:tr w:rsidR="00F43AD5" w:rsidRPr="004C23F4" w14:paraId="6C94EC0B" w14:textId="77777777" w:rsidTr="00B76A41">
        <w:trPr>
          <w:cantSplit/>
        </w:trPr>
        <w:tc>
          <w:tcPr>
            <w:tcW w:w="4077" w:type="dxa"/>
          </w:tcPr>
          <w:p w14:paraId="33301A9B" w14:textId="77777777" w:rsidR="00F43AD5" w:rsidRPr="00921DE7" w:rsidRDefault="00CB1CB1" w:rsidP="00B76A41">
            <w:pPr>
              <w:pStyle w:val="Tablerowright"/>
            </w:pPr>
            <w:r w:rsidRPr="00921DE7">
              <w:t>Chemical formula:</w:t>
            </w:r>
          </w:p>
        </w:tc>
        <w:tc>
          <w:tcPr>
            <w:tcW w:w="5165" w:type="dxa"/>
          </w:tcPr>
          <w:p w14:paraId="5779894B" w14:textId="0C77D4CF" w:rsidR="00F43AD5" w:rsidRPr="00717D45" w:rsidRDefault="0021036C" w:rsidP="00B76A41">
            <w:pPr>
              <w:pStyle w:val="Tablefont"/>
            </w:pPr>
            <w:r>
              <w:t>C</w:t>
            </w:r>
            <w:r w:rsidRPr="0021036C">
              <w:rPr>
                <w:vertAlign w:val="subscript"/>
              </w:rPr>
              <w:t>4</w:t>
            </w:r>
            <w:r>
              <w:t>H</w:t>
            </w:r>
            <w:r w:rsidRPr="0021036C">
              <w:rPr>
                <w:vertAlign w:val="subscript"/>
              </w:rPr>
              <w:t>6</w:t>
            </w:r>
            <w:r>
              <w:t>O</w:t>
            </w:r>
            <w:r w:rsidRPr="0021036C">
              <w:rPr>
                <w:vertAlign w:val="subscript"/>
              </w:rPr>
              <w:t>2</w:t>
            </w:r>
          </w:p>
        </w:tc>
      </w:tr>
      <w:tr w:rsidR="00F43AD5" w:rsidRPr="004C23F4" w14:paraId="6DAA5316" w14:textId="77777777" w:rsidTr="00B76A41">
        <w:trPr>
          <w:cantSplit/>
        </w:trPr>
        <w:tc>
          <w:tcPr>
            <w:tcW w:w="4077" w:type="dxa"/>
          </w:tcPr>
          <w:p w14:paraId="28304E1F" w14:textId="77777777" w:rsidR="00F43AD5" w:rsidRPr="00921DE7" w:rsidRDefault="00CB1CB1" w:rsidP="00B76A41">
            <w:pPr>
              <w:pStyle w:val="Tablerowright"/>
            </w:pPr>
            <w:r w:rsidRPr="00921DE7">
              <w:t>Structural formula:</w:t>
            </w:r>
          </w:p>
        </w:tc>
        <w:tc>
          <w:tcPr>
            <w:tcW w:w="5165" w:type="dxa"/>
          </w:tcPr>
          <w:p w14:paraId="6031B2EF" w14:textId="52516611" w:rsidR="00F43AD5" w:rsidRPr="00B40C60" w:rsidRDefault="0021036C" w:rsidP="00B76A41">
            <w:pPr>
              <w:pStyle w:val="Tablerowheading"/>
              <w:rPr>
                <w:b w:val="0"/>
              </w:rPr>
            </w:pPr>
            <w:r>
              <w:t>—</w:t>
            </w:r>
          </w:p>
        </w:tc>
      </w:tr>
    </w:tbl>
    <w:p w14:paraId="3A427225" w14:textId="6FD6BFD7"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227340">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05"/>
        <w:gridCol w:w="5021"/>
      </w:tblGrid>
      <w:tr w:rsidR="002C7AFE" w:rsidRPr="004C23F4" w14:paraId="6DC892A0" w14:textId="77777777" w:rsidTr="00574FA9">
        <w:trPr>
          <w:cantSplit/>
          <w:tblHeader/>
        </w:trPr>
        <w:tc>
          <w:tcPr>
            <w:tcW w:w="4005" w:type="dxa"/>
            <w:vAlign w:val="center"/>
          </w:tcPr>
          <w:p w14:paraId="2221D8B9" w14:textId="77777777" w:rsidR="002C7AFE" w:rsidRPr="002C58FF" w:rsidRDefault="00921DE7" w:rsidP="00921DE7">
            <w:pPr>
              <w:pStyle w:val="Tablerowright"/>
            </w:pPr>
            <w:r>
              <w:t>TWA:</w:t>
            </w:r>
          </w:p>
        </w:tc>
        <w:tc>
          <w:tcPr>
            <w:tcW w:w="5021" w:type="dxa"/>
          </w:tcPr>
          <w:p w14:paraId="0783FE89" w14:textId="19691E1E" w:rsidR="002C7AFE" w:rsidRPr="00B8619B" w:rsidRDefault="00B8619B" w:rsidP="00017C82">
            <w:pPr>
              <w:pStyle w:val="Tablefont"/>
              <w:rPr>
                <w:b/>
              </w:rPr>
            </w:pPr>
            <w:r>
              <w:rPr>
                <w:b/>
              </w:rPr>
              <w:t>2 ppm (7 mg/m</w:t>
            </w:r>
            <w:r>
              <w:rPr>
                <w:b/>
                <w:vertAlign w:val="superscript"/>
              </w:rPr>
              <w:t>3</w:t>
            </w:r>
            <w:r>
              <w:rPr>
                <w:b/>
              </w:rPr>
              <w:t>)</w:t>
            </w:r>
          </w:p>
        </w:tc>
      </w:tr>
      <w:tr w:rsidR="002C7AFE" w:rsidRPr="004C23F4" w14:paraId="182C689E" w14:textId="77777777" w:rsidTr="00574FA9">
        <w:trPr>
          <w:cantSplit/>
        </w:trPr>
        <w:tc>
          <w:tcPr>
            <w:tcW w:w="4005" w:type="dxa"/>
            <w:vAlign w:val="center"/>
          </w:tcPr>
          <w:p w14:paraId="42AE018E" w14:textId="77777777" w:rsidR="002C7AFE" w:rsidRPr="002C58FF" w:rsidRDefault="002C7AFE" w:rsidP="00921DE7">
            <w:pPr>
              <w:pStyle w:val="Tablerowright"/>
            </w:pPr>
            <w:r w:rsidRPr="002C58FF">
              <w:t>STEL</w:t>
            </w:r>
            <w:r w:rsidR="00921DE7">
              <w:t>:</w:t>
            </w:r>
          </w:p>
        </w:tc>
        <w:tc>
          <w:tcPr>
            <w:tcW w:w="5021" w:type="dxa"/>
          </w:tcPr>
          <w:p w14:paraId="287E8120" w14:textId="12239B5D" w:rsidR="002C7AFE" w:rsidRPr="00EB3D1B" w:rsidRDefault="00227340" w:rsidP="00017C82">
            <w:pPr>
              <w:pStyle w:val="Tablefont"/>
              <w:rPr>
                <w:b/>
              </w:rPr>
            </w:pPr>
            <w:r>
              <w:t>—</w:t>
            </w:r>
          </w:p>
        </w:tc>
      </w:tr>
      <w:tr w:rsidR="002C7AFE" w:rsidRPr="004C23F4" w14:paraId="3F35A9F8" w14:textId="77777777" w:rsidTr="00574FA9">
        <w:trPr>
          <w:cantSplit/>
        </w:trPr>
        <w:tc>
          <w:tcPr>
            <w:tcW w:w="4005" w:type="dxa"/>
            <w:vAlign w:val="center"/>
          </w:tcPr>
          <w:p w14:paraId="7AB62D84" w14:textId="77777777" w:rsidR="002C7AFE" w:rsidRPr="002C58FF" w:rsidRDefault="00921DE7" w:rsidP="00921DE7">
            <w:pPr>
              <w:pStyle w:val="Tablerowright"/>
            </w:pPr>
            <w:r>
              <w:t>Peak limitation:</w:t>
            </w:r>
          </w:p>
        </w:tc>
        <w:tc>
          <w:tcPr>
            <w:tcW w:w="5021" w:type="dxa"/>
          </w:tcPr>
          <w:p w14:paraId="39FD2308" w14:textId="00402825" w:rsidR="002C7AFE" w:rsidRPr="00EB3D1B" w:rsidRDefault="00227340" w:rsidP="00017C82">
            <w:pPr>
              <w:pStyle w:val="Tablefont"/>
              <w:rPr>
                <w:b/>
              </w:rPr>
            </w:pPr>
            <w:r>
              <w:t>—</w:t>
            </w:r>
          </w:p>
        </w:tc>
      </w:tr>
      <w:tr w:rsidR="002C7AFE" w:rsidRPr="004C23F4" w14:paraId="6F088094" w14:textId="77777777" w:rsidTr="00574FA9">
        <w:trPr>
          <w:cantSplit/>
        </w:trPr>
        <w:tc>
          <w:tcPr>
            <w:tcW w:w="4005" w:type="dxa"/>
          </w:tcPr>
          <w:p w14:paraId="08C6748D" w14:textId="77777777" w:rsidR="002C7AFE" w:rsidRPr="002C58FF" w:rsidRDefault="00A2073D" w:rsidP="003241A8">
            <w:pPr>
              <w:pStyle w:val="Tablerowright"/>
            </w:pPr>
            <w:r>
              <w:rPr>
                <w:b w:val="0"/>
                <w:bCs/>
                <w:color w:val="000000" w:themeColor="text1"/>
              </w:rPr>
              <w:tab/>
            </w:r>
            <w:r w:rsidR="00921DE7" w:rsidRPr="003241A8">
              <w:t>Notations</w:t>
            </w:r>
            <w:r w:rsidR="00921DE7">
              <w:t>:</w:t>
            </w:r>
          </w:p>
        </w:tc>
        <w:tc>
          <w:tcPr>
            <w:tcW w:w="5021" w:type="dxa"/>
          </w:tcPr>
          <w:p w14:paraId="4071F673" w14:textId="119972E5" w:rsidR="002C7AFE" w:rsidRPr="00EB3D1B" w:rsidRDefault="00574FA9" w:rsidP="008A36CF">
            <w:pPr>
              <w:pStyle w:val="Tablefont"/>
              <w:rPr>
                <w:b/>
              </w:rPr>
            </w:pPr>
            <w:r>
              <w:rPr>
                <w:b/>
              </w:rPr>
              <w:t xml:space="preserve">Sk., </w:t>
            </w:r>
            <w:r w:rsidR="00B8619B">
              <w:rPr>
                <w:b/>
              </w:rPr>
              <w:t>DSEN</w:t>
            </w:r>
          </w:p>
        </w:tc>
      </w:tr>
      <w:tr w:rsidR="002C7AFE" w:rsidRPr="004C23F4" w14:paraId="097A00A4" w14:textId="77777777" w:rsidTr="00574FA9">
        <w:trPr>
          <w:cantSplit/>
        </w:trPr>
        <w:tc>
          <w:tcPr>
            <w:tcW w:w="4005" w:type="dxa"/>
            <w:vAlign w:val="center"/>
          </w:tcPr>
          <w:p w14:paraId="34398FB3" w14:textId="77777777" w:rsidR="00F10C97" w:rsidRPr="002C58FF" w:rsidRDefault="00921DE7" w:rsidP="009F04D2">
            <w:pPr>
              <w:pStyle w:val="Tablerowright"/>
            </w:pPr>
            <w:r>
              <w:t>IDLH:</w:t>
            </w:r>
          </w:p>
        </w:tc>
        <w:tc>
          <w:tcPr>
            <w:tcW w:w="5021" w:type="dxa"/>
          </w:tcPr>
          <w:p w14:paraId="1F4A8917" w14:textId="50EF848A" w:rsidR="002C7AFE" w:rsidRPr="00EB3D1B" w:rsidRDefault="0021036C" w:rsidP="00017C82">
            <w:pPr>
              <w:pStyle w:val="Tablefont"/>
              <w:rPr>
                <w:b/>
              </w:rPr>
            </w:pPr>
            <w:r>
              <w:rPr>
                <w:b/>
              </w:rPr>
              <w:t>250 ppm</w:t>
            </w:r>
          </w:p>
        </w:tc>
      </w:tr>
      <w:tr w:rsidR="00574FA9" w:rsidRPr="004C23F4" w14:paraId="0E5364C5" w14:textId="77777777" w:rsidTr="00F10F25">
        <w:trPr>
          <w:cantSplit/>
        </w:trPr>
        <w:tc>
          <w:tcPr>
            <w:tcW w:w="9026" w:type="dxa"/>
            <w:gridSpan w:val="2"/>
            <w:vAlign w:val="center"/>
          </w:tcPr>
          <w:p w14:paraId="00E28D4D" w14:textId="79467F08" w:rsidR="00574FA9" w:rsidRPr="00EB3D1B" w:rsidRDefault="00574FA9" w:rsidP="00574FA9">
            <w:pPr>
              <w:pStyle w:val="Tablefont"/>
              <w:rPr>
                <w:b/>
              </w:rPr>
            </w:pPr>
            <w:r w:rsidRPr="00C9508E">
              <w:rPr>
                <w:b/>
              </w:rPr>
              <w:t>Sampling and analysis:</w:t>
            </w:r>
            <w:r w:rsidRPr="00EC521E">
              <w:rPr>
                <w:rStyle w:val="WESstatus"/>
                <w:color w:val="auto"/>
              </w:rPr>
              <w:t xml:space="preserve"> </w:t>
            </w:r>
            <w:sdt>
              <w:sdtPr>
                <w:rPr>
                  <w:rStyle w:val="WESstatus"/>
                  <w:color w:val="auto"/>
                </w:rPr>
                <w:id w:val="-2105258949"/>
                <w:placeholder>
                  <w:docPart w:val="AFDA0D035B7B49FBAB3EFA58729AD95B"/>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Pr>
                    <w:rStyle w:val="WESstatus"/>
                    <w:color w:val="auto"/>
                  </w:rPr>
                  <w:t xml:space="preserve">The recommended value is quantifiable through available sampling and analysis techniques. </w:t>
                </w:r>
              </w:sdtContent>
            </w:sdt>
          </w:p>
        </w:tc>
      </w:tr>
    </w:tbl>
    <w:p w14:paraId="304D89F9" w14:textId="707C508F" w:rsidR="00CB1CB1" w:rsidRPr="003365A5" w:rsidRDefault="00F10C97" w:rsidP="003365A5">
      <w:pPr>
        <w:pStyle w:val="Heading2"/>
      </w:pPr>
      <w:r>
        <w:t>Recommendation and basis for workplace exposure standard</w:t>
      </w:r>
    </w:p>
    <w:p w14:paraId="5FCA4139" w14:textId="2F89557E" w:rsidR="00227340" w:rsidRPr="004C23F4" w:rsidRDefault="00B8619B" w:rsidP="000C139A">
      <w:pPr>
        <w:rPr>
          <w:rFonts w:cs="Arial"/>
        </w:rPr>
      </w:pPr>
      <w:r>
        <w:rPr>
          <w:rFonts w:cs="Arial"/>
        </w:rPr>
        <w:t>A TWA of 2 ppm (7 mg/m</w:t>
      </w:r>
      <w:r>
        <w:rPr>
          <w:rFonts w:cs="Arial"/>
          <w:vertAlign w:val="superscript"/>
        </w:rPr>
        <w:t>3</w:t>
      </w:r>
      <w:r>
        <w:rPr>
          <w:rFonts w:cs="Arial"/>
        </w:rPr>
        <w:t xml:space="preserve">) is recommended to protect for </w:t>
      </w:r>
      <w:r w:rsidRPr="00227340">
        <w:rPr>
          <w:rFonts w:cs="Arial"/>
        </w:rPr>
        <w:t>irritation to the eyes, skin and respiratory system</w:t>
      </w:r>
      <w:r>
        <w:rPr>
          <w:rFonts w:cs="Arial"/>
        </w:rPr>
        <w:t xml:space="preserve"> in exposed workers.</w:t>
      </w:r>
    </w:p>
    <w:p w14:paraId="4E80B024" w14:textId="77777777" w:rsidR="00C7155E" w:rsidRPr="004C23F4" w:rsidRDefault="00F10C97" w:rsidP="003365A5">
      <w:pPr>
        <w:pStyle w:val="Heading2"/>
      </w:pPr>
      <w:r>
        <w:t>Discussion and conclusions</w:t>
      </w:r>
    </w:p>
    <w:p w14:paraId="15DEE5DA" w14:textId="6954D332" w:rsidR="00CB2419" w:rsidRDefault="00FA1CA3" w:rsidP="00FA1CA3">
      <w:r>
        <w:rPr>
          <w:rFonts w:cs="Arial"/>
        </w:rPr>
        <w:t xml:space="preserve">Methyl acrylate is </w:t>
      </w:r>
      <w:r>
        <w:t>used as a co</w:t>
      </w:r>
      <w:r w:rsidR="00CB2419">
        <w:t>-</w:t>
      </w:r>
      <w:r>
        <w:t xml:space="preserve">monomer with acrylonitrile in the production of acrylic and </w:t>
      </w:r>
      <w:proofErr w:type="spellStart"/>
      <w:r>
        <w:t>modacrylic</w:t>
      </w:r>
      <w:proofErr w:type="spellEnd"/>
      <w:r>
        <w:t xml:space="preserve"> </w:t>
      </w:r>
      <w:proofErr w:type="gramStart"/>
      <w:r>
        <w:t>fibre</w:t>
      </w:r>
      <w:proofErr w:type="gramEnd"/>
      <w:r>
        <w:t xml:space="preserve">, in paint rollers, battery separators and protective clothing. </w:t>
      </w:r>
    </w:p>
    <w:p w14:paraId="162EBAF9" w14:textId="69DB71C8" w:rsidR="00FA1CA3" w:rsidRDefault="00DE3F7A" w:rsidP="00FA1CA3">
      <w:r>
        <w:t>The c</w:t>
      </w:r>
      <w:r w:rsidR="00FA1CA3">
        <w:t xml:space="preserve">ritical effects </w:t>
      </w:r>
      <w:r w:rsidR="00CB2419">
        <w:t xml:space="preserve">of exposure </w:t>
      </w:r>
      <w:r w:rsidR="00FA1CA3">
        <w:t xml:space="preserve">are </w:t>
      </w:r>
      <w:r w:rsidR="00FA1CA3" w:rsidRPr="00227340">
        <w:rPr>
          <w:rFonts w:cs="Arial"/>
        </w:rPr>
        <w:t>irritation to the eyes, skin and respiratory system</w:t>
      </w:r>
      <w:r w:rsidR="00FA1CA3">
        <w:rPr>
          <w:rFonts w:cs="Arial"/>
        </w:rPr>
        <w:t>.</w:t>
      </w:r>
      <w:r w:rsidR="00CB2419">
        <w:rPr>
          <w:rFonts w:cs="Arial"/>
        </w:rPr>
        <w:t xml:space="preserve"> </w:t>
      </w:r>
      <w:r>
        <w:rPr>
          <w:rFonts w:cs="Arial"/>
        </w:rPr>
        <w:t>While l</w:t>
      </w:r>
      <w:r w:rsidR="00FA1CA3">
        <w:rPr>
          <w:rFonts w:cs="Arial"/>
        </w:rPr>
        <w:t xml:space="preserve">imited </w:t>
      </w:r>
      <w:r>
        <w:rPr>
          <w:rFonts w:cs="Arial"/>
        </w:rPr>
        <w:t>human</w:t>
      </w:r>
      <w:r w:rsidR="00FA1CA3">
        <w:rPr>
          <w:rFonts w:cs="Arial"/>
        </w:rPr>
        <w:t xml:space="preserve"> </w:t>
      </w:r>
      <w:r>
        <w:rPr>
          <w:rFonts w:cs="Arial"/>
        </w:rPr>
        <w:t xml:space="preserve">data </w:t>
      </w:r>
      <w:r w:rsidR="00CB2419">
        <w:rPr>
          <w:rFonts w:cs="Arial"/>
        </w:rPr>
        <w:t>are</w:t>
      </w:r>
      <w:r>
        <w:rPr>
          <w:rFonts w:cs="Arial"/>
        </w:rPr>
        <w:t xml:space="preserve"> available, e</w:t>
      </w:r>
      <w:r w:rsidR="00FA1CA3">
        <w:t>xperimental data indicate it is a moderate irritant</w:t>
      </w:r>
      <w:r w:rsidR="00C33563">
        <w:t xml:space="preserve">. </w:t>
      </w:r>
      <w:r w:rsidR="002C52F3">
        <w:t xml:space="preserve">Increased </w:t>
      </w:r>
      <w:r w:rsidR="00FA1CA3">
        <w:t xml:space="preserve">irritation of the eyes </w:t>
      </w:r>
      <w:r w:rsidR="00C33563">
        <w:t xml:space="preserve">associated with </w:t>
      </w:r>
      <w:r w:rsidR="00FA1CA3">
        <w:t xml:space="preserve">increasing concentrations above an average of </w:t>
      </w:r>
      <w:r w:rsidR="00CB2419">
        <w:t>2 </w:t>
      </w:r>
      <w:r w:rsidR="00FA1CA3">
        <w:t>pp</w:t>
      </w:r>
      <w:r w:rsidR="00365C05">
        <w:t>m</w:t>
      </w:r>
      <w:r w:rsidR="002C52F3">
        <w:t xml:space="preserve"> reported in ten workers over a 12-hour shift. </w:t>
      </w:r>
      <w:r w:rsidR="00F0146C">
        <w:t>A NO</w:t>
      </w:r>
      <w:r w:rsidR="00CB2419">
        <w:t>A</w:t>
      </w:r>
      <w:r w:rsidR="00F0146C">
        <w:t>E</w:t>
      </w:r>
      <w:r w:rsidR="00CB2419">
        <w:t>C</w:t>
      </w:r>
      <w:r w:rsidR="00F0146C">
        <w:t xml:space="preserve"> 15 </w:t>
      </w:r>
      <w:r w:rsidR="00FA1CA3">
        <w:t xml:space="preserve">ppm, </w:t>
      </w:r>
      <w:r w:rsidR="002C52F3">
        <w:t>with</w:t>
      </w:r>
      <w:r w:rsidR="00FA1CA3">
        <w:t xml:space="preserve"> reversible irritation of the nasal mucosa and cornea</w:t>
      </w:r>
      <w:r w:rsidR="00B8303F">
        <w:t xml:space="preserve"> at higher concentrations</w:t>
      </w:r>
      <w:r w:rsidR="00FA1CA3">
        <w:t xml:space="preserve">, </w:t>
      </w:r>
      <w:r w:rsidR="002C52F3">
        <w:t xml:space="preserve">was reported </w:t>
      </w:r>
      <w:r w:rsidR="00FA1CA3">
        <w:t xml:space="preserve">in </w:t>
      </w:r>
      <w:r w:rsidR="00574FA9">
        <w:t xml:space="preserve">a </w:t>
      </w:r>
      <w:r w:rsidR="00CB2419">
        <w:t>two</w:t>
      </w:r>
      <w:r>
        <w:t>-</w:t>
      </w:r>
      <w:r w:rsidR="00FA1CA3">
        <w:t xml:space="preserve">year inhalation study in rats (ACGIH, 2018). In a different </w:t>
      </w:r>
      <w:r w:rsidR="00CB2419">
        <w:t>two</w:t>
      </w:r>
      <w:r>
        <w:t>-</w:t>
      </w:r>
      <w:r w:rsidR="00FA1CA3">
        <w:t xml:space="preserve">year </w:t>
      </w:r>
      <w:r w:rsidR="00F0146C">
        <w:t>inhalation study, a LOAEC of 15 </w:t>
      </w:r>
      <w:r w:rsidR="00FA1CA3">
        <w:t xml:space="preserve">ppm </w:t>
      </w:r>
      <w:r w:rsidR="00CB2419">
        <w:t>i</w:t>
      </w:r>
      <w:r w:rsidR="00FA1CA3">
        <w:t>s reported in rats for effects on the olfactory and respiratory epithelium. A benchmark dose of 6.8</w:t>
      </w:r>
      <w:r w:rsidR="00365C05">
        <w:t> </w:t>
      </w:r>
      <w:r w:rsidR="00FA1CA3">
        <w:t>ppm for males was calculated from this study (DFG, 2016).</w:t>
      </w:r>
    </w:p>
    <w:p w14:paraId="68DB780E" w14:textId="7A430E0F" w:rsidR="00FA1CA3" w:rsidRDefault="00B8619B" w:rsidP="00FA1CA3">
      <w:r>
        <w:t>Based on the weight of evidence, a TWA of 2</w:t>
      </w:r>
      <w:r w:rsidRPr="00B8619B">
        <w:t xml:space="preserve"> pp</w:t>
      </w:r>
      <w:r w:rsidRPr="00F0146C">
        <w:t xml:space="preserve">m </w:t>
      </w:r>
      <w:r w:rsidR="00F0146C" w:rsidRPr="00F0146C">
        <w:t>(7 mg/m</w:t>
      </w:r>
      <w:r w:rsidR="00F0146C" w:rsidRPr="00F0146C">
        <w:rPr>
          <w:vertAlign w:val="superscript"/>
        </w:rPr>
        <w:t>3</w:t>
      </w:r>
      <w:r w:rsidR="00F0146C" w:rsidRPr="00F0146C">
        <w:t>)</w:t>
      </w:r>
      <w:r w:rsidR="00F0146C">
        <w:t xml:space="preserve"> </w:t>
      </w:r>
      <w:r w:rsidRPr="00F0146C">
        <w:t xml:space="preserve">is </w:t>
      </w:r>
      <w:r w:rsidRPr="00B8619B">
        <w:t>recommended as assigned by ACGIH</w:t>
      </w:r>
      <w:r w:rsidR="000A5038">
        <w:t> </w:t>
      </w:r>
      <w:r w:rsidRPr="00B8619B">
        <w:t>(2018) and DFG (2016). This TWA is cited to be protective of irritation effects</w:t>
      </w:r>
      <w:r>
        <w:t xml:space="preserve"> in exposed workers.</w:t>
      </w:r>
    </w:p>
    <w:p w14:paraId="1CC37AB7" w14:textId="77777777" w:rsidR="004529F0" w:rsidRPr="004C23F4" w:rsidRDefault="004529F0" w:rsidP="004529F0">
      <w:pPr>
        <w:pStyle w:val="Heading2"/>
      </w:pPr>
      <w:r>
        <w:lastRenderedPageBreak/>
        <w:t>Recommendation for notations</w:t>
      </w:r>
    </w:p>
    <w:p w14:paraId="120103C4" w14:textId="48B0C41E" w:rsidR="00742B8F" w:rsidRDefault="00742B8F" w:rsidP="00742B8F">
      <w:pPr>
        <w:rPr>
          <w:rFonts w:cs="Arial"/>
        </w:rPr>
      </w:pPr>
      <w:r>
        <w:rPr>
          <w:rFonts w:cs="Arial"/>
        </w:rPr>
        <w:t>Not classified as a carcinogen according to the Globally Harmonized System of</w:t>
      </w:r>
      <w:r w:rsidR="00227340">
        <w:rPr>
          <w:rFonts w:cs="Arial"/>
        </w:rPr>
        <w:t xml:space="preserve"> Classification and Labelling of</w:t>
      </w:r>
      <w:r>
        <w:rPr>
          <w:rFonts w:cs="Arial"/>
        </w:rPr>
        <w:t xml:space="preserve"> Chemicals (GHS). </w:t>
      </w:r>
    </w:p>
    <w:p w14:paraId="4BFA3AB0" w14:textId="189DE042" w:rsidR="00742B8F" w:rsidRDefault="00B8619B" w:rsidP="00742B8F">
      <w:pPr>
        <w:rPr>
          <w:rFonts w:cs="Arial"/>
        </w:rPr>
      </w:pPr>
      <w:r>
        <w:rPr>
          <w:rFonts w:cs="Arial"/>
        </w:rPr>
        <w:t>Classified</w:t>
      </w:r>
      <w:r w:rsidR="00742B8F">
        <w:rPr>
          <w:rFonts w:cs="Arial"/>
        </w:rPr>
        <w:t xml:space="preserve"> as a skin </w:t>
      </w:r>
      <w:r w:rsidR="00227340">
        <w:rPr>
          <w:rFonts w:cs="Arial"/>
        </w:rPr>
        <w:t xml:space="preserve">sensitiser </w:t>
      </w:r>
      <w:r w:rsidR="00365C05">
        <w:rPr>
          <w:rFonts w:cs="Arial"/>
        </w:rPr>
        <w:t xml:space="preserve">but </w:t>
      </w:r>
      <w:r>
        <w:rPr>
          <w:rFonts w:cs="Arial"/>
        </w:rPr>
        <w:t>not</w:t>
      </w:r>
      <w:r w:rsidR="00742B8F">
        <w:rPr>
          <w:rFonts w:cs="Arial"/>
        </w:rPr>
        <w:t xml:space="preserve"> </w:t>
      </w:r>
      <w:r w:rsidR="00574FA9">
        <w:rPr>
          <w:rFonts w:cs="Arial"/>
        </w:rPr>
        <w:t xml:space="preserve">a </w:t>
      </w:r>
      <w:r w:rsidR="00742B8F">
        <w:rPr>
          <w:rFonts w:cs="Arial"/>
        </w:rPr>
        <w:t>respiratory sensitiser according to the GHS.</w:t>
      </w:r>
    </w:p>
    <w:p w14:paraId="4E3474E1" w14:textId="3602652A" w:rsidR="00574FA9" w:rsidRPr="00574FA9" w:rsidRDefault="00574FA9" w:rsidP="00574FA9">
      <w:pPr>
        <w:rPr>
          <w:rFonts w:cs="Arial"/>
        </w:rPr>
      </w:pPr>
      <w:r w:rsidRPr="00574FA9">
        <w:rPr>
          <w:rFonts w:cs="Arial"/>
        </w:rPr>
        <w:t xml:space="preserve">A skin notation </w:t>
      </w:r>
      <w:r>
        <w:rPr>
          <w:rFonts w:cs="Arial"/>
        </w:rPr>
        <w:t xml:space="preserve">is </w:t>
      </w:r>
      <w:r w:rsidRPr="00574FA9">
        <w:rPr>
          <w:rFonts w:cs="Arial"/>
        </w:rPr>
        <w:t xml:space="preserve">recommended based on evidence suggesting </w:t>
      </w:r>
      <w:r>
        <w:rPr>
          <w:rFonts w:cs="Arial"/>
        </w:rPr>
        <w:t>rapid</w:t>
      </w:r>
      <w:r w:rsidRPr="00574FA9">
        <w:rPr>
          <w:rFonts w:cs="Arial"/>
        </w:rPr>
        <w:t xml:space="preserve"> dermal absorption </w:t>
      </w:r>
      <w:r>
        <w:rPr>
          <w:rFonts w:cs="Arial"/>
        </w:rPr>
        <w:t xml:space="preserve">resulting systemic burden </w:t>
      </w:r>
      <w:r w:rsidRPr="00574FA9">
        <w:rPr>
          <w:rFonts w:cs="Arial"/>
        </w:rPr>
        <w:t>in animals</w:t>
      </w:r>
      <w:r w:rsidR="00861E29">
        <w:rPr>
          <w:rFonts w:cs="Arial"/>
        </w:rPr>
        <w:t xml:space="preserve"> (DFG, 2016; NICNAS, 2019)</w:t>
      </w:r>
      <w:r w:rsidRPr="00574FA9">
        <w:rPr>
          <w:rFonts w:cs="Arial"/>
        </w:rPr>
        <w:t>.</w:t>
      </w:r>
    </w:p>
    <w:p w14:paraId="16C2EF17"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4F5B1321"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73F9C7A8"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DA352E" w14:paraId="0E8B76EF" w14:textId="77777777" w:rsidTr="00DE26E8">
        <w:trPr>
          <w:gridAfter w:val="1"/>
          <w:wAfter w:w="8" w:type="pct"/>
          <w:cantSplit/>
          <w:trHeight w:val="393"/>
          <w:tblHeader/>
        </w:trPr>
        <w:tc>
          <w:tcPr>
            <w:tcW w:w="4992" w:type="pct"/>
            <w:shd w:val="clear" w:color="auto" w:fill="BFBFBF" w:themeFill="background1" w:themeFillShade="BF"/>
            <w:vAlign w:val="center"/>
          </w:tcPr>
          <w:p w14:paraId="506D5CBC"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1D4C7A5C" w14:textId="77777777" w:rsidTr="00DE26E8">
        <w:trPr>
          <w:cantSplit/>
        </w:trPr>
        <w:tc>
          <w:tcPr>
            <w:tcW w:w="5000" w:type="pct"/>
            <w:gridSpan w:val="2"/>
            <w:shd w:val="clear" w:color="auto" w:fill="F2F2F2" w:themeFill="background1" w:themeFillShade="F2"/>
          </w:tcPr>
          <w:p w14:paraId="175E721D" w14:textId="2729BB70"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21036C">
                  <w:t>1991</w:t>
                </w:r>
              </w:sdtContent>
            </w:sdt>
            <w:r w:rsidRPr="003365A5">
              <w:tab/>
            </w:r>
            <w:r>
              <w:tab/>
            </w:r>
            <w:sdt>
              <w:sdtPr>
                <w:alias w:val="SWA WES"/>
                <w:tag w:val="SWA WES"/>
                <w:id w:val="857077202"/>
                <w:placeholder>
                  <w:docPart w:val="81CFEC2FDBC5451289F394E66D92D1A0"/>
                </w:placeholder>
              </w:sdtPr>
              <w:sdtEndPr/>
              <w:sdtContent>
                <w:r w:rsidR="0021036C">
                  <w:t xml:space="preserve">TWA: </w:t>
                </w:r>
                <w:r w:rsidR="00D65DDF">
                  <w:t>10 ppm (35 mg/m</w:t>
                </w:r>
                <w:r w:rsidR="00D65DDF" w:rsidRPr="00D65DDF">
                  <w:rPr>
                    <w:vertAlign w:val="superscript"/>
                  </w:rPr>
                  <w:t>3</w:t>
                </w:r>
                <w:r w:rsidR="00D65DDF">
                  <w:t>)</w:t>
                </w:r>
              </w:sdtContent>
            </w:sdt>
          </w:p>
        </w:tc>
      </w:tr>
      <w:tr w:rsidR="00C978F0" w:rsidRPr="00DA352E" w14:paraId="612E69E3" w14:textId="77777777" w:rsidTr="00DE26E8">
        <w:trPr>
          <w:gridAfter w:val="1"/>
          <w:wAfter w:w="8" w:type="pct"/>
          <w:cantSplit/>
        </w:trPr>
        <w:tc>
          <w:tcPr>
            <w:tcW w:w="4992" w:type="pct"/>
          </w:tcPr>
          <w:p w14:paraId="17ABE4AD" w14:textId="22FF727D" w:rsidR="00404B58" w:rsidRDefault="00404B58" w:rsidP="00404B58">
            <w:pPr>
              <w:pStyle w:val="Tabletextprimarysource"/>
            </w:pPr>
            <w:r>
              <w:t>Sourced from ACGIH recommendation</w:t>
            </w:r>
            <w:r w:rsidR="001C36CC">
              <w:t>; ACGIH subsequently reviewed their recommendation and reduced the value</w:t>
            </w:r>
            <w:r>
              <w:t>.</w:t>
            </w:r>
          </w:p>
          <w:p w14:paraId="19FEDB43" w14:textId="2E6FF237" w:rsidR="00C978F0" w:rsidRPr="00DA352E" w:rsidRDefault="00404B58" w:rsidP="00404B58">
            <w:pPr>
              <w:pStyle w:val="Tabletextprimarysource"/>
            </w:pPr>
            <w:r>
              <w:t xml:space="preserve"> </w:t>
            </w:r>
          </w:p>
        </w:tc>
      </w:tr>
      <w:tr w:rsidR="00C978F0" w:rsidRPr="00DA352E" w14:paraId="598CA78C" w14:textId="77777777" w:rsidTr="00DE26E8">
        <w:trPr>
          <w:gridAfter w:val="1"/>
          <w:wAfter w:w="8" w:type="pct"/>
          <w:cantSplit/>
        </w:trPr>
        <w:tc>
          <w:tcPr>
            <w:tcW w:w="4992" w:type="pct"/>
            <w:shd w:val="clear" w:color="auto" w:fill="F2F2F2" w:themeFill="background1" w:themeFillShade="F2"/>
          </w:tcPr>
          <w:p w14:paraId="4CA10D6B" w14:textId="701A69A5"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D65DDF">
                  <w:t>2014</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D65DDF">
                  <w:t xml:space="preserve">TLV-TWA: </w:t>
                </w:r>
                <w:r w:rsidR="00F80E90">
                  <w:t>2 ppm (7 mg/m</w:t>
                </w:r>
                <w:r w:rsidR="00F80E90" w:rsidRPr="00F80E90">
                  <w:rPr>
                    <w:vertAlign w:val="superscript"/>
                  </w:rPr>
                  <w:t>3</w:t>
                </w:r>
                <w:r w:rsidR="00F80E90">
                  <w:t>)</w:t>
                </w:r>
              </w:sdtContent>
            </w:sdt>
          </w:p>
        </w:tc>
      </w:tr>
      <w:tr w:rsidR="00C978F0" w:rsidRPr="00DA352E" w14:paraId="3E6F877F" w14:textId="77777777" w:rsidTr="00DE26E8">
        <w:trPr>
          <w:gridAfter w:val="1"/>
          <w:wAfter w:w="8" w:type="pct"/>
          <w:cantSplit/>
        </w:trPr>
        <w:tc>
          <w:tcPr>
            <w:tcW w:w="4992" w:type="pct"/>
          </w:tcPr>
          <w:p w14:paraId="29CC084B" w14:textId="77777777" w:rsidR="00C978F0" w:rsidRDefault="00975EFD" w:rsidP="003365A5">
            <w:pPr>
              <w:pStyle w:val="Tabletextprimarysource"/>
            </w:pPr>
            <w:r>
              <w:t>TLV-TWA recommended to minimise the potential for acute and chronic irritation of the eyes, skin, and mucous membranes.</w:t>
            </w:r>
          </w:p>
          <w:p w14:paraId="1C742DC5" w14:textId="77777777" w:rsidR="00975EFD" w:rsidRDefault="00975EFD" w:rsidP="003365A5">
            <w:pPr>
              <w:pStyle w:val="Tabletextprimarysource"/>
            </w:pPr>
            <w:r>
              <w:t>Summary of data:</w:t>
            </w:r>
          </w:p>
          <w:p w14:paraId="0C3E3820" w14:textId="77777777" w:rsidR="00975EFD" w:rsidRDefault="00975EFD" w:rsidP="003365A5">
            <w:pPr>
              <w:pStyle w:val="Tabletextprimarysource"/>
            </w:pPr>
            <w:r>
              <w:t>Human data:</w:t>
            </w:r>
          </w:p>
          <w:p w14:paraId="280B6CD7" w14:textId="2A437523" w:rsidR="00975EFD" w:rsidRDefault="00975EFD" w:rsidP="00C67E28">
            <w:pPr>
              <w:pStyle w:val="ListBullet"/>
              <w:spacing w:before="60" w:after="60"/>
              <w:ind w:left="714" w:hanging="357"/>
              <w:contextualSpacing w:val="0"/>
            </w:pPr>
            <w:r>
              <w:t>Experimental data indicates</w:t>
            </w:r>
            <w:r w:rsidR="00903FCB">
              <w:t xml:space="preserve"> </w:t>
            </w:r>
            <w:r>
              <w:t>skin sensitis</w:t>
            </w:r>
            <w:r w:rsidR="00CB2419">
              <w:t>ation</w:t>
            </w:r>
            <w:r>
              <w:t xml:space="preserve"> and a moderate irritant</w:t>
            </w:r>
          </w:p>
          <w:p w14:paraId="6554A389" w14:textId="79CD6842" w:rsidR="00CB2419" w:rsidRDefault="00975EFD" w:rsidP="00C67E28">
            <w:pPr>
              <w:pStyle w:val="ListBullet"/>
              <w:spacing w:before="60" w:after="60"/>
              <w:ind w:left="714" w:hanging="357"/>
              <w:contextualSpacing w:val="0"/>
            </w:pPr>
            <w:r>
              <w:t xml:space="preserve">Short-term study in 10 workers </w:t>
            </w:r>
            <w:r w:rsidR="00B63956">
              <w:t>exposed</w:t>
            </w:r>
            <w:r>
              <w:t xml:space="preserve"> at </w:t>
            </w:r>
            <w:r w:rsidR="00B63956">
              <w:t xml:space="preserve">a </w:t>
            </w:r>
            <w:r>
              <w:t>TWA of 2</w:t>
            </w:r>
            <w:r w:rsidR="000A5038">
              <w:t>–</w:t>
            </w:r>
            <w:r>
              <w:t>5 ppm reported eye irritation</w:t>
            </w:r>
            <w:r w:rsidR="00B63956">
              <w:t xml:space="preserve"> in some</w:t>
            </w:r>
            <w:r w:rsidR="000A5038">
              <w:t>:</w:t>
            </w:r>
          </w:p>
          <w:p w14:paraId="54BA3E19" w14:textId="57C22481" w:rsidR="00CB2419" w:rsidRDefault="00B63956" w:rsidP="00C67E28">
            <w:pPr>
              <w:pStyle w:val="ListBullet"/>
              <w:numPr>
                <w:ilvl w:val="0"/>
                <w:numId w:val="3"/>
              </w:numPr>
              <w:spacing w:before="60" w:after="60"/>
              <w:ind w:left="1094" w:hanging="357"/>
              <w:contextualSpacing w:val="0"/>
            </w:pPr>
            <w:r>
              <w:t>irritation</w:t>
            </w:r>
            <w:r w:rsidR="00975EFD">
              <w:t xml:space="preserve"> increased in those with higher exposures</w:t>
            </w:r>
          </w:p>
          <w:p w14:paraId="25DB4C49" w14:textId="2A97B226" w:rsidR="00975EFD" w:rsidRDefault="00975EFD" w:rsidP="00C67E28">
            <w:pPr>
              <w:pStyle w:val="ListBullet"/>
              <w:numPr>
                <w:ilvl w:val="0"/>
                <w:numId w:val="3"/>
              </w:numPr>
              <w:spacing w:before="60" w:after="60"/>
              <w:ind w:left="1094" w:hanging="357"/>
              <w:contextualSpacing w:val="0"/>
            </w:pPr>
            <w:proofErr w:type="gramStart"/>
            <w:r>
              <w:t>increased</w:t>
            </w:r>
            <w:proofErr w:type="gramEnd"/>
            <w:r>
              <w:t xml:space="preserve"> bronchial reactivity in a previously unexposed worker after exposure</w:t>
            </w:r>
            <w:r w:rsidR="008F49F1">
              <w:t>.</w:t>
            </w:r>
          </w:p>
          <w:p w14:paraId="513DF1D4" w14:textId="77777777" w:rsidR="00B63956" w:rsidRDefault="00B63956" w:rsidP="00B63956">
            <w:pPr>
              <w:pStyle w:val="Tabletextprimarysource"/>
            </w:pPr>
            <w:r>
              <w:t>Animal data:</w:t>
            </w:r>
          </w:p>
          <w:p w14:paraId="1963DBCC" w14:textId="68789E3C" w:rsidR="00A76AA5" w:rsidRDefault="00AD4A98" w:rsidP="00C67E28">
            <w:pPr>
              <w:pStyle w:val="ListBullet"/>
              <w:spacing w:before="60" w:after="60"/>
              <w:ind w:left="714" w:hanging="357"/>
              <w:contextualSpacing w:val="0"/>
            </w:pPr>
            <w:r>
              <w:t>2-yr inhalation study in rats</w:t>
            </w:r>
            <w:r w:rsidR="00DC7908">
              <w:t>;</w:t>
            </w:r>
            <w:r w:rsidR="00A76AA5">
              <w:t xml:space="preserve"> 6 h/d, 5 d/</w:t>
            </w:r>
            <w:proofErr w:type="spellStart"/>
            <w:r w:rsidR="00A76AA5">
              <w:t>wk</w:t>
            </w:r>
            <w:proofErr w:type="spellEnd"/>
            <w:r w:rsidR="00A76AA5">
              <w:t>, whole-body inhalation chambers at 0, 15, 45, or 135 ppm</w:t>
            </w:r>
            <w:r w:rsidR="000A5038">
              <w:t>:</w:t>
            </w:r>
            <w:r w:rsidR="00DC7908">
              <w:t xml:space="preserve"> </w:t>
            </w:r>
          </w:p>
          <w:p w14:paraId="40193DCE" w14:textId="43493CFC" w:rsidR="00A76AA5" w:rsidRDefault="00A76AA5" w:rsidP="00C67E28">
            <w:pPr>
              <w:pStyle w:val="ListBullet"/>
              <w:numPr>
                <w:ilvl w:val="0"/>
                <w:numId w:val="4"/>
              </w:numPr>
              <w:spacing w:before="60" w:after="60"/>
              <w:ind w:left="1094" w:hanging="357"/>
              <w:contextualSpacing w:val="0"/>
            </w:pPr>
            <w:r>
              <w:t>NOEL of 15 ppm</w:t>
            </w:r>
            <w:r w:rsidR="001C36CC">
              <w:t xml:space="preserve">; </w:t>
            </w:r>
            <w:r w:rsidR="00FA1CA3">
              <w:t>reversible irritation of the nasal mucosa and cornea</w:t>
            </w:r>
            <w:r w:rsidR="00903FCB">
              <w:t xml:space="preserve"> </w:t>
            </w:r>
            <w:r w:rsidR="001C36CC">
              <w:t xml:space="preserve">at 15 ppm </w:t>
            </w:r>
          </w:p>
          <w:p w14:paraId="7B3C1D73" w14:textId="6B082072" w:rsidR="00A76AA5" w:rsidRDefault="00A76AA5" w:rsidP="00C67E28">
            <w:pPr>
              <w:pStyle w:val="ListBullet"/>
              <w:spacing w:before="60" w:after="60"/>
              <w:ind w:left="714" w:hanging="357"/>
              <w:contextualSpacing w:val="0"/>
            </w:pPr>
            <w:r>
              <w:t xml:space="preserve">Statistically significant increases in benign </w:t>
            </w:r>
            <w:proofErr w:type="spellStart"/>
            <w:r>
              <w:t>hypophyseal</w:t>
            </w:r>
            <w:proofErr w:type="spellEnd"/>
            <w:r>
              <w:t xml:space="preserve"> tumours both sexes; epithelial and leukemic neoplasms found in the male rats; no dose-response relationship identified</w:t>
            </w:r>
            <w:r w:rsidR="00365C05">
              <w:t>. No further information</w:t>
            </w:r>
          </w:p>
          <w:p w14:paraId="64E71E0E" w14:textId="74498DD2" w:rsidR="00DC7908" w:rsidRDefault="00DC7908" w:rsidP="00C67E28">
            <w:pPr>
              <w:pStyle w:val="ListBullet"/>
              <w:spacing w:before="60" w:after="60"/>
              <w:ind w:left="714" w:hanging="357"/>
              <w:contextualSpacing w:val="0"/>
            </w:pPr>
            <w:r>
              <w:t>Dermal LD</w:t>
            </w:r>
            <w:r>
              <w:rPr>
                <w:vertAlign w:val="subscript"/>
              </w:rPr>
              <w:t>50</w:t>
            </w:r>
            <w:r w:rsidR="008F49F1">
              <w:t>:</w:t>
            </w:r>
            <w:r>
              <w:t xml:space="preserve"> 1,243 mg/kg</w:t>
            </w:r>
            <w:r w:rsidR="00B4030F">
              <w:t>,</w:t>
            </w:r>
            <w:r>
              <w:t xml:space="preserve"> rabbits; 1,300 mg/kg</w:t>
            </w:r>
            <w:r w:rsidR="00B4030F">
              <w:t>,</w:t>
            </w:r>
            <w:r>
              <w:t xml:space="preserve"> rats</w:t>
            </w:r>
          </w:p>
          <w:p w14:paraId="07B71533" w14:textId="77777777" w:rsidR="00B4030F" w:rsidRDefault="00B4030F" w:rsidP="00C67E28">
            <w:pPr>
              <w:pStyle w:val="ListBullet"/>
              <w:spacing w:before="60" w:after="60"/>
              <w:ind w:left="714" w:hanging="357"/>
              <w:contextualSpacing w:val="0"/>
            </w:pPr>
            <w:r>
              <w:t>Skin notation warranted based on significant dermal absorption and distribution by treated guinea pigs</w:t>
            </w:r>
          </w:p>
          <w:p w14:paraId="541006CC" w14:textId="77777777" w:rsidR="00B4030F" w:rsidRDefault="00903FCB" w:rsidP="00C67E28">
            <w:pPr>
              <w:pStyle w:val="ListBullet"/>
              <w:spacing w:before="60" w:after="60"/>
              <w:ind w:left="714" w:hanging="357"/>
              <w:contextualSpacing w:val="0"/>
            </w:pPr>
            <w:r>
              <w:t>Skin sensitisation in guinea pigs</w:t>
            </w:r>
          </w:p>
          <w:p w14:paraId="4AF73FAB" w14:textId="77777777" w:rsidR="00CB2419" w:rsidRDefault="00CB2419" w:rsidP="00903FCB">
            <w:pPr>
              <w:pStyle w:val="Tabletextprimarysource"/>
            </w:pPr>
          </w:p>
          <w:p w14:paraId="5A5C635A" w14:textId="77777777" w:rsidR="00903FCB" w:rsidRDefault="00903FCB" w:rsidP="00903FCB">
            <w:pPr>
              <w:pStyle w:val="Tabletextprimarysource"/>
            </w:pPr>
            <w:r>
              <w:t>Insufficient data to recommend a respiratory sensitiser notation or TLV-STEL.</w:t>
            </w:r>
          </w:p>
          <w:p w14:paraId="0404925C" w14:textId="7F2F7304" w:rsidR="00CB2419" w:rsidRPr="00DA352E" w:rsidRDefault="00CB2419" w:rsidP="00903FCB">
            <w:pPr>
              <w:pStyle w:val="Tabletextprimarysource"/>
            </w:pPr>
          </w:p>
        </w:tc>
      </w:tr>
      <w:tr w:rsidR="00C978F0" w:rsidRPr="00DA352E" w14:paraId="47CA9496" w14:textId="77777777" w:rsidTr="00DE26E8">
        <w:trPr>
          <w:gridAfter w:val="1"/>
          <w:wAfter w:w="8" w:type="pct"/>
          <w:cantSplit/>
        </w:trPr>
        <w:tc>
          <w:tcPr>
            <w:tcW w:w="4992" w:type="pct"/>
            <w:shd w:val="clear" w:color="auto" w:fill="F2F2F2" w:themeFill="background1" w:themeFillShade="F2"/>
          </w:tcPr>
          <w:p w14:paraId="57ADF631" w14:textId="3713E415" w:rsidR="00C978F0" w:rsidRPr="00DA352E" w:rsidRDefault="00DA352E" w:rsidP="0051509C">
            <w:pPr>
              <w:pStyle w:val="Tablerowheadingitalic"/>
              <w:tabs>
                <w:tab w:val="clear" w:pos="2268"/>
                <w:tab w:val="clear" w:pos="5670"/>
                <w:tab w:val="left" w:pos="1418"/>
                <w:tab w:val="left" w:pos="2552"/>
              </w:tabs>
            </w:pPr>
            <w:r w:rsidRPr="00DA352E">
              <w:t>DFG</w:t>
            </w:r>
            <w:r w:rsidR="00916EC0" w:rsidRPr="003365A5">
              <w:t xml:space="preserve"> </w:t>
            </w:r>
            <w:r w:rsidR="00916EC0" w:rsidRPr="003365A5">
              <w:tab/>
            </w:r>
            <w:sdt>
              <w:sdtPr>
                <w:id w:val="272751712"/>
                <w:placeholder>
                  <w:docPart w:val="6918C77959FE4E2CB3B6BD78ABC69E19"/>
                </w:placeholder>
                <w:text/>
              </w:sdtPr>
              <w:sdtEndPr/>
              <w:sdtContent>
                <w:r w:rsidR="00F80E90">
                  <w:t>2016</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F80E90">
                  <w:t>MAK: 2 ppm (7.1 mg/m</w:t>
                </w:r>
                <w:r w:rsidR="00F80E90" w:rsidRPr="00F80E90">
                  <w:rPr>
                    <w:vertAlign w:val="superscript"/>
                  </w:rPr>
                  <w:t>3</w:t>
                </w:r>
                <w:r w:rsidR="00F80E90">
                  <w:t>)</w:t>
                </w:r>
              </w:sdtContent>
            </w:sdt>
          </w:p>
        </w:tc>
      </w:tr>
      <w:tr w:rsidR="00C978F0" w:rsidRPr="00DA352E" w14:paraId="0D6EB56D" w14:textId="77777777" w:rsidTr="00DE26E8">
        <w:trPr>
          <w:gridAfter w:val="1"/>
          <w:wAfter w:w="8" w:type="pct"/>
          <w:cantSplit/>
        </w:trPr>
        <w:tc>
          <w:tcPr>
            <w:tcW w:w="4992" w:type="pct"/>
          </w:tcPr>
          <w:p w14:paraId="1303BDE6" w14:textId="79ADCC33" w:rsidR="00C978F0" w:rsidRDefault="003148BF" w:rsidP="003365A5">
            <w:pPr>
              <w:pStyle w:val="Tabletextprimarysource"/>
            </w:pPr>
            <w:r>
              <w:t xml:space="preserve">MAK is recommended to protect against </w:t>
            </w:r>
            <w:r w:rsidR="006D4F8D">
              <w:t xml:space="preserve">effects on the olfactory and respiratory epithelium </w:t>
            </w:r>
            <w:r>
              <w:t>as demonstrated in rats.</w:t>
            </w:r>
          </w:p>
          <w:p w14:paraId="1F2B237C" w14:textId="74195D10" w:rsidR="003148BF" w:rsidRDefault="003148BF" w:rsidP="003365A5">
            <w:pPr>
              <w:pStyle w:val="Tabletextprimarysource"/>
            </w:pPr>
            <w:r>
              <w:t>Summary of addition data:</w:t>
            </w:r>
          </w:p>
          <w:p w14:paraId="0C1427AD" w14:textId="2E1510C5" w:rsidR="003148BF" w:rsidRDefault="003148BF" w:rsidP="00C67E28">
            <w:pPr>
              <w:pStyle w:val="ListBullet"/>
              <w:spacing w:before="60" w:after="60"/>
              <w:ind w:left="714" w:hanging="357"/>
              <w:contextualSpacing w:val="0"/>
            </w:pPr>
            <w:r>
              <w:t>NOAEC of 5 ppm reported in a 2-gen</w:t>
            </w:r>
            <w:r w:rsidR="00861E29">
              <w:t>eration</w:t>
            </w:r>
            <w:r>
              <w:t xml:space="preserve"> </w:t>
            </w:r>
            <w:r w:rsidR="00350214">
              <w:t xml:space="preserve">inhalational </w:t>
            </w:r>
            <w:r>
              <w:t>study; daily exposure in males for 12</w:t>
            </w:r>
            <w:r w:rsidR="000A5038">
              <w:t> </w:t>
            </w:r>
            <w:proofErr w:type="spellStart"/>
            <w:r>
              <w:t>wk</w:t>
            </w:r>
            <w:proofErr w:type="spellEnd"/>
            <w:r>
              <w:t xml:space="preserve">, in females 4.5 </w:t>
            </w:r>
            <w:proofErr w:type="spellStart"/>
            <w:r>
              <w:t>mo</w:t>
            </w:r>
            <w:proofErr w:type="spellEnd"/>
            <w:r>
              <w:t>; reserve cell hyperplasia with the loss of cilia and olfactory cells, degeneration with regeneration of the olfactory epithelium, hyperplasia of the transitional epithelium and hyperplasia and hypertrophy of the goblet cells in the respiratory epithelium of rats</w:t>
            </w:r>
          </w:p>
          <w:p w14:paraId="435229F6" w14:textId="40D48549" w:rsidR="003148BF" w:rsidRDefault="003148BF" w:rsidP="00C67E28">
            <w:pPr>
              <w:pStyle w:val="ListBullet"/>
              <w:spacing w:before="60" w:after="60"/>
              <w:ind w:left="714" w:hanging="357"/>
              <w:contextualSpacing w:val="0"/>
            </w:pPr>
            <w:r>
              <w:t xml:space="preserve">LOAEC of 15 ppm in 2-yr inhalation study in rats; </w:t>
            </w:r>
            <w:r w:rsidR="006D4F8D">
              <w:t>effects on the olfactory and respiratory epithelium; BMDL</w:t>
            </w:r>
            <w:r w:rsidR="006D4F8D">
              <w:rPr>
                <w:vertAlign w:val="subscript"/>
              </w:rPr>
              <w:t>05</w:t>
            </w:r>
            <w:r w:rsidR="006D4F8D">
              <w:t xml:space="preserve"> of 6.8 ppm for males calculated</w:t>
            </w:r>
            <w:r w:rsidR="00861E29">
              <w:t xml:space="preserve"> (same as ACGIH)</w:t>
            </w:r>
          </w:p>
          <w:p w14:paraId="005BBA6B" w14:textId="054F49D4" w:rsidR="003148BF" w:rsidRDefault="006D4F8D" w:rsidP="00C67E28">
            <w:pPr>
              <w:pStyle w:val="ListBullet"/>
              <w:spacing w:before="60" w:after="60"/>
              <w:ind w:left="714" w:hanging="357"/>
              <w:contextualSpacing w:val="0"/>
            </w:pPr>
            <w:r>
              <w:t xml:space="preserve">MAK </w:t>
            </w:r>
            <w:r w:rsidR="00861E29">
              <w:t xml:space="preserve">2 ppm </w:t>
            </w:r>
            <w:r>
              <w:t>derived from BMDL</w:t>
            </w:r>
            <w:r>
              <w:rPr>
                <w:vertAlign w:val="subscript"/>
              </w:rPr>
              <w:t>05</w:t>
            </w:r>
            <w:r>
              <w:t xml:space="preserve"> of 6.8 ppm adjust</w:t>
            </w:r>
            <w:r w:rsidR="00861E29">
              <w:t>ed</w:t>
            </w:r>
            <w:r>
              <w:t xml:space="preserve"> by 1:3 to account </w:t>
            </w:r>
            <w:r w:rsidR="00861E29">
              <w:t xml:space="preserve">for </w:t>
            </w:r>
            <w:r>
              <w:t>rats to hum</w:t>
            </w:r>
            <w:r w:rsidR="00593E18">
              <w:t>an variation</w:t>
            </w:r>
            <w:r w:rsidR="00861E29">
              <w:t>.</w:t>
            </w:r>
          </w:p>
          <w:p w14:paraId="7AFECA91" w14:textId="0271251B" w:rsidR="00593E18" w:rsidRDefault="00E24477" w:rsidP="00C67E28">
            <w:pPr>
              <w:pStyle w:val="ListBullet"/>
              <w:spacing w:before="60" w:after="60"/>
              <w:ind w:left="714" w:hanging="357"/>
              <w:contextualSpacing w:val="0"/>
            </w:pPr>
            <w:r>
              <w:t>Skin notation</w:t>
            </w:r>
            <w:r w:rsidR="00593E18">
              <w:t xml:space="preserve">: </w:t>
            </w:r>
          </w:p>
          <w:p w14:paraId="66796534" w14:textId="3C0F9B44" w:rsidR="00593E18" w:rsidRDefault="00593E18" w:rsidP="00C67E28">
            <w:pPr>
              <w:pStyle w:val="ListBullet"/>
              <w:numPr>
                <w:ilvl w:val="0"/>
                <w:numId w:val="2"/>
              </w:numPr>
              <w:spacing w:before="60" w:after="60"/>
              <w:ind w:left="1094" w:hanging="357"/>
              <w:contextualSpacing w:val="0"/>
            </w:pPr>
            <w:r>
              <w:t>modelled dermal absorption in humans of 1,670 mg assuming 1</w:t>
            </w:r>
            <w:r w:rsidR="00CB2419">
              <w:t xml:space="preserve"> </w:t>
            </w:r>
            <w:r>
              <w:t>h exposure of 2,000</w:t>
            </w:r>
            <w:r w:rsidR="000A5038">
              <w:t> </w:t>
            </w:r>
            <w:r>
              <w:t>cm</w:t>
            </w:r>
            <w:r>
              <w:rPr>
                <w:vertAlign w:val="superscript"/>
              </w:rPr>
              <w:t>2</w:t>
            </w:r>
            <w:r>
              <w:t xml:space="preserve"> skin</w:t>
            </w:r>
          </w:p>
          <w:p w14:paraId="3C90A593" w14:textId="34AB943D" w:rsidR="00593E18" w:rsidRDefault="00593E18" w:rsidP="00C67E28">
            <w:pPr>
              <w:pStyle w:val="ListBullet"/>
              <w:numPr>
                <w:ilvl w:val="0"/>
                <w:numId w:val="2"/>
              </w:numPr>
              <w:spacing w:before="60" w:after="60"/>
              <w:ind w:left="1094" w:hanging="357"/>
              <w:contextualSpacing w:val="0"/>
            </w:pPr>
            <w:r>
              <w:t>reported a systemic NOAEC of 135 ppm from 2</w:t>
            </w:r>
            <w:r w:rsidR="00CB2419">
              <w:t xml:space="preserve"> </w:t>
            </w:r>
            <w:proofErr w:type="spellStart"/>
            <w:r>
              <w:t>yr</w:t>
            </w:r>
            <w:proofErr w:type="spellEnd"/>
            <w:r>
              <w:t xml:space="preserve"> study in rats equates to dose of 1,205 mg </w:t>
            </w:r>
          </w:p>
          <w:p w14:paraId="0B285E2D" w14:textId="77777777" w:rsidR="00593E18" w:rsidRDefault="00593E18" w:rsidP="00C67E28">
            <w:pPr>
              <w:pStyle w:val="ListBullet"/>
              <w:numPr>
                <w:ilvl w:val="0"/>
                <w:numId w:val="2"/>
              </w:numPr>
              <w:spacing w:before="60" w:after="60"/>
              <w:ind w:left="1094" w:hanging="357"/>
              <w:contextualSpacing w:val="0"/>
            </w:pPr>
            <w:proofErr w:type="gramStart"/>
            <w:r>
              <w:t>estimated</w:t>
            </w:r>
            <w:proofErr w:type="gramEnd"/>
            <w:r>
              <w:t xml:space="preserve"> skin absorption </w:t>
            </w:r>
            <w:r w:rsidR="00574FA9">
              <w:t>o</w:t>
            </w:r>
            <w:r>
              <w:t xml:space="preserve">f &gt;25% of systemic tolerable </w:t>
            </w:r>
            <w:r w:rsidR="000E624F">
              <w:t>dose</w:t>
            </w:r>
            <w:r>
              <w:t xml:space="preserve"> justifying skin notation</w:t>
            </w:r>
            <w:r w:rsidR="00E24477">
              <w:t>.</w:t>
            </w:r>
          </w:p>
          <w:p w14:paraId="41B30FB7" w14:textId="3D9EAB8F" w:rsidR="000A5038" w:rsidRPr="00DA352E" w:rsidRDefault="000A5038" w:rsidP="00C67E28">
            <w:pPr>
              <w:pStyle w:val="ListBullet"/>
              <w:numPr>
                <w:ilvl w:val="0"/>
                <w:numId w:val="0"/>
              </w:numPr>
              <w:spacing w:before="60" w:after="60"/>
              <w:ind w:left="360" w:hanging="360"/>
              <w:contextualSpacing w:val="0"/>
            </w:pPr>
          </w:p>
        </w:tc>
      </w:tr>
      <w:tr w:rsidR="00C978F0" w:rsidRPr="00DA352E" w14:paraId="187615F2" w14:textId="77777777" w:rsidTr="00DE26E8">
        <w:trPr>
          <w:gridAfter w:val="1"/>
          <w:wAfter w:w="8" w:type="pct"/>
          <w:cantSplit/>
        </w:trPr>
        <w:tc>
          <w:tcPr>
            <w:tcW w:w="4992" w:type="pct"/>
            <w:shd w:val="clear" w:color="auto" w:fill="F2F2F2" w:themeFill="background1" w:themeFillShade="F2"/>
          </w:tcPr>
          <w:p w14:paraId="6B32D72F" w14:textId="262BA738" w:rsidR="00C978F0" w:rsidRPr="00DA352E" w:rsidRDefault="00DA352E" w:rsidP="0051509C">
            <w:pPr>
              <w:pStyle w:val="Tablerowheadingitalic"/>
              <w:tabs>
                <w:tab w:val="clear" w:pos="2268"/>
                <w:tab w:val="clear" w:pos="5670"/>
                <w:tab w:val="left" w:pos="1418"/>
                <w:tab w:val="left" w:pos="2552"/>
              </w:tabs>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F80E90">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proofErr w:type="spellStart"/>
                <w:r w:rsidR="00F80E90">
                  <w:t>NA</w:t>
                </w:r>
                <w:proofErr w:type="spellEnd"/>
              </w:sdtContent>
            </w:sdt>
          </w:p>
        </w:tc>
      </w:tr>
      <w:tr w:rsidR="00C978F0" w:rsidRPr="00DA352E" w14:paraId="4EE0B953" w14:textId="77777777" w:rsidTr="00DE26E8">
        <w:trPr>
          <w:gridAfter w:val="1"/>
          <w:wAfter w:w="8" w:type="pct"/>
          <w:cantSplit/>
        </w:trPr>
        <w:tc>
          <w:tcPr>
            <w:tcW w:w="4992" w:type="pct"/>
          </w:tcPr>
          <w:p w14:paraId="05349FBD" w14:textId="13D0B27F" w:rsidR="00C978F0" w:rsidRPr="00DA352E" w:rsidRDefault="00F80E90" w:rsidP="003365A5">
            <w:pPr>
              <w:pStyle w:val="Tabletextprimarysource"/>
            </w:pPr>
            <w:r>
              <w:t>No report</w:t>
            </w:r>
            <w:r w:rsidR="00574FA9">
              <w:t>.</w:t>
            </w:r>
          </w:p>
        </w:tc>
      </w:tr>
      <w:tr w:rsidR="00DA352E" w:rsidRPr="00DA352E" w14:paraId="14E5096D" w14:textId="77777777" w:rsidTr="00DE26E8">
        <w:trPr>
          <w:gridAfter w:val="1"/>
          <w:wAfter w:w="8" w:type="pct"/>
          <w:cantSplit/>
        </w:trPr>
        <w:tc>
          <w:tcPr>
            <w:tcW w:w="4992" w:type="pct"/>
            <w:shd w:val="clear" w:color="auto" w:fill="F2F2F2" w:themeFill="background1" w:themeFillShade="F2"/>
          </w:tcPr>
          <w:p w14:paraId="1E3290AD" w14:textId="474EEAD2"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F80E90">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proofErr w:type="spellStart"/>
                <w:r w:rsidR="00F80E90">
                  <w:t>NA</w:t>
                </w:r>
                <w:proofErr w:type="spellEnd"/>
              </w:sdtContent>
            </w:sdt>
          </w:p>
        </w:tc>
      </w:tr>
      <w:tr w:rsidR="00DA352E" w:rsidRPr="00DA352E" w14:paraId="7E141669" w14:textId="77777777" w:rsidTr="00DE26E8">
        <w:trPr>
          <w:gridAfter w:val="1"/>
          <w:wAfter w:w="8" w:type="pct"/>
          <w:cantSplit/>
        </w:trPr>
        <w:tc>
          <w:tcPr>
            <w:tcW w:w="4992" w:type="pct"/>
          </w:tcPr>
          <w:p w14:paraId="31A76680" w14:textId="3866C247" w:rsidR="00DA352E" w:rsidRPr="00DA352E" w:rsidRDefault="00F80E90" w:rsidP="003365A5">
            <w:pPr>
              <w:pStyle w:val="Tabletextprimarysource"/>
            </w:pPr>
            <w:r>
              <w:t>No report</w:t>
            </w:r>
            <w:r w:rsidR="00574FA9">
              <w:t>.</w:t>
            </w:r>
          </w:p>
        </w:tc>
      </w:tr>
      <w:tr w:rsidR="00DA352E" w:rsidRPr="00DA352E" w14:paraId="7447BC25" w14:textId="77777777" w:rsidTr="00DE26E8">
        <w:trPr>
          <w:gridAfter w:val="1"/>
          <w:wAfter w:w="8" w:type="pct"/>
          <w:cantSplit/>
        </w:trPr>
        <w:tc>
          <w:tcPr>
            <w:tcW w:w="4992" w:type="pct"/>
            <w:shd w:val="clear" w:color="auto" w:fill="F2F2F2" w:themeFill="background1" w:themeFillShade="F2"/>
          </w:tcPr>
          <w:p w14:paraId="63ACB925" w14:textId="4B6B9BF4"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F80E90">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proofErr w:type="spellStart"/>
                <w:r w:rsidR="00F80E90">
                  <w:t>NA</w:t>
                </w:r>
                <w:proofErr w:type="spellEnd"/>
              </w:sdtContent>
            </w:sdt>
          </w:p>
        </w:tc>
      </w:tr>
      <w:tr w:rsidR="00DA352E" w:rsidRPr="00DA352E" w14:paraId="36FECE23" w14:textId="77777777" w:rsidTr="00DE26E8">
        <w:trPr>
          <w:gridAfter w:val="1"/>
          <w:wAfter w:w="8" w:type="pct"/>
          <w:cantSplit/>
        </w:trPr>
        <w:tc>
          <w:tcPr>
            <w:tcW w:w="4992" w:type="pct"/>
          </w:tcPr>
          <w:p w14:paraId="7F09D35F" w14:textId="4C4091D3" w:rsidR="00DA352E" w:rsidRPr="00DA352E" w:rsidRDefault="00F80E90" w:rsidP="003365A5">
            <w:pPr>
              <w:pStyle w:val="Tabletextprimarysource"/>
            </w:pPr>
            <w:r>
              <w:t>No report</w:t>
            </w:r>
            <w:r w:rsidR="00574FA9">
              <w:t>.</w:t>
            </w:r>
          </w:p>
        </w:tc>
      </w:tr>
    </w:tbl>
    <w:p w14:paraId="6836DA79"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00" w:firstRow="0" w:lastRow="0" w:firstColumn="0" w:lastColumn="0" w:noHBand="1" w:noVBand="1"/>
        <w:tblCaption w:val="Table"/>
        <w:tblDescription w:val="Listing secondary sources with reports"/>
      </w:tblPr>
      <w:tblGrid>
        <w:gridCol w:w="1490"/>
        <w:gridCol w:w="423"/>
        <w:gridCol w:w="661"/>
        <w:gridCol w:w="6452"/>
      </w:tblGrid>
      <w:tr w:rsidR="004966BF" w:rsidRPr="00263255" w14:paraId="16DD0B8B" w14:textId="77777777" w:rsidTr="00B8619B">
        <w:trPr>
          <w:cantSplit/>
          <w:trHeight w:val="393"/>
          <w:tblHeader/>
        </w:trPr>
        <w:tc>
          <w:tcPr>
            <w:tcW w:w="1490" w:type="dxa"/>
            <w:shd w:val="clear" w:color="auto" w:fill="BFBFBF" w:themeFill="background1" w:themeFillShade="BF"/>
            <w:vAlign w:val="center"/>
          </w:tcPr>
          <w:p w14:paraId="1B6831EB" w14:textId="77777777" w:rsidR="004966BF" w:rsidRPr="00263255" w:rsidRDefault="004966BF" w:rsidP="00263255">
            <w:pPr>
              <w:pStyle w:val="Tableheader"/>
            </w:pPr>
            <w:r w:rsidRPr="00263255">
              <w:t>Source</w:t>
            </w:r>
          </w:p>
        </w:tc>
        <w:tc>
          <w:tcPr>
            <w:tcW w:w="423" w:type="dxa"/>
            <w:shd w:val="clear" w:color="auto" w:fill="BFBFBF" w:themeFill="background1" w:themeFillShade="BF"/>
            <w:vAlign w:val="center"/>
          </w:tcPr>
          <w:p w14:paraId="074FD5AC" w14:textId="77777777" w:rsidR="004966BF" w:rsidRPr="00263255" w:rsidRDefault="004966BF" w:rsidP="00263255">
            <w:pPr>
              <w:pStyle w:val="Tableheader"/>
            </w:pPr>
          </w:p>
        </w:tc>
        <w:tc>
          <w:tcPr>
            <w:tcW w:w="661" w:type="dxa"/>
            <w:shd w:val="clear" w:color="auto" w:fill="BFBFBF" w:themeFill="background1" w:themeFillShade="BF"/>
            <w:vAlign w:val="center"/>
          </w:tcPr>
          <w:p w14:paraId="1CC4DE09" w14:textId="77777777" w:rsidR="004966BF" w:rsidRPr="00263255" w:rsidRDefault="004966BF" w:rsidP="00263255">
            <w:pPr>
              <w:pStyle w:val="Tableheader"/>
            </w:pPr>
            <w:r>
              <w:t>Year</w:t>
            </w:r>
          </w:p>
        </w:tc>
        <w:tc>
          <w:tcPr>
            <w:tcW w:w="6452" w:type="dxa"/>
            <w:shd w:val="clear" w:color="auto" w:fill="BFBFBF" w:themeFill="background1" w:themeFillShade="BF"/>
            <w:vAlign w:val="center"/>
          </w:tcPr>
          <w:p w14:paraId="4786BBBD" w14:textId="77777777" w:rsidR="004966BF" w:rsidRPr="00263255" w:rsidRDefault="004966BF" w:rsidP="00263255">
            <w:pPr>
              <w:pStyle w:val="Tableheader"/>
            </w:pPr>
            <w:r>
              <w:t>Additional information</w:t>
            </w:r>
          </w:p>
        </w:tc>
      </w:tr>
      <w:tr w:rsidR="004966BF" w:rsidRPr="004C23F4" w14:paraId="01746BD3" w14:textId="77777777" w:rsidTr="00B8619B">
        <w:trPr>
          <w:cantSplit/>
        </w:trPr>
        <w:tc>
          <w:tcPr>
            <w:tcW w:w="1490" w:type="dxa"/>
          </w:tcPr>
          <w:p w14:paraId="0490C7E6" w14:textId="77777777" w:rsidR="004966BF" w:rsidRPr="004C23F4" w:rsidRDefault="004966BF" w:rsidP="00224EE2">
            <w:pPr>
              <w:pStyle w:val="Tablefont"/>
            </w:pPr>
            <w:r>
              <w:t>NICNAS</w:t>
            </w:r>
          </w:p>
        </w:tc>
        <w:tc>
          <w:tcPr>
            <w:tcW w:w="423" w:type="dxa"/>
          </w:tcPr>
          <w:p w14:paraId="41516AF1" w14:textId="20B7FB84" w:rsidR="004966BF" w:rsidRPr="00CE617F" w:rsidRDefault="00EF2DA1"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E42FBB">
                  <w:rPr>
                    <w:rStyle w:val="checkbox"/>
                  </w:rPr>
                  <w:t></w:t>
                </w:r>
              </w:sdtContent>
            </w:sdt>
          </w:p>
        </w:tc>
        <w:tc>
          <w:tcPr>
            <w:tcW w:w="661" w:type="dxa"/>
          </w:tcPr>
          <w:p w14:paraId="6B8075B7" w14:textId="30D9FE29" w:rsidR="004966BF" w:rsidRPr="004C23F4" w:rsidRDefault="00E42FBB" w:rsidP="00717D45">
            <w:pPr>
              <w:pStyle w:val="Tablefont"/>
              <w:rPr>
                <w:rStyle w:val="checkbox"/>
                <w:rFonts w:ascii="Arial" w:hAnsi="Arial" w:cs="Arial"/>
              </w:rPr>
            </w:pPr>
            <w:r>
              <w:rPr>
                <w:rStyle w:val="checkbox"/>
                <w:rFonts w:ascii="Arial" w:hAnsi="Arial" w:cs="Arial"/>
              </w:rPr>
              <w:t>2014</w:t>
            </w:r>
          </w:p>
        </w:tc>
        <w:tc>
          <w:tcPr>
            <w:tcW w:w="6452" w:type="dxa"/>
          </w:tcPr>
          <w:p w14:paraId="5A0E1B21" w14:textId="77777777" w:rsidR="004966BF" w:rsidRPr="00227340" w:rsidRDefault="00E42FBB" w:rsidP="00C67E28">
            <w:pPr>
              <w:pStyle w:val="ListBullet"/>
              <w:spacing w:before="60" w:after="60"/>
              <w:ind w:left="714" w:hanging="357"/>
              <w:contextualSpacing w:val="0"/>
              <w:rPr>
                <w:rFonts w:cs="Arial"/>
              </w:rPr>
            </w:pPr>
            <w:r>
              <w:rPr>
                <w:rFonts w:cs="Arial"/>
                <w:color w:val="262626"/>
              </w:rPr>
              <w:t>Positive results for sensitisation in patch tests in humans</w:t>
            </w:r>
          </w:p>
          <w:p w14:paraId="3A30E956" w14:textId="4EBFFF58" w:rsidR="00227340" w:rsidRPr="004C23F4" w:rsidRDefault="00227340" w:rsidP="00C67E28">
            <w:pPr>
              <w:pStyle w:val="ListBullet"/>
              <w:spacing w:before="60" w:after="60"/>
              <w:ind w:left="714" w:hanging="357"/>
              <w:contextualSpacing w:val="0"/>
              <w:rPr>
                <w:rStyle w:val="checkbox"/>
                <w:rFonts w:ascii="Arial" w:hAnsi="Arial" w:cs="Arial"/>
              </w:rPr>
            </w:pPr>
            <w:r>
              <w:rPr>
                <w:rFonts w:cs="Arial"/>
                <w:color w:val="262626"/>
              </w:rPr>
              <w:t>NOEC of 23 ppm for local effects; 12-wk, 6 h/d, 5 d/</w:t>
            </w:r>
            <w:proofErr w:type="spellStart"/>
            <w:r>
              <w:rPr>
                <w:rFonts w:cs="Arial"/>
                <w:color w:val="262626"/>
              </w:rPr>
              <w:t>wk</w:t>
            </w:r>
            <w:proofErr w:type="spellEnd"/>
            <w:r>
              <w:rPr>
                <w:rFonts w:cs="Arial"/>
                <w:color w:val="262626"/>
              </w:rPr>
              <w:t>; irritation of the mucosa and haemorrhagic discharge from the eyes and nose</w:t>
            </w:r>
            <w:r w:rsidR="00CB2419">
              <w:rPr>
                <w:rFonts w:cs="Arial"/>
                <w:color w:val="262626"/>
              </w:rPr>
              <w:t>.</w:t>
            </w:r>
          </w:p>
        </w:tc>
      </w:tr>
    </w:tbl>
    <w:p w14:paraId="0D82E0EC" w14:textId="77777777" w:rsidR="007E2A4B" w:rsidRDefault="007E2A4B"/>
    <w:bookmarkEnd w:id="0"/>
    <w:p w14:paraId="70FB7B19"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0669BC3D" w14:textId="77777777" w:rsidTr="00B8619B">
        <w:trPr>
          <w:trHeight w:val="454"/>
          <w:tblHeader/>
        </w:trPr>
        <w:tc>
          <w:tcPr>
            <w:tcW w:w="6603" w:type="dxa"/>
            <w:vAlign w:val="center"/>
          </w:tcPr>
          <w:p w14:paraId="7AAE6537" w14:textId="77777777"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0F6DE7FE" w14:textId="68FF8F15" w:rsidR="002E0D61" w:rsidRDefault="00B8619B" w:rsidP="00C3091E">
                <w:pPr>
                  <w:pStyle w:val="Tablefont"/>
                  <w:keepNext/>
                  <w:keepLines/>
                  <w:spacing w:before="40" w:after="40"/>
                </w:pPr>
                <w:r>
                  <w:t>No</w:t>
                </w:r>
              </w:p>
            </w:tc>
          </w:sdtContent>
        </w:sdt>
      </w:tr>
      <w:tr w:rsidR="008A36CF" w14:paraId="7E7834CB" w14:textId="77777777" w:rsidTr="00B8619B">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603" w:type="dxa"/>
                <w:vAlign w:val="center"/>
              </w:tcPr>
              <w:p w14:paraId="4302A7DE" w14:textId="790ABD53" w:rsidR="008A36CF" w:rsidRPr="006901A2" w:rsidRDefault="00B8619B" w:rsidP="008A36CF">
                <w:pPr>
                  <w:pStyle w:val="Tablefont"/>
                  <w:keepNext/>
                  <w:keepLines/>
                  <w:spacing w:before="40" w:after="40"/>
                  <w:rPr>
                    <w:b/>
                  </w:rPr>
                </w:pPr>
                <w:r>
                  <w:rPr>
                    <w:b/>
                  </w:rPr>
                  <w:t>The chemical is not a non-threshold based genotoxic carcinogen.</w:t>
                </w:r>
              </w:p>
            </w:tc>
          </w:sdtContent>
        </w:sdt>
        <w:tc>
          <w:tcPr>
            <w:tcW w:w="2423" w:type="dxa"/>
            <w:vAlign w:val="center"/>
          </w:tcPr>
          <w:p w14:paraId="57EEC7EA" w14:textId="77777777" w:rsidR="008A36CF" w:rsidRDefault="008A36CF" w:rsidP="008A36CF">
            <w:pPr>
              <w:pStyle w:val="Tablefont"/>
              <w:keepNext/>
              <w:keepLines/>
              <w:spacing w:before="40" w:after="40"/>
            </w:pPr>
          </w:p>
        </w:tc>
      </w:tr>
    </w:tbl>
    <w:bookmarkEnd w:id="1"/>
    <w:p w14:paraId="4D63CDF5"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4C23F4" w14:paraId="598BACD8" w14:textId="77777777" w:rsidTr="00812887">
        <w:trPr>
          <w:cantSplit/>
          <w:tblHeader/>
        </w:trPr>
        <w:tc>
          <w:tcPr>
            <w:tcW w:w="3227" w:type="dxa"/>
            <w:shd w:val="clear" w:color="auto" w:fill="BFBFBF" w:themeFill="background1" w:themeFillShade="BF"/>
            <w:vAlign w:val="center"/>
          </w:tcPr>
          <w:p w14:paraId="08E10BA5" w14:textId="77777777" w:rsidR="00687890" w:rsidRPr="004C23F4" w:rsidRDefault="00687890" w:rsidP="00263255">
            <w:pPr>
              <w:pStyle w:val="Tableheader"/>
            </w:pPr>
            <w:bookmarkStart w:id="2" w:name="Notations"/>
            <w:r w:rsidRPr="004C23F4">
              <w:t>Source</w:t>
            </w:r>
          </w:p>
        </w:tc>
        <w:tc>
          <w:tcPr>
            <w:tcW w:w="6015" w:type="dxa"/>
            <w:shd w:val="clear" w:color="auto" w:fill="BFBFBF" w:themeFill="background1" w:themeFillShade="BF"/>
            <w:vAlign w:val="center"/>
          </w:tcPr>
          <w:p w14:paraId="3C88720A" w14:textId="77777777" w:rsidR="00687890" w:rsidRPr="004C23F4" w:rsidRDefault="00687890" w:rsidP="00F4402E">
            <w:pPr>
              <w:pStyle w:val="Tableheader"/>
              <w:tabs>
                <w:tab w:val="right" w:pos="5272"/>
              </w:tabs>
            </w:pPr>
            <w:r w:rsidRPr="004C23F4">
              <w:t>Notations</w:t>
            </w:r>
            <w:r w:rsidR="003A2B94">
              <w:tab/>
            </w:r>
          </w:p>
        </w:tc>
      </w:tr>
      <w:tr w:rsidR="00687890" w:rsidRPr="004C23F4" w14:paraId="2B52F7BB" w14:textId="77777777" w:rsidTr="00812887">
        <w:trPr>
          <w:cantSplit/>
        </w:trPr>
        <w:tc>
          <w:tcPr>
            <w:tcW w:w="3227" w:type="dxa"/>
          </w:tcPr>
          <w:p w14:paraId="5E72B1AF" w14:textId="77777777" w:rsidR="004079B4" w:rsidRPr="004C23F4" w:rsidRDefault="00084513" w:rsidP="00F4402E">
            <w:pPr>
              <w:pStyle w:val="Tablefont"/>
            </w:pPr>
            <w:r w:rsidRPr="004C23F4">
              <w:t>SWA</w:t>
            </w:r>
          </w:p>
        </w:tc>
        <w:tc>
          <w:tcPr>
            <w:tcW w:w="6015" w:type="dxa"/>
          </w:tcPr>
          <w:p w14:paraId="711770E5" w14:textId="4087B413" w:rsidR="00687890" w:rsidRPr="00DD2F9B" w:rsidRDefault="00F80E90" w:rsidP="00DD2F9B">
            <w:pPr>
              <w:pStyle w:val="Tablefont"/>
            </w:pPr>
            <w:proofErr w:type="spellStart"/>
            <w:r w:rsidRPr="00F80E90">
              <w:t>Skin</w:t>
            </w:r>
            <w:r>
              <w:t>:</w:t>
            </w:r>
            <w:r w:rsidRPr="00F80E90">
              <w:t>Sen</w:t>
            </w:r>
            <w:proofErr w:type="spellEnd"/>
          </w:p>
        </w:tc>
      </w:tr>
      <w:tr w:rsidR="007925F0" w:rsidRPr="004C23F4" w14:paraId="1D3A9433" w14:textId="77777777" w:rsidTr="00812887">
        <w:trPr>
          <w:cantSplit/>
        </w:trPr>
        <w:tc>
          <w:tcPr>
            <w:tcW w:w="3227" w:type="dxa"/>
          </w:tcPr>
          <w:p w14:paraId="28F68233" w14:textId="77777777" w:rsidR="004079B4" w:rsidRPr="004C23F4" w:rsidRDefault="007925F0" w:rsidP="00F4402E">
            <w:pPr>
              <w:pStyle w:val="Tablefont"/>
            </w:pPr>
            <w:r>
              <w:t>HCIS</w:t>
            </w:r>
          </w:p>
        </w:tc>
        <w:tc>
          <w:tcPr>
            <w:tcW w:w="6015" w:type="dxa"/>
          </w:tcPr>
          <w:p w14:paraId="13ED9A06" w14:textId="0C9C332B" w:rsidR="007925F0" w:rsidRPr="00DD2F9B" w:rsidRDefault="00F80E90" w:rsidP="00DD2F9B">
            <w:pPr>
              <w:pStyle w:val="Tablefont"/>
            </w:pPr>
            <w:r w:rsidRPr="00F80E90">
              <w:t>Skin sensitisation – category 1</w:t>
            </w:r>
          </w:p>
        </w:tc>
      </w:tr>
      <w:tr w:rsidR="00AF483F" w:rsidRPr="004C23F4" w14:paraId="18E0ED13" w14:textId="77777777" w:rsidTr="00812887">
        <w:trPr>
          <w:cantSplit/>
        </w:trPr>
        <w:tc>
          <w:tcPr>
            <w:tcW w:w="3227" w:type="dxa"/>
          </w:tcPr>
          <w:p w14:paraId="6B542EF5" w14:textId="77777777" w:rsidR="00AF483F" w:rsidRPr="004C23F4" w:rsidRDefault="00AF483F" w:rsidP="00F4402E">
            <w:pPr>
              <w:pStyle w:val="Tablefont"/>
            </w:pPr>
            <w:r>
              <w:t>NICNAS</w:t>
            </w:r>
          </w:p>
        </w:tc>
        <w:tc>
          <w:tcPr>
            <w:tcW w:w="6015" w:type="dxa"/>
          </w:tcPr>
          <w:p w14:paraId="179A6352" w14:textId="32361BED" w:rsidR="00AF483F" w:rsidRPr="00DD2F9B" w:rsidRDefault="00F80E90" w:rsidP="00DD2F9B">
            <w:pPr>
              <w:pStyle w:val="Tablefont"/>
            </w:pPr>
            <w:r w:rsidRPr="00F80E90">
              <w:t>Skin sensitisation</w:t>
            </w:r>
          </w:p>
        </w:tc>
      </w:tr>
      <w:tr w:rsidR="00687890" w:rsidRPr="004C23F4" w14:paraId="58D50D76" w14:textId="77777777" w:rsidTr="00812887">
        <w:trPr>
          <w:cantSplit/>
        </w:trPr>
        <w:tc>
          <w:tcPr>
            <w:tcW w:w="3227" w:type="dxa"/>
          </w:tcPr>
          <w:p w14:paraId="07F3B2CB" w14:textId="77777777" w:rsidR="004079B4" w:rsidRPr="004C23F4" w:rsidRDefault="00687890" w:rsidP="00F4402E">
            <w:pPr>
              <w:pStyle w:val="Tablefont"/>
            </w:pPr>
            <w:r w:rsidRPr="004C23F4">
              <w:t>EU Annex</w:t>
            </w:r>
          </w:p>
        </w:tc>
        <w:tc>
          <w:tcPr>
            <w:tcW w:w="6015" w:type="dxa"/>
          </w:tcPr>
          <w:p w14:paraId="2B1ED4C3" w14:textId="24C7F7CA" w:rsidR="00687890" w:rsidRPr="00DD2F9B" w:rsidRDefault="006A7C28" w:rsidP="00DD2F9B">
            <w:pPr>
              <w:pStyle w:val="Tablefont"/>
            </w:pPr>
            <w:r>
              <w:t>NA</w:t>
            </w:r>
          </w:p>
        </w:tc>
      </w:tr>
      <w:tr w:rsidR="00E41A26" w:rsidRPr="004C23F4" w14:paraId="4FCE140F" w14:textId="77777777" w:rsidTr="00812887">
        <w:trPr>
          <w:cantSplit/>
        </w:trPr>
        <w:tc>
          <w:tcPr>
            <w:tcW w:w="3227" w:type="dxa"/>
          </w:tcPr>
          <w:p w14:paraId="007252CB" w14:textId="77777777" w:rsidR="00E41A26" w:rsidRDefault="00E41A26" w:rsidP="00F4402E">
            <w:pPr>
              <w:pStyle w:val="Tablefont"/>
            </w:pPr>
            <w:r>
              <w:t>ECHA</w:t>
            </w:r>
          </w:p>
        </w:tc>
        <w:tc>
          <w:tcPr>
            <w:tcW w:w="6015" w:type="dxa"/>
          </w:tcPr>
          <w:p w14:paraId="3CDEF0F1" w14:textId="220B76B9" w:rsidR="00E41A26" w:rsidRPr="00DD2F9B" w:rsidRDefault="006A7C28" w:rsidP="00DD2F9B">
            <w:pPr>
              <w:pStyle w:val="Tablefont"/>
            </w:pPr>
            <w:r w:rsidRPr="006A7C28">
              <w:t>Skin Sens. 1</w:t>
            </w:r>
          </w:p>
        </w:tc>
      </w:tr>
      <w:tr w:rsidR="002E0D61" w:rsidRPr="004C23F4" w14:paraId="30929583" w14:textId="77777777" w:rsidTr="00812887">
        <w:trPr>
          <w:cantSplit/>
        </w:trPr>
        <w:tc>
          <w:tcPr>
            <w:tcW w:w="3227" w:type="dxa"/>
          </w:tcPr>
          <w:p w14:paraId="2FE465D5" w14:textId="77777777" w:rsidR="004079B4" w:rsidRPr="004C23F4" w:rsidRDefault="002E0D61" w:rsidP="00F4402E">
            <w:pPr>
              <w:pStyle w:val="Tablefont"/>
            </w:pPr>
            <w:r>
              <w:t>ACGIH</w:t>
            </w:r>
          </w:p>
        </w:tc>
        <w:tc>
          <w:tcPr>
            <w:tcW w:w="6015" w:type="dxa"/>
          </w:tcPr>
          <w:p w14:paraId="682362CF" w14:textId="4B4FF81B" w:rsidR="002E0D61" w:rsidRPr="00DD2F9B" w:rsidRDefault="006A7C28" w:rsidP="00DD2F9B">
            <w:pPr>
              <w:pStyle w:val="Tablefont"/>
            </w:pPr>
            <w:r w:rsidRPr="006A7C28">
              <w:t>Carcinogenicity – A4</w:t>
            </w:r>
            <w:r>
              <w:t xml:space="preserve">, </w:t>
            </w:r>
            <w:r w:rsidRPr="006A7C28">
              <w:t>DSEN</w:t>
            </w:r>
            <w:r>
              <w:t xml:space="preserve">, </w:t>
            </w:r>
            <w:r w:rsidRPr="006A7C28">
              <w:t>Skin</w:t>
            </w:r>
          </w:p>
        </w:tc>
      </w:tr>
      <w:tr w:rsidR="002E0D61" w:rsidRPr="004C23F4" w14:paraId="581E75D9" w14:textId="77777777" w:rsidTr="00812887">
        <w:trPr>
          <w:cantSplit/>
        </w:trPr>
        <w:tc>
          <w:tcPr>
            <w:tcW w:w="3227" w:type="dxa"/>
          </w:tcPr>
          <w:p w14:paraId="027E952A" w14:textId="77777777" w:rsidR="004079B4" w:rsidRPr="004C23F4" w:rsidRDefault="002E0D61" w:rsidP="00F4402E">
            <w:pPr>
              <w:pStyle w:val="Tablefont"/>
            </w:pPr>
            <w:r>
              <w:t>DFG</w:t>
            </w:r>
          </w:p>
        </w:tc>
        <w:tc>
          <w:tcPr>
            <w:tcW w:w="6015" w:type="dxa"/>
          </w:tcPr>
          <w:p w14:paraId="4D2D262D" w14:textId="37C6EB6C" w:rsidR="002E0D61" w:rsidRPr="00DD2F9B" w:rsidRDefault="006A7C28" w:rsidP="00DD2F9B">
            <w:pPr>
              <w:pStyle w:val="Tablefont"/>
            </w:pPr>
            <w:proofErr w:type="spellStart"/>
            <w:r w:rsidRPr="006A7C28">
              <w:t>Sh</w:t>
            </w:r>
            <w:proofErr w:type="spellEnd"/>
            <w:r w:rsidRPr="006A7C28">
              <w:t xml:space="preserve"> (dermal sensitiser)</w:t>
            </w:r>
            <w:r>
              <w:t xml:space="preserve">, </w:t>
            </w:r>
            <w:r w:rsidRPr="006A7C28">
              <w:t>H (skin)</w:t>
            </w:r>
          </w:p>
        </w:tc>
      </w:tr>
      <w:tr w:rsidR="002E0D61" w:rsidRPr="004C23F4" w14:paraId="37E9315A" w14:textId="77777777" w:rsidTr="00812887">
        <w:trPr>
          <w:cantSplit/>
        </w:trPr>
        <w:tc>
          <w:tcPr>
            <w:tcW w:w="3227" w:type="dxa"/>
          </w:tcPr>
          <w:p w14:paraId="239BED16" w14:textId="77777777" w:rsidR="004079B4" w:rsidRPr="004C23F4" w:rsidRDefault="002E0D61" w:rsidP="00F4402E">
            <w:pPr>
              <w:pStyle w:val="Tablefont"/>
            </w:pPr>
            <w:r>
              <w:t>SCOEL</w:t>
            </w:r>
          </w:p>
        </w:tc>
        <w:tc>
          <w:tcPr>
            <w:tcW w:w="6015" w:type="dxa"/>
          </w:tcPr>
          <w:p w14:paraId="2FE32402" w14:textId="511FCF0D" w:rsidR="002E0D61" w:rsidRPr="00DD2F9B" w:rsidRDefault="006A7C28" w:rsidP="00DD2F9B">
            <w:pPr>
              <w:pStyle w:val="Tablefont"/>
            </w:pPr>
            <w:r>
              <w:t>NA</w:t>
            </w:r>
          </w:p>
        </w:tc>
      </w:tr>
      <w:tr w:rsidR="002E0D61" w:rsidRPr="004C23F4" w14:paraId="1F551F7F" w14:textId="77777777" w:rsidTr="00812887">
        <w:trPr>
          <w:cantSplit/>
        </w:trPr>
        <w:tc>
          <w:tcPr>
            <w:tcW w:w="3227" w:type="dxa"/>
          </w:tcPr>
          <w:p w14:paraId="08170E42" w14:textId="77777777" w:rsidR="004079B4" w:rsidRDefault="002E0D61" w:rsidP="00F4402E">
            <w:pPr>
              <w:pStyle w:val="Tablefont"/>
            </w:pPr>
            <w:r>
              <w:t>HCOTN</w:t>
            </w:r>
          </w:p>
        </w:tc>
        <w:tc>
          <w:tcPr>
            <w:tcW w:w="6015" w:type="dxa"/>
          </w:tcPr>
          <w:p w14:paraId="778AB52B" w14:textId="44B1A31D" w:rsidR="002E0D61" w:rsidRPr="00DD2F9B" w:rsidRDefault="006A7C28" w:rsidP="00DD2F9B">
            <w:pPr>
              <w:pStyle w:val="Tablefont"/>
            </w:pPr>
            <w:r>
              <w:t>NA</w:t>
            </w:r>
          </w:p>
        </w:tc>
      </w:tr>
      <w:tr w:rsidR="00386093" w:rsidRPr="004C23F4" w14:paraId="65D2A74C" w14:textId="77777777" w:rsidTr="00812887">
        <w:trPr>
          <w:cantSplit/>
        </w:trPr>
        <w:tc>
          <w:tcPr>
            <w:tcW w:w="3227" w:type="dxa"/>
          </w:tcPr>
          <w:p w14:paraId="1FA5FBC4" w14:textId="77777777" w:rsidR="004079B4" w:rsidRDefault="00386093" w:rsidP="00F4402E">
            <w:pPr>
              <w:pStyle w:val="Tablefont"/>
            </w:pPr>
            <w:r>
              <w:t>IARC</w:t>
            </w:r>
          </w:p>
        </w:tc>
        <w:tc>
          <w:tcPr>
            <w:tcW w:w="6015" w:type="dxa"/>
          </w:tcPr>
          <w:p w14:paraId="3DB8639F" w14:textId="1D9908DA" w:rsidR="00386093" w:rsidRPr="00DD2F9B" w:rsidRDefault="006A7C28" w:rsidP="00DD2F9B">
            <w:pPr>
              <w:pStyle w:val="Tablefont"/>
            </w:pPr>
            <w:r w:rsidRPr="006A7C28">
              <w:t>Carcinogenicity – Group 2B</w:t>
            </w:r>
          </w:p>
        </w:tc>
      </w:tr>
      <w:tr w:rsidR="00386093" w:rsidRPr="004C23F4" w14:paraId="3D8C09E8" w14:textId="77777777" w:rsidTr="00812887">
        <w:trPr>
          <w:cantSplit/>
        </w:trPr>
        <w:tc>
          <w:tcPr>
            <w:tcW w:w="3227" w:type="dxa"/>
          </w:tcPr>
          <w:p w14:paraId="5D68F4F6" w14:textId="77777777" w:rsidR="004079B4" w:rsidRDefault="00386093" w:rsidP="00F4402E">
            <w:pPr>
              <w:pStyle w:val="Tablefont"/>
              <w:keepNext/>
            </w:pPr>
            <w:r>
              <w:t>US NIOSH</w:t>
            </w:r>
          </w:p>
        </w:tc>
        <w:tc>
          <w:tcPr>
            <w:tcW w:w="6015" w:type="dxa"/>
          </w:tcPr>
          <w:p w14:paraId="1E8A5FDB" w14:textId="304AE49D" w:rsidR="00386093" w:rsidRPr="00DD2F9B" w:rsidRDefault="006A7C28" w:rsidP="00D87570">
            <w:pPr>
              <w:pStyle w:val="Tablefont"/>
              <w:keepNext/>
            </w:pPr>
            <w:r>
              <w:t>NA</w:t>
            </w:r>
          </w:p>
        </w:tc>
      </w:tr>
    </w:tbl>
    <w:bookmarkEnd w:id="2"/>
    <w:p w14:paraId="4064EFB5"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7B4CD834"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3A378559" w14:textId="77777777" w:rsidTr="00EA6243">
        <w:trPr>
          <w:cantSplit/>
          <w:tblHeader/>
        </w:trPr>
        <w:tc>
          <w:tcPr>
            <w:tcW w:w="5000" w:type="pct"/>
            <w:shd w:val="clear" w:color="auto" w:fill="BFBFBF" w:themeFill="background1" w:themeFillShade="BF"/>
            <w:vAlign w:val="center"/>
          </w:tcPr>
          <w:p w14:paraId="4E0F40D8" w14:textId="77777777" w:rsidR="00932DCE" w:rsidRPr="004C23F4" w:rsidRDefault="00932DCE" w:rsidP="00F4402E">
            <w:pPr>
              <w:pStyle w:val="Tableheader"/>
              <w:keepNext/>
              <w:tabs>
                <w:tab w:val="right" w:pos="8800"/>
              </w:tabs>
            </w:pPr>
            <w:bookmarkStart w:id="3" w:name="SkinNot"/>
            <w:r>
              <w:t>Calculation</w:t>
            </w:r>
            <w:r w:rsidR="00177CA1">
              <w:tab/>
            </w:r>
          </w:p>
        </w:tc>
      </w:tr>
      <w:tr w:rsidR="00932DCE" w:rsidRPr="004C23F4" w14:paraId="41014EE0" w14:textId="77777777" w:rsidTr="00EA6243">
        <w:trPr>
          <w:cantSplit/>
          <w:tblHeader/>
        </w:trPr>
        <w:tc>
          <w:tcPr>
            <w:tcW w:w="5000" w:type="pct"/>
            <w:vAlign w:val="center"/>
          </w:tcPr>
          <w:tbl>
            <w:tblPr>
              <w:tblW w:w="8810" w:type="dxa"/>
              <w:tblLook w:val="04A0" w:firstRow="1" w:lastRow="0" w:firstColumn="1" w:lastColumn="0" w:noHBand="0" w:noVBand="1"/>
            </w:tblPr>
            <w:tblGrid>
              <w:gridCol w:w="1192"/>
              <w:gridCol w:w="820"/>
              <w:gridCol w:w="2752"/>
              <w:gridCol w:w="820"/>
              <w:gridCol w:w="820"/>
              <w:gridCol w:w="1203"/>
              <w:gridCol w:w="1203"/>
            </w:tblGrid>
            <w:tr w:rsidR="00574FA9" w:rsidRPr="00574FA9" w14:paraId="719CC30B" w14:textId="77777777" w:rsidTr="00574FA9">
              <w:trPr>
                <w:trHeight w:val="240"/>
              </w:trPr>
              <w:tc>
                <w:tcPr>
                  <w:tcW w:w="1185" w:type="dxa"/>
                  <w:tcBorders>
                    <w:top w:val="nil"/>
                    <w:left w:val="nil"/>
                    <w:bottom w:val="nil"/>
                    <w:right w:val="nil"/>
                  </w:tcBorders>
                  <w:shd w:val="clear" w:color="000000" w:fill="C5D9F1"/>
                  <w:noWrap/>
                  <w:vAlign w:val="center"/>
                  <w:hideMark/>
                </w:tcPr>
                <w:p w14:paraId="043B3D84" w14:textId="77777777" w:rsidR="00574FA9" w:rsidRPr="00574FA9" w:rsidRDefault="00574FA9" w:rsidP="00574FA9">
                  <w:pPr>
                    <w:spacing w:after="0" w:line="240" w:lineRule="auto"/>
                    <w:rPr>
                      <w:rFonts w:ascii="Segoe UI" w:eastAsia="Times New Roman" w:hAnsi="Segoe UI" w:cs="Segoe UI"/>
                      <w:b/>
                      <w:bCs/>
                      <w:color w:val="000000"/>
                      <w:sz w:val="18"/>
                      <w:szCs w:val="18"/>
                      <w:lang w:eastAsia="en-AU"/>
                    </w:rPr>
                  </w:pPr>
                  <w:r w:rsidRPr="00574FA9">
                    <w:rPr>
                      <w:rFonts w:ascii="Segoe UI" w:eastAsia="Times New Roman" w:hAnsi="Segoe UI" w:cs="Segoe UI"/>
                      <w:b/>
                      <w:bCs/>
                      <w:color w:val="000000"/>
                      <w:sz w:val="18"/>
                      <w:szCs w:val="18"/>
                      <w:lang w:eastAsia="en-AU"/>
                    </w:rPr>
                    <w:t>Conclusion:</w:t>
                  </w:r>
                </w:p>
              </w:tc>
              <w:tc>
                <w:tcPr>
                  <w:tcW w:w="821" w:type="dxa"/>
                  <w:tcBorders>
                    <w:top w:val="nil"/>
                    <w:left w:val="nil"/>
                    <w:bottom w:val="nil"/>
                    <w:right w:val="nil"/>
                  </w:tcBorders>
                  <w:shd w:val="clear" w:color="000000" w:fill="C5D9F1"/>
                  <w:noWrap/>
                  <w:vAlign w:val="center"/>
                  <w:hideMark/>
                </w:tcPr>
                <w:p w14:paraId="6FB3A0AE"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2754" w:type="dxa"/>
                  <w:tcBorders>
                    <w:top w:val="nil"/>
                    <w:left w:val="nil"/>
                    <w:bottom w:val="nil"/>
                    <w:right w:val="nil"/>
                  </w:tcBorders>
                  <w:shd w:val="clear" w:color="000000" w:fill="C5D9F1"/>
                  <w:noWrap/>
                  <w:vAlign w:val="center"/>
                  <w:hideMark/>
                </w:tcPr>
                <w:p w14:paraId="59282819"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74972EB4" w14:textId="77777777" w:rsidR="00574FA9" w:rsidRPr="00574FA9" w:rsidRDefault="00574FA9" w:rsidP="00574FA9">
                  <w:pPr>
                    <w:spacing w:after="0" w:line="240" w:lineRule="auto"/>
                    <w:jc w:val="center"/>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66E7B79C"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1204" w:type="dxa"/>
                  <w:tcBorders>
                    <w:top w:val="nil"/>
                    <w:left w:val="nil"/>
                    <w:bottom w:val="nil"/>
                    <w:right w:val="nil"/>
                  </w:tcBorders>
                  <w:shd w:val="clear" w:color="000000" w:fill="C5D9F1"/>
                  <w:noWrap/>
                  <w:vAlign w:val="center"/>
                  <w:hideMark/>
                </w:tcPr>
                <w:p w14:paraId="627BBE33"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1204" w:type="dxa"/>
                  <w:tcBorders>
                    <w:top w:val="nil"/>
                    <w:left w:val="nil"/>
                    <w:bottom w:val="nil"/>
                    <w:right w:val="nil"/>
                  </w:tcBorders>
                  <w:shd w:val="clear" w:color="000000" w:fill="C5D9F1"/>
                  <w:noWrap/>
                  <w:vAlign w:val="center"/>
                  <w:hideMark/>
                </w:tcPr>
                <w:p w14:paraId="403CA543"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r>
            <w:tr w:rsidR="00574FA9" w:rsidRPr="00574FA9" w14:paraId="5CB86B47" w14:textId="77777777" w:rsidTr="00574FA9">
              <w:trPr>
                <w:trHeight w:val="342"/>
              </w:trPr>
              <w:tc>
                <w:tcPr>
                  <w:tcW w:w="1185" w:type="dxa"/>
                  <w:tcBorders>
                    <w:top w:val="nil"/>
                    <w:left w:val="nil"/>
                    <w:bottom w:val="nil"/>
                    <w:right w:val="nil"/>
                  </w:tcBorders>
                  <w:shd w:val="clear" w:color="000000" w:fill="C5D9F1"/>
                  <w:noWrap/>
                  <w:vAlign w:val="center"/>
                  <w:hideMark/>
                </w:tcPr>
                <w:p w14:paraId="25F376AE" w14:textId="77777777" w:rsidR="00574FA9" w:rsidRPr="00574FA9" w:rsidRDefault="00574FA9" w:rsidP="00574FA9">
                  <w:pPr>
                    <w:spacing w:after="0" w:line="240" w:lineRule="auto"/>
                    <w:rPr>
                      <w:rFonts w:ascii="Segoe UI" w:eastAsia="Times New Roman" w:hAnsi="Segoe UI" w:cs="Segoe UI"/>
                      <w:b/>
                      <w:bCs/>
                      <w:color w:val="000000"/>
                      <w:sz w:val="18"/>
                      <w:szCs w:val="18"/>
                      <w:lang w:eastAsia="en-AU"/>
                    </w:rPr>
                  </w:pPr>
                  <w:r w:rsidRPr="00574FA9">
                    <w:rPr>
                      <w:rFonts w:ascii="Segoe UI" w:eastAsia="Times New Roman" w:hAnsi="Segoe UI" w:cs="Segoe UI"/>
                      <w:b/>
                      <w:bCs/>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081CCA74"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2754" w:type="dxa"/>
                  <w:tcBorders>
                    <w:top w:val="nil"/>
                    <w:left w:val="nil"/>
                    <w:bottom w:val="nil"/>
                    <w:right w:val="nil"/>
                  </w:tcBorders>
                  <w:shd w:val="clear" w:color="000000" w:fill="C5D9F1"/>
                  <w:noWrap/>
                  <w:vAlign w:val="center"/>
                  <w:hideMark/>
                </w:tcPr>
                <w:p w14:paraId="538F846E" w14:textId="77777777" w:rsidR="00574FA9" w:rsidRPr="00574FA9" w:rsidRDefault="00574FA9" w:rsidP="00574FA9">
                  <w:pPr>
                    <w:spacing w:after="0" w:line="240" w:lineRule="auto"/>
                    <w:jc w:val="right"/>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Adverse effects in human case study:</w:t>
                  </w:r>
                </w:p>
              </w:tc>
              <w:tc>
                <w:tcPr>
                  <w:tcW w:w="821" w:type="dxa"/>
                  <w:tcBorders>
                    <w:top w:val="nil"/>
                    <w:left w:val="nil"/>
                    <w:bottom w:val="nil"/>
                    <w:right w:val="nil"/>
                  </w:tcBorders>
                  <w:shd w:val="clear" w:color="000000" w:fill="C5D9F1"/>
                  <w:noWrap/>
                  <w:vAlign w:val="center"/>
                  <w:hideMark/>
                </w:tcPr>
                <w:p w14:paraId="43D843F5" w14:textId="77777777" w:rsidR="00574FA9" w:rsidRPr="00574FA9" w:rsidRDefault="00574FA9" w:rsidP="00574FA9">
                  <w:pPr>
                    <w:spacing w:after="0" w:line="240" w:lineRule="auto"/>
                    <w:jc w:val="center"/>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5AB3D93B" w14:textId="77777777" w:rsidR="00574FA9" w:rsidRPr="00574FA9" w:rsidRDefault="00574FA9" w:rsidP="00574FA9">
                  <w:pPr>
                    <w:spacing w:after="0" w:line="240" w:lineRule="auto"/>
                    <w:rPr>
                      <w:rFonts w:ascii="Segoe UI" w:eastAsia="Times New Roman" w:hAnsi="Segoe UI" w:cs="Segoe UI"/>
                      <w:color w:val="C5D9F1"/>
                      <w:sz w:val="18"/>
                      <w:szCs w:val="18"/>
                      <w:lang w:eastAsia="en-AU"/>
                    </w:rPr>
                  </w:pPr>
                  <w:r w:rsidRPr="00574FA9">
                    <w:rPr>
                      <w:rFonts w:ascii="Segoe UI" w:eastAsia="Times New Roman" w:hAnsi="Segoe UI" w:cs="Segoe UI"/>
                      <w:color w:val="C5D9F1"/>
                      <w:sz w:val="18"/>
                      <w:szCs w:val="18"/>
                      <w:lang w:eastAsia="en-AU"/>
                    </w:rPr>
                    <w:t> </w:t>
                  </w:r>
                </w:p>
              </w:tc>
              <w:tc>
                <w:tcPr>
                  <w:tcW w:w="1204" w:type="dxa"/>
                  <w:tcBorders>
                    <w:top w:val="nil"/>
                    <w:left w:val="nil"/>
                    <w:bottom w:val="nil"/>
                    <w:right w:val="nil"/>
                  </w:tcBorders>
                  <w:shd w:val="clear" w:color="000000" w:fill="C5D9F1"/>
                  <w:noWrap/>
                  <w:vAlign w:val="center"/>
                  <w:hideMark/>
                </w:tcPr>
                <w:p w14:paraId="40A1945C"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1204" w:type="dxa"/>
                  <w:tcBorders>
                    <w:top w:val="nil"/>
                    <w:left w:val="nil"/>
                    <w:bottom w:val="nil"/>
                    <w:right w:val="nil"/>
                  </w:tcBorders>
                  <w:shd w:val="clear" w:color="000000" w:fill="C5D9F1"/>
                  <w:noWrap/>
                  <w:vAlign w:val="center"/>
                  <w:hideMark/>
                </w:tcPr>
                <w:p w14:paraId="11C564CB"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r>
            <w:tr w:rsidR="00574FA9" w:rsidRPr="00574FA9" w14:paraId="3EA00C93" w14:textId="77777777" w:rsidTr="00574FA9">
              <w:trPr>
                <w:trHeight w:val="342"/>
              </w:trPr>
              <w:tc>
                <w:tcPr>
                  <w:tcW w:w="1185" w:type="dxa"/>
                  <w:tcBorders>
                    <w:top w:val="nil"/>
                    <w:left w:val="nil"/>
                    <w:bottom w:val="nil"/>
                    <w:right w:val="nil"/>
                  </w:tcBorders>
                  <w:shd w:val="clear" w:color="000000" w:fill="C5D9F1"/>
                  <w:noWrap/>
                  <w:vAlign w:val="center"/>
                  <w:hideMark/>
                </w:tcPr>
                <w:p w14:paraId="29F87117"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3B174138"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2754" w:type="dxa"/>
                  <w:tcBorders>
                    <w:top w:val="nil"/>
                    <w:left w:val="nil"/>
                    <w:bottom w:val="nil"/>
                    <w:right w:val="nil"/>
                  </w:tcBorders>
                  <w:shd w:val="clear" w:color="000000" w:fill="C5D9F1"/>
                  <w:noWrap/>
                  <w:vAlign w:val="center"/>
                  <w:hideMark/>
                </w:tcPr>
                <w:p w14:paraId="062DCE39" w14:textId="77777777" w:rsidR="00574FA9" w:rsidRPr="00574FA9" w:rsidRDefault="00574FA9" w:rsidP="00574FA9">
                  <w:pPr>
                    <w:spacing w:after="0" w:line="240" w:lineRule="auto"/>
                    <w:jc w:val="right"/>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Dermal LD</w:t>
                  </w:r>
                  <w:r w:rsidRPr="00574FA9">
                    <w:rPr>
                      <w:rFonts w:ascii="Segoe UI" w:eastAsia="Times New Roman" w:hAnsi="Segoe UI" w:cs="Segoe UI"/>
                      <w:color w:val="000000"/>
                      <w:sz w:val="18"/>
                      <w:szCs w:val="18"/>
                      <w:vertAlign w:val="subscript"/>
                      <w:lang w:eastAsia="en-AU"/>
                    </w:rPr>
                    <w:t>50</w:t>
                  </w:r>
                  <w:r w:rsidRPr="00574FA9">
                    <w:rPr>
                      <w:rFonts w:ascii="Segoe UI" w:eastAsia="Times New Roman" w:hAnsi="Segoe UI" w:cs="Segoe UI"/>
                      <w:color w:val="000000"/>
                      <w:sz w:val="18"/>
                      <w:szCs w:val="18"/>
                      <w:lang w:eastAsia="en-AU"/>
                    </w:rPr>
                    <w:t xml:space="preserve"> ≤1000 mg/kg:</w:t>
                  </w:r>
                </w:p>
              </w:tc>
              <w:tc>
                <w:tcPr>
                  <w:tcW w:w="821" w:type="dxa"/>
                  <w:tcBorders>
                    <w:top w:val="nil"/>
                    <w:left w:val="nil"/>
                    <w:bottom w:val="nil"/>
                    <w:right w:val="nil"/>
                  </w:tcBorders>
                  <w:shd w:val="clear" w:color="000000" w:fill="C5D9F1"/>
                  <w:noWrap/>
                  <w:vAlign w:val="center"/>
                  <w:hideMark/>
                </w:tcPr>
                <w:p w14:paraId="264D221F" w14:textId="77777777" w:rsidR="00574FA9" w:rsidRPr="00574FA9" w:rsidRDefault="00574FA9" w:rsidP="00574FA9">
                  <w:pPr>
                    <w:spacing w:after="0" w:line="240" w:lineRule="auto"/>
                    <w:jc w:val="center"/>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7822C8B0" w14:textId="77777777" w:rsidR="00574FA9" w:rsidRPr="00574FA9" w:rsidRDefault="00574FA9" w:rsidP="00574FA9">
                  <w:pPr>
                    <w:spacing w:after="0" w:line="240" w:lineRule="auto"/>
                    <w:rPr>
                      <w:rFonts w:ascii="Segoe UI" w:eastAsia="Times New Roman" w:hAnsi="Segoe UI" w:cs="Segoe UI"/>
                      <w:color w:val="C5D9F1"/>
                      <w:sz w:val="18"/>
                      <w:szCs w:val="18"/>
                      <w:lang w:eastAsia="en-AU"/>
                    </w:rPr>
                  </w:pPr>
                  <w:r w:rsidRPr="00574FA9">
                    <w:rPr>
                      <w:rFonts w:ascii="Segoe UI" w:eastAsia="Times New Roman" w:hAnsi="Segoe UI" w:cs="Segoe UI"/>
                      <w:color w:val="C5D9F1"/>
                      <w:sz w:val="18"/>
                      <w:szCs w:val="18"/>
                      <w:lang w:eastAsia="en-AU"/>
                    </w:rPr>
                    <w:t> </w:t>
                  </w:r>
                </w:p>
              </w:tc>
              <w:tc>
                <w:tcPr>
                  <w:tcW w:w="1204" w:type="dxa"/>
                  <w:tcBorders>
                    <w:top w:val="nil"/>
                    <w:left w:val="nil"/>
                    <w:bottom w:val="nil"/>
                    <w:right w:val="nil"/>
                  </w:tcBorders>
                  <w:shd w:val="clear" w:color="000000" w:fill="C5D9F1"/>
                  <w:noWrap/>
                  <w:vAlign w:val="center"/>
                  <w:hideMark/>
                </w:tcPr>
                <w:p w14:paraId="697A0870"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1204" w:type="dxa"/>
                  <w:tcBorders>
                    <w:top w:val="nil"/>
                    <w:left w:val="nil"/>
                    <w:bottom w:val="nil"/>
                    <w:right w:val="nil"/>
                  </w:tcBorders>
                  <w:shd w:val="clear" w:color="000000" w:fill="C5D9F1"/>
                  <w:noWrap/>
                  <w:vAlign w:val="center"/>
                  <w:hideMark/>
                </w:tcPr>
                <w:p w14:paraId="09A29E50"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r>
            <w:tr w:rsidR="00574FA9" w:rsidRPr="00574FA9" w14:paraId="4E0C9E82" w14:textId="77777777" w:rsidTr="00574FA9">
              <w:trPr>
                <w:trHeight w:val="342"/>
              </w:trPr>
              <w:tc>
                <w:tcPr>
                  <w:tcW w:w="1185" w:type="dxa"/>
                  <w:tcBorders>
                    <w:top w:val="nil"/>
                    <w:left w:val="nil"/>
                    <w:bottom w:val="nil"/>
                    <w:right w:val="nil"/>
                  </w:tcBorders>
                  <w:shd w:val="clear" w:color="000000" w:fill="C5D9F1"/>
                  <w:noWrap/>
                  <w:vAlign w:val="center"/>
                  <w:hideMark/>
                </w:tcPr>
                <w:p w14:paraId="1D0F2F02"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6A8B1DC4"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2754" w:type="dxa"/>
                  <w:tcBorders>
                    <w:top w:val="nil"/>
                    <w:left w:val="nil"/>
                    <w:bottom w:val="nil"/>
                    <w:right w:val="nil"/>
                  </w:tcBorders>
                  <w:shd w:val="clear" w:color="000000" w:fill="C5D9F1"/>
                  <w:noWrap/>
                  <w:vAlign w:val="center"/>
                  <w:hideMark/>
                </w:tcPr>
                <w:p w14:paraId="7601D153" w14:textId="77777777" w:rsidR="00574FA9" w:rsidRPr="00574FA9" w:rsidRDefault="00574FA9" w:rsidP="00574FA9">
                  <w:pPr>
                    <w:spacing w:after="0" w:line="240" w:lineRule="auto"/>
                    <w:jc w:val="right"/>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Dermal repeat-dose NOAEL ≤200 mg/kg:</w:t>
                  </w:r>
                </w:p>
              </w:tc>
              <w:tc>
                <w:tcPr>
                  <w:tcW w:w="821" w:type="dxa"/>
                  <w:tcBorders>
                    <w:top w:val="nil"/>
                    <w:left w:val="nil"/>
                    <w:bottom w:val="nil"/>
                    <w:right w:val="nil"/>
                  </w:tcBorders>
                  <w:shd w:val="clear" w:color="000000" w:fill="C5D9F1"/>
                  <w:noWrap/>
                  <w:vAlign w:val="center"/>
                  <w:hideMark/>
                </w:tcPr>
                <w:p w14:paraId="3EC85749" w14:textId="77777777" w:rsidR="00574FA9" w:rsidRPr="00574FA9" w:rsidRDefault="00574FA9" w:rsidP="00574FA9">
                  <w:pPr>
                    <w:spacing w:after="0" w:line="240" w:lineRule="auto"/>
                    <w:jc w:val="center"/>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26C9685C" w14:textId="77777777" w:rsidR="00574FA9" w:rsidRPr="00574FA9" w:rsidRDefault="00574FA9" w:rsidP="00574FA9">
                  <w:pPr>
                    <w:spacing w:after="0" w:line="240" w:lineRule="auto"/>
                    <w:rPr>
                      <w:rFonts w:ascii="Segoe UI" w:eastAsia="Times New Roman" w:hAnsi="Segoe UI" w:cs="Segoe UI"/>
                      <w:color w:val="C5D9F1"/>
                      <w:sz w:val="18"/>
                      <w:szCs w:val="18"/>
                      <w:lang w:eastAsia="en-AU"/>
                    </w:rPr>
                  </w:pPr>
                  <w:r w:rsidRPr="00574FA9">
                    <w:rPr>
                      <w:rFonts w:ascii="Segoe UI" w:eastAsia="Times New Roman" w:hAnsi="Segoe UI" w:cs="Segoe UI"/>
                      <w:color w:val="C5D9F1"/>
                      <w:sz w:val="18"/>
                      <w:szCs w:val="18"/>
                      <w:lang w:eastAsia="en-AU"/>
                    </w:rPr>
                    <w:t> </w:t>
                  </w:r>
                </w:p>
              </w:tc>
              <w:tc>
                <w:tcPr>
                  <w:tcW w:w="1204" w:type="dxa"/>
                  <w:tcBorders>
                    <w:top w:val="nil"/>
                    <w:left w:val="nil"/>
                    <w:bottom w:val="nil"/>
                    <w:right w:val="nil"/>
                  </w:tcBorders>
                  <w:shd w:val="clear" w:color="000000" w:fill="C5D9F1"/>
                  <w:noWrap/>
                  <w:vAlign w:val="center"/>
                  <w:hideMark/>
                </w:tcPr>
                <w:p w14:paraId="17B546EC"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1204" w:type="dxa"/>
                  <w:tcBorders>
                    <w:top w:val="nil"/>
                    <w:left w:val="nil"/>
                    <w:bottom w:val="nil"/>
                    <w:right w:val="nil"/>
                  </w:tcBorders>
                  <w:shd w:val="clear" w:color="000000" w:fill="C5D9F1"/>
                  <w:noWrap/>
                  <w:vAlign w:val="center"/>
                  <w:hideMark/>
                </w:tcPr>
                <w:p w14:paraId="206E99BD"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r>
            <w:tr w:rsidR="00574FA9" w:rsidRPr="00574FA9" w14:paraId="1B630215" w14:textId="77777777" w:rsidTr="00574FA9">
              <w:trPr>
                <w:trHeight w:val="342"/>
              </w:trPr>
              <w:tc>
                <w:tcPr>
                  <w:tcW w:w="1185" w:type="dxa"/>
                  <w:tcBorders>
                    <w:top w:val="nil"/>
                    <w:left w:val="nil"/>
                    <w:bottom w:val="nil"/>
                    <w:right w:val="nil"/>
                  </w:tcBorders>
                  <w:shd w:val="clear" w:color="000000" w:fill="C5D9F1"/>
                  <w:noWrap/>
                  <w:vAlign w:val="center"/>
                  <w:hideMark/>
                </w:tcPr>
                <w:p w14:paraId="5529B991"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3CC0CF6F"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2754" w:type="dxa"/>
                  <w:tcBorders>
                    <w:top w:val="nil"/>
                    <w:left w:val="nil"/>
                    <w:bottom w:val="nil"/>
                    <w:right w:val="nil"/>
                  </w:tcBorders>
                  <w:shd w:val="clear" w:color="000000" w:fill="C5D9F1"/>
                  <w:noWrap/>
                  <w:vAlign w:val="center"/>
                  <w:hideMark/>
                </w:tcPr>
                <w:p w14:paraId="4BE2B468" w14:textId="77777777" w:rsidR="00574FA9" w:rsidRPr="00574FA9" w:rsidRDefault="00574FA9" w:rsidP="00574FA9">
                  <w:pPr>
                    <w:spacing w:after="0" w:line="240" w:lineRule="auto"/>
                    <w:jc w:val="right"/>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Dermal LD</w:t>
                  </w:r>
                  <w:r w:rsidRPr="00574FA9">
                    <w:rPr>
                      <w:rFonts w:ascii="Segoe UI" w:eastAsia="Times New Roman" w:hAnsi="Segoe UI" w:cs="Segoe UI"/>
                      <w:color w:val="000000"/>
                      <w:sz w:val="18"/>
                      <w:szCs w:val="18"/>
                      <w:vertAlign w:val="subscript"/>
                      <w:lang w:eastAsia="en-AU"/>
                    </w:rPr>
                    <w:t>50</w:t>
                  </w:r>
                  <w:r w:rsidRPr="00574FA9">
                    <w:rPr>
                      <w:rFonts w:ascii="Segoe UI" w:eastAsia="Times New Roman" w:hAnsi="Segoe UI" w:cs="Segoe UI"/>
                      <w:color w:val="000000"/>
                      <w:sz w:val="18"/>
                      <w:szCs w:val="18"/>
                      <w:lang w:eastAsia="en-AU"/>
                    </w:rPr>
                    <w:t>/Inhalation LD</w:t>
                  </w:r>
                  <w:r w:rsidRPr="00574FA9">
                    <w:rPr>
                      <w:rFonts w:ascii="Segoe UI" w:eastAsia="Times New Roman" w:hAnsi="Segoe UI" w:cs="Segoe UI"/>
                      <w:color w:val="000000"/>
                      <w:sz w:val="18"/>
                      <w:szCs w:val="18"/>
                      <w:vertAlign w:val="subscript"/>
                      <w:lang w:eastAsia="en-AU"/>
                    </w:rPr>
                    <w:t>50</w:t>
                  </w:r>
                  <w:r w:rsidRPr="00574FA9">
                    <w:rPr>
                      <w:rFonts w:ascii="Segoe UI" w:eastAsia="Times New Roman" w:hAnsi="Segoe UI" w:cs="Segoe UI"/>
                      <w:color w:val="000000"/>
                      <w:sz w:val="18"/>
                      <w:szCs w:val="18"/>
                      <w:lang w:eastAsia="en-AU"/>
                    </w:rPr>
                    <w:t xml:space="preserve"> &lt;10:</w:t>
                  </w:r>
                </w:p>
              </w:tc>
              <w:tc>
                <w:tcPr>
                  <w:tcW w:w="821" w:type="dxa"/>
                  <w:tcBorders>
                    <w:top w:val="nil"/>
                    <w:left w:val="nil"/>
                    <w:bottom w:val="nil"/>
                    <w:right w:val="nil"/>
                  </w:tcBorders>
                  <w:shd w:val="clear" w:color="000000" w:fill="C5D9F1"/>
                  <w:noWrap/>
                  <w:vAlign w:val="center"/>
                  <w:hideMark/>
                </w:tcPr>
                <w:p w14:paraId="532FE6E0" w14:textId="77777777" w:rsidR="00574FA9" w:rsidRPr="00574FA9" w:rsidRDefault="00574FA9" w:rsidP="00574FA9">
                  <w:pPr>
                    <w:spacing w:after="0" w:line="240" w:lineRule="auto"/>
                    <w:jc w:val="center"/>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6FB90B32" w14:textId="77777777" w:rsidR="00574FA9" w:rsidRPr="00574FA9" w:rsidRDefault="00574FA9" w:rsidP="00574FA9">
                  <w:pPr>
                    <w:spacing w:after="0" w:line="240" w:lineRule="auto"/>
                    <w:rPr>
                      <w:rFonts w:ascii="Segoe UI" w:eastAsia="Times New Roman" w:hAnsi="Segoe UI" w:cs="Segoe UI"/>
                      <w:color w:val="C5D9F1"/>
                      <w:sz w:val="18"/>
                      <w:szCs w:val="18"/>
                      <w:lang w:eastAsia="en-AU"/>
                    </w:rPr>
                  </w:pPr>
                  <w:r w:rsidRPr="00574FA9">
                    <w:rPr>
                      <w:rFonts w:ascii="Segoe UI" w:eastAsia="Times New Roman" w:hAnsi="Segoe UI" w:cs="Segoe UI"/>
                      <w:color w:val="C5D9F1"/>
                      <w:sz w:val="18"/>
                      <w:szCs w:val="18"/>
                      <w:lang w:eastAsia="en-AU"/>
                    </w:rPr>
                    <w:t> </w:t>
                  </w:r>
                </w:p>
              </w:tc>
              <w:tc>
                <w:tcPr>
                  <w:tcW w:w="1204" w:type="dxa"/>
                  <w:tcBorders>
                    <w:top w:val="nil"/>
                    <w:left w:val="nil"/>
                    <w:bottom w:val="nil"/>
                    <w:right w:val="nil"/>
                  </w:tcBorders>
                  <w:shd w:val="clear" w:color="000000" w:fill="C5D9F1"/>
                  <w:noWrap/>
                  <w:vAlign w:val="center"/>
                  <w:hideMark/>
                </w:tcPr>
                <w:p w14:paraId="28EF659E"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1204" w:type="dxa"/>
                  <w:tcBorders>
                    <w:top w:val="nil"/>
                    <w:left w:val="nil"/>
                    <w:bottom w:val="nil"/>
                    <w:right w:val="nil"/>
                  </w:tcBorders>
                  <w:shd w:val="clear" w:color="000000" w:fill="C5D9F1"/>
                  <w:noWrap/>
                  <w:vAlign w:val="center"/>
                  <w:hideMark/>
                </w:tcPr>
                <w:p w14:paraId="031A19F8"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r>
            <w:tr w:rsidR="00574FA9" w:rsidRPr="00574FA9" w14:paraId="73B2C1D0" w14:textId="77777777" w:rsidTr="00574FA9">
              <w:trPr>
                <w:trHeight w:val="342"/>
              </w:trPr>
              <w:tc>
                <w:tcPr>
                  <w:tcW w:w="1185" w:type="dxa"/>
                  <w:tcBorders>
                    <w:top w:val="nil"/>
                    <w:left w:val="nil"/>
                    <w:bottom w:val="nil"/>
                    <w:right w:val="nil"/>
                  </w:tcBorders>
                  <w:shd w:val="clear" w:color="000000" w:fill="C5D9F1"/>
                  <w:noWrap/>
                  <w:vAlign w:val="center"/>
                  <w:hideMark/>
                </w:tcPr>
                <w:p w14:paraId="4053A1F1"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637881E0"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2754" w:type="dxa"/>
                  <w:tcBorders>
                    <w:top w:val="nil"/>
                    <w:left w:val="nil"/>
                    <w:bottom w:val="nil"/>
                    <w:right w:val="nil"/>
                  </w:tcBorders>
                  <w:shd w:val="clear" w:color="000000" w:fill="C5D9F1"/>
                  <w:noWrap/>
                  <w:vAlign w:val="center"/>
                  <w:hideMark/>
                </w:tcPr>
                <w:p w14:paraId="211B5AB9" w14:textId="77777777" w:rsidR="00574FA9" w:rsidRPr="00574FA9" w:rsidRDefault="00574FA9" w:rsidP="00574FA9">
                  <w:pPr>
                    <w:spacing w:after="0" w:line="240" w:lineRule="auto"/>
                    <w:jc w:val="right"/>
                    <w:rPr>
                      <w:rFonts w:ascii="Segoe UI" w:eastAsia="Times New Roman" w:hAnsi="Segoe UI" w:cs="Segoe UI"/>
                      <w:i/>
                      <w:iCs/>
                      <w:color w:val="000000"/>
                      <w:sz w:val="18"/>
                      <w:szCs w:val="18"/>
                      <w:lang w:eastAsia="en-AU"/>
                    </w:rPr>
                  </w:pPr>
                  <w:r w:rsidRPr="00574FA9">
                    <w:rPr>
                      <w:rFonts w:ascii="Segoe UI" w:eastAsia="Times New Roman" w:hAnsi="Segoe UI" w:cs="Segoe UI"/>
                      <w:i/>
                      <w:iCs/>
                      <w:color w:val="000000"/>
                      <w:sz w:val="18"/>
                      <w:szCs w:val="18"/>
                      <w:lang w:eastAsia="en-AU"/>
                    </w:rPr>
                    <w:t>In vivo</w:t>
                  </w:r>
                  <w:r w:rsidRPr="00574FA9">
                    <w:rPr>
                      <w:rFonts w:ascii="Segoe UI" w:eastAsia="Times New Roman" w:hAnsi="Segoe UI" w:cs="Segoe UI"/>
                      <w:color w:val="000000"/>
                      <w:sz w:val="18"/>
                      <w:szCs w:val="18"/>
                      <w:lang w:eastAsia="en-AU"/>
                    </w:rPr>
                    <w:t xml:space="preserve"> dermal absorption rate &gt;10%:</w:t>
                  </w:r>
                </w:p>
              </w:tc>
              <w:tc>
                <w:tcPr>
                  <w:tcW w:w="821" w:type="dxa"/>
                  <w:tcBorders>
                    <w:top w:val="nil"/>
                    <w:left w:val="nil"/>
                    <w:bottom w:val="nil"/>
                    <w:right w:val="nil"/>
                  </w:tcBorders>
                  <w:shd w:val="clear" w:color="000000" w:fill="FFEB9C"/>
                  <w:noWrap/>
                  <w:vAlign w:val="center"/>
                  <w:hideMark/>
                </w:tcPr>
                <w:p w14:paraId="317437B6" w14:textId="77777777" w:rsidR="00574FA9" w:rsidRPr="00574FA9" w:rsidRDefault="00574FA9" w:rsidP="00574FA9">
                  <w:pPr>
                    <w:spacing w:after="0" w:line="240" w:lineRule="auto"/>
                    <w:jc w:val="center"/>
                    <w:rPr>
                      <w:rFonts w:ascii="Segoe UI" w:eastAsia="Times New Roman" w:hAnsi="Segoe UI" w:cs="Segoe UI"/>
                      <w:color w:val="9C6500"/>
                      <w:sz w:val="18"/>
                      <w:szCs w:val="18"/>
                      <w:lang w:eastAsia="en-AU"/>
                    </w:rPr>
                  </w:pPr>
                  <w:r w:rsidRPr="00574FA9">
                    <w:rPr>
                      <w:rFonts w:ascii="Segoe UI" w:eastAsia="Times New Roman" w:hAnsi="Segoe UI" w:cs="Segoe UI"/>
                      <w:color w:val="9C6500"/>
                      <w:sz w:val="18"/>
                      <w:szCs w:val="18"/>
                      <w:lang w:eastAsia="en-AU"/>
                    </w:rPr>
                    <w:t>yes</w:t>
                  </w:r>
                </w:p>
              </w:tc>
              <w:tc>
                <w:tcPr>
                  <w:tcW w:w="821" w:type="dxa"/>
                  <w:tcBorders>
                    <w:top w:val="nil"/>
                    <w:left w:val="nil"/>
                    <w:bottom w:val="nil"/>
                    <w:right w:val="nil"/>
                  </w:tcBorders>
                  <w:shd w:val="clear" w:color="000000" w:fill="C5D9F1"/>
                  <w:noWrap/>
                  <w:vAlign w:val="center"/>
                  <w:hideMark/>
                </w:tcPr>
                <w:p w14:paraId="528A060D" w14:textId="77777777" w:rsidR="00574FA9" w:rsidRPr="00574FA9" w:rsidRDefault="00574FA9" w:rsidP="00574FA9">
                  <w:pPr>
                    <w:spacing w:after="0" w:line="240" w:lineRule="auto"/>
                    <w:jc w:val="right"/>
                    <w:rPr>
                      <w:rFonts w:ascii="Segoe UI" w:eastAsia="Times New Roman" w:hAnsi="Segoe UI" w:cs="Segoe UI"/>
                      <w:color w:val="C5D9F1"/>
                      <w:sz w:val="18"/>
                      <w:szCs w:val="18"/>
                      <w:lang w:eastAsia="en-AU"/>
                    </w:rPr>
                  </w:pPr>
                  <w:r w:rsidRPr="00574FA9">
                    <w:rPr>
                      <w:rFonts w:ascii="Segoe UI" w:eastAsia="Times New Roman" w:hAnsi="Segoe UI" w:cs="Segoe UI"/>
                      <w:color w:val="C5D9F1"/>
                      <w:sz w:val="18"/>
                      <w:szCs w:val="18"/>
                      <w:lang w:eastAsia="en-AU"/>
                    </w:rPr>
                    <w:t>3.00</w:t>
                  </w:r>
                </w:p>
              </w:tc>
              <w:tc>
                <w:tcPr>
                  <w:tcW w:w="1204" w:type="dxa"/>
                  <w:tcBorders>
                    <w:top w:val="nil"/>
                    <w:left w:val="nil"/>
                    <w:bottom w:val="nil"/>
                    <w:right w:val="nil"/>
                  </w:tcBorders>
                  <w:shd w:val="clear" w:color="000000" w:fill="C5D9F1"/>
                  <w:noWrap/>
                  <w:vAlign w:val="center"/>
                  <w:hideMark/>
                </w:tcPr>
                <w:p w14:paraId="1416FEC3"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1204" w:type="dxa"/>
                  <w:tcBorders>
                    <w:top w:val="nil"/>
                    <w:left w:val="nil"/>
                    <w:bottom w:val="nil"/>
                    <w:right w:val="nil"/>
                  </w:tcBorders>
                  <w:shd w:val="clear" w:color="000000" w:fill="C5D9F1"/>
                  <w:noWrap/>
                  <w:vAlign w:val="center"/>
                  <w:hideMark/>
                </w:tcPr>
                <w:p w14:paraId="513830BE"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r>
            <w:tr w:rsidR="00574FA9" w:rsidRPr="00574FA9" w14:paraId="32A2383E" w14:textId="77777777" w:rsidTr="00574FA9">
              <w:trPr>
                <w:trHeight w:val="342"/>
              </w:trPr>
              <w:tc>
                <w:tcPr>
                  <w:tcW w:w="1185" w:type="dxa"/>
                  <w:tcBorders>
                    <w:top w:val="nil"/>
                    <w:left w:val="nil"/>
                    <w:bottom w:val="nil"/>
                    <w:right w:val="nil"/>
                  </w:tcBorders>
                  <w:shd w:val="clear" w:color="000000" w:fill="C5D9F1"/>
                  <w:noWrap/>
                  <w:vAlign w:val="center"/>
                  <w:hideMark/>
                </w:tcPr>
                <w:p w14:paraId="2BC22BC5"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5315EAEC"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2754" w:type="dxa"/>
                  <w:tcBorders>
                    <w:top w:val="nil"/>
                    <w:left w:val="nil"/>
                    <w:bottom w:val="nil"/>
                    <w:right w:val="nil"/>
                  </w:tcBorders>
                  <w:shd w:val="clear" w:color="000000" w:fill="C5D9F1"/>
                  <w:noWrap/>
                  <w:vAlign w:val="center"/>
                  <w:hideMark/>
                </w:tcPr>
                <w:p w14:paraId="0AE24F15" w14:textId="77777777" w:rsidR="00574FA9" w:rsidRPr="00574FA9" w:rsidRDefault="00574FA9" w:rsidP="00574FA9">
                  <w:pPr>
                    <w:spacing w:after="0" w:line="240" w:lineRule="auto"/>
                    <w:jc w:val="right"/>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Estimated dermal exposure at WES &gt;10%:</w:t>
                  </w:r>
                </w:p>
              </w:tc>
              <w:tc>
                <w:tcPr>
                  <w:tcW w:w="821" w:type="dxa"/>
                  <w:tcBorders>
                    <w:top w:val="nil"/>
                    <w:left w:val="nil"/>
                    <w:bottom w:val="nil"/>
                    <w:right w:val="nil"/>
                  </w:tcBorders>
                  <w:shd w:val="clear" w:color="000000" w:fill="C5D9F1"/>
                  <w:noWrap/>
                  <w:vAlign w:val="center"/>
                  <w:hideMark/>
                </w:tcPr>
                <w:p w14:paraId="270088F6" w14:textId="77777777" w:rsidR="00574FA9" w:rsidRPr="00574FA9" w:rsidRDefault="00574FA9" w:rsidP="00574FA9">
                  <w:pPr>
                    <w:spacing w:after="0" w:line="240" w:lineRule="auto"/>
                    <w:jc w:val="center"/>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5A92FEE9" w14:textId="77777777" w:rsidR="00574FA9" w:rsidRPr="00574FA9" w:rsidRDefault="00574FA9" w:rsidP="00574FA9">
                  <w:pPr>
                    <w:spacing w:after="0" w:line="240" w:lineRule="auto"/>
                    <w:rPr>
                      <w:rFonts w:ascii="Segoe UI" w:eastAsia="Times New Roman" w:hAnsi="Segoe UI" w:cs="Segoe UI"/>
                      <w:color w:val="C5D9F1"/>
                      <w:sz w:val="18"/>
                      <w:szCs w:val="18"/>
                      <w:lang w:eastAsia="en-AU"/>
                    </w:rPr>
                  </w:pPr>
                  <w:r w:rsidRPr="00574FA9">
                    <w:rPr>
                      <w:rFonts w:ascii="Segoe UI" w:eastAsia="Times New Roman" w:hAnsi="Segoe UI" w:cs="Segoe UI"/>
                      <w:color w:val="C5D9F1"/>
                      <w:sz w:val="18"/>
                      <w:szCs w:val="18"/>
                      <w:lang w:eastAsia="en-AU"/>
                    </w:rPr>
                    <w:t> </w:t>
                  </w:r>
                </w:p>
              </w:tc>
              <w:tc>
                <w:tcPr>
                  <w:tcW w:w="1204" w:type="dxa"/>
                  <w:tcBorders>
                    <w:top w:val="nil"/>
                    <w:left w:val="nil"/>
                    <w:bottom w:val="nil"/>
                    <w:right w:val="nil"/>
                  </w:tcBorders>
                  <w:shd w:val="clear" w:color="000000" w:fill="C5D9F1"/>
                  <w:noWrap/>
                  <w:vAlign w:val="center"/>
                  <w:hideMark/>
                </w:tcPr>
                <w:p w14:paraId="544A1DAA"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1204" w:type="dxa"/>
                  <w:tcBorders>
                    <w:top w:val="nil"/>
                    <w:left w:val="nil"/>
                    <w:bottom w:val="nil"/>
                    <w:right w:val="nil"/>
                  </w:tcBorders>
                  <w:shd w:val="clear" w:color="000000" w:fill="C5D9F1"/>
                  <w:noWrap/>
                  <w:vAlign w:val="center"/>
                  <w:hideMark/>
                </w:tcPr>
                <w:p w14:paraId="3A60E79D"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r>
            <w:tr w:rsidR="00574FA9" w:rsidRPr="00574FA9" w14:paraId="149F8CEE" w14:textId="77777777" w:rsidTr="00574FA9">
              <w:trPr>
                <w:trHeight w:val="342"/>
              </w:trPr>
              <w:tc>
                <w:tcPr>
                  <w:tcW w:w="1185" w:type="dxa"/>
                  <w:tcBorders>
                    <w:top w:val="nil"/>
                    <w:left w:val="nil"/>
                    <w:bottom w:val="nil"/>
                    <w:right w:val="nil"/>
                  </w:tcBorders>
                  <w:shd w:val="clear" w:color="000000" w:fill="C5D9F1"/>
                  <w:noWrap/>
                  <w:vAlign w:val="center"/>
                  <w:hideMark/>
                </w:tcPr>
                <w:p w14:paraId="145483EF"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09562066"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2754" w:type="dxa"/>
                  <w:tcBorders>
                    <w:top w:val="nil"/>
                    <w:left w:val="nil"/>
                    <w:bottom w:val="nil"/>
                    <w:right w:val="nil"/>
                  </w:tcBorders>
                  <w:shd w:val="clear" w:color="000000" w:fill="C5D9F1"/>
                  <w:noWrap/>
                  <w:vAlign w:val="center"/>
                  <w:hideMark/>
                </w:tcPr>
                <w:p w14:paraId="4825A1DA" w14:textId="77777777" w:rsidR="00574FA9" w:rsidRPr="00574FA9" w:rsidRDefault="00574FA9" w:rsidP="00574FA9">
                  <w:pPr>
                    <w:spacing w:after="0" w:line="240" w:lineRule="auto"/>
                    <w:jc w:val="right"/>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66BEF5E5" w14:textId="77777777" w:rsidR="00574FA9" w:rsidRPr="00574FA9" w:rsidRDefault="00574FA9" w:rsidP="00574FA9">
                  <w:pPr>
                    <w:spacing w:after="0" w:line="240" w:lineRule="auto"/>
                    <w:jc w:val="center"/>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3229" w:type="dxa"/>
                  <w:gridSpan w:val="3"/>
                  <w:tcBorders>
                    <w:top w:val="nil"/>
                    <w:left w:val="nil"/>
                    <w:bottom w:val="nil"/>
                    <w:right w:val="nil"/>
                  </w:tcBorders>
                  <w:shd w:val="clear" w:color="000000" w:fill="C5D9F1"/>
                  <w:noWrap/>
                  <w:vAlign w:val="center"/>
                  <w:hideMark/>
                </w:tcPr>
                <w:p w14:paraId="734B0E76" w14:textId="77777777" w:rsidR="00574FA9" w:rsidRPr="00574FA9" w:rsidRDefault="00574FA9" w:rsidP="00574FA9">
                  <w:pPr>
                    <w:spacing w:after="0" w:line="240" w:lineRule="auto"/>
                    <w:jc w:val="right"/>
                    <w:rPr>
                      <w:rFonts w:ascii="Segoe UI" w:eastAsia="Times New Roman" w:hAnsi="Segoe UI" w:cs="Segoe UI"/>
                      <w:color w:val="C5D9F1"/>
                      <w:sz w:val="18"/>
                      <w:szCs w:val="18"/>
                      <w:lang w:eastAsia="en-AU"/>
                    </w:rPr>
                  </w:pPr>
                  <w:r w:rsidRPr="00574FA9">
                    <w:rPr>
                      <w:rFonts w:ascii="Segoe UI" w:eastAsia="Times New Roman" w:hAnsi="Segoe UI" w:cs="Segoe UI"/>
                      <w:color w:val="C5D9F1"/>
                      <w:sz w:val="18"/>
                      <w:szCs w:val="18"/>
                      <w:lang w:eastAsia="en-AU"/>
                    </w:rPr>
                    <w:t>3</w:t>
                  </w:r>
                </w:p>
                <w:p w14:paraId="6F75C8A6" w14:textId="59D8F565" w:rsidR="00574FA9" w:rsidRPr="00574FA9" w:rsidRDefault="00574FA9" w:rsidP="00574FA9">
                  <w:pPr>
                    <w:spacing w:after="0" w:line="240" w:lineRule="auto"/>
                    <w:rPr>
                      <w:rFonts w:ascii="Segoe UI" w:eastAsia="Times New Roman" w:hAnsi="Segoe UI" w:cs="Segoe UI"/>
                      <w:b/>
                      <w:bCs/>
                      <w:color w:val="000000"/>
                      <w:sz w:val="18"/>
                      <w:szCs w:val="18"/>
                      <w:lang w:eastAsia="en-AU"/>
                    </w:rPr>
                  </w:pPr>
                  <w:r w:rsidRPr="00574FA9">
                    <w:rPr>
                      <w:rFonts w:ascii="Segoe UI" w:eastAsia="Times New Roman" w:hAnsi="Segoe UI" w:cs="Segoe UI"/>
                      <w:b/>
                      <w:bCs/>
                      <w:color w:val="000000"/>
                      <w:sz w:val="18"/>
                      <w:szCs w:val="18"/>
                      <w:lang w:eastAsia="en-AU"/>
                    </w:rPr>
                    <w:t>consider assigning a skin notation</w:t>
                  </w:r>
                </w:p>
              </w:tc>
            </w:tr>
            <w:tr w:rsidR="00574FA9" w:rsidRPr="00574FA9" w14:paraId="68479E19" w14:textId="77777777" w:rsidTr="00574FA9">
              <w:trPr>
                <w:trHeight w:val="240"/>
              </w:trPr>
              <w:tc>
                <w:tcPr>
                  <w:tcW w:w="1185" w:type="dxa"/>
                  <w:tcBorders>
                    <w:top w:val="nil"/>
                    <w:left w:val="nil"/>
                    <w:bottom w:val="nil"/>
                    <w:right w:val="nil"/>
                  </w:tcBorders>
                  <w:shd w:val="clear" w:color="000000" w:fill="C5D9F1"/>
                  <w:noWrap/>
                  <w:vAlign w:val="center"/>
                  <w:hideMark/>
                </w:tcPr>
                <w:p w14:paraId="47EE4D6B"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1C1CDC3D"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2754" w:type="dxa"/>
                  <w:tcBorders>
                    <w:top w:val="nil"/>
                    <w:left w:val="nil"/>
                    <w:bottom w:val="nil"/>
                    <w:right w:val="nil"/>
                  </w:tcBorders>
                  <w:shd w:val="clear" w:color="000000" w:fill="C5D9F1"/>
                  <w:noWrap/>
                  <w:vAlign w:val="center"/>
                  <w:hideMark/>
                </w:tcPr>
                <w:p w14:paraId="1A39C5E3" w14:textId="77777777" w:rsidR="00574FA9" w:rsidRPr="00574FA9" w:rsidRDefault="00574FA9" w:rsidP="00574FA9">
                  <w:pPr>
                    <w:spacing w:after="0" w:line="240" w:lineRule="auto"/>
                    <w:jc w:val="right"/>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35695202" w14:textId="77777777" w:rsidR="00574FA9" w:rsidRPr="00574FA9" w:rsidRDefault="00574FA9" w:rsidP="00574FA9">
                  <w:pPr>
                    <w:spacing w:after="0" w:line="240" w:lineRule="auto"/>
                    <w:jc w:val="center"/>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821" w:type="dxa"/>
                  <w:tcBorders>
                    <w:top w:val="nil"/>
                    <w:left w:val="nil"/>
                    <w:bottom w:val="nil"/>
                    <w:right w:val="nil"/>
                  </w:tcBorders>
                  <w:shd w:val="clear" w:color="000000" w:fill="C5D9F1"/>
                  <w:noWrap/>
                  <w:vAlign w:val="center"/>
                  <w:hideMark/>
                </w:tcPr>
                <w:p w14:paraId="247BE794"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1204" w:type="dxa"/>
                  <w:tcBorders>
                    <w:top w:val="nil"/>
                    <w:left w:val="nil"/>
                    <w:bottom w:val="nil"/>
                    <w:right w:val="nil"/>
                  </w:tcBorders>
                  <w:shd w:val="clear" w:color="000000" w:fill="C5D9F1"/>
                  <w:noWrap/>
                  <w:vAlign w:val="center"/>
                  <w:hideMark/>
                </w:tcPr>
                <w:p w14:paraId="406FCBDE"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c>
                <w:tcPr>
                  <w:tcW w:w="1204" w:type="dxa"/>
                  <w:tcBorders>
                    <w:top w:val="nil"/>
                    <w:left w:val="nil"/>
                    <w:bottom w:val="nil"/>
                    <w:right w:val="nil"/>
                  </w:tcBorders>
                  <w:shd w:val="clear" w:color="000000" w:fill="C5D9F1"/>
                  <w:noWrap/>
                  <w:vAlign w:val="center"/>
                  <w:hideMark/>
                </w:tcPr>
                <w:p w14:paraId="1BECD8D8" w14:textId="77777777" w:rsidR="00574FA9" w:rsidRPr="00574FA9" w:rsidRDefault="00574FA9" w:rsidP="00574FA9">
                  <w:pPr>
                    <w:spacing w:after="0" w:line="240" w:lineRule="auto"/>
                    <w:rPr>
                      <w:rFonts w:ascii="Segoe UI" w:eastAsia="Times New Roman" w:hAnsi="Segoe UI" w:cs="Segoe UI"/>
                      <w:color w:val="000000"/>
                      <w:sz w:val="18"/>
                      <w:szCs w:val="18"/>
                      <w:lang w:eastAsia="en-AU"/>
                    </w:rPr>
                  </w:pPr>
                  <w:r w:rsidRPr="00574FA9">
                    <w:rPr>
                      <w:rFonts w:ascii="Segoe UI" w:eastAsia="Times New Roman" w:hAnsi="Segoe UI" w:cs="Segoe UI"/>
                      <w:color w:val="000000"/>
                      <w:sz w:val="18"/>
                      <w:szCs w:val="18"/>
                      <w:lang w:eastAsia="en-AU"/>
                    </w:rPr>
                    <w:t> </w:t>
                  </w:r>
                </w:p>
              </w:tc>
            </w:tr>
          </w:tbl>
          <w:p w14:paraId="7F0369DD" w14:textId="77777777" w:rsidR="00932DCE" w:rsidRPr="004C23F4" w:rsidRDefault="00932DCE" w:rsidP="00F9496B">
            <w:pPr>
              <w:pStyle w:val="Tablefont"/>
            </w:pPr>
          </w:p>
        </w:tc>
      </w:tr>
    </w:tbl>
    <w:bookmarkEnd w:id="3"/>
    <w:p w14:paraId="6A3BD07F"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0D6FE30B" w14:textId="77777777" w:rsidTr="00610F2E">
        <w:trPr>
          <w:trHeight w:val="454"/>
          <w:tblHeader/>
        </w:trPr>
        <w:tc>
          <w:tcPr>
            <w:tcW w:w="4361" w:type="dxa"/>
            <w:vAlign w:val="center"/>
          </w:tcPr>
          <w:p w14:paraId="13BA9246"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778A3DC0" w14:textId="33CC5C77" w:rsidR="00EB3D1B" w:rsidRDefault="006A7C28" w:rsidP="00EB3D1B">
                <w:pPr>
                  <w:pStyle w:val="Tablefont"/>
                </w:pPr>
                <w:r>
                  <w:t>Yes</w:t>
                </w:r>
              </w:p>
            </w:tc>
          </w:sdtContent>
        </w:sdt>
      </w:tr>
    </w:tbl>
    <w:p w14:paraId="1865CCE1"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4C23F4" w14:paraId="3C74CC3B" w14:textId="77777777" w:rsidTr="00EA6243">
        <w:trPr>
          <w:cantSplit/>
          <w:tblHeader/>
        </w:trPr>
        <w:tc>
          <w:tcPr>
            <w:tcW w:w="4077" w:type="dxa"/>
            <w:vAlign w:val="center"/>
          </w:tcPr>
          <w:p w14:paraId="147189D7"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62C1B620" w14:textId="5E63D508" w:rsidR="001B79E5" w:rsidRDefault="006A7C28" w:rsidP="001B79E5">
                <w:pPr>
                  <w:pStyle w:val="Tablefont"/>
                </w:pPr>
                <w:r w:rsidRPr="006A7C28">
                  <w:t>86.09</w:t>
                </w:r>
              </w:p>
            </w:tc>
          </w:sdtContent>
        </w:sdt>
      </w:tr>
      <w:tr w:rsidR="00A31D99" w:rsidRPr="004C23F4" w14:paraId="6E1FACA5" w14:textId="77777777" w:rsidTr="00EA6243">
        <w:trPr>
          <w:cantSplit/>
          <w:tblHeader/>
        </w:trPr>
        <w:tc>
          <w:tcPr>
            <w:tcW w:w="4077" w:type="dxa"/>
            <w:vAlign w:val="center"/>
          </w:tcPr>
          <w:p w14:paraId="67CBCEC5" w14:textId="77777777" w:rsidR="00A31D99" w:rsidRPr="00263255" w:rsidRDefault="00A31D99" w:rsidP="00A31D99">
            <w:pPr>
              <w:pStyle w:val="Tablefont"/>
            </w:pPr>
            <w:r>
              <w:t>Conversion factors at 25</w:t>
            </w:r>
            <w:r>
              <w:rPr>
                <w:rFonts w:cs="Arial"/>
              </w:rPr>
              <w:t>°</w:t>
            </w:r>
            <w:r>
              <w:t xml:space="preserve">C and 101.3 </w:t>
            </w:r>
            <w:proofErr w:type="spellStart"/>
            <w:r>
              <w:t>kPa</w:t>
            </w:r>
            <w:proofErr w:type="spellEnd"/>
            <w:r>
              <w:t xml:space="preserve">: </w:t>
            </w:r>
          </w:p>
        </w:tc>
        <w:tc>
          <w:tcPr>
            <w:tcW w:w="5165" w:type="dxa"/>
            <w:vAlign w:val="center"/>
          </w:tcPr>
          <w:p w14:paraId="10C84585" w14:textId="41C31922" w:rsidR="00A31D99" w:rsidRDefault="00A0643F" w:rsidP="00A174CC">
            <w:pPr>
              <w:pStyle w:val="Tablefont"/>
            </w:pPr>
            <w:r>
              <w:t xml:space="preserve">1 ppm = </w:t>
            </w:r>
            <w:sdt>
              <w:sdtPr>
                <w:id w:val="-371151491"/>
                <w:placeholder>
                  <w:docPart w:val="A7231FB73EFF4B2B92EB3BD21C0CEA01"/>
                </w:placeholder>
              </w:sdtPr>
              <w:sdtEndPr/>
              <w:sdtContent>
                <w:r w:rsidR="006A7C28">
                  <w:t>3.52</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6A7C28">
                  <w:t>0.28</w:t>
                </w:r>
              </w:sdtContent>
            </w:sdt>
            <w:r w:rsidRPr="006A7C28">
              <w:t xml:space="preserve"> </w:t>
            </w:r>
            <w:r>
              <w:t>ppm</w:t>
            </w:r>
          </w:p>
        </w:tc>
      </w:tr>
      <w:tr w:rsidR="00687890" w:rsidRPr="004C23F4" w14:paraId="1359A0F1" w14:textId="77777777" w:rsidTr="00EA6243">
        <w:trPr>
          <w:cantSplit/>
          <w:tblHeader/>
        </w:trPr>
        <w:tc>
          <w:tcPr>
            <w:tcW w:w="4077" w:type="dxa"/>
            <w:vAlign w:val="center"/>
          </w:tcPr>
          <w:p w14:paraId="502F3206"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3D9EE23A"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6901E167" w14:textId="77777777" w:rsidTr="00EA6243">
        <w:trPr>
          <w:cantSplit/>
        </w:trPr>
        <w:tc>
          <w:tcPr>
            <w:tcW w:w="4077" w:type="dxa"/>
            <w:vAlign w:val="center"/>
          </w:tcPr>
          <w:p w14:paraId="707FF72B"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783A209B"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319914B5" w14:textId="77777777" w:rsidTr="00EA6243">
        <w:trPr>
          <w:cantSplit/>
        </w:trPr>
        <w:tc>
          <w:tcPr>
            <w:tcW w:w="4077" w:type="dxa"/>
            <w:vAlign w:val="center"/>
          </w:tcPr>
          <w:p w14:paraId="08311971"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5EA9C28A"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5C762027" w14:textId="77777777" w:rsidTr="00EA6243">
        <w:trPr>
          <w:cantSplit/>
        </w:trPr>
        <w:tc>
          <w:tcPr>
            <w:tcW w:w="4077" w:type="dxa"/>
            <w:vAlign w:val="center"/>
          </w:tcPr>
          <w:p w14:paraId="58BC1ECC"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43F6570B" w14:textId="77777777" w:rsidR="00E06F40" w:rsidRPr="00A006A0" w:rsidRDefault="00EF2DA1"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3ABC6C3C"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4DE80C9B" w14:textId="77777777" w:rsidTr="00F053FA">
        <w:trPr>
          <w:tblHeader/>
        </w:trPr>
        <w:tc>
          <w:tcPr>
            <w:tcW w:w="4077" w:type="dxa"/>
            <w:shd w:val="clear" w:color="auto" w:fill="BFBFBF" w:themeFill="background1" w:themeFillShade="BF"/>
            <w:vAlign w:val="center"/>
          </w:tcPr>
          <w:p w14:paraId="6990FB22" w14:textId="77777777" w:rsidR="00224EE2" w:rsidRPr="004C23F4" w:rsidRDefault="00224EE2" w:rsidP="00EB3D1B">
            <w:pPr>
              <w:pStyle w:val="Tableheader"/>
              <w:keepNext/>
              <w:keepLines/>
            </w:pPr>
            <w:bookmarkStart w:id="4" w:name="History" w:colFirst="0" w:colLast="1"/>
            <w:r>
              <w:t>Year</w:t>
            </w:r>
          </w:p>
        </w:tc>
        <w:tc>
          <w:tcPr>
            <w:tcW w:w="5165" w:type="dxa"/>
            <w:shd w:val="clear" w:color="auto" w:fill="BFBFBF" w:themeFill="background1" w:themeFillShade="BF"/>
            <w:vAlign w:val="center"/>
          </w:tcPr>
          <w:p w14:paraId="79FF302C" w14:textId="77777777" w:rsidR="00224EE2" w:rsidRPr="004C23F4" w:rsidRDefault="00224EE2" w:rsidP="00EB3D1B">
            <w:pPr>
              <w:pStyle w:val="Tableheader"/>
              <w:keepNext/>
              <w:keepLines/>
            </w:pPr>
            <w:r>
              <w:t>Standard</w:t>
            </w:r>
          </w:p>
        </w:tc>
      </w:tr>
      <w:tr w:rsidR="007F1005" w:rsidRPr="004C23F4" w14:paraId="40CE3448" w14:textId="77777777" w:rsidTr="00F053FA">
        <w:trPr>
          <w:tblHeader/>
        </w:trPr>
        <w:sdt>
          <w:sdtPr>
            <w:id w:val="-25557549"/>
            <w:placeholder>
              <w:docPart w:val="2BF891C0AB704CDAB9BC6E80D556473F"/>
            </w:placeholder>
            <w:showingPlcHdr/>
            <w:text/>
          </w:sdtPr>
          <w:sdtEndPr/>
          <w:sdtContent>
            <w:tc>
              <w:tcPr>
                <w:tcW w:w="4077" w:type="dxa"/>
                <w:vAlign w:val="center"/>
              </w:tcPr>
              <w:p w14:paraId="5A3883A1"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451E91DA" w14:textId="77777777" w:rsidR="007F1005" w:rsidRPr="004C23F4" w:rsidRDefault="007F1005" w:rsidP="00EB3D1B">
            <w:pPr>
              <w:pStyle w:val="Tablefont"/>
              <w:keepLines/>
            </w:pPr>
          </w:p>
        </w:tc>
      </w:tr>
    </w:tbl>
    <w:bookmarkEnd w:id="4"/>
    <w:p w14:paraId="41B89110" w14:textId="77777777" w:rsidR="00F87D92" w:rsidRDefault="00F87D92" w:rsidP="00EF7F78">
      <w:pPr>
        <w:pStyle w:val="Heading2"/>
        <w:tabs>
          <w:tab w:val="right" w:pos="8505"/>
        </w:tabs>
      </w:pPr>
      <w:r>
        <w:t>References</w:t>
      </w:r>
      <w:r w:rsidR="00EF7F78">
        <w:tab/>
      </w:r>
    </w:p>
    <w:p w14:paraId="60A1E3A9" w14:textId="7CC4E46D"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287C3797" w14:textId="6743C3B8" w:rsidR="006A7C28" w:rsidRDefault="006A7C28" w:rsidP="00084859">
      <w:r>
        <w:t xml:space="preserve">Deutsche </w:t>
      </w:r>
      <w:proofErr w:type="spellStart"/>
      <w:r>
        <w:t>Forschungsgemeinschaft</w:t>
      </w:r>
      <w:proofErr w:type="spellEnd"/>
      <w:r>
        <w:t xml:space="preserve"> (DFG) (</w:t>
      </w:r>
      <w:r w:rsidR="006E1CA2">
        <w:t>2017</w:t>
      </w:r>
      <w:r>
        <w:t xml:space="preserve">) </w:t>
      </w:r>
      <w:r w:rsidR="006E1CA2" w:rsidRPr="006E1CA2">
        <w:t>Methyl acrylate</w:t>
      </w:r>
      <w:r>
        <w:t xml:space="preserve"> – MAK value documentation.</w:t>
      </w:r>
    </w:p>
    <w:p w14:paraId="20C2BC91" w14:textId="77777777" w:rsidR="00164D6C" w:rsidRDefault="005A35BB" w:rsidP="00084859">
      <w:r w:rsidRPr="005A35BB">
        <w:t>European Chemicals Agency Regulation (ECHA) No 1907/2006 of the European Parliament and of the Council of 18 December 2006 concerning the Registration, Evaluation, Authorisation and Restriction of Chemicals (REACH).</w:t>
      </w:r>
    </w:p>
    <w:p w14:paraId="39758A6D" w14:textId="42860B28" w:rsidR="00164D6C" w:rsidRDefault="00E164D0" w:rsidP="00084859">
      <w:r w:rsidRPr="00E164D0">
        <w:t xml:space="preserve">International Agency for Research on Cancer (IARC) </w:t>
      </w:r>
      <w:r w:rsidR="00A51F3A">
        <w:t>Re-evaluation of some organic chemicals, hydrazine and hydrogen peroxide</w:t>
      </w:r>
      <w:r w:rsidRPr="00E164D0">
        <w:t>. IARC Monographs –</w:t>
      </w:r>
      <w:r w:rsidR="00693C3B">
        <w:t>71</w:t>
      </w:r>
      <w:r w:rsidR="00D57CD0">
        <w:t>.</w:t>
      </w:r>
    </w:p>
    <w:p w14:paraId="4F3D160D" w14:textId="6DA63E7D" w:rsidR="006A7C28" w:rsidRDefault="006A7C28" w:rsidP="00084859">
      <w:r>
        <w:t>National Industrial Chemicals Notification and Assessment Scheme (NICNAS) (</w:t>
      </w:r>
      <w:r w:rsidR="0060465F" w:rsidRPr="0060465F">
        <w:t>2014</w:t>
      </w:r>
      <w:r>
        <w:t xml:space="preserve">) </w:t>
      </w:r>
      <w:r w:rsidR="004D438F" w:rsidRPr="004D438F">
        <w:t>2-Propenoic acid, methyl ester</w:t>
      </w:r>
      <w:r>
        <w:t xml:space="preserve">: Human health </w:t>
      </w:r>
      <w:r w:rsidR="004D438F" w:rsidRPr="004D438F">
        <w:t>tier II</w:t>
      </w:r>
      <w:r>
        <w:t xml:space="preserve"> assessment – IMAP report.</w:t>
      </w:r>
    </w:p>
    <w:p w14:paraId="71BCAAAE" w14:textId="08F7A79F" w:rsidR="006A7C28" w:rsidRPr="00351FE0" w:rsidRDefault="006A7C28" w:rsidP="00084859">
      <w:r>
        <w:t>US National Institute for Occupational Safety and Health (NIOSH) (</w:t>
      </w:r>
      <w:r w:rsidR="0060465F" w:rsidRPr="0060465F">
        <w:t>1994</w:t>
      </w:r>
      <w:r>
        <w:t xml:space="preserve">) </w:t>
      </w:r>
      <w:proofErr w:type="gramStart"/>
      <w:r>
        <w:t>Immediately</w:t>
      </w:r>
      <w:proofErr w:type="gramEnd"/>
      <w:r>
        <w:t xml:space="preserve"> dangerous to life or health concentrations – </w:t>
      </w:r>
      <w:r w:rsidR="0060465F" w:rsidRPr="0060465F">
        <w:t>Methyl acrylate</w:t>
      </w:r>
      <w:r>
        <w:t>.</w:t>
      </w:r>
    </w:p>
    <w:sectPr w:rsidR="006A7C28" w:rsidRPr="00351FE0" w:rsidSect="00B87D4C">
      <w:headerReference w:type="default" r:id="rId18"/>
      <w:pgSz w:w="11906" w:h="16838"/>
      <w:pgMar w:top="1440" w:right="1440" w:bottom="1440" w:left="1440"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B68E35" w16cid:durableId="21D2FBFF"/>
  <w16cid:commentId w16cid:paraId="67F41043" w16cid:durableId="21D2FDE0"/>
  <w16cid:commentId w16cid:paraId="79B53AD0" w16cid:durableId="21D2FF05"/>
  <w16cid:commentId w16cid:paraId="16B9FBC2" w16cid:durableId="21D2FF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91AC7" w14:textId="77777777" w:rsidR="00DB523D" w:rsidRDefault="00DB523D" w:rsidP="00F43AD5">
      <w:pPr>
        <w:spacing w:after="0" w:line="240" w:lineRule="auto"/>
      </w:pPr>
      <w:r>
        <w:separator/>
      </w:r>
    </w:p>
  </w:endnote>
  <w:endnote w:type="continuationSeparator" w:id="0">
    <w:p w14:paraId="788E20BC" w14:textId="77777777" w:rsidR="00DB523D" w:rsidRDefault="00DB523D"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1B75" w14:textId="77777777" w:rsidR="00EF2DA1" w:rsidRDefault="00EF2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87447"/>
      <w:docPartObj>
        <w:docPartGallery w:val="Page Numbers (Bottom of Page)"/>
        <w:docPartUnique/>
      </w:docPartObj>
    </w:sdtPr>
    <w:sdtEndPr>
      <w:rPr>
        <w:noProof/>
        <w:sz w:val="18"/>
        <w:szCs w:val="18"/>
      </w:rPr>
    </w:sdtEndPr>
    <w:sdtContent>
      <w:p w14:paraId="1B77CF3A" w14:textId="1675ABCA" w:rsidR="008A36CF" w:rsidRDefault="000F0A17" w:rsidP="0034744C">
        <w:pPr>
          <w:pStyle w:val="Footer"/>
          <w:rPr>
            <w:sz w:val="18"/>
            <w:szCs w:val="18"/>
          </w:rPr>
        </w:pPr>
        <w:r w:rsidRPr="000F0A17">
          <w:rPr>
            <w:b/>
            <w:sz w:val="18"/>
            <w:szCs w:val="18"/>
          </w:rPr>
          <w:t>Methyl acrylate</w:t>
        </w:r>
        <w:r w:rsidR="008A36CF">
          <w:rPr>
            <w:b/>
            <w:sz w:val="18"/>
            <w:szCs w:val="18"/>
          </w:rPr>
          <w:t xml:space="preserve"> (</w:t>
        </w:r>
        <w:r w:rsidR="00742B8F" w:rsidRPr="00742B8F">
          <w:rPr>
            <w:b/>
            <w:sz w:val="18"/>
            <w:szCs w:val="18"/>
          </w:rPr>
          <w:t>96-33-3</w:t>
        </w:r>
        <w:proofErr w:type="gramStart"/>
        <w:r w:rsidR="008A36CF">
          <w:rPr>
            <w:b/>
            <w:sz w:val="18"/>
            <w:szCs w:val="18"/>
          </w:rPr>
          <w:t>)</w:t>
        </w:r>
        <w:proofErr w:type="gramEnd"/>
        <w:r w:rsidR="008A36CF" w:rsidRPr="00F43AD5">
          <w:rPr>
            <w:sz w:val="18"/>
            <w:szCs w:val="18"/>
          </w:rPr>
          <w:br/>
          <w:t xml:space="preserve">Safe Work Australia </w:t>
        </w:r>
        <w:r w:rsidR="008A36CF" w:rsidRPr="00F43AD5">
          <w:rPr>
            <w:rFonts w:ascii="Courier New" w:hAnsi="Courier New" w:cs="Courier New"/>
            <w:sz w:val="18"/>
            <w:szCs w:val="18"/>
          </w:rPr>
          <w:t>—</w:t>
        </w:r>
        <w:r w:rsidR="008A36CF" w:rsidRPr="00F43AD5">
          <w:rPr>
            <w:sz w:val="18"/>
            <w:szCs w:val="18"/>
          </w:rPr>
          <w:t xml:space="preserve"> 201</w:t>
        </w:r>
        <w:r w:rsidR="00351FE0">
          <w:rPr>
            <w:sz w:val="18"/>
            <w:szCs w:val="18"/>
          </w:rPr>
          <w:t>9</w:t>
        </w:r>
      </w:p>
      <w:p w14:paraId="5E55A5B5" w14:textId="6B0F44FC"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EF2DA1">
          <w:rPr>
            <w:noProof/>
            <w:sz w:val="18"/>
            <w:szCs w:val="18"/>
          </w:rPr>
          <w:t>3</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1B9F" w14:textId="77777777" w:rsidR="00EF2DA1" w:rsidRDefault="00EF2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DF8CF" w14:textId="77777777" w:rsidR="00DB523D" w:rsidRDefault="00DB523D" w:rsidP="00F43AD5">
      <w:pPr>
        <w:spacing w:after="0" w:line="240" w:lineRule="auto"/>
      </w:pPr>
      <w:r>
        <w:separator/>
      </w:r>
    </w:p>
  </w:footnote>
  <w:footnote w:type="continuationSeparator" w:id="0">
    <w:p w14:paraId="10B4BA76" w14:textId="77777777" w:rsidR="00DB523D" w:rsidRDefault="00DB523D"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6CF1E" w14:textId="77777777" w:rsidR="00EF2DA1" w:rsidRDefault="00EF2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A0771" w14:textId="2D9B5B77" w:rsidR="00EF2DA1" w:rsidRDefault="00EF2DA1" w:rsidP="00EF2DA1">
    <w:pPr>
      <w:pStyle w:val="Header"/>
      <w:jc w:val="right"/>
    </w:pPr>
    <w:sdt>
      <w:sdtPr>
        <w:id w:val="-1909068766"/>
        <w:docPartObj>
          <w:docPartGallery w:val="Watermarks"/>
          <w:docPartUnique/>
        </w:docPartObj>
      </w:sdtPr>
      <w:sdtContent>
        <w:r>
          <w:pict w14:anchorId="475C1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6"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3409499E" wp14:editId="2DAEFFE2">
          <wp:extent cx="2941955" cy="588645"/>
          <wp:effectExtent l="0" t="0" r="0" b="1905"/>
          <wp:docPr id="5" name="Picture 5" descr="Safe Work Australia logo" title="Image"/>
          <wp:cNvGraphicFramePr/>
          <a:graphic xmlns:a="http://schemas.openxmlformats.org/drawingml/2006/main">
            <a:graphicData uri="http://schemas.openxmlformats.org/drawingml/2006/picture">
              <pic:pic xmlns:pic="http://schemas.openxmlformats.org/drawingml/2006/picture">
                <pic:nvPicPr>
                  <pic:cNvPr id="2" name="Picture 2"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14:paraId="79FA8E02" w14:textId="2D9BA6D6" w:rsidR="008A36CF" w:rsidRPr="00EF2DA1" w:rsidRDefault="008A36CF" w:rsidP="00EF2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6A65D" w14:textId="77777777" w:rsidR="00EF2DA1" w:rsidRDefault="00EF2D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DE8B5" w14:textId="649317BC" w:rsidR="00EF2DA1" w:rsidRDefault="00EF2DA1" w:rsidP="00EF2DA1">
    <w:pPr>
      <w:pStyle w:val="Header"/>
      <w:jc w:val="right"/>
    </w:pPr>
    <w:sdt>
      <w:sdtPr>
        <w:id w:val="-1883785789"/>
        <w:docPartObj>
          <w:docPartGallery w:val="Watermarks"/>
          <w:docPartUnique/>
        </w:docPartObj>
      </w:sdtPr>
      <w:sdtContent>
        <w:r>
          <w:pict w14:anchorId="4494B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7"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17703CDF" wp14:editId="12BC804F">
          <wp:extent cx="2941955" cy="588645"/>
          <wp:effectExtent l="0" t="0" r="0" b="1905"/>
          <wp:docPr id="6" name="Picture 6" descr="Safe Work Australia logo" title="Image"/>
          <wp:cNvGraphicFramePr/>
          <a:graphic xmlns:a="http://schemas.openxmlformats.org/drawingml/2006/main">
            <a:graphicData uri="http://schemas.openxmlformats.org/drawingml/2006/picture">
              <pic:pic xmlns:pic="http://schemas.openxmlformats.org/drawingml/2006/picture">
                <pic:nvPicPr>
                  <pic:cNvPr id="2" name="Picture 2"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14:paraId="6346041D" w14:textId="77777777" w:rsidR="008A36CF" w:rsidRDefault="008A36CF" w:rsidP="00F43AD5">
    <w:pPr>
      <w:pStyle w:val="Header"/>
      <w:jc w:val="right"/>
    </w:pP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4C2E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466F85"/>
    <w:multiLevelType w:val="hybridMultilevel"/>
    <w:tmpl w:val="46EE6D12"/>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D639CB"/>
    <w:multiLevelType w:val="hybridMultilevel"/>
    <w:tmpl w:val="ABAA2EB6"/>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3B37BA6"/>
    <w:multiLevelType w:val="hybridMultilevel"/>
    <w:tmpl w:val="CB3AF61E"/>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A654E2C"/>
    <w:multiLevelType w:val="hybridMultilevel"/>
    <w:tmpl w:val="6F20879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8"/>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7B80"/>
    <w:rsid w:val="00013A22"/>
    <w:rsid w:val="00014C3F"/>
    <w:rsid w:val="00017C82"/>
    <w:rsid w:val="00030C61"/>
    <w:rsid w:val="00032B88"/>
    <w:rsid w:val="00046DF5"/>
    <w:rsid w:val="00052060"/>
    <w:rsid w:val="0005574A"/>
    <w:rsid w:val="00055FE1"/>
    <w:rsid w:val="00056EC2"/>
    <w:rsid w:val="00060B48"/>
    <w:rsid w:val="00067F32"/>
    <w:rsid w:val="00071807"/>
    <w:rsid w:val="000803E1"/>
    <w:rsid w:val="00084513"/>
    <w:rsid w:val="00084859"/>
    <w:rsid w:val="00092D94"/>
    <w:rsid w:val="0009436C"/>
    <w:rsid w:val="000A5038"/>
    <w:rsid w:val="000B0868"/>
    <w:rsid w:val="000B3E12"/>
    <w:rsid w:val="000B3E78"/>
    <w:rsid w:val="000B7B48"/>
    <w:rsid w:val="000C096D"/>
    <w:rsid w:val="000C139A"/>
    <w:rsid w:val="000C2053"/>
    <w:rsid w:val="000C248C"/>
    <w:rsid w:val="000D291C"/>
    <w:rsid w:val="000E5A54"/>
    <w:rsid w:val="000E624F"/>
    <w:rsid w:val="000E63D3"/>
    <w:rsid w:val="000E67CF"/>
    <w:rsid w:val="000F0A17"/>
    <w:rsid w:val="0010461E"/>
    <w:rsid w:val="00106FAA"/>
    <w:rsid w:val="00113443"/>
    <w:rsid w:val="001269A7"/>
    <w:rsid w:val="00131092"/>
    <w:rsid w:val="00140E6A"/>
    <w:rsid w:val="00146545"/>
    <w:rsid w:val="00146B75"/>
    <w:rsid w:val="0015266D"/>
    <w:rsid w:val="0015288A"/>
    <w:rsid w:val="00160F47"/>
    <w:rsid w:val="00164D6C"/>
    <w:rsid w:val="00177CA1"/>
    <w:rsid w:val="00183823"/>
    <w:rsid w:val="00183942"/>
    <w:rsid w:val="001A009E"/>
    <w:rsid w:val="001A1287"/>
    <w:rsid w:val="001A3859"/>
    <w:rsid w:val="001A3C9D"/>
    <w:rsid w:val="001A43F8"/>
    <w:rsid w:val="001B79E5"/>
    <w:rsid w:val="001C36CC"/>
    <w:rsid w:val="001D56F0"/>
    <w:rsid w:val="001D663B"/>
    <w:rsid w:val="001D7B41"/>
    <w:rsid w:val="001E46DA"/>
    <w:rsid w:val="001E7D80"/>
    <w:rsid w:val="001F4B6C"/>
    <w:rsid w:val="001F62CB"/>
    <w:rsid w:val="001F6ED0"/>
    <w:rsid w:val="001F72E6"/>
    <w:rsid w:val="001F73C5"/>
    <w:rsid w:val="002046A6"/>
    <w:rsid w:val="00204956"/>
    <w:rsid w:val="0021036C"/>
    <w:rsid w:val="00213640"/>
    <w:rsid w:val="00221547"/>
    <w:rsid w:val="002216FC"/>
    <w:rsid w:val="00222533"/>
    <w:rsid w:val="00222F30"/>
    <w:rsid w:val="00224EE2"/>
    <w:rsid w:val="00227340"/>
    <w:rsid w:val="00227EC7"/>
    <w:rsid w:val="00244AD1"/>
    <w:rsid w:val="002463BC"/>
    <w:rsid w:val="002465CE"/>
    <w:rsid w:val="0025734A"/>
    <w:rsid w:val="00263255"/>
    <w:rsid w:val="00276494"/>
    <w:rsid w:val="00277B0C"/>
    <w:rsid w:val="002B1A2C"/>
    <w:rsid w:val="002C34F2"/>
    <w:rsid w:val="002C52F3"/>
    <w:rsid w:val="002C58FF"/>
    <w:rsid w:val="002C76BA"/>
    <w:rsid w:val="002C7AFE"/>
    <w:rsid w:val="002D05D2"/>
    <w:rsid w:val="002E0D61"/>
    <w:rsid w:val="002E4C7B"/>
    <w:rsid w:val="0030740C"/>
    <w:rsid w:val="003148BF"/>
    <w:rsid w:val="00315833"/>
    <w:rsid w:val="003215EE"/>
    <w:rsid w:val="003224BF"/>
    <w:rsid w:val="003241A8"/>
    <w:rsid w:val="003253F0"/>
    <w:rsid w:val="003337DA"/>
    <w:rsid w:val="00334EFB"/>
    <w:rsid w:val="00335CDE"/>
    <w:rsid w:val="003365A5"/>
    <w:rsid w:val="00347192"/>
    <w:rsid w:val="0034744C"/>
    <w:rsid w:val="00350214"/>
    <w:rsid w:val="00351FE0"/>
    <w:rsid w:val="00352615"/>
    <w:rsid w:val="0035412B"/>
    <w:rsid w:val="003567A8"/>
    <w:rsid w:val="00362895"/>
    <w:rsid w:val="00365C05"/>
    <w:rsid w:val="00370DBF"/>
    <w:rsid w:val="00386093"/>
    <w:rsid w:val="003904A4"/>
    <w:rsid w:val="00391841"/>
    <w:rsid w:val="00391B6D"/>
    <w:rsid w:val="00394922"/>
    <w:rsid w:val="003A0E32"/>
    <w:rsid w:val="003A2B94"/>
    <w:rsid w:val="003B387D"/>
    <w:rsid w:val="003C0D58"/>
    <w:rsid w:val="003D4FA3"/>
    <w:rsid w:val="003E0807"/>
    <w:rsid w:val="003E51FB"/>
    <w:rsid w:val="003E6B39"/>
    <w:rsid w:val="003F07E1"/>
    <w:rsid w:val="004030BC"/>
    <w:rsid w:val="00403F7D"/>
    <w:rsid w:val="00404B58"/>
    <w:rsid w:val="00406785"/>
    <w:rsid w:val="004079B4"/>
    <w:rsid w:val="00417A56"/>
    <w:rsid w:val="00420957"/>
    <w:rsid w:val="00422A10"/>
    <w:rsid w:val="00430179"/>
    <w:rsid w:val="004414B5"/>
    <w:rsid w:val="00444482"/>
    <w:rsid w:val="00444B42"/>
    <w:rsid w:val="00445E44"/>
    <w:rsid w:val="004509E2"/>
    <w:rsid w:val="004515EE"/>
    <w:rsid w:val="004529F0"/>
    <w:rsid w:val="0045300F"/>
    <w:rsid w:val="00460A03"/>
    <w:rsid w:val="00472A11"/>
    <w:rsid w:val="00472AAD"/>
    <w:rsid w:val="00474E33"/>
    <w:rsid w:val="00476803"/>
    <w:rsid w:val="00485BFD"/>
    <w:rsid w:val="004867A2"/>
    <w:rsid w:val="004873F2"/>
    <w:rsid w:val="00490D4C"/>
    <w:rsid w:val="00493A35"/>
    <w:rsid w:val="0049527A"/>
    <w:rsid w:val="004966BF"/>
    <w:rsid w:val="00497984"/>
    <w:rsid w:val="004A5088"/>
    <w:rsid w:val="004C1E3F"/>
    <w:rsid w:val="004C23F4"/>
    <w:rsid w:val="004C3475"/>
    <w:rsid w:val="004C58B6"/>
    <w:rsid w:val="004D16A3"/>
    <w:rsid w:val="004D438F"/>
    <w:rsid w:val="004D4AA1"/>
    <w:rsid w:val="004D6D68"/>
    <w:rsid w:val="004E5EDD"/>
    <w:rsid w:val="004F448A"/>
    <w:rsid w:val="004F493D"/>
    <w:rsid w:val="004F65E8"/>
    <w:rsid w:val="0050005E"/>
    <w:rsid w:val="00502B88"/>
    <w:rsid w:val="005142C4"/>
    <w:rsid w:val="0051509C"/>
    <w:rsid w:val="005272E2"/>
    <w:rsid w:val="0053108F"/>
    <w:rsid w:val="00532B56"/>
    <w:rsid w:val="00534B10"/>
    <w:rsid w:val="005446A2"/>
    <w:rsid w:val="00544D2F"/>
    <w:rsid w:val="00551BD8"/>
    <w:rsid w:val="00574FA9"/>
    <w:rsid w:val="00581055"/>
    <w:rsid w:val="00591E38"/>
    <w:rsid w:val="00593E18"/>
    <w:rsid w:val="005A19C5"/>
    <w:rsid w:val="005A3034"/>
    <w:rsid w:val="005A35BB"/>
    <w:rsid w:val="005A462D"/>
    <w:rsid w:val="005B253B"/>
    <w:rsid w:val="005B771D"/>
    <w:rsid w:val="005C5D16"/>
    <w:rsid w:val="005D3193"/>
    <w:rsid w:val="005D4A6E"/>
    <w:rsid w:val="005E6979"/>
    <w:rsid w:val="005E75CB"/>
    <w:rsid w:val="006013C1"/>
    <w:rsid w:val="0060465F"/>
    <w:rsid w:val="0060669E"/>
    <w:rsid w:val="00610F2E"/>
    <w:rsid w:val="00611399"/>
    <w:rsid w:val="00620788"/>
    <w:rsid w:val="00624C4E"/>
    <w:rsid w:val="00625200"/>
    <w:rsid w:val="006363A8"/>
    <w:rsid w:val="00636DB7"/>
    <w:rsid w:val="00650905"/>
    <w:rsid w:val="006532ED"/>
    <w:rsid w:val="006549F2"/>
    <w:rsid w:val="006567B7"/>
    <w:rsid w:val="00657BFB"/>
    <w:rsid w:val="0066333C"/>
    <w:rsid w:val="006639B4"/>
    <w:rsid w:val="006650FE"/>
    <w:rsid w:val="0067305D"/>
    <w:rsid w:val="00677D9B"/>
    <w:rsid w:val="006867F3"/>
    <w:rsid w:val="00687890"/>
    <w:rsid w:val="006901A2"/>
    <w:rsid w:val="00690368"/>
    <w:rsid w:val="0069079C"/>
    <w:rsid w:val="00690B53"/>
    <w:rsid w:val="00693C3B"/>
    <w:rsid w:val="00695B72"/>
    <w:rsid w:val="006A7C28"/>
    <w:rsid w:val="006B160A"/>
    <w:rsid w:val="006B4E6C"/>
    <w:rsid w:val="006B50B6"/>
    <w:rsid w:val="006C7E06"/>
    <w:rsid w:val="006D4F8D"/>
    <w:rsid w:val="006D79EA"/>
    <w:rsid w:val="006E1CA2"/>
    <w:rsid w:val="006E5D05"/>
    <w:rsid w:val="00701053"/>
    <w:rsid w:val="00701507"/>
    <w:rsid w:val="00712C22"/>
    <w:rsid w:val="00714021"/>
    <w:rsid w:val="00716A0F"/>
    <w:rsid w:val="00717D45"/>
    <w:rsid w:val="007208F7"/>
    <w:rsid w:val="007218AF"/>
    <w:rsid w:val="007365D1"/>
    <w:rsid w:val="00740E0E"/>
    <w:rsid w:val="00742B8F"/>
    <w:rsid w:val="00750212"/>
    <w:rsid w:val="00754779"/>
    <w:rsid w:val="0075716D"/>
    <w:rsid w:val="00765F14"/>
    <w:rsid w:val="00770E31"/>
    <w:rsid w:val="007770F1"/>
    <w:rsid w:val="00783FB1"/>
    <w:rsid w:val="00785CDD"/>
    <w:rsid w:val="00791847"/>
    <w:rsid w:val="007925F0"/>
    <w:rsid w:val="007939B3"/>
    <w:rsid w:val="0079509C"/>
    <w:rsid w:val="00796708"/>
    <w:rsid w:val="007B1B42"/>
    <w:rsid w:val="007C30EB"/>
    <w:rsid w:val="007E063C"/>
    <w:rsid w:val="007E2A4B"/>
    <w:rsid w:val="007E307D"/>
    <w:rsid w:val="007E6A4E"/>
    <w:rsid w:val="007E6C94"/>
    <w:rsid w:val="007F1005"/>
    <w:rsid w:val="007F25E0"/>
    <w:rsid w:val="007F5328"/>
    <w:rsid w:val="00800393"/>
    <w:rsid w:val="00804F5A"/>
    <w:rsid w:val="00810C6D"/>
    <w:rsid w:val="00812887"/>
    <w:rsid w:val="00826F21"/>
    <w:rsid w:val="00834CC8"/>
    <w:rsid w:val="00835E00"/>
    <w:rsid w:val="00837113"/>
    <w:rsid w:val="008414E4"/>
    <w:rsid w:val="00843E21"/>
    <w:rsid w:val="0084508E"/>
    <w:rsid w:val="00857A8A"/>
    <w:rsid w:val="00861E29"/>
    <w:rsid w:val="008630EE"/>
    <w:rsid w:val="00864D13"/>
    <w:rsid w:val="00871CD5"/>
    <w:rsid w:val="008745A2"/>
    <w:rsid w:val="008768A8"/>
    <w:rsid w:val="0088798F"/>
    <w:rsid w:val="00887E4B"/>
    <w:rsid w:val="008915C8"/>
    <w:rsid w:val="008A36CF"/>
    <w:rsid w:val="008A3BC4"/>
    <w:rsid w:val="008B031A"/>
    <w:rsid w:val="008B403C"/>
    <w:rsid w:val="008B7983"/>
    <w:rsid w:val="008C2511"/>
    <w:rsid w:val="008D026D"/>
    <w:rsid w:val="008D23AB"/>
    <w:rsid w:val="008D4B8B"/>
    <w:rsid w:val="008D5A78"/>
    <w:rsid w:val="008E7B64"/>
    <w:rsid w:val="008F49F1"/>
    <w:rsid w:val="008F5DCD"/>
    <w:rsid w:val="00900951"/>
    <w:rsid w:val="00903FCB"/>
    <w:rsid w:val="009118A6"/>
    <w:rsid w:val="00916909"/>
    <w:rsid w:val="00916EC0"/>
    <w:rsid w:val="00920467"/>
    <w:rsid w:val="00921DE7"/>
    <w:rsid w:val="00923092"/>
    <w:rsid w:val="0093041A"/>
    <w:rsid w:val="00930714"/>
    <w:rsid w:val="00931B03"/>
    <w:rsid w:val="009323B9"/>
    <w:rsid w:val="00932DCE"/>
    <w:rsid w:val="0093327E"/>
    <w:rsid w:val="00934028"/>
    <w:rsid w:val="0093760E"/>
    <w:rsid w:val="00946044"/>
    <w:rsid w:val="0094660B"/>
    <w:rsid w:val="00946A33"/>
    <w:rsid w:val="0095260E"/>
    <w:rsid w:val="009578DD"/>
    <w:rsid w:val="00961124"/>
    <w:rsid w:val="009621B6"/>
    <w:rsid w:val="00974F2D"/>
    <w:rsid w:val="00975EFD"/>
    <w:rsid w:val="00977524"/>
    <w:rsid w:val="00977E88"/>
    <w:rsid w:val="00984920"/>
    <w:rsid w:val="0099303A"/>
    <w:rsid w:val="009971C2"/>
    <w:rsid w:val="009A1254"/>
    <w:rsid w:val="009B2FF2"/>
    <w:rsid w:val="009B380C"/>
    <w:rsid w:val="009B4843"/>
    <w:rsid w:val="009B6543"/>
    <w:rsid w:val="009C199D"/>
    <w:rsid w:val="009C278F"/>
    <w:rsid w:val="009C2B94"/>
    <w:rsid w:val="009C5874"/>
    <w:rsid w:val="009D3B5A"/>
    <w:rsid w:val="009E0C05"/>
    <w:rsid w:val="009E0D1C"/>
    <w:rsid w:val="009E2214"/>
    <w:rsid w:val="009E355A"/>
    <w:rsid w:val="009E63E2"/>
    <w:rsid w:val="009F04D2"/>
    <w:rsid w:val="009F05CF"/>
    <w:rsid w:val="009F0F3A"/>
    <w:rsid w:val="00A01D0C"/>
    <w:rsid w:val="00A0643F"/>
    <w:rsid w:val="00A067EE"/>
    <w:rsid w:val="00A10FCE"/>
    <w:rsid w:val="00A16D91"/>
    <w:rsid w:val="00A174CC"/>
    <w:rsid w:val="00A2073D"/>
    <w:rsid w:val="00A20751"/>
    <w:rsid w:val="00A27E2D"/>
    <w:rsid w:val="00A31D99"/>
    <w:rsid w:val="00A357BA"/>
    <w:rsid w:val="00A35ADC"/>
    <w:rsid w:val="00A402A3"/>
    <w:rsid w:val="00A51F3A"/>
    <w:rsid w:val="00A53681"/>
    <w:rsid w:val="00A633D4"/>
    <w:rsid w:val="00A6461A"/>
    <w:rsid w:val="00A76AA5"/>
    <w:rsid w:val="00A84504"/>
    <w:rsid w:val="00A8672F"/>
    <w:rsid w:val="00A90353"/>
    <w:rsid w:val="00A93057"/>
    <w:rsid w:val="00A968B0"/>
    <w:rsid w:val="00AB2672"/>
    <w:rsid w:val="00AB2817"/>
    <w:rsid w:val="00AB43C4"/>
    <w:rsid w:val="00AC32E7"/>
    <w:rsid w:val="00AC3A9F"/>
    <w:rsid w:val="00AC6D2F"/>
    <w:rsid w:val="00AD4A98"/>
    <w:rsid w:val="00AE2745"/>
    <w:rsid w:val="00AE2F64"/>
    <w:rsid w:val="00AF42CB"/>
    <w:rsid w:val="00AF483F"/>
    <w:rsid w:val="00AF5E07"/>
    <w:rsid w:val="00AF5F06"/>
    <w:rsid w:val="00B00A25"/>
    <w:rsid w:val="00B1422A"/>
    <w:rsid w:val="00B1765C"/>
    <w:rsid w:val="00B213C4"/>
    <w:rsid w:val="00B4030F"/>
    <w:rsid w:val="00B40C60"/>
    <w:rsid w:val="00B479A9"/>
    <w:rsid w:val="00B52EDF"/>
    <w:rsid w:val="00B63956"/>
    <w:rsid w:val="00B71188"/>
    <w:rsid w:val="00B76A41"/>
    <w:rsid w:val="00B8303F"/>
    <w:rsid w:val="00B8619B"/>
    <w:rsid w:val="00B87D4C"/>
    <w:rsid w:val="00B93646"/>
    <w:rsid w:val="00BA0B38"/>
    <w:rsid w:val="00BA159F"/>
    <w:rsid w:val="00BA1DBB"/>
    <w:rsid w:val="00BA4510"/>
    <w:rsid w:val="00BA529A"/>
    <w:rsid w:val="00BB612A"/>
    <w:rsid w:val="00BD499F"/>
    <w:rsid w:val="00BD56DE"/>
    <w:rsid w:val="00BF2406"/>
    <w:rsid w:val="00C06E43"/>
    <w:rsid w:val="00C16315"/>
    <w:rsid w:val="00C3091E"/>
    <w:rsid w:val="00C33563"/>
    <w:rsid w:val="00C40FF1"/>
    <w:rsid w:val="00C419E2"/>
    <w:rsid w:val="00C5020E"/>
    <w:rsid w:val="00C57452"/>
    <w:rsid w:val="00C61EDF"/>
    <w:rsid w:val="00C6239D"/>
    <w:rsid w:val="00C6594B"/>
    <w:rsid w:val="00C67E28"/>
    <w:rsid w:val="00C67FFB"/>
    <w:rsid w:val="00C7155E"/>
    <w:rsid w:val="00C71D1E"/>
    <w:rsid w:val="00C71D7D"/>
    <w:rsid w:val="00C74833"/>
    <w:rsid w:val="00C850A0"/>
    <w:rsid w:val="00C85A86"/>
    <w:rsid w:val="00C978F0"/>
    <w:rsid w:val="00CA58FE"/>
    <w:rsid w:val="00CB1CB1"/>
    <w:rsid w:val="00CB2419"/>
    <w:rsid w:val="00CB6BC1"/>
    <w:rsid w:val="00CB6CB8"/>
    <w:rsid w:val="00CC1A68"/>
    <w:rsid w:val="00CC2123"/>
    <w:rsid w:val="00CD2BFD"/>
    <w:rsid w:val="00CE5AD6"/>
    <w:rsid w:val="00CE617F"/>
    <w:rsid w:val="00CE78EF"/>
    <w:rsid w:val="00D048F7"/>
    <w:rsid w:val="00D0517E"/>
    <w:rsid w:val="00D140FC"/>
    <w:rsid w:val="00D21D8C"/>
    <w:rsid w:val="00D31357"/>
    <w:rsid w:val="00D31E4D"/>
    <w:rsid w:val="00D33220"/>
    <w:rsid w:val="00D334D1"/>
    <w:rsid w:val="00D44C89"/>
    <w:rsid w:val="00D516CD"/>
    <w:rsid w:val="00D57CD0"/>
    <w:rsid w:val="00D65DDF"/>
    <w:rsid w:val="00D668E6"/>
    <w:rsid w:val="00D70670"/>
    <w:rsid w:val="00D74D80"/>
    <w:rsid w:val="00D76624"/>
    <w:rsid w:val="00D87570"/>
    <w:rsid w:val="00D91CB9"/>
    <w:rsid w:val="00D97989"/>
    <w:rsid w:val="00D97D8D"/>
    <w:rsid w:val="00DA352E"/>
    <w:rsid w:val="00DB523D"/>
    <w:rsid w:val="00DC7694"/>
    <w:rsid w:val="00DC7908"/>
    <w:rsid w:val="00DD1BF6"/>
    <w:rsid w:val="00DD2F9B"/>
    <w:rsid w:val="00DD782F"/>
    <w:rsid w:val="00DE2513"/>
    <w:rsid w:val="00DE26E8"/>
    <w:rsid w:val="00DE3F7A"/>
    <w:rsid w:val="00DF6F36"/>
    <w:rsid w:val="00E0084C"/>
    <w:rsid w:val="00E025AB"/>
    <w:rsid w:val="00E02B23"/>
    <w:rsid w:val="00E06F40"/>
    <w:rsid w:val="00E07CE8"/>
    <w:rsid w:val="00E164D0"/>
    <w:rsid w:val="00E24477"/>
    <w:rsid w:val="00E26A07"/>
    <w:rsid w:val="00E32595"/>
    <w:rsid w:val="00E37CFD"/>
    <w:rsid w:val="00E41A26"/>
    <w:rsid w:val="00E42FBB"/>
    <w:rsid w:val="00E46BCB"/>
    <w:rsid w:val="00E51CAF"/>
    <w:rsid w:val="00E60F04"/>
    <w:rsid w:val="00E62AAC"/>
    <w:rsid w:val="00E67C2F"/>
    <w:rsid w:val="00E67EF5"/>
    <w:rsid w:val="00E804EA"/>
    <w:rsid w:val="00E80A71"/>
    <w:rsid w:val="00E82337"/>
    <w:rsid w:val="00E92499"/>
    <w:rsid w:val="00E949AF"/>
    <w:rsid w:val="00E96077"/>
    <w:rsid w:val="00EA0A06"/>
    <w:rsid w:val="00EA6243"/>
    <w:rsid w:val="00EA74AB"/>
    <w:rsid w:val="00EB3D1B"/>
    <w:rsid w:val="00ED1D89"/>
    <w:rsid w:val="00ED66BC"/>
    <w:rsid w:val="00EF233A"/>
    <w:rsid w:val="00EF2DA1"/>
    <w:rsid w:val="00EF303E"/>
    <w:rsid w:val="00EF3A40"/>
    <w:rsid w:val="00EF7F78"/>
    <w:rsid w:val="00F0146C"/>
    <w:rsid w:val="00F01B08"/>
    <w:rsid w:val="00F01C4D"/>
    <w:rsid w:val="00F053FA"/>
    <w:rsid w:val="00F10C97"/>
    <w:rsid w:val="00F11C71"/>
    <w:rsid w:val="00F16019"/>
    <w:rsid w:val="00F20E68"/>
    <w:rsid w:val="00F22093"/>
    <w:rsid w:val="00F236DF"/>
    <w:rsid w:val="00F43AD5"/>
    <w:rsid w:val="00F4402E"/>
    <w:rsid w:val="00F56DD0"/>
    <w:rsid w:val="00F6491C"/>
    <w:rsid w:val="00F67BBB"/>
    <w:rsid w:val="00F80E90"/>
    <w:rsid w:val="00F87D92"/>
    <w:rsid w:val="00F90AA7"/>
    <w:rsid w:val="00F92498"/>
    <w:rsid w:val="00F9496B"/>
    <w:rsid w:val="00F970C9"/>
    <w:rsid w:val="00FA06A8"/>
    <w:rsid w:val="00FA1CA3"/>
    <w:rsid w:val="00FA3DF5"/>
    <w:rsid w:val="00FA741F"/>
    <w:rsid w:val="00FB4E07"/>
    <w:rsid w:val="00FB755A"/>
    <w:rsid w:val="00FC60A2"/>
    <w:rsid w:val="00FD1871"/>
    <w:rsid w:val="00FD3110"/>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8"/>
    <o:shapelayout v:ext="edit">
      <o:idmap v:ext="edit" data="1"/>
    </o:shapelayout>
  </w:shapeDefaults>
  <w:decimalSymbol w:val="."/>
  <w:listSeparator w:val=","/>
  <w14:docId w14:val="090CACBD"/>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paragraph" w:styleId="ListBullet">
    <w:name w:val="List Bullet"/>
    <w:basedOn w:val="Normal"/>
    <w:uiPriority w:val="99"/>
    <w:unhideWhenUsed/>
    <w:rsid w:val="00975EFD"/>
    <w:pPr>
      <w:numPr>
        <w:numId w:val="1"/>
      </w:numPr>
      <w:contextualSpacing/>
    </w:pPr>
  </w:style>
  <w:style w:type="character" w:styleId="CommentReference">
    <w:name w:val="annotation reference"/>
    <w:basedOn w:val="DefaultParagraphFont"/>
    <w:uiPriority w:val="99"/>
    <w:semiHidden/>
    <w:unhideWhenUsed/>
    <w:rsid w:val="00574FA9"/>
    <w:rPr>
      <w:sz w:val="16"/>
      <w:szCs w:val="16"/>
    </w:rPr>
  </w:style>
  <w:style w:type="paragraph" w:styleId="CommentText">
    <w:name w:val="annotation text"/>
    <w:basedOn w:val="Normal"/>
    <w:link w:val="CommentTextChar"/>
    <w:uiPriority w:val="99"/>
    <w:semiHidden/>
    <w:unhideWhenUsed/>
    <w:rsid w:val="00574FA9"/>
    <w:pPr>
      <w:spacing w:line="240" w:lineRule="auto"/>
    </w:pPr>
    <w:rPr>
      <w:szCs w:val="20"/>
    </w:rPr>
  </w:style>
  <w:style w:type="character" w:customStyle="1" w:styleId="CommentTextChar">
    <w:name w:val="Comment Text Char"/>
    <w:basedOn w:val="DefaultParagraphFont"/>
    <w:link w:val="CommentText"/>
    <w:uiPriority w:val="99"/>
    <w:semiHidden/>
    <w:rsid w:val="00574FA9"/>
    <w:rPr>
      <w:szCs w:val="20"/>
    </w:rPr>
  </w:style>
  <w:style w:type="paragraph" w:styleId="Revision">
    <w:name w:val="Revision"/>
    <w:hidden/>
    <w:uiPriority w:val="99"/>
    <w:semiHidden/>
    <w:rsid w:val="00164D6C"/>
    <w:pPr>
      <w:spacing w:after="0" w:line="240" w:lineRule="auto"/>
    </w:pPr>
  </w:style>
  <w:style w:type="paragraph" w:styleId="CommentSubject">
    <w:name w:val="annotation subject"/>
    <w:basedOn w:val="CommentText"/>
    <w:next w:val="CommentText"/>
    <w:link w:val="CommentSubjectChar"/>
    <w:uiPriority w:val="99"/>
    <w:semiHidden/>
    <w:unhideWhenUsed/>
    <w:rsid w:val="00CB2419"/>
    <w:rPr>
      <w:b/>
      <w:bCs/>
    </w:rPr>
  </w:style>
  <w:style w:type="character" w:customStyle="1" w:styleId="CommentSubjectChar">
    <w:name w:val="Comment Subject Char"/>
    <w:basedOn w:val="CommentTextChar"/>
    <w:link w:val="CommentSubject"/>
    <w:uiPriority w:val="99"/>
    <w:semiHidden/>
    <w:rsid w:val="00CB2419"/>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6185">
      <w:bodyDiv w:val="1"/>
      <w:marLeft w:val="0"/>
      <w:marRight w:val="0"/>
      <w:marTop w:val="0"/>
      <w:marBottom w:val="0"/>
      <w:divBdr>
        <w:top w:val="none" w:sz="0" w:space="0" w:color="auto"/>
        <w:left w:val="none" w:sz="0" w:space="0" w:color="auto"/>
        <w:bottom w:val="none" w:sz="0" w:space="0" w:color="auto"/>
        <w:right w:val="none" w:sz="0" w:space="0" w:color="auto"/>
      </w:divBdr>
    </w:div>
    <w:div w:id="638267854">
      <w:bodyDiv w:val="1"/>
      <w:marLeft w:val="0"/>
      <w:marRight w:val="0"/>
      <w:marTop w:val="0"/>
      <w:marBottom w:val="0"/>
      <w:divBdr>
        <w:top w:val="none" w:sz="0" w:space="0" w:color="auto"/>
        <w:left w:val="none" w:sz="0" w:space="0" w:color="auto"/>
        <w:bottom w:val="none" w:sz="0" w:space="0" w:color="auto"/>
        <w:right w:val="none" w:sz="0" w:space="0" w:color="auto"/>
      </w:divBdr>
    </w:div>
    <w:div w:id="747311676">
      <w:bodyDiv w:val="1"/>
      <w:marLeft w:val="0"/>
      <w:marRight w:val="0"/>
      <w:marTop w:val="0"/>
      <w:marBottom w:val="0"/>
      <w:divBdr>
        <w:top w:val="none" w:sz="0" w:space="0" w:color="auto"/>
        <w:left w:val="none" w:sz="0" w:space="0" w:color="auto"/>
        <w:bottom w:val="none" w:sz="0" w:space="0" w:color="auto"/>
        <w:right w:val="none" w:sz="0" w:space="0" w:color="auto"/>
      </w:divBdr>
    </w:div>
    <w:div w:id="749932288">
      <w:bodyDiv w:val="1"/>
      <w:marLeft w:val="0"/>
      <w:marRight w:val="0"/>
      <w:marTop w:val="0"/>
      <w:marBottom w:val="0"/>
      <w:divBdr>
        <w:top w:val="none" w:sz="0" w:space="0" w:color="auto"/>
        <w:left w:val="none" w:sz="0" w:space="0" w:color="auto"/>
        <w:bottom w:val="none" w:sz="0" w:space="0" w:color="auto"/>
        <w:right w:val="none" w:sz="0" w:space="0" w:color="auto"/>
      </w:divBdr>
    </w:div>
    <w:div w:id="1767993513">
      <w:bodyDiv w:val="1"/>
      <w:marLeft w:val="0"/>
      <w:marRight w:val="0"/>
      <w:marTop w:val="0"/>
      <w:marBottom w:val="0"/>
      <w:divBdr>
        <w:top w:val="none" w:sz="0" w:space="0" w:color="auto"/>
        <w:left w:val="none" w:sz="0" w:space="0" w:color="auto"/>
        <w:bottom w:val="none" w:sz="0" w:space="0" w:color="auto"/>
        <w:right w:val="none" w:sz="0" w:space="0" w:color="auto"/>
      </w:divBdr>
    </w:div>
    <w:div w:id="1889796917">
      <w:bodyDiv w:val="1"/>
      <w:marLeft w:val="0"/>
      <w:marRight w:val="0"/>
      <w:marTop w:val="0"/>
      <w:marBottom w:val="0"/>
      <w:divBdr>
        <w:top w:val="none" w:sz="0" w:space="0" w:color="auto"/>
        <w:left w:val="none" w:sz="0" w:space="0" w:color="auto"/>
        <w:bottom w:val="none" w:sz="0" w:space="0" w:color="auto"/>
        <w:right w:val="none" w:sz="0" w:space="0" w:color="auto"/>
      </w:divBdr>
    </w:div>
    <w:div w:id="212804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AFDA0D035B7B49FBAB3EFA58729AD95B"/>
        <w:category>
          <w:name w:val="General"/>
          <w:gallery w:val="placeholder"/>
        </w:category>
        <w:types>
          <w:type w:val="bbPlcHdr"/>
        </w:types>
        <w:behaviors>
          <w:behavior w:val="content"/>
        </w:behaviors>
        <w:guid w:val="{2954F363-AF41-4BE5-AFCD-3C37A0C29195}"/>
      </w:docPartPr>
      <w:docPartBody>
        <w:p w:rsidR="00F80BBA" w:rsidRDefault="000F418E" w:rsidP="000F418E">
          <w:pPr>
            <w:pStyle w:val="AFDA0D035B7B49FBAB3EFA58729AD95B"/>
          </w:pPr>
          <w:r>
            <w:rPr>
              <w:rStyle w:val="PlaceholderText"/>
            </w:rPr>
            <w:t>Has this value changed?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0F418E"/>
    <w:rsid w:val="00A21FB4"/>
    <w:rsid w:val="00A939B1"/>
    <w:rsid w:val="00D21A9F"/>
    <w:rsid w:val="00F80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18E"/>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9BC95B8A57274977825E19DD8A4E9FD3">
    <w:name w:val="9BC95B8A57274977825E19DD8A4E9FD3"/>
    <w:rsid w:val="00A21FB4"/>
  </w:style>
  <w:style w:type="paragraph" w:customStyle="1" w:styleId="F4BE5C672BF840A0A070F3CEEB7BFDBF">
    <w:name w:val="F4BE5C672BF840A0A070F3CEEB7BFDBF"/>
    <w:rsid w:val="00A21FB4"/>
  </w:style>
  <w:style w:type="paragraph" w:customStyle="1" w:styleId="E7038AA18B6E413A8B2C92F1513954F0">
    <w:name w:val="E7038AA18B6E413A8B2C92F1513954F0"/>
    <w:rsid w:val="00A21FB4"/>
  </w:style>
  <w:style w:type="paragraph" w:customStyle="1" w:styleId="C88607E88A5E41FA8A46315A60935720">
    <w:name w:val="C88607E88A5E41FA8A46315A60935720"/>
    <w:rsid w:val="00A21FB4"/>
  </w:style>
  <w:style w:type="paragraph" w:customStyle="1" w:styleId="2E1A5419D4F84975A91F96FB5E22553C">
    <w:name w:val="2E1A5419D4F84975A91F96FB5E22553C"/>
    <w:rsid w:val="00A21FB4"/>
  </w:style>
  <w:style w:type="paragraph" w:customStyle="1" w:styleId="CC8661EF3B6A421DA7924DB8904427BE">
    <w:name w:val="CC8661EF3B6A421DA7924DB8904427BE"/>
    <w:rsid w:val="00A21FB4"/>
  </w:style>
  <w:style w:type="paragraph" w:customStyle="1" w:styleId="5AA2E38237BB4BF6926182DF9E16BD9E">
    <w:name w:val="5AA2E38237BB4BF6926182DF9E16BD9E"/>
    <w:rsid w:val="00A21FB4"/>
  </w:style>
  <w:style w:type="paragraph" w:customStyle="1" w:styleId="5196EAF266AD48068C469ABE38AF9DDB">
    <w:name w:val="5196EAF266AD48068C469ABE38AF9DDB"/>
    <w:rsid w:val="00A21FB4"/>
  </w:style>
  <w:style w:type="paragraph" w:customStyle="1" w:styleId="FBE6BD2981CF4FEFB57B360BFAF71AEB">
    <w:name w:val="FBE6BD2981CF4FEFB57B360BFAF71AEB"/>
    <w:rsid w:val="00A21FB4"/>
  </w:style>
  <w:style w:type="paragraph" w:customStyle="1" w:styleId="63944BC08CAD48BBADC027219DBCE902">
    <w:name w:val="63944BC08CAD48BBADC027219DBCE902"/>
    <w:rsid w:val="00A21FB4"/>
  </w:style>
  <w:style w:type="paragraph" w:customStyle="1" w:styleId="24E1A6FCA3AC4F90BFDDE17DA5B4EE51">
    <w:name w:val="24E1A6FCA3AC4F90BFDDE17DA5B4EE51"/>
    <w:rsid w:val="00A21FB4"/>
  </w:style>
  <w:style w:type="paragraph" w:customStyle="1" w:styleId="AFDA0D035B7B49FBAB3EFA58729AD95B">
    <w:name w:val="AFDA0D035B7B49FBAB3EFA58729AD95B"/>
    <w:rsid w:val="000F41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2.xml><?xml version="1.0" encoding="utf-8"?>
<ds:datastoreItem xmlns:ds="http://schemas.openxmlformats.org/officeDocument/2006/customXml" ds:itemID="{B26FD3B4-E5FF-44D0-A85D-1656AEB7AF7B}">
  <ds:schemaRefs>
    <ds:schemaRef ds:uri="http://schemas.microsoft.com/office/2006/documentManagement/types"/>
    <ds:schemaRef ds:uri="http://purl.org/dc/terms/"/>
    <ds:schemaRef ds:uri="http://schemas.openxmlformats.org/package/2006/metadata/core-properties"/>
    <ds:schemaRef ds:uri="http://purl.org/dc/dcmitype/"/>
    <ds:schemaRef ds:uri="bf54d604-3e62-4e70-ba33-9e9084b96a66"/>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81D5CD7-38CF-419B-9D65-F84D4227D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4C275-EE71-456C-A193-6DEBF4E7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E931A66F.dotm</Template>
  <TotalTime>594</TotalTime>
  <Pages>6</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WARING,Owen</cp:lastModifiedBy>
  <cp:revision>29</cp:revision>
  <cp:lastPrinted>2018-10-22T22:41:00Z</cp:lastPrinted>
  <dcterms:created xsi:type="dcterms:W3CDTF">2019-09-09T23:40:00Z</dcterms:created>
  <dcterms:modified xsi:type="dcterms:W3CDTF">2020-01-30T01:46:00Z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