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A83DFA5" w14:textId="5C4EBEEF" w:rsidR="00BD499F" w:rsidRPr="004C23F4" w:rsidRDefault="004D1B0E" w:rsidP="00B40C60">
          <w:pPr>
            <w:pStyle w:val="Heading1"/>
            <w:jc w:val="center"/>
            <w:rPr>
              <w:rFonts w:ascii="Arial" w:hAnsi="Arial" w:cs="Arial"/>
            </w:rPr>
          </w:pPr>
          <w:r w:rsidRPr="004D1B0E">
            <w:rPr>
              <w:rFonts w:ascii="Arial" w:hAnsi="Arial" w:cs="Arial"/>
            </w:rPr>
            <w:t>Methyl bromide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240D8401" w14:textId="77777777" w:rsidTr="008310E0">
        <w:trPr>
          <w:cantSplit/>
          <w:tblHeader/>
        </w:trPr>
        <w:tc>
          <w:tcPr>
            <w:tcW w:w="3974" w:type="dxa"/>
          </w:tcPr>
          <w:p w14:paraId="3027BBB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2" w:type="dxa"/>
          </w:tcPr>
          <w:p w14:paraId="7F596891" w14:textId="14467929" w:rsidR="00F43AD5" w:rsidRPr="00717D45" w:rsidRDefault="004D1B0E" w:rsidP="00B76A41">
            <w:pPr>
              <w:pStyle w:val="Tablefont"/>
            </w:pPr>
            <w:r w:rsidRPr="004D1B0E">
              <w:t>74-83-9</w:t>
            </w:r>
          </w:p>
        </w:tc>
      </w:tr>
      <w:tr w:rsidR="00F43AD5" w:rsidRPr="004C23F4" w14:paraId="122918D2" w14:textId="77777777" w:rsidTr="008310E0">
        <w:trPr>
          <w:cantSplit/>
        </w:trPr>
        <w:tc>
          <w:tcPr>
            <w:tcW w:w="3974" w:type="dxa"/>
          </w:tcPr>
          <w:p w14:paraId="358DE19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2" w:type="dxa"/>
          </w:tcPr>
          <w:p w14:paraId="1F1560A3" w14:textId="41DEB467" w:rsidR="00F43AD5" w:rsidRPr="00717D45" w:rsidRDefault="004D1B0E" w:rsidP="00B76A41">
            <w:pPr>
              <w:pStyle w:val="Tablefont"/>
            </w:pPr>
            <w:r>
              <w:t>Bromo</w:t>
            </w:r>
            <w:r w:rsidR="006963CC">
              <w:t>m</w:t>
            </w:r>
            <w:r>
              <w:t>ethane, monobromomethane</w:t>
            </w:r>
            <w:r w:rsidR="006963CC">
              <w:t>, MeBr</w:t>
            </w:r>
          </w:p>
        </w:tc>
      </w:tr>
      <w:tr w:rsidR="00F43AD5" w:rsidRPr="004C23F4" w14:paraId="3D646859" w14:textId="77777777" w:rsidTr="008310E0">
        <w:trPr>
          <w:cantSplit/>
        </w:trPr>
        <w:tc>
          <w:tcPr>
            <w:tcW w:w="3974" w:type="dxa"/>
          </w:tcPr>
          <w:p w14:paraId="4DA9EE54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2" w:type="dxa"/>
          </w:tcPr>
          <w:p w14:paraId="0B28F5A5" w14:textId="669508B8" w:rsidR="00F43AD5" w:rsidRPr="00717D45" w:rsidRDefault="004D1B0E" w:rsidP="00B76A41">
            <w:pPr>
              <w:pStyle w:val="Tablefont"/>
            </w:pPr>
            <w:r>
              <w:t>CH</w:t>
            </w:r>
            <w:r w:rsidRPr="004D1B0E">
              <w:rPr>
                <w:vertAlign w:val="subscript"/>
              </w:rPr>
              <w:t>3</w:t>
            </w:r>
            <w:r>
              <w:t>Br</w:t>
            </w:r>
          </w:p>
        </w:tc>
      </w:tr>
    </w:tbl>
    <w:p w14:paraId="19BB5C2B" w14:textId="323DB88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A6678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6575E31" w14:textId="77777777" w:rsidTr="005D4A68">
        <w:trPr>
          <w:cantSplit/>
          <w:tblHeader/>
        </w:trPr>
        <w:tc>
          <w:tcPr>
            <w:tcW w:w="4005" w:type="dxa"/>
            <w:vAlign w:val="center"/>
          </w:tcPr>
          <w:p w14:paraId="43CB96C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464B3EC" w14:textId="20BAFD24" w:rsidR="002C7AFE" w:rsidRPr="009A6678" w:rsidRDefault="009A667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(3.89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03FFEBEF" w14:textId="77777777" w:rsidTr="005D4A68">
        <w:trPr>
          <w:cantSplit/>
        </w:trPr>
        <w:tc>
          <w:tcPr>
            <w:tcW w:w="4005" w:type="dxa"/>
            <w:vAlign w:val="center"/>
          </w:tcPr>
          <w:p w14:paraId="70C5689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049A305" w14:textId="268DC648" w:rsidR="002C7AFE" w:rsidRPr="00EB3D1B" w:rsidRDefault="009A667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502998B0" w14:textId="77777777" w:rsidTr="005D4A68">
        <w:trPr>
          <w:cantSplit/>
        </w:trPr>
        <w:tc>
          <w:tcPr>
            <w:tcW w:w="4005" w:type="dxa"/>
            <w:vAlign w:val="center"/>
          </w:tcPr>
          <w:p w14:paraId="0C0ADFA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1831F8FC" w14:textId="3C77A942" w:rsidR="002C7AFE" w:rsidRPr="00EB3D1B" w:rsidRDefault="009A6678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22020E0" w14:textId="77777777" w:rsidTr="005D4A68">
        <w:trPr>
          <w:cantSplit/>
        </w:trPr>
        <w:tc>
          <w:tcPr>
            <w:tcW w:w="4005" w:type="dxa"/>
          </w:tcPr>
          <w:p w14:paraId="66D37A2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A02A27B" w14:textId="5102A6CB" w:rsidR="002C7AFE" w:rsidRPr="00EB3D1B" w:rsidRDefault="00E92471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5FA9B3C1" w14:textId="77777777" w:rsidTr="005D4A68">
        <w:trPr>
          <w:cantSplit/>
        </w:trPr>
        <w:tc>
          <w:tcPr>
            <w:tcW w:w="4005" w:type="dxa"/>
            <w:vAlign w:val="center"/>
          </w:tcPr>
          <w:p w14:paraId="159A033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0797C7D" w14:textId="3F825305" w:rsidR="002C7AFE" w:rsidRPr="00EB3D1B" w:rsidRDefault="004D1B0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250 ppm </w:t>
            </w:r>
          </w:p>
        </w:tc>
      </w:tr>
      <w:tr w:rsidR="005D4A68" w:rsidRPr="004C23F4" w14:paraId="50D8C3EF" w14:textId="77777777" w:rsidTr="003B52BB">
        <w:trPr>
          <w:cantSplit/>
        </w:trPr>
        <w:tc>
          <w:tcPr>
            <w:tcW w:w="9026" w:type="dxa"/>
            <w:gridSpan w:val="2"/>
            <w:vAlign w:val="center"/>
          </w:tcPr>
          <w:p w14:paraId="22C0931F" w14:textId="1872EE59" w:rsidR="005D4A68" w:rsidRPr="00EB3D1B" w:rsidRDefault="005D4A68" w:rsidP="00017C82">
            <w:pPr>
              <w:pStyle w:val="Tablefont"/>
              <w:rPr>
                <w:b/>
              </w:rPr>
            </w:pPr>
            <w:r w:rsidRPr="005D4A68">
              <w:rPr>
                <w:b/>
              </w:rPr>
              <w:t>Sampling and analysis:</w:t>
            </w:r>
            <w: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26C4AD4F44B4427C95004705A283BB5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963C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6E1801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3FBCB26" w14:textId="6FB995B1" w:rsidR="006639B4" w:rsidRPr="005D4A68" w:rsidRDefault="005D4A68" w:rsidP="000C139A">
      <w:pPr>
        <w:rPr>
          <w:rFonts w:cs="Arial"/>
        </w:rPr>
      </w:pPr>
      <w:r>
        <w:rPr>
          <w:rFonts w:cs="Arial"/>
        </w:rPr>
        <w:t>A TWA of 1 ppm (3.89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 w:rsidR="003C7696">
        <w:rPr>
          <w:rFonts w:cs="Arial"/>
        </w:rPr>
        <w:t>irritation of the</w:t>
      </w:r>
      <w:r>
        <w:rPr>
          <w:rFonts w:cs="Arial"/>
        </w:rPr>
        <w:t xml:space="preserve"> skin and respiratory tract in exposed workers.</w:t>
      </w:r>
    </w:p>
    <w:p w14:paraId="5DAD2DA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18632DD" w14:textId="3DB08E2E" w:rsidR="00B90133" w:rsidRDefault="00E92471" w:rsidP="006639B4">
      <w:r>
        <w:rPr>
          <w:rFonts w:cs="Arial"/>
        </w:rPr>
        <w:t>Methyl bromide i</w:t>
      </w:r>
      <w:r>
        <w:t>s used as a fumigant</w:t>
      </w:r>
      <w:r w:rsidR="003C7696">
        <w:t>,</w:t>
      </w:r>
      <w:r>
        <w:t xml:space="preserve"> and historically as a refrigerant and fire extinguisher</w:t>
      </w:r>
      <w:r w:rsidR="003C7696">
        <w:t>;</w:t>
      </w:r>
      <w:r>
        <w:t xml:space="preserve"> however</w:t>
      </w:r>
      <w:r w:rsidR="003C7696">
        <w:t>,</w:t>
      </w:r>
      <w:r>
        <w:t xml:space="preserve"> this use is discontinued. </w:t>
      </w:r>
    </w:p>
    <w:p w14:paraId="74417938" w14:textId="34DF5ED3" w:rsidR="00B90133" w:rsidRDefault="00E92471" w:rsidP="006639B4">
      <w:r>
        <w:t xml:space="preserve">Critical effects </w:t>
      </w:r>
      <w:r w:rsidR="00B90133">
        <w:t xml:space="preserve">of exposure </w:t>
      </w:r>
      <w:r>
        <w:t xml:space="preserve">include </w:t>
      </w:r>
      <w:r w:rsidR="00724D48">
        <w:t xml:space="preserve">pulmonary oedema, muscle weakness, pain, loss of coordination and gait, convulsions, hyperthermia and coma. </w:t>
      </w:r>
      <w:r w:rsidR="00B90133">
        <w:t xml:space="preserve">It can be absorbed through clothing and cause burns when in liquid form. </w:t>
      </w:r>
      <w:r w:rsidR="00724D48">
        <w:t xml:space="preserve">Results from both </w:t>
      </w:r>
      <w:r w:rsidR="00724D48">
        <w:rPr>
          <w:i/>
        </w:rPr>
        <w:t xml:space="preserve">in vivo </w:t>
      </w:r>
      <w:r w:rsidR="00724D48">
        <w:t xml:space="preserve">and </w:t>
      </w:r>
      <w:r w:rsidR="00724D48">
        <w:rPr>
          <w:i/>
        </w:rPr>
        <w:t>in vitro</w:t>
      </w:r>
      <w:r w:rsidR="00724D48">
        <w:t xml:space="preserve"> tests, show it is clearly genotoxic (ACGIH, 2001).</w:t>
      </w:r>
      <w:r w:rsidR="00B90133">
        <w:t xml:space="preserve"> </w:t>
      </w:r>
      <w:r w:rsidR="00724D48">
        <w:t xml:space="preserve">No NOAEC </w:t>
      </w:r>
      <w:r w:rsidR="00B90133">
        <w:t>are</w:t>
      </w:r>
      <w:r w:rsidR="00724D48">
        <w:t xml:space="preserve"> available from human studies</w:t>
      </w:r>
      <w:r w:rsidR="00B90133">
        <w:t>.</w:t>
      </w:r>
      <w:r w:rsidR="00E4460B">
        <w:t xml:space="preserve"> </w:t>
      </w:r>
      <w:r w:rsidR="00B90133">
        <w:t>H</w:t>
      </w:r>
      <w:r w:rsidR="00E4460B">
        <w:t>owever</w:t>
      </w:r>
      <w:r w:rsidR="00B90133">
        <w:t>,</w:t>
      </w:r>
      <w:r w:rsidR="00E4460B">
        <w:t xml:space="preserve"> evidence from animal inhalation studies report a NOAEC of 3 ppm</w:t>
      </w:r>
      <w:r w:rsidR="00B6469A">
        <w:t>, based on irritation as the most sensitive endpoint</w:t>
      </w:r>
      <w:r w:rsidR="00E4460B">
        <w:t xml:space="preserve"> (DFG, 2010). </w:t>
      </w:r>
    </w:p>
    <w:p w14:paraId="64FCFFEE" w14:textId="37012A22" w:rsidR="00724D48" w:rsidRPr="004C23F4" w:rsidRDefault="00795A23" w:rsidP="006639B4">
      <w:pPr>
        <w:rPr>
          <w:rFonts w:cs="Arial"/>
        </w:rPr>
      </w:pPr>
      <w:r>
        <w:t xml:space="preserve">DFG (2010) derived a </w:t>
      </w:r>
      <w:r w:rsidR="00E4460B">
        <w:t xml:space="preserve">TWA </w:t>
      </w:r>
      <w:r w:rsidR="00B90133">
        <w:t xml:space="preserve">of 1 ppm </w:t>
      </w:r>
      <w:r w:rsidR="00B90133">
        <w:rPr>
          <w:rFonts w:cs="Arial"/>
        </w:rPr>
        <w:t>(3.89 mg/m</w:t>
      </w:r>
      <w:r w:rsidR="00B90133">
        <w:rPr>
          <w:rFonts w:cs="Arial"/>
          <w:vertAlign w:val="superscript"/>
        </w:rPr>
        <w:t>3</w:t>
      </w:r>
      <w:r w:rsidR="00B90133">
        <w:rPr>
          <w:rFonts w:cs="Arial"/>
        </w:rPr>
        <w:t xml:space="preserve">) </w:t>
      </w:r>
      <w:r>
        <w:rPr>
          <w:rFonts w:cs="Arial"/>
        </w:rPr>
        <w:t>which is consistent with the TLV-TWA derived by ACGIH (2001</w:t>
      </w:r>
      <w:r w:rsidR="003C7696">
        <w:rPr>
          <w:rFonts w:cs="Arial"/>
        </w:rPr>
        <w:t>) and</w:t>
      </w:r>
      <w:r>
        <w:rPr>
          <w:rFonts w:cs="Arial"/>
        </w:rPr>
        <w:t xml:space="preserve"> </w:t>
      </w:r>
      <w:r w:rsidR="00E4460B">
        <w:t xml:space="preserve">is recommended </w:t>
      </w:r>
      <w:r>
        <w:t>to be adopted</w:t>
      </w:r>
      <w:r w:rsidR="003C7696">
        <w:t>. This TWA</w:t>
      </w:r>
      <w:r w:rsidR="00E4460B">
        <w:t xml:space="preserve"> is considered </w:t>
      </w:r>
      <w:r w:rsidR="00B6469A">
        <w:t>sufficiently</w:t>
      </w:r>
      <w:r w:rsidR="00E4460B">
        <w:t xml:space="preserve"> low enough to </w:t>
      </w:r>
      <w:r w:rsidR="00B6469A">
        <w:t>account for</w:t>
      </w:r>
      <w:r w:rsidR="00B90133">
        <w:t xml:space="preserve"> all</w:t>
      </w:r>
      <w:r w:rsidR="00B6469A">
        <w:t xml:space="preserve"> irritat</w:t>
      </w:r>
      <w:r w:rsidR="003C7696">
        <w:t>ion</w:t>
      </w:r>
      <w:r w:rsidR="00B6469A">
        <w:t xml:space="preserve"> effects.</w:t>
      </w:r>
    </w:p>
    <w:p w14:paraId="08A8E5B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9508FEF" w14:textId="768C6B2B" w:rsidR="004D1B0E" w:rsidRDefault="004D1B0E" w:rsidP="004D1B0E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E92471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12AE9F77" w14:textId="2C62F7AE" w:rsidR="004D1B0E" w:rsidRDefault="004D1B0E" w:rsidP="004D1B0E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E92471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50285153" w14:textId="5E3DB07C" w:rsidR="004D1B0E" w:rsidRDefault="00E92471" w:rsidP="004D1B0E">
      <w:pPr>
        <w:rPr>
          <w:rFonts w:cs="Arial"/>
        </w:rPr>
      </w:pPr>
      <w:r w:rsidRPr="00E92471">
        <w:rPr>
          <w:rFonts w:cs="Arial"/>
        </w:rPr>
        <w:t xml:space="preserve">A skin notation is </w:t>
      </w:r>
      <w:r>
        <w:rPr>
          <w:rFonts w:cs="Arial"/>
        </w:rPr>
        <w:t>recommended</w:t>
      </w:r>
      <w:r w:rsidRPr="00E92471">
        <w:rPr>
          <w:rFonts w:cs="Arial"/>
        </w:rPr>
        <w:t xml:space="preserve"> as evidence indicates absorption through the skin and reports of poisonings in the workplace</w:t>
      </w:r>
      <w:r w:rsidR="004D1B0E">
        <w:rPr>
          <w:rFonts w:cs="Arial"/>
        </w:rPr>
        <w:t>.</w:t>
      </w:r>
    </w:p>
    <w:p w14:paraId="6DD10E9A" w14:textId="77777777" w:rsidR="0025734A" w:rsidRPr="004C23F4" w:rsidRDefault="0025734A">
      <w:pPr>
        <w:rPr>
          <w:rFonts w:cs="Arial"/>
        </w:rPr>
      </w:pPr>
    </w:p>
    <w:p w14:paraId="4F8AD18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B94215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CCF305E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26DE55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37F3700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81F64A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D037153" w14:textId="501BFA30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D1B0E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D1B0E">
                  <w:t>TWA: 5 ppm (19 mg/m</w:t>
                </w:r>
                <w:r w:rsidR="004D1B0E" w:rsidRPr="004D1B0E">
                  <w:rPr>
                    <w:vertAlign w:val="superscript"/>
                  </w:rPr>
                  <w:t>3</w:t>
                </w:r>
                <w:r w:rsidR="004D1B0E">
                  <w:t>)</w:t>
                </w:r>
              </w:sdtContent>
            </w:sdt>
          </w:p>
        </w:tc>
      </w:tr>
      <w:tr w:rsidR="00C978F0" w:rsidRPr="00DA352E" w14:paraId="7D3AA86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644869" w14:textId="6E5CFBEF" w:rsidR="00D7036A" w:rsidRPr="00DA352E" w:rsidRDefault="00D7036A" w:rsidP="00D7036A">
            <w:pPr>
              <w:pStyle w:val="Tabletextprimarysource"/>
            </w:pPr>
          </w:p>
        </w:tc>
      </w:tr>
      <w:tr w:rsidR="00C978F0" w:rsidRPr="00DA352E" w14:paraId="2303A36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5B6377" w14:textId="15D41C7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D1B0E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D1B0E">
                  <w:t>TLV-TWA: 1 ppm (3.89 mg/m</w:t>
                </w:r>
                <w:r w:rsidR="004D1B0E" w:rsidRPr="004D1B0E">
                  <w:rPr>
                    <w:vertAlign w:val="superscript"/>
                  </w:rPr>
                  <w:t>3</w:t>
                </w:r>
                <w:r w:rsidR="004D1B0E">
                  <w:t>)</w:t>
                </w:r>
              </w:sdtContent>
            </w:sdt>
          </w:p>
        </w:tc>
      </w:tr>
      <w:tr w:rsidR="00C978F0" w:rsidRPr="00DA352E" w14:paraId="44D456F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E6995E" w14:textId="23B4BDCC" w:rsidR="00D7036A" w:rsidRDefault="00D7036A" w:rsidP="00D7036A">
            <w:pPr>
              <w:pStyle w:val="Tabletextprimarysource"/>
            </w:pPr>
            <w:r>
              <w:t>TLV-TWA recommended to minimise irritant effects associated with skin and respiratory tract in exposed workers.</w:t>
            </w:r>
          </w:p>
          <w:p w14:paraId="2EE06924" w14:textId="77777777" w:rsidR="00D7036A" w:rsidRDefault="00D7036A" w:rsidP="00D7036A">
            <w:pPr>
              <w:pStyle w:val="Tabletextprimarysource"/>
            </w:pPr>
            <w:r>
              <w:t>Summary of data:</w:t>
            </w:r>
          </w:p>
          <w:p w14:paraId="32ED6B09" w14:textId="77777777" w:rsidR="00C978F0" w:rsidRDefault="00D7036A" w:rsidP="00D7036A">
            <w:pPr>
              <w:pStyle w:val="Tabletextprimarysource"/>
            </w:pPr>
            <w:r>
              <w:t>Human studies:</w:t>
            </w:r>
          </w:p>
          <w:p w14:paraId="67F6382A" w14:textId="77777777" w:rsidR="00B90133" w:rsidRDefault="006A06D1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Pulmonary oedema is primary issue with acute poisoning</w:t>
            </w:r>
          </w:p>
          <w:p w14:paraId="30AF7B67" w14:textId="48FAD86A" w:rsidR="00D7036A" w:rsidRDefault="00B90133" w:rsidP="008310E0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o</w:t>
            </w:r>
            <w:r w:rsidR="006A06D1">
              <w:t>ther symptoms include muscle weakness, pain, loss of coordination and gait, convulsions, hyperthermia and coma</w:t>
            </w:r>
          </w:p>
          <w:p w14:paraId="63013339" w14:textId="6FEA3398" w:rsidR="006A06D1" w:rsidRDefault="006A06D1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Reports that symptoms of acute poisoning persistent for several months before recovery occurred, whilst other cases were irreversible</w:t>
            </w:r>
          </w:p>
          <w:p w14:paraId="73B574F9" w14:textId="25CA4B6A" w:rsidR="006A06D1" w:rsidRDefault="006A06D1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of mild systemic poisoning in 90 workers exposed for 2 wk at concentrations generally &lt;35 ppm</w:t>
            </w:r>
          </w:p>
          <w:p w14:paraId="50BFA7B8" w14:textId="30FA2B1E" w:rsidR="00B90133" w:rsidRDefault="00282B9A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Liquid </w:t>
            </w:r>
            <w:r w:rsidR="003C7696">
              <w:t>form</w:t>
            </w:r>
            <w:r>
              <w:t xml:space="preserve"> caused superficial burns, penetrating through clothing </w:t>
            </w:r>
          </w:p>
          <w:p w14:paraId="66894DFC" w14:textId="5CB96985" w:rsidR="00282B9A" w:rsidRDefault="00282B9A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Occupational exposure in 6 people to </w:t>
            </w:r>
            <w:r w:rsidR="006963CC">
              <w:t>~</w:t>
            </w:r>
            <w:r>
              <w:t>35 g/m</w:t>
            </w:r>
            <w:r>
              <w:rPr>
                <w:vertAlign w:val="superscript"/>
              </w:rPr>
              <w:t>3</w:t>
            </w:r>
            <w:r>
              <w:t xml:space="preserve"> (9,000 ppm) during 40 min fumigation caused skin lesions and a strong indicator of dermal absorption</w:t>
            </w:r>
            <w:r w:rsidR="00E24EA1">
              <w:t>.</w:t>
            </w:r>
          </w:p>
          <w:p w14:paraId="6AAAF219" w14:textId="77777777" w:rsidR="00282B9A" w:rsidRDefault="00282B9A" w:rsidP="008310E0">
            <w:pPr>
              <w:pStyle w:val="Tabletextprimarysource"/>
            </w:pPr>
            <w:r>
              <w:t>Animal studies:</w:t>
            </w:r>
          </w:p>
          <w:p w14:paraId="43DA967F" w14:textId="3D944C23" w:rsidR="00282B9A" w:rsidRDefault="00EE24D4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Prolonged single exposure </w:t>
            </w:r>
            <w:r w:rsidR="003C7696">
              <w:t>at</w:t>
            </w:r>
            <w:r>
              <w:t xml:space="preserve"> &gt;260</w:t>
            </w:r>
            <w:r w:rsidR="003C7696">
              <w:t>–</w:t>
            </w:r>
            <w:r>
              <w:t xml:space="preserve">500 ppm fatal in </w:t>
            </w:r>
            <w:r w:rsidR="005F2060">
              <w:t>r</w:t>
            </w:r>
            <w:r>
              <w:t>ats, rabbits and guinea pigs</w:t>
            </w:r>
          </w:p>
          <w:p w14:paraId="0E3E1AA0" w14:textId="5343695E" w:rsidR="00EE24D4" w:rsidRDefault="00EE24D4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1,200 ppm (mice, 1 h); NOEL = 444 ppm</w:t>
            </w:r>
          </w:p>
          <w:p w14:paraId="1DACA513" w14:textId="77777777" w:rsidR="00B90133" w:rsidRDefault="008D0641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and guinea pigs showed no toxic effects at 64 ppm</w:t>
            </w:r>
            <w:r w:rsidR="006963CC">
              <w:t xml:space="preserve">, </w:t>
            </w:r>
            <w:r>
              <w:t>7</w:t>
            </w:r>
            <w:r w:rsidR="00E24EA1">
              <w:t>–</w:t>
            </w:r>
            <w:r>
              <w:t>8 h/d for 6 mo</w:t>
            </w:r>
          </w:p>
          <w:p w14:paraId="2659B3EF" w14:textId="7D39A617" w:rsidR="008D0641" w:rsidRDefault="00B90133" w:rsidP="008310E0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m</w:t>
            </w:r>
            <w:r w:rsidR="008D0641">
              <w:t>onkeys not affected at 33 ppm</w:t>
            </w:r>
            <w:r w:rsidR="001178D5">
              <w:t xml:space="preserve">; </w:t>
            </w:r>
            <w:r w:rsidR="008D0641">
              <w:t>rabbits not affected at 16 ppm</w:t>
            </w:r>
          </w:p>
          <w:p w14:paraId="21EB952F" w14:textId="3F1D74BC" w:rsidR="008D0641" w:rsidRDefault="008D0641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Inhalation study over 2 yr in mice (6 h/d, 5 d/wk) ind</w:t>
            </w:r>
            <w:r w:rsidR="00980610">
              <w:t>icated no adverse effects at 33 </w:t>
            </w:r>
            <w:r>
              <w:t>ppm</w:t>
            </w:r>
          </w:p>
          <w:p w14:paraId="23A41087" w14:textId="1B4C518C" w:rsidR="006E576A" w:rsidRDefault="008D0641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Clearly genotoxic in both </w:t>
            </w:r>
            <w:r>
              <w:rPr>
                <w:i/>
              </w:rPr>
              <w:t xml:space="preserve">in vivo </w:t>
            </w:r>
            <w:r>
              <w:t xml:space="preserve">and </w:t>
            </w:r>
            <w:r>
              <w:rPr>
                <w:i/>
              </w:rPr>
              <w:t>in vitro</w:t>
            </w:r>
            <w:r>
              <w:t xml:space="preserve"> tests</w:t>
            </w:r>
            <w:r w:rsidR="0067573E">
              <w:t xml:space="preserve">; positive results in </w:t>
            </w:r>
            <w:r w:rsidR="0067573E">
              <w:rPr>
                <w:i/>
              </w:rPr>
              <w:t>Salmonella</w:t>
            </w:r>
            <w:r w:rsidR="0067573E">
              <w:t xml:space="preserve"> and </w:t>
            </w:r>
            <w:r w:rsidR="0067573E">
              <w:rPr>
                <w:i/>
              </w:rPr>
              <w:t>Drosophila</w:t>
            </w:r>
            <w:r w:rsidR="0067573E">
              <w:t xml:space="preserve"> gene mutation assays and </w:t>
            </w:r>
            <w:r w:rsidR="003C7696">
              <w:t>SCE</w:t>
            </w:r>
            <w:r w:rsidR="006E576A">
              <w:t>.</w:t>
            </w:r>
          </w:p>
          <w:p w14:paraId="4AA1428D" w14:textId="77777777" w:rsidR="003C7696" w:rsidRDefault="003C7696" w:rsidP="006E576A">
            <w:pPr>
              <w:pStyle w:val="Tabletextprimarysource"/>
            </w:pPr>
          </w:p>
          <w:p w14:paraId="3E6577FC" w14:textId="5CCAC391" w:rsidR="00B90133" w:rsidRDefault="003C7696" w:rsidP="006E576A">
            <w:pPr>
              <w:pStyle w:val="Tabletextprimarysource"/>
            </w:pPr>
            <w:r>
              <w:t>D</w:t>
            </w:r>
            <w:r w:rsidR="00795A23">
              <w:t>erivation TLV-TWA was not reported by ACGIH, although consistent with MAK by DFG.</w:t>
            </w:r>
          </w:p>
          <w:p w14:paraId="43A95510" w14:textId="77777777" w:rsidR="00795A23" w:rsidRDefault="00795A23" w:rsidP="006E576A">
            <w:pPr>
              <w:pStyle w:val="Tabletextprimarysource"/>
            </w:pPr>
          </w:p>
          <w:p w14:paraId="54368DE8" w14:textId="77777777" w:rsidR="00EE24D4" w:rsidRDefault="006E576A" w:rsidP="006E576A">
            <w:pPr>
              <w:pStyle w:val="Tabletextprimarysource"/>
            </w:pPr>
            <w:r>
              <w:t>Skin notation warranted based on toxic quantities absorbed in workers wearing respirators. Insufficient data to recommend a SEN notation or TLV-STEL.</w:t>
            </w:r>
            <w:r w:rsidR="008D0641">
              <w:t xml:space="preserve"> </w:t>
            </w:r>
          </w:p>
          <w:p w14:paraId="5D9F56DD" w14:textId="5A7BA35A" w:rsidR="00B90133" w:rsidRPr="00DA352E" w:rsidRDefault="00B90133" w:rsidP="006E576A">
            <w:pPr>
              <w:pStyle w:val="Tabletextprimarysource"/>
            </w:pPr>
          </w:p>
        </w:tc>
      </w:tr>
      <w:tr w:rsidR="00C978F0" w:rsidRPr="00DA352E" w14:paraId="3AC1D81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1842A8" w14:textId="0DD3764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D1B0E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D1B0E">
                  <w:t>MAK: 1 ppm (3.9 mg/m</w:t>
                </w:r>
                <w:r w:rsidR="004D1B0E" w:rsidRPr="004D1B0E">
                  <w:rPr>
                    <w:vertAlign w:val="superscript"/>
                  </w:rPr>
                  <w:t>3</w:t>
                </w:r>
                <w:r w:rsidR="004D1B0E">
                  <w:t>)</w:t>
                </w:r>
              </w:sdtContent>
            </w:sdt>
          </w:p>
        </w:tc>
      </w:tr>
      <w:tr w:rsidR="00C978F0" w:rsidRPr="00DA352E" w14:paraId="5E8BDA7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5651273" w14:textId="77777777" w:rsidR="00C978F0" w:rsidRDefault="00F5385B" w:rsidP="003365A5">
            <w:pPr>
              <w:pStyle w:val="Tabletextprimarysource"/>
            </w:pPr>
            <w:r>
              <w:t>Summary of additional data:</w:t>
            </w:r>
          </w:p>
          <w:p w14:paraId="0D03A5A7" w14:textId="1707CBE4" w:rsidR="00F5385B" w:rsidRDefault="00F5385B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NOAEC: 3 ppm from </w:t>
            </w:r>
            <w:r w:rsidR="005C1DE8">
              <w:t>29</w:t>
            </w:r>
            <w:r w:rsidR="00E24EA1">
              <w:t xml:space="preserve"> </w:t>
            </w:r>
            <w:r w:rsidR="005C1DE8">
              <w:t>mo</w:t>
            </w:r>
            <w:r>
              <w:t xml:space="preserve"> inhalation study </w:t>
            </w:r>
            <w:r w:rsidR="00B90133">
              <w:t>in</w:t>
            </w:r>
            <w:r>
              <w:t xml:space="preserve"> rats with irritant effect on olfactory epithelium as most sensitive endpoint</w:t>
            </w:r>
          </w:p>
          <w:p w14:paraId="36EFBE61" w14:textId="77777777" w:rsidR="00F5385B" w:rsidRDefault="00F5385B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increased tumour incidence in inhalation studies of rats and mice</w:t>
            </w:r>
          </w:p>
          <w:p w14:paraId="42B6A5C8" w14:textId="3BCB629A" w:rsidR="00492296" w:rsidRDefault="00492296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NOAEC available from human data for irritati</w:t>
            </w:r>
            <w:r w:rsidR="00B90133">
              <w:t>on</w:t>
            </w:r>
            <w:r>
              <w:t xml:space="preserve"> or neurotoxic effects.</w:t>
            </w:r>
          </w:p>
          <w:p w14:paraId="398C830A" w14:textId="0FA186A2" w:rsidR="00B90133" w:rsidRPr="00DA352E" w:rsidRDefault="00B90133" w:rsidP="00B9013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4A7150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64809A7" w14:textId="2782E81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D1B0E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D1B0E">
                  <w:t>Not assigned</w:t>
                </w:r>
              </w:sdtContent>
            </w:sdt>
          </w:p>
        </w:tc>
      </w:tr>
      <w:tr w:rsidR="00C978F0" w:rsidRPr="00DA352E" w14:paraId="253CFA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F95923" w14:textId="77777777" w:rsidR="00492296" w:rsidRDefault="00492296" w:rsidP="00492296">
            <w:pPr>
              <w:pStyle w:val="Tabletextprimarysource"/>
            </w:pPr>
            <w:r>
              <w:t>Summary of additional data:</w:t>
            </w:r>
          </w:p>
          <w:p w14:paraId="29352B71" w14:textId="77777777" w:rsidR="007E057F" w:rsidRDefault="007E057F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Inhalation uptake in animals appears saturable</w:t>
            </w:r>
          </w:p>
          <w:p w14:paraId="5393F3B5" w14:textId="2438EF9E" w:rsidR="007E057F" w:rsidRDefault="007E057F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Latency period of 2</w:t>
            </w:r>
            <w:r w:rsidR="00E24EA1">
              <w:t>–</w:t>
            </w:r>
            <w:r>
              <w:t>48 hr reported before poisoning symptoms apparent</w:t>
            </w:r>
          </w:p>
          <w:p w14:paraId="1B5CBDFD" w14:textId="77777777" w:rsidR="00B90133" w:rsidRDefault="00B968C9" w:rsidP="008310E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Health-based </w:t>
            </w:r>
            <w:r w:rsidR="006963CC">
              <w:t>OEL</w:t>
            </w:r>
            <w:r>
              <w:t xml:space="preserve"> cannot be derived due to clear systemic mutagenic effects</w:t>
            </w:r>
          </w:p>
          <w:p w14:paraId="1BAD9F18" w14:textId="7E42C4DE" w:rsidR="00C978F0" w:rsidRDefault="00B90133" w:rsidP="008310E0">
            <w:pPr>
              <w:pStyle w:val="ListBullet"/>
              <w:numPr>
                <w:ilvl w:val="0"/>
                <w:numId w:val="2"/>
              </w:numPr>
              <w:spacing w:before="60" w:after="60"/>
              <w:contextualSpacing w:val="0"/>
            </w:pPr>
            <w:r>
              <w:t>b</w:t>
            </w:r>
            <w:r w:rsidR="00B968C9">
              <w:t>ased on LOAEL for inflammation in upper airways, should be kept &lt;1 ppm.</w:t>
            </w:r>
            <w:r w:rsidR="007E057F">
              <w:t xml:space="preserve"> </w:t>
            </w:r>
          </w:p>
          <w:p w14:paraId="18DE5A5A" w14:textId="404E6CB8" w:rsidR="00B90133" w:rsidRPr="00DA352E" w:rsidRDefault="00B90133" w:rsidP="00B9013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DA352E" w:rsidRPr="00DA352E" w14:paraId="1BE826A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F4F9A88" w14:textId="56B0E6A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D1B0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4D1B0E">
                  <w:t>NA</w:t>
                </w:r>
              </w:sdtContent>
            </w:sdt>
          </w:p>
        </w:tc>
      </w:tr>
      <w:tr w:rsidR="00DA352E" w:rsidRPr="00DA352E" w14:paraId="3D542FF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41FA6F1" w14:textId="15085D09" w:rsidR="00DA352E" w:rsidRPr="00DA352E" w:rsidRDefault="004D1B0E" w:rsidP="003365A5">
            <w:pPr>
              <w:pStyle w:val="Tabletextprimarysource"/>
            </w:pPr>
            <w:r>
              <w:t>No report</w:t>
            </w:r>
            <w:r w:rsidR="00E24EA1">
              <w:t>.</w:t>
            </w:r>
          </w:p>
        </w:tc>
      </w:tr>
      <w:tr w:rsidR="00DA352E" w:rsidRPr="00DA352E" w14:paraId="3B2B8FA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1C0C3FC" w14:textId="310B9C0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0227B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227BF">
                  <w:t>NA</w:t>
                </w:r>
              </w:sdtContent>
            </w:sdt>
          </w:p>
        </w:tc>
      </w:tr>
      <w:tr w:rsidR="00DA352E" w:rsidRPr="00DA352E" w14:paraId="70DB95C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331C91" w14:textId="7CE5DDFC" w:rsidR="00DA352E" w:rsidRPr="00DA352E" w:rsidRDefault="000227BF" w:rsidP="003365A5">
            <w:pPr>
              <w:pStyle w:val="Tabletextprimarysource"/>
            </w:pPr>
            <w:r>
              <w:t>No report</w:t>
            </w:r>
            <w:r w:rsidR="00E24EA1">
              <w:t>.</w:t>
            </w:r>
          </w:p>
        </w:tc>
      </w:tr>
    </w:tbl>
    <w:p w14:paraId="330EE358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61"/>
        <w:gridCol w:w="6445"/>
      </w:tblGrid>
      <w:tr w:rsidR="004966BF" w:rsidRPr="00263255" w14:paraId="66143D18" w14:textId="77777777" w:rsidTr="009A6678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5D3462D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DC08A9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E920E23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64352689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EDAFFAD" w14:textId="77777777" w:rsidTr="009A6678">
        <w:trPr>
          <w:cantSplit/>
        </w:trPr>
        <w:tc>
          <w:tcPr>
            <w:tcW w:w="1497" w:type="dxa"/>
          </w:tcPr>
          <w:p w14:paraId="064B762A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1800DE4F" w14:textId="08CCF539" w:rsidR="004966BF" w:rsidRPr="00CE617F" w:rsidRDefault="009A4A5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A667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45D4740" w14:textId="37A3FB8A" w:rsidR="004966BF" w:rsidRPr="004C23F4" w:rsidRDefault="009A667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5" w:type="dxa"/>
          </w:tcPr>
          <w:p w14:paraId="39835830" w14:textId="4B633AC4" w:rsidR="004966BF" w:rsidRPr="004C23F4" w:rsidRDefault="009A6678" w:rsidP="009A6678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data</w:t>
            </w:r>
          </w:p>
        </w:tc>
      </w:tr>
      <w:tr w:rsidR="004966BF" w:rsidRPr="004C23F4" w14:paraId="7CFE6D00" w14:textId="77777777" w:rsidTr="009A6678">
        <w:trPr>
          <w:cantSplit/>
        </w:trPr>
        <w:tc>
          <w:tcPr>
            <w:tcW w:w="1497" w:type="dxa"/>
          </w:tcPr>
          <w:p w14:paraId="721A3019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71B41C7A" w14:textId="45B37865" w:rsidR="004966BF" w:rsidRPr="00CE617F" w:rsidRDefault="009A4A5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A44CC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5B555A7" w14:textId="652352F4" w:rsidR="004966BF" w:rsidRPr="004C23F4" w:rsidRDefault="005A44C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</w:t>
            </w:r>
            <w:r w:rsidR="00024D23">
              <w:rPr>
                <w:rStyle w:val="checkbox"/>
                <w:rFonts w:ascii="Arial" w:hAnsi="Arial" w:cs="Arial"/>
              </w:rPr>
              <w:t>92</w:t>
            </w:r>
          </w:p>
        </w:tc>
        <w:tc>
          <w:tcPr>
            <w:tcW w:w="6445" w:type="dxa"/>
          </w:tcPr>
          <w:p w14:paraId="38A3BFB6" w14:textId="1860707C" w:rsidR="004966BF" w:rsidRPr="004C23F4" w:rsidRDefault="00024D23" w:rsidP="005A44CC">
            <w:pPr>
              <w:pStyle w:val="ListBulle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data</w:t>
            </w:r>
          </w:p>
        </w:tc>
      </w:tr>
    </w:tbl>
    <w:bookmarkEnd w:id="0"/>
    <w:p w14:paraId="60CE4EF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5085A08F" w14:textId="77777777" w:rsidTr="009A6678">
        <w:trPr>
          <w:trHeight w:val="454"/>
          <w:tblHeader/>
        </w:trPr>
        <w:tc>
          <w:tcPr>
            <w:tcW w:w="6609" w:type="dxa"/>
            <w:vAlign w:val="center"/>
          </w:tcPr>
          <w:p w14:paraId="65B9170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08B63115" w14:textId="1DB14FB6" w:rsidR="002E0D61" w:rsidRDefault="005F206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0AC06320" w14:textId="77777777" w:rsidTr="009A6678">
        <w:trPr>
          <w:trHeight w:val="454"/>
        </w:trPr>
        <w:tc>
          <w:tcPr>
            <w:tcW w:w="6609" w:type="dxa"/>
            <w:vAlign w:val="center"/>
          </w:tcPr>
          <w:p w14:paraId="316D750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4F304B2A" w14:textId="2ED08B96" w:rsidR="008A36CF" w:rsidRDefault="0098061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B90133" w14:paraId="5BDDA573" w14:textId="77777777" w:rsidTr="00D029A7">
        <w:trPr>
          <w:trHeight w:val="454"/>
        </w:trPr>
        <w:sdt>
          <w:sdtPr>
            <w:rPr>
              <w:b/>
            </w:rPr>
            <w:id w:val="1830936485"/>
            <w:placeholder>
              <w:docPart w:val="1D9484A2C8E44A91B5B1D69E2F7DCB96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62DD38EC" w14:textId="07810826" w:rsidR="00B90133" w:rsidRDefault="00B9013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64A53CE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0FA3E30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21F0D3E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C4BBF6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3B0C2CF" w14:textId="77777777" w:rsidTr="00812887">
        <w:trPr>
          <w:cantSplit/>
        </w:trPr>
        <w:tc>
          <w:tcPr>
            <w:tcW w:w="3227" w:type="dxa"/>
          </w:tcPr>
          <w:p w14:paraId="0B308FC8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108A50D" w14:textId="4E939473" w:rsidR="00687890" w:rsidRPr="00DD2F9B" w:rsidRDefault="000227BF" w:rsidP="00DD2F9B">
            <w:pPr>
              <w:pStyle w:val="Tablefont"/>
            </w:pPr>
            <w:r w:rsidRPr="000227BF">
              <w:t>Skin</w:t>
            </w:r>
          </w:p>
        </w:tc>
      </w:tr>
      <w:tr w:rsidR="007925F0" w:rsidRPr="004C23F4" w14:paraId="01475D9C" w14:textId="77777777" w:rsidTr="00812887">
        <w:trPr>
          <w:cantSplit/>
        </w:trPr>
        <w:tc>
          <w:tcPr>
            <w:tcW w:w="3227" w:type="dxa"/>
          </w:tcPr>
          <w:p w14:paraId="4F2E45E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D3DA749" w14:textId="648DF13A" w:rsidR="007925F0" w:rsidRPr="00DD2F9B" w:rsidRDefault="000227BF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259721A0" w14:textId="77777777" w:rsidTr="00812887">
        <w:trPr>
          <w:cantSplit/>
        </w:trPr>
        <w:tc>
          <w:tcPr>
            <w:tcW w:w="3227" w:type="dxa"/>
          </w:tcPr>
          <w:p w14:paraId="29DEE51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7077EC4" w14:textId="53CAFD93" w:rsidR="00AF483F" w:rsidRPr="00DD2F9B" w:rsidRDefault="000227BF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2CA79957" w14:textId="77777777" w:rsidTr="00812887">
        <w:trPr>
          <w:cantSplit/>
        </w:trPr>
        <w:tc>
          <w:tcPr>
            <w:tcW w:w="3227" w:type="dxa"/>
          </w:tcPr>
          <w:p w14:paraId="31F1AF0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FD43FFD" w14:textId="112A8DA3" w:rsidR="00687890" w:rsidRPr="00DD2F9B" w:rsidRDefault="000227B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19D690E" w14:textId="77777777" w:rsidTr="00812887">
        <w:trPr>
          <w:cantSplit/>
        </w:trPr>
        <w:tc>
          <w:tcPr>
            <w:tcW w:w="3227" w:type="dxa"/>
          </w:tcPr>
          <w:p w14:paraId="34B25C9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9962F32" w14:textId="67667D51" w:rsidR="00E41A26" w:rsidRPr="00DD2F9B" w:rsidRDefault="000227B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1EBF559" w14:textId="77777777" w:rsidTr="00812887">
        <w:trPr>
          <w:cantSplit/>
        </w:trPr>
        <w:tc>
          <w:tcPr>
            <w:tcW w:w="3227" w:type="dxa"/>
          </w:tcPr>
          <w:p w14:paraId="1ED41A6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058C80" w14:textId="5761D2A0" w:rsidR="002E0D61" w:rsidRPr="00DD2F9B" w:rsidRDefault="000227BF" w:rsidP="00DD2F9B">
            <w:pPr>
              <w:pStyle w:val="Tablefont"/>
            </w:pPr>
            <w:r w:rsidRPr="000227BF">
              <w:t>Carcinogenicity – A4</w:t>
            </w:r>
            <w:r>
              <w:t xml:space="preserve">, </w:t>
            </w:r>
            <w:r w:rsidRPr="000227BF">
              <w:t>Skin</w:t>
            </w:r>
          </w:p>
        </w:tc>
      </w:tr>
      <w:tr w:rsidR="002E0D61" w:rsidRPr="004C23F4" w14:paraId="6E8CC753" w14:textId="77777777" w:rsidTr="00812887">
        <w:trPr>
          <w:cantSplit/>
        </w:trPr>
        <w:tc>
          <w:tcPr>
            <w:tcW w:w="3227" w:type="dxa"/>
          </w:tcPr>
          <w:p w14:paraId="643031E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7F7F55D" w14:textId="63800C2C" w:rsidR="002E0D61" w:rsidRPr="00DD2F9B" w:rsidRDefault="000227BF" w:rsidP="00DD2F9B">
            <w:pPr>
              <w:pStyle w:val="Tablefont"/>
            </w:pPr>
            <w:r w:rsidRPr="000227BF">
              <w:t>Carcinogenicity – 3B</w:t>
            </w:r>
          </w:p>
        </w:tc>
      </w:tr>
      <w:tr w:rsidR="002E0D61" w:rsidRPr="004C23F4" w14:paraId="6E02278B" w14:textId="77777777" w:rsidTr="00812887">
        <w:trPr>
          <w:cantSplit/>
        </w:trPr>
        <w:tc>
          <w:tcPr>
            <w:tcW w:w="3227" w:type="dxa"/>
          </w:tcPr>
          <w:p w14:paraId="29C7B37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D3D9175" w14:textId="30C40383" w:rsidR="002E0D61" w:rsidRPr="00DD2F9B" w:rsidRDefault="000227BF" w:rsidP="00DD2F9B">
            <w:pPr>
              <w:pStyle w:val="Tablefont"/>
            </w:pPr>
            <w:r w:rsidRPr="000227BF">
              <w:t>Skin</w:t>
            </w:r>
          </w:p>
        </w:tc>
      </w:tr>
      <w:tr w:rsidR="002E0D61" w:rsidRPr="004C23F4" w14:paraId="63952D76" w14:textId="77777777" w:rsidTr="00812887">
        <w:trPr>
          <w:cantSplit/>
        </w:trPr>
        <w:tc>
          <w:tcPr>
            <w:tcW w:w="3227" w:type="dxa"/>
          </w:tcPr>
          <w:p w14:paraId="63B3EB0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84BEB79" w14:textId="618E3C51" w:rsidR="002E0D61" w:rsidRPr="00DD2F9B" w:rsidRDefault="000227B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1D1D6EA" w14:textId="77777777" w:rsidTr="00812887">
        <w:trPr>
          <w:cantSplit/>
        </w:trPr>
        <w:tc>
          <w:tcPr>
            <w:tcW w:w="3227" w:type="dxa"/>
          </w:tcPr>
          <w:p w14:paraId="6CFE040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7ED3331" w14:textId="65405DF8" w:rsidR="00386093" w:rsidRPr="00DD2F9B" w:rsidRDefault="000227BF" w:rsidP="00DD2F9B">
            <w:pPr>
              <w:pStyle w:val="Tablefont"/>
            </w:pPr>
            <w:r w:rsidRPr="000227BF">
              <w:t>Carcinogenicity – Group 3</w:t>
            </w:r>
          </w:p>
        </w:tc>
      </w:tr>
      <w:tr w:rsidR="00386093" w:rsidRPr="004C23F4" w14:paraId="1B2088B9" w14:textId="77777777" w:rsidTr="00812887">
        <w:trPr>
          <w:cantSplit/>
        </w:trPr>
        <w:tc>
          <w:tcPr>
            <w:tcW w:w="3227" w:type="dxa"/>
          </w:tcPr>
          <w:p w14:paraId="3A2E8901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264AB578" w14:textId="607E98B6" w:rsidR="00386093" w:rsidRPr="00DD2F9B" w:rsidRDefault="000227B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A29E9AA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4F5EB09" w14:textId="77777777" w:rsidR="00474E33" w:rsidRDefault="00474E33" w:rsidP="00E24EA1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2DBD3C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9468EAA" w14:textId="77777777" w:rsidR="00932DCE" w:rsidRPr="004C23F4" w:rsidRDefault="00932DC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530"/>
        <w:gridCol w:w="1460"/>
        <w:gridCol w:w="1460"/>
        <w:gridCol w:w="2576"/>
      </w:tblGrid>
      <w:tr w:rsidR="009A6678" w:rsidRPr="009A6678" w14:paraId="6F9CF633" w14:textId="77777777" w:rsidTr="009A6678">
        <w:trPr>
          <w:trHeight w:val="240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3"/>
          <w:p w14:paraId="676E0E43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25FD08" w14:textId="77777777" w:rsidR="009A6678" w:rsidRPr="009A6678" w:rsidRDefault="009A6678" w:rsidP="006963CC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68C378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1FA8D7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6678" w:rsidRPr="009A6678" w14:paraId="305EC1C4" w14:textId="77777777" w:rsidTr="009A6678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39E0846" w14:textId="77777777" w:rsidR="009A6678" w:rsidRPr="009A6678" w:rsidRDefault="009A6678" w:rsidP="006963CC">
            <w:pPr>
              <w:keepNext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10B0481D" w14:textId="77777777" w:rsidR="009A6678" w:rsidRPr="009A6678" w:rsidRDefault="009A6678" w:rsidP="006963CC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CB3C8D" w14:textId="77777777" w:rsidR="009A6678" w:rsidRPr="009A6678" w:rsidRDefault="009A6678" w:rsidP="006963CC">
            <w:pPr>
              <w:keepNext/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0DEDA04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6678" w:rsidRPr="009A6678" w14:paraId="08C43742" w14:textId="77777777" w:rsidTr="009A6678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3C4ED9" w14:textId="77777777" w:rsidR="009A6678" w:rsidRPr="009A6678" w:rsidRDefault="009A6678" w:rsidP="006963CC">
            <w:pPr>
              <w:keepNext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A9C216" w14:textId="77777777" w:rsidR="009A6678" w:rsidRPr="009A6678" w:rsidRDefault="009A6678" w:rsidP="006963CC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D878502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3066E59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6678" w:rsidRPr="009A6678" w14:paraId="1FF73269" w14:textId="77777777" w:rsidTr="009A6678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A889A2B" w14:textId="77777777" w:rsidR="009A6678" w:rsidRPr="009A6678" w:rsidRDefault="009A6678" w:rsidP="006963CC">
            <w:pPr>
              <w:keepNext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repeat-dose NOAEL ≤200 mg/kg: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58F507F" w14:textId="77777777" w:rsidR="009A6678" w:rsidRPr="009A6678" w:rsidRDefault="009A6678" w:rsidP="006963CC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60FC8B1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92FCC1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6678" w:rsidRPr="009A6678" w14:paraId="2D2DFC49" w14:textId="77777777" w:rsidTr="009A6678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55A5C2" w14:textId="77777777" w:rsidR="009A6678" w:rsidRPr="009A6678" w:rsidRDefault="009A6678" w:rsidP="006963CC">
            <w:pPr>
              <w:keepNext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5C4E57C" w14:textId="77777777" w:rsidR="009A6678" w:rsidRPr="009A6678" w:rsidRDefault="009A6678" w:rsidP="006963CC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DA49000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D35348D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6678" w:rsidRPr="009A6678" w14:paraId="5FEDFBB2" w14:textId="77777777" w:rsidTr="009A6678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34481F" w14:textId="77777777" w:rsidR="009A6678" w:rsidRPr="009A6678" w:rsidRDefault="009A6678" w:rsidP="006963CC">
            <w:pPr>
              <w:keepNext/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8BFB1AA" w14:textId="77777777" w:rsidR="009A6678" w:rsidRPr="009A6678" w:rsidRDefault="009A6678" w:rsidP="006963CC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0FAFE2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DB44DE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6678" w:rsidRPr="009A6678" w14:paraId="336634A4" w14:textId="77777777" w:rsidTr="009A6678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DDD007" w14:textId="77777777" w:rsidR="009A6678" w:rsidRPr="009A6678" w:rsidRDefault="009A6678" w:rsidP="006963CC">
            <w:pPr>
              <w:keepNext/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8279C1" w14:textId="77777777" w:rsidR="009A6678" w:rsidRPr="009A6678" w:rsidRDefault="009A6678" w:rsidP="006963CC">
            <w:pPr>
              <w:keepNext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85B974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2876E7" w14:textId="77777777" w:rsidR="009A6678" w:rsidRPr="009A6678" w:rsidRDefault="009A6678" w:rsidP="006963CC">
            <w:pPr>
              <w:keepNext/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A6678" w:rsidRPr="009A6678" w14:paraId="13A6B6DA" w14:textId="77777777" w:rsidTr="009A6678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2FE3E4F" w14:textId="77777777" w:rsidR="009A6678" w:rsidRPr="009A6678" w:rsidRDefault="009A6678" w:rsidP="009A6678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A94886" w14:textId="77777777" w:rsidR="009A6678" w:rsidRPr="009A6678" w:rsidRDefault="009A6678" w:rsidP="009A667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4FFED7" w14:textId="77777777" w:rsidR="009A6678" w:rsidRPr="009A6678" w:rsidRDefault="009A6678" w:rsidP="009A6678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AF066DC" w14:textId="77777777" w:rsidR="009A6678" w:rsidRPr="009A6678" w:rsidRDefault="009A6678" w:rsidP="009A667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A6678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a skin notation is warranted</w:t>
            </w:r>
          </w:p>
        </w:tc>
      </w:tr>
    </w:tbl>
    <w:p w14:paraId="7854289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F4904F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FA5C34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54265D3" w14:textId="5B894EBB" w:rsidR="00EB3D1B" w:rsidRDefault="000227B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2F51B76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BCD95E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CF6B62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FB5C82F" w14:textId="5E852B8C" w:rsidR="001B79E5" w:rsidRDefault="000227BF" w:rsidP="001B79E5">
                <w:pPr>
                  <w:pStyle w:val="Tablefont"/>
                </w:pPr>
                <w:r w:rsidRPr="000227BF">
                  <w:t>94.94</w:t>
                </w:r>
              </w:p>
            </w:tc>
          </w:sdtContent>
        </w:sdt>
      </w:tr>
      <w:tr w:rsidR="00A31D99" w:rsidRPr="004C23F4" w14:paraId="4FEB648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8FCAF2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0D8957B" w14:textId="59BA496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0227BF">
                  <w:t>3.89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227BF">
                  <w:t>0.26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4AFFDA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47B740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F1E9E6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3BCEBFC" w14:textId="77777777" w:rsidTr="00EA6243">
        <w:trPr>
          <w:cantSplit/>
        </w:trPr>
        <w:tc>
          <w:tcPr>
            <w:tcW w:w="4077" w:type="dxa"/>
            <w:vAlign w:val="center"/>
          </w:tcPr>
          <w:p w14:paraId="5EA2015F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81B8B5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B73E741" w14:textId="77777777" w:rsidTr="00EA6243">
        <w:trPr>
          <w:cantSplit/>
        </w:trPr>
        <w:tc>
          <w:tcPr>
            <w:tcW w:w="4077" w:type="dxa"/>
            <w:vAlign w:val="center"/>
          </w:tcPr>
          <w:p w14:paraId="21B5ED8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670D3E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761912E" w14:textId="77777777" w:rsidTr="00EA6243">
        <w:trPr>
          <w:cantSplit/>
        </w:trPr>
        <w:tc>
          <w:tcPr>
            <w:tcW w:w="4077" w:type="dxa"/>
            <w:vAlign w:val="center"/>
          </w:tcPr>
          <w:p w14:paraId="487B7963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3EC9D76" w14:textId="77777777" w:rsidR="00E06F40" w:rsidRPr="00A006A0" w:rsidRDefault="009A4A5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50B7F5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35632E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520AFC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2034AB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AFA41C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CEAF13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C3511D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DBAD6A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3CA5AB9" w14:textId="2A8C0254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842245C" w14:textId="5EC83F5E" w:rsidR="000227BF" w:rsidRDefault="000227BF" w:rsidP="00084859">
      <w:r w:rsidRPr="002022B6">
        <w:t>Deutsche Forschungsgemeinschaft (DFG)</w:t>
      </w:r>
      <w:r>
        <w:t xml:space="preserve"> (2016) </w:t>
      </w:r>
      <w:r w:rsidRPr="000227BF">
        <w:t>Methyl bromide</w:t>
      </w:r>
      <w:r>
        <w:t xml:space="preserve"> – MAK value documentation.</w:t>
      </w:r>
    </w:p>
    <w:p w14:paraId="0379417D" w14:textId="44A89493" w:rsidR="000227BF" w:rsidRDefault="000227BF" w:rsidP="00084859">
      <w:r w:rsidRPr="002022B6">
        <w:lastRenderedPageBreak/>
        <w:t>EU Scientific Committee on Occupational Exposure Limits (SCOEL)</w:t>
      </w:r>
      <w:r>
        <w:t xml:space="preserve"> (</w:t>
      </w:r>
      <w:r w:rsidRPr="000227BF">
        <w:t>2004</w:t>
      </w:r>
      <w:r>
        <w:t xml:space="preserve">) Recommendation from the Scientific Committee on Occupational Exposure Limits for </w:t>
      </w:r>
      <w:r w:rsidRPr="000227BF">
        <w:t>methyl bromide</w:t>
      </w:r>
      <w:r>
        <w:t>. SCOEL/</w:t>
      </w:r>
      <w:r w:rsidRPr="000227BF">
        <w:t>SUM/114</w:t>
      </w:r>
      <w:r>
        <w:t>.</w:t>
      </w:r>
    </w:p>
    <w:p w14:paraId="3AD8B4D1" w14:textId="25CB2EEE" w:rsidR="000227BF" w:rsidRDefault="000227BF" w:rsidP="00084859">
      <w:r w:rsidRPr="00D86E03">
        <w:t>US National Institute for Occupational Safety and Health (NIOSH)</w:t>
      </w:r>
      <w:r>
        <w:t xml:space="preserve"> (</w:t>
      </w:r>
      <w:r w:rsidRPr="000227BF">
        <w:t>1994</w:t>
      </w:r>
      <w:r>
        <w:t xml:space="preserve">) Immediately dangerous to life or health concentrations – </w:t>
      </w:r>
      <w:r w:rsidRPr="000227BF">
        <w:t>Methyl bromide</w:t>
      </w:r>
      <w:r>
        <w:t>.</w:t>
      </w:r>
    </w:p>
    <w:p w14:paraId="5BD6DEDD" w14:textId="77777777" w:rsidR="00E24EA1" w:rsidRDefault="00E24EA1" w:rsidP="00E24EA1">
      <w:r w:rsidRPr="002022B6">
        <w:t>National Industrial Chemicals Notification and Assessment Scheme (NICNAS)</w:t>
      </w:r>
      <w:r>
        <w:t xml:space="preserve"> (</w:t>
      </w:r>
      <w:r w:rsidRPr="000227BF">
        <w:t>2016</w:t>
      </w:r>
      <w:r>
        <w:t xml:space="preserve">) </w:t>
      </w:r>
      <w:r w:rsidRPr="000227BF">
        <w:t>Methane, bromo</w:t>
      </w:r>
      <w:r w:rsidRPr="0071660C">
        <w:t xml:space="preserve">: Human health </w:t>
      </w:r>
      <w:r w:rsidRPr="000227BF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7ED42FF5" w14:textId="1279F2E6" w:rsidR="00024D23" w:rsidRPr="00351FE0" w:rsidRDefault="00024D23" w:rsidP="00084859">
      <w:r w:rsidRPr="00D86E03">
        <w:t>US Environmental Protection Agency (US EPA)</w:t>
      </w:r>
      <w:r>
        <w:t xml:space="preserve"> (1992) Bromomethane, Chemical Assessment Summary.</w:t>
      </w:r>
    </w:p>
    <w:sectPr w:rsidR="00024D23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9060A" w14:textId="77777777" w:rsidR="00E100CD" w:rsidRDefault="00E100CD" w:rsidP="00F43AD5">
      <w:pPr>
        <w:spacing w:after="0" w:line="240" w:lineRule="auto"/>
      </w:pPr>
      <w:r>
        <w:separator/>
      </w:r>
    </w:p>
  </w:endnote>
  <w:endnote w:type="continuationSeparator" w:id="0">
    <w:p w14:paraId="71D458B2" w14:textId="77777777" w:rsidR="00E100CD" w:rsidRDefault="00E100C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812A" w14:textId="77777777" w:rsidR="009A4A5D" w:rsidRDefault="009A4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735F454" w14:textId="59FEC8DD" w:rsidR="008A36CF" w:rsidRDefault="004D1B0E" w:rsidP="0034744C">
        <w:pPr>
          <w:pStyle w:val="Footer"/>
          <w:rPr>
            <w:sz w:val="18"/>
            <w:szCs w:val="18"/>
          </w:rPr>
        </w:pPr>
        <w:r w:rsidRPr="004D1B0E">
          <w:rPr>
            <w:b/>
            <w:sz w:val="18"/>
            <w:szCs w:val="18"/>
          </w:rPr>
          <w:t xml:space="preserve">Methyl bromide </w:t>
        </w:r>
        <w:r w:rsidR="008A36CF">
          <w:rPr>
            <w:b/>
            <w:sz w:val="18"/>
            <w:szCs w:val="18"/>
          </w:rPr>
          <w:t>(</w:t>
        </w:r>
        <w:r w:rsidRPr="004D1B0E">
          <w:rPr>
            <w:b/>
            <w:sz w:val="18"/>
            <w:szCs w:val="18"/>
          </w:rPr>
          <w:t>74-83-9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BEAF377" w14:textId="7323AC8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A4A5D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996C" w14:textId="77777777" w:rsidR="009A4A5D" w:rsidRDefault="009A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E9F5" w14:textId="77777777" w:rsidR="00E100CD" w:rsidRDefault="00E100CD" w:rsidP="00F43AD5">
      <w:pPr>
        <w:spacing w:after="0" w:line="240" w:lineRule="auto"/>
      </w:pPr>
      <w:r>
        <w:separator/>
      </w:r>
    </w:p>
  </w:footnote>
  <w:footnote w:type="continuationSeparator" w:id="0">
    <w:p w14:paraId="073F8711" w14:textId="77777777" w:rsidR="00E100CD" w:rsidRDefault="00E100C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9FF1" w14:textId="77777777" w:rsidR="009A4A5D" w:rsidRDefault="009A4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E459" w14:textId="2D29A3BB" w:rsidR="009A4A5D" w:rsidRDefault="009A4A5D" w:rsidP="009A4A5D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0FD170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0CE38D3" wp14:editId="1F66286D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BFE6A8" w14:textId="49885FD6" w:rsidR="008A36CF" w:rsidRPr="009A4A5D" w:rsidRDefault="008A36CF" w:rsidP="009A4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2DBB" w14:textId="77777777" w:rsidR="009A4A5D" w:rsidRDefault="009A4A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A523" w14:textId="0805603B" w:rsidR="009A4A5D" w:rsidRDefault="009A4A5D" w:rsidP="009A4A5D">
    <w:pPr>
      <w:pStyle w:val="Header"/>
      <w:jc w:val="right"/>
    </w:pPr>
    <w:sdt>
      <w:sdtPr>
        <w:id w:val="-1037733521"/>
        <w:docPartObj>
          <w:docPartGallery w:val="Watermarks"/>
          <w:docPartUnique/>
        </w:docPartObj>
      </w:sdtPr>
      <w:sdtContent>
        <w:r>
          <w:pict w14:anchorId="022378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5E1DA69" wp14:editId="103623BA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50870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CC71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74195B"/>
    <w:multiLevelType w:val="hybridMultilevel"/>
    <w:tmpl w:val="D14600C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27BF"/>
    <w:rsid w:val="00024D23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178D5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82B9A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7696"/>
    <w:rsid w:val="003D4FA3"/>
    <w:rsid w:val="003E0807"/>
    <w:rsid w:val="003E51FB"/>
    <w:rsid w:val="003E6B39"/>
    <w:rsid w:val="003F07E1"/>
    <w:rsid w:val="004030BC"/>
    <w:rsid w:val="00403F7D"/>
    <w:rsid w:val="00406785"/>
    <w:rsid w:val="00406EEC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2296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1B0E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664C"/>
    <w:rsid w:val="00591E38"/>
    <w:rsid w:val="005A19C5"/>
    <w:rsid w:val="005A3034"/>
    <w:rsid w:val="005A44CC"/>
    <w:rsid w:val="005A462D"/>
    <w:rsid w:val="005B253B"/>
    <w:rsid w:val="005B771D"/>
    <w:rsid w:val="005C1DE8"/>
    <w:rsid w:val="005C5D16"/>
    <w:rsid w:val="005D3193"/>
    <w:rsid w:val="005D4A68"/>
    <w:rsid w:val="005D4A6E"/>
    <w:rsid w:val="005E6979"/>
    <w:rsid w:val="005E75CB"/>
    <w:rsid w:val="005F2060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573E"/>
    <w:rsid w:val="00677D9B"/>
    <w:rsid w:val="006867F3"/>
    <w:rsid w:val="00687890"/>
    <w:rsid w:val="006901A2"/>
    <w:rsid w:val="00690368"/>
    <w:rsid w:val="0069079C"/>
    <w:rsid w:val="00690B53"/>
    <w:rsid w:val="00695B72"/>
    <w:rsid w:val="006963CC"/>
    <w:rsid w:val="006A06D1"/>
    <w:rsid w:val="006B160A"/>
    <w:rsid w:val="006B4E6C"/>
    <w:rsid w:val="006B50B6"/>
    <w:rsid w:val="006D79EA"/>
    <w:rsid w:val="006E576A"/>
    <w:rsid w:val="006E5D05"/>
    <w:rsid w:val="00701053"/>
    <w:rsid w:val="00701507"/>
    <w:rsid w:val="00714021"/>
    <w:rsid w:val="00716A0F"/>
    <w:rsid w:val="00717D45"/>
    <w:rsid w:val="007208F7"/>
    <w:rsid w:val="007218AF"/>
    <w:rsid w:val="00724D48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5A23"/>
    <w:rsid w:val="00796708"/>
    <w:rsid w:val="007B1B42"/>
    <w:rsid w:val="007C30EB"/>
    <w:rsid w:val="007E057F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10E0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0641"/>
    <w:rsid w:val="008D23AB"/>
    <w:rsid w:val="008D4B8B"/>
    <w:rsid w:val="008D5A78"/>
    <w:rsid w:val="008E7B64"/>
    <w:rsid w:val="008F5DCD"/>
    <w:rsid w:val="008F6113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0610"/>
    <w:rsid w:val="00984920"/>
    <w:rsid w:val="0099303A"/>
    <w:rsid w:val="009971C2"/>
    <w:rsid w:val="009A1254"/>
    <w:rsid w:val="009A4A5D"/>
    <w:rsid w:val="009A6678"/>
    <w:rsid w:val="009B2FF2"/>
    <w:rsid w:val="009B380C"/>
    <w:rsid w:val="009B4843"/>
    <w:rsid w:val="009B6543"/>
    <w:rsid w:val="009C199D"/>
    <w:rsid w:val="009C278F"/>
    <w:rsid w:val="009C2B94"/>
    <w:rsid w:val="009C36F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0A2F"/>
    <w:rsid w:val="00B1422A"/>
    <w:rsid w:val="00B1765C"/>
    <w:rsid w:val="00B213C4"/>
    <w:rsid w:val="00B27CA8"/>
    <w:rsid w:val="00B40C60"/>
    <w:rsid w:val="00B479A9"/>
    <w:rsid w:val="00B52EDF"/>
    <w:rsid w:val="00B6469A"/>
    <w:rsid w:val="00B71188"/>
    <w:rsid w:val="00B76A41"/>
    <w:rsid w:val="00B87D4C"/>
    <w:rsid w:val="00B90133"/>
    <w:rsid w:val="00B93646"/>
    <w:rsid w:val="00B968C9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27A08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2B15"/>
    <w:rsid w:val="00D668E6"/>
    <w:rsid w:val="00D7036A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00CD"/>
    <w:rsid w:val="00E24EA1"/>
    <w:rsid w:val="00E26A07"/>
    <w:rsid w:val="00E32595"/>
    <w:rsid w:val="00E37CFD"/>
    <w:rsid w:val="00E41A26"/>
    <w:rsid w:val="00E4460B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71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E24D4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54B0"/>
    <w:rsid w:val="00F45768"/>
    <w:rsid w:val="00F5385B"/>
    <w:rsid w:val="00F56DD0"/>
    <w:rsid w:val="00F6491C"/>
    <w:rsid w:val="00F67484"/>
    <w:rsid w:val="00F67BBB"/>
    <w:rsid w:val="00F7179F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D7036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A0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A0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08"/>
    <w:rPr>
      <w:b/>
      <w:bCs/>
      <w:szCs w:val="20"/>
    </w:rPr>
  </w:style>
  <w:style w:type="paragraph" w:styleId="Revision">
    <w:name w:val="Revision"/>
    <w:hidden/>
    <w:uiPriority w:val="99"/>
    <w:semiHidden/>
    <w:rsid w:val="00696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6C4AD4F44B4427C95004705A283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949C-E117-4FBC-A84F-CCCCB6E40537}"/>
      </w:docPartPr>
      <w:docPartBody>
        <w:p w:rsidR="0016204C" w:rsidRDefault="000F580B" w:rsidP="000F580B">
          <w:pPr>
            <w:pStyle w:val="26C4AD4F44B4427C95004705A283BB52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1D9484A2C8E44A91B5B1D69E2F7D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695B-0055-4EE6-903F-466AF3592A9A}"/>
      </w:docPartPr>
      <w:docPartBody>
        <w:p w:rsidR="00440513" w:rsidRDefault="00EE5BAD" w:rsidP="00EE5BAD">
          <w:pPr>
            <w:pStyle w:val="1D9484A2C8E44A91B5B1D69E2F7DCB96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F580B"/>
    <w:rsid w:val="0016204C"/>
    <w:rsid w:val="00440513"/>
    <w:rsid w:val="00535503"/>
    <w:rsid w:val="005A2455"/>
    <w:rsid w:val="00D21A9F"/>
    <w:rsid w:val="00E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BAD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FFCE378E9E54049BB135652D227FE84">
    <w:name w:val="1FFCE378E9E54049BB135652D227FE84"/>
    <w:rsid w:val="00535503"/>
  </w:style>
  <w:style w:type="paragraph" w:customStyle="1" w:styleId="41B462B0C419430DBFA0989CEEE4E241">
    <w:name w:val="41B462B0C419430DBFA0989CEEE4E241"/>
    <w:rsid w:val="00535503"/>
  </w:style>
  <w:style w:type="paragraph" w:customStyle="1" w:styleId="25E6933EEABB44EA81A1104C73AA5792">
    <w:name w:val="25E6933EEABB44EA81A1104C73AA5792"/>
    <w:rsid w:val="00535503"/>
  </w:style>
  <w:style w:type="paragraph" w:customStyle="1" w:styleId="6CC8D224222A4FA4BC55A0DA6C149905">
    <w:name w:val="6CC8D224222A4FA4BC55A0DA6C149905"/>
    <w:rsid w:val="00535503"/>
  </w:style>
  <w:style w:type="paragraph" w:customStyle="1" w:styleId="680A4916D1C44EF99545F785C4C4610A">
    <w:name w:val="680A4916D1C44EF99545F785C4C4610A"/>
    <w:rsid w:val="00535503"/>
  </w:style>
  <w:style w:type="paragraph" w:customStyle="1" w:styleId="E88F89CA6AE34601B3A81F44269A9543">
    <w:name w:val="E88F89CA6AE34601B3A81F44269A9543"/>
    <w:rsid w:val="00535503"/>
  </w:style>
  <w:style w:type="paragraph" w:customStyle="1" w:styleId="41AAAFBE168944299C4E2FE55F0C3230">
    <w:name w:val="41AAAFBE168944299C4E2FE55F0C3230"/>
    <w:rsid w:val="00535503"/>
  </w:style>
  <w:style w:type="paragraph" w:customStyle="1" w:styleId="2EE780655C1D4D3B98DABD5AF0F1956F">
    <w:name w:val="2EE780655C1D4D3B98DABD5AF0F1956F"/>
    <w:rsid w:val="00535503"/>
  </w:style>
  <w:style w:type="paragraph" w:customStyle="1" w:styleId="DFB8AFE476A84BF09018A291625A1984">
    <w:name w:val="DFB8AFE476A84BF09018A291625A1984"/>
    <w:rsid w:val="00535503"/>
  </w:style>
  <w:style w:type="paragraph" w:customStyle="1" w:styleId="5B3CE0904B27408CAB251116FE4A2FAA">
    <w:name w:val="5B3CE0904B27408CAB251116FE4A2FAA"/>
    <w:rsid w:val="00535503"/>
  </w:style>
  <w:style w:type="paragraph" w:customStyle="1" w:styleId="61CB355C7285479D939F8805D4ABCED7">
    <w:name w:val="61CB355C7285479D939F8805D4ABCED7"/>
    <w:rsid w:val="00535503"/>
  </w:style>
  <w:style w:type="paragraph" w:customStyle="1" w:styleId="7E4A2D9B2C17414A8DD1D12C56C4034D">
    <w:name w:val="7E4A2D9B2C17414A8DD1D12C56C4034D"/>
    <w:rsid w:val="00535503"/>
  </w:style>
  <w:style w:type="paragraph" w:customStyle="1" w:styleId="0D78129340494E64A162B640DEA49A34">
    <w:name w:val="0D78129340494E64A162B640DEA49A34"/>
    <w:rsid w:val="00535503"/>
  </w:style>
  <w:style w:type="paragraph" w:customStyle="1" w:styleId="BAD5D0AEF043406DBB5E4AB355D68C49">
    <w:name w:val="BAD5D0AEF043406DBB5E4AB355D68C49"/>
    <w:rsid w:val="00535503"/>
  </w:style>
  <w:style w:type="paragraph" w:customStyle="1" w:styleId="719EEFD1510340BFA3BBBB49FEF32FEA">
    <w:name w:val="719EEFD1510340BFA3BBBB49FEF32FEA"/>
    <w:rsid w:val="000F580B"/>
  </w:style>
  <w:style w:type="paragraph" w:customStyle="1" w:styleId="26C4AD4F44B4427C95004705A283BB52">
    <w:name w:val="26C4AD4F44B4427C95004705A283BB52"/>
    <w:rsid w:val="000F580B"/>
  </w:style>
  <w:style w:type="paragraph" w:customStyle="1" w:styleId="1D9484A2C8E44A91B5B1D69E2F7DCB96">
    <w:name w:val="1D9484A2C8E44A91B5B1D69E2F7DCB96"/>
    <w:rsid w:val="00EE5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8F2B-2D62-438B-8E45-71688710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9C37BC-903E-4DCD-A7C8-98405409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95299ACC.dotm</Template>
  <TotalTime>130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14</cp:revision>
  <cp:lastPrinted>2018-10-22T22:41:00Z</cp:lastPrinted>
  <dcterms:created xsi:type="dcterms:W3CDTF">2019-10-29T01:18:00Z</dcterms:created>
  <dcterms:modified xsi:type="dcterms:W3CDTF">2020-01-30T01:47:00Z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