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DA7E90E" w14:textId="77777777" w:rsidR="00BD499F" w:rsidRPr="004C23F4" w:rsidRDefault="007F523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methyl hydrazine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4D6AB0A0" w14:textId="77777777" w:rsidTr="00B76A41">
        <w:trPr>
          <w:cantSplit/>
          <w:tblHeader/>
        </w:trPr>
        <w:tc>
          <w:tcPr>
            <w:tcW w:w="4077" w:type="dxa"/>
          </w:tcPr>
          <w:p w14:paraId="0DA4AF7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1EBC82A" w14:textId="77777777" w:rsidR="00F43AD5" w:rsidRPr="00717D45" w:rsidRDefault="007F5238" w:rsidP="00B76A41">
            <w:pPr>
              <w:pStyle w:val="Tablefont"/>
            </w:pPr>
            <w:r w:rsidRPr="007F5238">
              <w:t>60-34-4</w:t>
            </w:r>
          </w:p>
        </w:tc>
      </w:tr>
      <w:tr w:rsidR="00F43AD5" w:rsidRPr="004C23F4" w14:paraId="1F453056" w14:textId="77777777" w:rsidTr="00B76A41">
        <w:trPr>
          <w:cantSplit/>
        </w:trPr>
        <w:tc>
          <w:tcPr>
            <w:tcW w:w="4077" w:type="dxa"/>
          </w:tcPr>
          <w:p w14:paraId="1106BAE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A3CF30E" w14:textId="77777777" w:rsidR="00F43AD5" w:rsidRPr="00717D45" w:rsidRDefault="007F5238" w:rsidP="00B76A41">
            <w:pPr>
              <w:pStyle w:val="Tablefont"/>
            </w:pPr>
            <w:r>
              <w:t xml:space="preserve">MMH, </w:t>
            </w:r>
            <w:proofErr w:type="spellStart"/>
            <w:r w:rsidRPr="007F5238">
              <w:t>Monomethylhydrazine</w:t>
            </w:r>
            <w:proofErr w:type="spellEnd"/>
          </w:p>
        </w:tc>
      </w:tr>
      <w:tr w:rsidR="00F43AD5" w:rsidRPr="004C23F4" w14:paraId="3BF76B47" w14:textId="77777777" w:rsidTr="00B76A41">
        <w:trPr>
          <w:cantSplit/>
        </w:trPr>
        <w:tc>
          <w:tcPr>
            <w:tcW w:w="4077" w:type="dxa"/>
          </w:tcPr>
          <w:p w14:paraId="3C5C1B5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4910EF4" w14:textId="77777777" w:rsidR="00F43AD5" w:rsidRPr="00717D45" w:rsidRDefault="007F5238" w:rsidP="00B76A41">
            <w:pPr>
              <w:pStyle w:val="Tablefont"/>
            </w:pPr>
            <w:r w:rsidRPr="007F5238">
              <w:t>CH</w:t>
            </w:r>
            <w:r w:rsidRPr="007F5238">
              <w:rPr>
                <w:vertAlign w:val="subscript"/>
              </w:rPr>
              <w:t>6</w:t>
            </w:r>
            <w:r w:rsidRPr="007F5238">
              <w:t>N</w:t>
            </w:r>
            <w:r w:rsidRPr="007F5238">
              <w:rPr>
                <w:vertAlign w:val="subscript"/>
              </w:rPr>
              <w:t>2</w:t>
            </w:r>
          </w:p>
        </w:tc>
      </w:tr>
      <w:tr w:rsidR="00F43AD5" w:rsidRPr="004C23F4" w14:paraId="62672C9E" w14:textId="77777777" w:rsidTr="00B76A41">
        <w:trPr>
          <w:cantSplit/>
        </w:trPr>
        <w:tc>
          <w:tcPr>
            <w:tcW w:w="4077" w:type="dxa"/>
          </w:tcPr>
          <w:p w14:paraId="1DDB44F5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FF12D63" w14:textId="77777777" w:rsidR="00F43AD5" w:rsidRPr="00B40C60" w:rsidRDefault="0073089B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B279AC4" w14:textId="40C5D76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D411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F5BD376" w14:textId="77777777" w:rsidTr="0073089B">
        <w:trPr>
          <w:cantSplit/>
          <w:tblHeader/>
        </w:trPr>
        <w:tc>
          <w:tcPr>
            <w:tcW w:w="4010" w:type="dxa"/>
            <w:vAlign w:val="center"/>
          </w:tcPr>
          <w:p w14:paraId="2969243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19F8270" w14:textId="2A50AC62" w:rsidR="002C7AFE" w:rsidRPr="00EB3D1B" w:rsidRDefault="00ED411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0.01 ppm (0.019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73089B" w:rsidRPr="004C23F4" w14:paraId="3F7519B4" w14:textId="77777777" w:rsidTr="0073089B">
        <w:trPr>
          <w:cantSplit/>
        </w:trPr>
        <w:tc>
          <w:tcPr>
            <w:tcW w:w="4010" w:type="dxa"/>
            <w:vAlign w:val="center"/>
          </w:tcPr>
          <w:p w14:paraId="20CC285E" w14:textId="77777777" w:rsidR="0073089B" w:rsidRPr="002C58FF" w:rsidRDefault="0073089B" w:rsidP="0073089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3355119" w14:textId="77777777" w:rsidR="0073089B" w:rsidRPr="0073089B" w:rsidRDefault="0073089B" w:rsidP="0073089B">
            <w:pPr>
              <w:pStyle w:val="Tablefont"/>
              <w:rPr>
                <w:b/>
              </w:rPr>
            </w:pPr>
            <w:r w:rsidRPr="00485036">
              <w:rPr>
                <w:b/>
              </w:rPr>
              <w:t>—</w:t>
            </w:r>
          </w:p>
        </w:tc>
      </w:tr>
      <w:tr w:rsidR="0073089B" w:rsidRPr="004C23F4" w14:paraId="584D6EBD" w14:textId="77777777" w:rsidTr="0073089B">
        <w:trPr>
          <w:cantSplit/>
        </w:trPr>
        <w:tc>
          <w:tcPr>
            <w:tcW w:w="4010" w:type="dxa"/>
            <w:vAlign w:val="center"/>
          </w:tcPr>
          <w:p w14:paraId="0A67DE45" w14:textId="77777777" w:rsidR="0073089B" w:rsidRPr="002C58FF" w:rsidRDefault="0073089B" w:rsidP="0073089B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4DC6A24E" w14:textId="77777777" w:rsidR="0073089B" w:rsidRPr="0073089B" w:rsidRDefault="0073089B" w:rsidP="0073089B">
            <w:pPr>
              <w:pStyle w:val="Tablefont"/>
              <w:rPr>
                <w:b/>
              </w:rPr>
            </w:pPr>
            <w:r w:rsidRPr="00485036">
              <w:rPr>
                <w:b/>
              </w:rPr>
              <w:t>—</w:t>
            </w:r>
          </w:p>
        </w:tc>
      </w:tr>
      <w:tr w:rsidR="0073089B" w:rsidRPr="004C23F4" w14:paraId="04128513" w14:textId="77777777" w:rsidTr="0073089B">
        <w:trPr>
          <w:cantSplit/>
        </w:trPr>
        <w:tc>
          <w:tcPr>
            <w:tcW w:w="4010" w:type="dxa"/>
          </w:tcPr>
          <w:p w14:paraId="2D9E31C9" w14:textId="77777777" w:rsidR="0073089B" w:rsidRPr="002C58FF" w:rsidRDefault="0073089B" w:rsidP="0073089B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8E8BFCB" w14:textId="2594D750" w:rsidR="0073089B" w:rsidRPr="0073089B" w:rsidRDefault="009704F2" w:rsidP="0073089B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73089B" w:rsidRPr="004C23F4" w14:paraId="5E95366B" w14:textId="77777777" w:rsidTr="0073089B">
        <w:trPr>
          <w:cantSplit/>
        </w:trPr>
        <w:tc>
          <w:tcPr>
            <w:tcW w:w="4010" w:type="dxa"/>
            <w:vAlign w:val="center"/>
          </w:tcPr>
          <w:p w14:paraId="5587D177" w14:textId="77777777" w:rsidR="0073089B" w:rsidRPr="002C58FF" w:rsidRDefault="0073089B" w:rsidP="0073089B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67B9879" w14:textId="7FB1D984" w:rsidR="0073089B" w:rsidRPr="0073089B" w:rsidRDefault="00FF77A1" w:rsidP="0073089B">
            <w:pPr>
              <w:pStyle w:val="Tablefont"/>
              <w:rPr>
                <w:b/>
              </w:rPr>
            </w:pPr>
            <w:r>
              <w:rPr>
                <w:b/>
              </w:rPr>
              <w:t>20 ppm</w:t>
            </w:r>
          </w:p>
        </w:tc>
      </w:tr>
      <w:tr w:rsidR="003F08A9" w:rsidRPr="004C23F4" w14:paraId="742195AE" w14:textId="77777777" w:rsidTr="00B77F63">
        <w:trPr>
          <w:cantSplit/>
        </w:trPr>
        <w:tc>
          <w:tcPr>
            <w:tcW w:w="9026" w:type="dxa"/>
            <w:gridSpan w:val="2"/>
            <w:vAlign w:val="center"/>
          </w:tcPr>
          <w:p w14:paraId="750C4E37" w14:textId="22A8A330" w:rsidR="003F08A9" w:rsidRPr="0073089B" w:rsidRDefault="003F08A9" w:rsidP="003F08A9">
            <w:pPr>
              <w:pStyle w:val="Tablefont"/>
              <w:rPr>
                <w:b/>
              </w:rPr>
            </w:pPr>
            <w:r w:rsidRPr="00AF4F0C">
              <w:rPr>
                <w:b/>
              </w:rPr>
              <w:t>Sampling and analysis</w:t>
            </w:r>
            <w:r w:rsidRPr="00C9508E"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E0EC42FC4B24499822F7F6125199DF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C0200" w:rsidRPr="00AF4F0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7781E3C" w14:textId="77777777" w:rsidR="00CB1CB1" w:rsidRPr="003C0200" w:rsidRDefault="00F10C97" w:rsidP="003365A5">
      <w:pPr>
        <w:pStyle w:val="Heading2"/>
      </w:pPr>
      <w:r>
        <w:t xml:space="preserve">Recommendation and basis for </w:t>
      </w:r>
      <w:r w:rsidRPr="003C0200">
        <w:t>workplace exposure standard</w:t>
      </w:r>
    </w:p>
    <w:p w14:paraId="662CBE88" w14:textId="29EB17A1" w:rsidR="006639B4" w:rsidRPr="003C0200" w:rsidRDefault="00C056AE" w:rsidP="000C139A">
      <w:pPr>
        <w:rPr>
          <w:rFonts w:cs="Arial"/>
        </w:rPr>
      </w:pPr>
      <w:r w:rsidRPr="003C0200">
        <w:t>A TWA of 0.01 ppm (0.019 mg/m</w:t>
      </w:r>
      <w:r w:rsidRPr="003C0200">
        <w:rPr>
          <w:vertAlign w:val="superscript"/>
        </w:rPr>
        <w:t>3</w:t>
      </w:r>
      <w:r w:rsidRPr="003C0200">
        <w:t xml:space="preserve">) is recommended </w:t>
      </w:r>
      <w:r w:rsidRPr="003C0200">
        <w:rPr>
          <w:rFonts w:cs="Arial"/>
        </w:rPr>
        <w:t xml:space="preserve">to protect for </w:t>
      </w:r>
      <w:r w:rsidR="001A5D2D">
        <w:rPr>
          <w:rFonts w:cs="Arial"/>
        </w:rPr>
        <w:t xml:space="preserve">irritation of the eyes and </w:t>
      </w:r>
      <w:r w:rsidRPr="003C0200">
        <w:t>respiratory tract, liver damage</w:t>
      </w:r>
      <w:r w:rsidR="001A5D2D">
        <w:t xml:space="preserve"> and</w:t>
      </w:r>
      <w:r w:rsidRPr="003C0200">
        <w:t xml:space="preserve"> </w:t>
      </w:r>
      <w:r w:rsidR="001A5D2D" w:rsidRPr="003C0200">
        <w:t>haematological</w:t>
      </w:r>
      <w:r w:rsidR="001A5D2D" w:rsidRPr="003C0200" w:rsidDel="001A5D2D">
        <w:t xml:space="preserve"> </w:t>
      </w:r>
      <w:r w:rsidR="001A5D2D">
        <w:t>(blood)</w:t>
      </w:r>
      <w:r w:rsidRPr="003C0200">
        <w:t xml:space="preserve"> effects in exposed workers.</w:t>
      </w:r>
      <w:r w:rsidRPr="003C0200" w:rsidDel="00C056AE">
        <w:rPr>
          <w:rFonts w:cs="Arial"/>
        </w:rPr>
        <w:t xml:space="preserve"> </w:t>
      </w:r>
    </w:p>
    <w:p w14:paraId="5D966655" w14:textId="77777777" w:rsidR="00C7155E" w:rsidRPr="003C0200" w:rsidRDefault="00F10C97" w:rsidP="003365A5">
      <w:pPr>
        <w:pStyle w:val="Heading2"/>
      </w:pPr>
      <w:r w:rsidRPr="003C0200">
        <w:t>Discussion and conclusions</w:t>
      </w:r>
    </w:p>
    <w:p w14:paraId="5FAB9F14" w14:textId="17244C0C" w:rsidR="009C5FCE" w:rsidRDefault="00ED4113" w:rsidP="00794EF8">
      <w:pPr>
        <w:rPr>
          <w:rFonts w:cs="Arial"/>
        </w:rPr>
      </w:pPr>
      <w:r w:rsidRPr="003C0200">
        <w:rPr>
          <w:rFonts w:cs="Arial"/>
        </w:rPr>
        <w:t>Methyl hydrazine is used primarily as a component of jet fuels and altitude control fuel in missile propellants</w:t>
      </w:r>
      <w:r w:rsidR="00D814F0" w:rsidRPr="00D814F0">
        <w:rPr>
          <w:rFonts w:cs="Arial"/>
        </w:rPr>
        <w:t xml:space="preserve"> </w:t>
      </w:r>
      <w:r w:rsidR="00D814F0">
        <w:rPr>
          <w:rFonts w:cs="Arial"/>
        </w:rPr>
        <w:t xml:space="preserve">and </w:t>
      </w:r>
      <w:proofErr w:type="spellStart"/>
      <w:r w:rsidR="00D814F0" w:rsidRPr="003C0200">
        <w:rPr>
          <w:rFonts w:cs="Arial"/>
        </w:rPr>
        <w:t>transfilling</w:t>
      </w:r>
      <w:proofErr w:type="spellEnd"/>
      <w:r w:rsidR="00D814F0" w:rsidRPr="003C0200">
        <w:rPr>
          <w:rFonts w:cs="Arial"/>
        </w:rPr>
        <w:t xml:space="preserve"> gas or liquids</w:t>
      </w:r>
      <w:r w:rsidR="000A50FD">
        <w:rPr>
          <w:rFonts w:cs="Arial"/>
        </w:rPr>
        <w:t>. It is also used</w:t>
      </w:r>
      <w:r w:rsidR="00D339F5" w:rsidRPr="003C0200">
        <w:rPr>
          <w:rFonts w:cs="Arial"/>
        </w:rPr>
        <w:t xml:space="preserve"> as a chemical intermediate</w:t>
      </w:r>
      <w:r w:rsidR="00D814F0">
        <w:rPr>
          <w:rFonts w:cs="Arial"/>
        </w:rPr>
        <w:t xml:space="preserve">, </w:t>
      </w:r>
      <w:r w:rsidR="00D339F5" w:rsidRPr="003C0200">
        <w:rPr>
          <w:rFonts w:cs="Arial"/>
        </w:rPr>
        <w:t xml:space="preserve">solvent and in pharmaceuticals. </w:t>
      </w:r>
    </w:p>
    <w:p w14:paraId="6BDC6228" w14:textId="605CB57E" w:rsidR="00AB0D47" w:rsidRDefault="00D339F5" w:rsidP="00794EF8">
      <w:r w:rsidRPr="003C0200">
        <w:rPr>
          <w:rFonts w:cs="Arial"/>
        </w:rPr>
        <w:t xml:space="preserve">Critical effects </w:t>
      </w:r>
      <w:r w:rsidR="001A5D2D">
        <w:rPr>
          <w:rFonts w:cs="Arial"/>
        </w:rPr>
        <w:t xml:space="preserve">of exposure </w:t>
      </w:r>
      <w:r w:rsidRPr="003C0200">
        <w:rPr>
          <w:rFonts w:cs="Arial"/>
        </w:rPr>
        <w:t xml:space="preserve">are </w:t>
      </w:r>
      <w:r w:rsidRPr="003C0200">
        <w:t xml:space="preserve">upper respiratory tract and </w:t>
      </w:r>
      <w:r w:rsidR="001A5D2D">
        <w:t>eye</w:t>
      </w:r>
      <w:r w:rsidR="001A5D2D" w:rsidRPr="003C0200">
        <w:t xml:space="preserve"> </w:t>
      </w:r>
      <w:r w:rsidRPr="003C0200">
        <w:t>irritation, liver damage</w:t>
      </w:r>
      <w:r w:rsidR="00A52485">
        <w:t xml:space="preserve"> and</w:t>
      </w:r>
      <w:r w:rsidRPr="003C0200">
        <w:t xml:space="preserve"> </w:t>
      </w:r>
      <w:proofErr w:type="spellStart"/>
      <w:r w:rsidRPr="003C0200">
        <w:t>plasmacytosis</w:t>
      </w:r>
      <w:proofErr w:type="spellEnd"/>
      <w:r w:rsidR="00B57468">
        <w:t xml:space="preserve">. </w:t>
      </w:r>
    </w:p>
    <w:p w14:paraId="56ADC5DD" w14:textId="2EB03D0F" w:rsidR="00044E9F" w:rsidRPr="003C0200" w:rsidRDefault="006565BE" w:rsidP="00794EF8">
      <w:r>
        <w:t>Limited toxicological data is available in humans.</w:t>
      </w:r>
      <w:r w:rsidR="001A5D2D">
        <w:t xml:space="preserve"> </w:t>
      </w:r>
      <w:r w:rsidR="001A5D2D" w:rsidRPr="003C0200">
        <w:t>Human susceptibility is considered more like dog</w:t>
      </w:r>
      <w:r w:rsidR="009C5FCE">
        <w:t>s</w:t>
      </w:r>
      <w:r w:rsidR="001A5D2D" w:rsidRPr="003C0200">
        <w:t xml:space="preserve"> than rat</w:t>
      </w:r>
      <w:r w:rsidR="009C5FCE">
        <w:t>s</w:t>
      </w:r>
      <w:r w:rsidR="001A5D2D" w:rsidRPr="003C0200">
        <w:t xml:space="preserve"> </w:t>
      </w:r>
      <w:r w:rsidR="009C5FCE">
        <w:t>and</w:t>
      </w:r>
      <w:r w:rsidR="001A5D2D" w:rsidRPr="003C0200">
        <w:t xml:space="preserve"> </w:t>
      </w:r>
      <w:r w:rsidR="004D25CE">
        <w:t>monkeys</w:t>
      </w:r>
      <w:r w:rsidR="001A5D2D" w:rsidRPr="003C0200">
        <w:t xml:space="preserve"> (NICNAS, 2014).</w:t>
      </w:r>
      <w:r w:rsidR="008321D0" w:rsidRPr="003C0200">
        <w:t xml:space="preserve"> A </w:t>
      </w:r>
      <w:r w:rsidR="00AB0D47">
        <w:t>ninety</w:t>
      </w:r>
      <w:r>
        <w:t>-</w:t>
      </w:r>
      <w:r w:rsidR="008321D0" w:rsidRPr="003C0200">
        <w:t>day inhalation</w:t>
      </w:r>
      <w:r w:rsidR="00E57DD6" w:rsidRPr="003C0200">
        <w:t xml:space="preserve"> study in animals</w:t>
      </w:r>
      <w:r w:rsidR="008321D0" w:rsidRPr="003C0200">
        <w:t xml:space="preserve"> reported haematological effects in rats and dogs and discolouration of the liver in dogs</w:t>
      </w:r>
      <w:r w:rsidR="00E57DD6" w:rsidRPr="003C0200">
        <w:t xml:space="preserve"> </w:t>
      </w:r>
      <w:r w:rsidR="00AA1AAA" w:rsidRPr="003C0200">
        <w:t xml:space="preserve">following exposure </w:t>
      </w:r>
      <w:r w:rsidR="00E57DD6" w:rsidRPr="003C0200">
        <w:t>at 0.1 ppm</w:t>
      </w:r>
      <w:r w:rsidR="00C051A4" w:rsidRPr="003C0200">
        <w:t xml:space="preserve">. </w:t>
      </w:r>
      <w:r w:rsidR="009704F2">
        <w:t>In a six</w:t>
      </w:r>
      <w:r w:rsidR="00AB0D47">
        <w:t>-</w:t>
      </w:r>
      <w:r w:rsidR="00794EF8" w:rsidRPr="003C0200">
        <w:t xml:space="preserve">month inhalation study, haemolytic anaemia and Heinz bodies </w:t>
      </w:r>
      <w:r w:rsidR="001A5D2D">
        <w:t>a</w:t>
      </w:r>
      <w:r w:rsidR="00794EF8" w:rsidRPr="003C0200">
        <w:t>re obser</w:t>
      </w:r>
      <w:r w:rsidR="009704F2">
        <w:t xml:space="preserve">ved in dogs at 0.2 ppm. In a </w:t>
      </w:r>
      <w:r w:rsidR="00B57468">
        <w:t>one</w:t>
      </w:r>
      <w:r w:rsidR="00AB0D47">
        <w:t>-</w:t>
      </w:r>
      <w:r w:rsidR="00794EF8" w:rsidRPr="003C0200">
        <w:t xml:space="preserve">year </w:t>
      </w:r>
      <w:r w:rsidR="009C5FCE">
        <w:t xml:space="preserve">inhalation </w:t>
      </w:r>
      <w:r w:rsidR="009C5FCE" w:rsidRPr="003C0200">
        <w:t>stud</w:t>
      </w:r>
      <w:r w:rsidR="009C5FCE">
        <w:t xml:space="preserve">ies in </w:t>
      </w:r>
      <w:r w:rsidR="008F74C5">
        <w:t>rats and mice</w:t>
      </w:r>
      <w:r w:rsidR="009704F2">
        <w:t xml:space="preserve">, </w:t>
      </w:r>
      <w:r w:rsidR="002E3947">
        <w:t xml:space="preserve">caused </w:t>
      </w:r>
      <w:r w:rsidR="00794EF8" w:rsidRPr="003C0200">
        <w:t xml:space="preserve">reduced growth rate, eye and nasal irritation, liver damage and </w:t>
      </w:r>
      <w:proofErr w:type="spellStart"/>
      <w:r w:rsidR="00794EF8" w:rsidRPr="003C0200">
        <w:t>plasmacytosis</w:t>
      </w:r>
      <w:proofErr w:type="spellEnd"/>
      <w:r w:rsidR="002E3947">
        <w:t xml:space="preserve"> </w:t>
      </w:r>
      <w:r w:rsidR="009C5FCE">
        <w:t>was reported at 0.02 </w:t>
      </w:r>
      <w:r w:rsidR="009C5FCE" w:rsidRPr="003C0200">
        <w:t>ppm</w:t>
      </w:r>
      <w:r w:rsidR="009C5FCE">
        <w:t xml:space="preserve"> </w:t>
      </w:r>
      <w:r w:rsidR="002E3947" w:rsidRPr="003C0200">
        <w:t>(ACGIH, 2018)</w:t>
      </w:r>
      <w:r w:rsidR="002E3947">
        <w:t>.</w:t>
      </w:r>
      <w:r w:rsidR="00AB0D47" w:rsidRPr="00AB0D47">
        <w:t xml:space="preserve"> </w:t>
      </w:r>
      <w:r w:rsidR="00AB0D47">
        <w:t>Evidence of carcinogenicity was observed in rodents; however, the relevance to humans is not evident and not considered relevant (ACGIH, 2018).</w:t>
      </w:r>
    </w:p>
    <w:p w14:paraId="7BC5C542" w14:textId="50D5F5DB" w:rsidR="00CC493D" w:rsidRPr="003C0200" w:rsidRDefault="00CC493D" w:rsidP="00794EF8">
      <w:r w:rsidRPr="003C0200">
        <w:t xml:space="preserve">Given the available data, the </w:t>
      </w:r>
      <w:r w:rsidR="000A50FD">
        <w:t>current</w:t>
      </w:r>
      <w:r w:rsidR="008B6846">
        <w:t xml:space="preserve"> </w:t>
      </w:r>
      <w:r w:rsidRPr="003C0200">
        <w:t xml:space="preserve">TWA of 0.01 ppm is recommended to be retained </w:t>
      </w:r>
      <w:r w:rsidR="008B6846">
        <w:t>consistent with the TLV-TWA</w:t>
      </w:r>
      <w:r w:rsidRPr="003C0200">
        <w:t xml:space="preserve"> by ACGIH (2018).</w:t>
      </w:r>
    </w:p>
    <w:p w14:paraId="62210A37" w14:textId="77777777" w:rsidR="004529F0" w:rsidRPr="003C0200" w:rsidRDefault="004529F0" w:rsidP="004529F0">
      <w:pPr>
        <w:pStyle w:val="Heading2"/>
      </w:pPr>
      <w:r w:rsidRPr="003C0200">
        <w:t>Recommendation for notations</w:t>
      </w:r>
    </w:p>
    <w:p w14:paraId="2891CE34" w14:textId="4276C76D" w:rsidR="007F5238" w:rsidRPr="003C0200" w:rsidRDefault="00CC493D" w:rsidP="007F5238">
      <w:pPr>
        <w:rPr>
          <w:rFonts w:cs="Arial"/>
        </w:rPr>
      </w:pPr>
      <w:r w:rsidRPr="003C0200">
        <w:rPr>
          <w:rFonts w:cs="Arial"/>
        </w:rPr>
        <w:t>C</w:t>
      </w:r>
      <w:r w:rsidR="007F5238" w:rsidRPr="003C0200">
        <w:rPr>
          <w:rFonts w:cs="Arial"/>
        </w:rPr>
        <w:t xml:space="preserve">lassified as a </w:t>
      </w:r>
      <w:r w:rsidR="003C0200" w:rsidRPr="003C0200">
        <w:rPr>
          <w:rFonts w:cs="Arial"/>
        </w:rPr>
        <w:t xml:space="preserve">category 1B </w:t>
      </w:r>
      <w:r w:rsidR="007F5238" w:rsidRPr="003C0200">
        <w:rPr>
          <w:rFonts w:cs="Arial"/>
        </w:rPr>
        <w:t>carcinogen</w:t>
      </w:r>
      <w:r w:rsidRPr="003C0200">
        <w:rPr>
          <w:rFonts w:cs="Arial"/>
        </w:rPr>
        <w:t xml:space="preserve"> </w:t>
      </w:r>
      <w:r w:rsidR="007F5238" w:rsidRPr="003C0200">
        <w:rPr>
          <w:rFonts w:cs="Arial"/>
        </w:rPr>
        <w:t>according to the Globally Harmonized System of Classification and Labelling o</w:t>
      </w:r>
      <w:r w:rsidRPr="003C0200">
        <w:rPr>
          <w:rFonts w:cs="Arial"/>
        </w:rPr>
        <w:t>f</w:t>
      </w:r>
      <w:r w:rsidR="007F5238" w:rsidRPr="003C0200">
        <w:rPr>
          <w:rFonts w:cs="Arial"/>
        </w:rPr>
        <w:t xml:space="preserve"> Chemicals (GHS). </w:t>
      </w:r>
    </w:p>
    <w:p w14:paraId="7CA05BC8" w14:textId="7F0C8A96" w:rsidR="007F5238" w:rsidRPr="003C0200" w:rsidRDefault="007F5238" w:rsidP="007F5238">
      <w:pPr>
        <w:rPr>
          <w:rFonts w:cs="Arial"/>
        </w:rPr>
      </w:pPr>
      <w:r w:rsidRPr="003C0200">
        <w:rPr>
          <w:rFonts w:cs="Arial"/>
        </w:rPr>
        <w:lastRenderedPageBreak/>
        <w:t xml:space="preserve">Not classified as a skin </w:t>
      </w:r>
      <w:r w:rsidR="00CC493D" w:rsidRPr="003C0200">
        <w:rPr>
          <w:rFonts w:cs="Arial"/>
        </w:rPr>
        <w:t xml:space="preserve">sensitiser </w:t>
      </w:r>
      <w:r w:rsidRPr="003C0200">
        <w:rPr>
          <w:rFonts w:cs="Arial"/>
        </w:rPr>
        <w:t>or respiratory sensitiser according to the GHS.</w:t>
      </w:r>
    </w:p>
    <w:p w14:paraId="6D45BD0D" w14:textId="37120AD4" w:rsidR="003C0200" w:rsidRPr="003C0200" w:rsidRDefault="003C0200" w:rsidP="003C0200">
      <w:pPr>
        <w:rPr>
          <w:rFonts w:cs="Arial"/>
        </w:rPr>
      </w:pPr>
      <w:r w:rsidRPr="003C0200">
        <w:rPr>
          <w:rFonts w:cs="Arial"/>
        </w:rPr>
        <w:t xml:space="preserve">A skin notation </w:t>
      </w:r>
      <w:r w:rsidR="001A5D2D">
        <w:rPr>
          <w:rFonts w:cs="Arial"/>
        </w:rPr>
        <w:t xml:space="preserve">is </w:t>
      </w:r>
      <w:r w:rsidRPr="003C0200">
        <w:rPr>
          <w:rFonts w:cs="Arial"/>
        </w:rPr>
        <w:t>recommended based on evidence suggesting potential dermal absorption and adverse systemic effects in animals.</w:t>
      </w:r>
    </w:p>
    <w:p w14:paraId="3F383562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A64B4D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47B47F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11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204"/>
      </w:tblGrid>
      <w:tr w:rsidR="00C978F0" w:rsidRPr="00DA352E" w14:paraId="19963D6A" w14:textId="77777777" w:rsidTr="003C0200">
        <w:trPr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884CC1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8191690" w14:textId="77777777" w:rsidTr="003C0200">
        <w:tc>
          <w:tcPr>
            <w:tcW w:w="0" w:type="pct"/>
            <w:shd w:val="clear" w:color="auto" w:fill="F2F2F2" w:themeFill="background1" w:themeFillShade="F2"/>
          </w:tcPr>
          <w:p w14:paraId="33BEC1AF" w14:textId="5501A57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E3859">
                  <w:t>1998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A03CF">
                  <w:t>TWA: 0.01 ppm (0.019 mg/m</w:t>
                </w:r>
                <w:r w:rsidR="005A03CF" w:rsidRPr="005A03CF">
                  <w:rPr>
                    <w:vertAlign w:val="superscript"/>
                  </w:rPr>
                  <w:t>3</w:t>
                </w:r>
                <w:r w:rsidR="005A03CF">
                  <w:t>)</w:t>
                </w:r>
              </w:sdtContent>
            </w:sdt>
          </w:p>
        </w:tc>
      </w:tr>
      <w:tr w:rsidR="006E3859" w:rsidRPr="003365A5" w14:paraId="0B8FDD2A" w14:textId="77777777" w:rsidTr="003C0200">
        <w:tc>
          <w:tcPr>
            <w:tcW w:w="0" w:type="pct"/>
            <w:shd w:val="clear" w:color="auto" w:fill="auto"/>
          </w:tcPr>
          <w:p w14:paraId="0A201344" w14:textId="77777777" w:rsidR="006E3859" w:rsidRPr="003365A5" w:rsidRDefault="006E3859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</w:tr>
      <w:tr w:rsidR="006E3859" w:rsidRPr="003365A5" w14:paraId="4B213F77" w14:textId="77777777" w:rsidTr="003C0200">
        <w:tc>
          <w:tcPr>
            <w:tcW w:w="0" w:type="pct"/>
            <w:shd w:val="clear" w:color="auto" w:fill="F2F2F2" w:themeFill="background1" w:themeFillShade="F2"/>
          </w:tcPr>
          <w:p w14:paraId="6E298D5E" w14:textId="24246FA3" w:rsidR="006E3859" w:rsidRPr="003365A5" w:rsidRDefault="006E3859" w:rsidP="006E385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>
              <w:t>A</w:t>
            </w:r>
            <w:r w:rsidRPr="00DA352E">
              <w:t>CGIH</w:t>
            </w:r>
            <w:r>
              <w:t xml:space="preserve"> </w:t>
            </w:r>
            <w:r w:rsidRPr="003365A5">
              <w:tab/>
            </w:r>
            <w:sdt>
              <w:sdtPr>
                <w:id w:val="749703130"/>
                <w:placeholder>
                  <w:docPart w:val="29334E2E667544088705EBE5C229A2A0"/>
                </w:placeholder>
                <w:text/>
              </w:sdtPr>
              <w:sdtEndPr/>
              <w:sdtContent>
                <w:r>
                  <w:t>2001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ACGIH WES equivalent"/>
                <w:tag w:val="ACGIH WES equivalent"/>
                <w:id w:val="188423496"/>
                <w:placeholder>
                  <w:docPart w:val="B47BE14284C249B5A4CC3DB7139CBB26"/>
                </w:placeholder>
              </w:sdtPr>
              <w:sdtEndPr/>
              <w:sdtContent>
                <w:r>
                  <w:t>TLV-TWA: 0.01 ppm (0.019 mg/m</w:t>
                </w:r>
                <w:r w:rsidRPr="006E3859"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6E3859" w:rsidRPr="003365A5" w14:paraId="7C4AEC2A" w14:textId="77777777" w:rsidTr="003C0200">
        <w:tc>
          <w:tcPr>
            <w:tcW w:w="0" w:type="pct"/>
            <w:shd w:val="clear" w:color="auto" w:fill="auto"/>
          </w:tcPr>
          <w:p w14:paraId="3B20629E" w14:textId="6A22BDC2" w:rsidR="004039C7" w:rsidRPr="008E50FB" w:rsidRDefault="004039C7" w:rsidP="004039C7">
            <w:pPr>
              <w:pStyle w:val="Tabletextprimarysource"/>
            </w:pPr>
            <w:r>
              <w:t>T</w:t>
            </w:r>
            <w:r w:rsidRPr="008E50FB">
              <w:t xml:space="preserve">LV-TWA recommended to minimise the </w:t>
            </w:r>
            <w:r>
              <w:t xml:space="preserve">upper respiratory tract and ocular irritation, liver damage, </w:t>
            </w:r>
            <w:proofErr w:type="spellStart"/>
            <w:r>
              <w:t>plasmacytosis</w:t>
            </w:r>
            <w:proofErr w:type="spellEnd"/>
            <w:r>
              <w:t xml:space="preserve">, and </w:t>
            </w:r>
            <w:proofErr w:type="spellStart"/>
            <w:r>
              <w:t>tumorigenicity</w:t>
            </w:r>
            <w:proofErr w:type="spellEnd"/>
            <w:r w:rsidRPr="008E50FB">
              <w:t>.</w:t>
            </w:r>
          </w:p>
          <w:p w14:paraId="5E59D6BB" w14:textId="3E506F19" w:rsidR="001A5D2D" w:rsidRDefault="004039C7" w:rsidP="004039C7">
            <w:pPr>
              <w:pStyle w:val="Tabletextprimarysource"/>
            </w:pPr>
            <w:r>
              <w:t xml:space="preserve">Confirmed animal </w:t>
            </w:r>
            <w:r w:rsidRPr="00DF5F00">
              <w:t xml:space="preserve">carcinogen </w:t>
            </w:r>
            <w:r w:rsidR="00856018">
              <w:t xml:space="preserve">with unknown relevance to humans </w:t>
            </w:r>
            <w:r>
              <w:t xml:space="preserve">based on pulmonary </w:t>
            </w:r>
            <w:r w:rsidR="009E7825">
              <w:t>tumours</w:t>
            </w:r>
            <w:r>
              <w:t xml:space="preserve"> observed on rodents</w:t>
            </w:r>
            <w:r w:rsidRPr="00DF5F00">
              <w:t>.</w:t>
            </w:r>
            <w:r>
              <w:t xml:space="preserve"> </w:t>
            </w:r>
          </w:p>
          <w:p w14:paraId="64740E21" w14:textId="6C3E7101" w:rsidR="004039C7" w:rsidRDefault="004039C7" w:rsidP="004039C7">
            <w:pPr>
              <w:pStyle w:val="Tabletextprimarysource"/>
            </w:pPr>
            <w:r>
              <w:t>Skin notation assigned due to systemic toxicity observed from absorption through the skin in animals.</w:t>
            </w:r>
          </w:p>
          <w:p w14:paraId="79440080" w14:textId="10A35CF5" w:rsidR="00D339F5" w:rsidRPr="00DF5F00" w:rsidRDefault="00D339F5" w:rsidP="004039C7">
            <w:pPr>
              <w:pStyle w:val="Tabletextprimarysource"/>
            </w:pPr>
            <w:r>
              <w:t xml:space="preserve">TLV-TWA based on evidence in rats and mice demonstrating reduced growth rate, eye and nasal irritation, liver damage and </w:t>
            </w:r>
            <w:proofErr w:type="spellStart"/>
            <w:r>
              <w:t>plasmacytosis</w:t>
            </w:r>
            <w:proofErr w:type="spellEnd"/>
            <w:r>
              <w:t xml:space="preserve"> at 0.02 ppm and on the evidence of carcinogenicity observed in hamsters and mice</w:t>
            </w:r>
            <w:r w:rsidR="00166A99">
              <w:t xml:space="preserve"> (no further information on the derivation of TLV-TWA)</w:t>
            </w:r>
            <w:r w:rsidR="009704F2">
              <w:t>.</w:t>
            </w:r>
          </w:p>
          <w:p w14:paraId="16EC34A7" w14:textId="77777777" w:rsidR="004039C7" w:rsidRDefault="004039C7" w:rsidP="004039C7">
            <w:pPr>
              <w:pStyle w:val="Tabletextprimarysource"/>
            </w:pPr>
            <w:r>
              <w:t>Human data:</w:t>
            </w:r>
          </w:p>
          <w:p w14:paraId="14B2DC76" w14:textId="7E72D1E1" w:rsidR="00842BA2" w:rsidRDefault="00842BA2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human data</w:t>
            </w:r>
          </w:p>
          <w:p w14:paraId="15EAABC3" w14:textId="0C111648" w:rsidR="00842BA2" w:rsidRDefault="00842BA2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Human poisons relate to ingestion of N-methyl-N-</w:t>
            </w:r>
            <w:proofErr w:type="spellStart"/>
            <w:r>
              <w:t>formylhydrazone</w:t>
            </w:r>
            <w:proofErr w:type="spellEnd"/>
            <w:r>
              <w:t>; of which methyl hydrazine is the principal metabolite; no further</w:t>
            </w:r>
            <w:r w:rsidR="00D339F5">
              <w:t xml:space="preserve"> </w:t>
            </w:r>
            <w:r>
              <w:t>information</w:t>
            </w:r>
          </w:p>
          <w:p w14:paraId="21644ACC" w14:textId="77777777" w:rsidR="004039C7" w:rsidRPr="002E3947" w:rsidRDefault="004039C7" w:rsidP="004039C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Animal </w:t>
            </w:r>
            <w:r w:rsidRPr="002E3947">
              <w:t>data:</w:t>
            </w:r>
          </w:p>
          <w:p w14:paraId="1F963E54" w14:textId="484DA9CE" w:rsidR="004039C7" w:rsidRPr="003878F9" w:rsidRDefault="004039C7" w:rsidP="003878F9">
            <w:pPr>
              <w:pStyle w:val="ListBullet"/>
              <w:spacing w:before="60" w:after="60"/>
              <w:ind w:left="714" w:hanging="357"/>
              <w:contextualSpacing w:val="0"/>
            </w:pPr>
            <w:r w:rsidRPr="003878F9">
              <w:t>LC</w:t>
            </w:r>
            <w:r w:rsidRPr="003878F9">
              <w:rPr>
                <w:vertAlign w:val="subscript"/>
              </w:rPr>
              <w:t>50</w:t>
            </w:r>
            <w:r w:rsidRPr="003878F9">
              <w:t>: 74 to 78 ppm</w:t>
            </w:r>
            <w:r w:rsidR="00842BA2" w:rsidRPr="003878F9">
              <w:t xml:space="preserve"> </w:t>
            </w:r>
            <w:r w:rsidRPr="003878F9">
              <w:t>(4 h) for rats; 56</w:t>
            </w:r>
            <w:r w:rsidR="001A5D2D" w:rsidRPr="003878F9">
              <w:t>-</w:t>
            </w:r>
            <w:r w:rsidR="002E3947">
              <w:t>–</w:t>
            </w:r>
            <w:r w:rsidRPr="002E3947">
              <w:t>65 ppm</w:t>
            </w:r>
            <w:r w:rsidR="00842BA2" w:rsidRPr="003878F9">
              <w:t xml:space="preserve"> </w:t>
            </w:r>
            <w:r w:rsidRPr="003878F9">
              <w:t>(4 h) for mice; 162 ppm</w:t>
            </w:r>
            <w:r w:rsidR="00842BA2" w:rsidRPr="003878F9">
              <w:t xml:space="preserve"> </w:t>
            </w:r>
            <w:r w:rsidRPr="003878F9">
              <w:t>(1 h) for monkeys, and 96 ppm</w:t>
            </w:r>
            <w:r w:rsidR="00842BA2" w:rsidRPr="003878F9">
              <w:t xml:space="preserve"> </w:t>
            </w:r>
            <w:r w:rsidRPr="003878F9">
              <w:t>(1 h) for dogs</w:t>
            </w:r>
          </w:p>
          <w:p w14:paraId="7976666D" w14:textId="640D0478" w:rsidR="001A5D2D" w:rsidRPr="003878F9" w:rsidRDefault="004039C7" w:rsidP="003878F9">
            <w:pPr>
              <w:pStyle w:val="ListBullet"/>
              <w:spacing w:before="60" w:after="60"/>
              <w:ind w:left="714" w:hanging="357"/>
              <w:contextualSpacing w:val="0"/>
            </w:pPr>
            <w:r w:rsidRPr="003878F9">
              <w:t xml:space="preserve">Symptoms of acute toxicity include convulsions, neurological effects, hypoglycaemia, vomiting, anaemia, bilirubinemia, increased </w:t>
            </w:r>
            <w:proofErr w:type="spellStart"/>
            <w:r w:rsidRPr="003878F9">
              <w:t>methemoglobinemia</w:t>
            </w:r>
            <w:proofErr w:type="spellEnd"/>
            <w:r w:rsidRPr="003878F9">
              <w:t xml:space="preserve">, and ocular and upper respiratory tract </w:t>
            </w:r>
            <w:r w:rsidR="003F08A9" w:rsidRPr="003878F9">
              <w:t>irritation</w:t>
            </w:r>
            <w:r w:rsidR="00A52485" w:rsidRPr="003878F9">
              <w:t>:</w:t>
            </w:r>
          </w:p>
          <w:p w14:paraId="3157E977" w14:textId="5B0D7C8E" w:rsidR="004039C7" w:rsidRPr="003878F9" w:rsidRDefault="00662DBC" w:rsidP="003878F9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 w:rsidRPr="003878F9">
              <w:rPr>
                <w:rStyle w:val="checkbox"/>
                <w:rFonts w:ascii="Arial" w:hAnsi="Arial" w:cs="Arial"/>
              </w:rPr>
              <w:t>p</w:t>
            </w:r>
            <w:r w:rsidR="004039C7" w:rsidRPr="003878F9">
              <w:rPr>
                <w:rStyle w:val="checkbox"/>
                <w:rFonts w:ascii="Arial" w:hAnsi="Arial" w:cs="Arial"/>
              </w:rPr>
              <w:t>athological</w:t>
            </w:r>
            <w:r w:rsidR="004039C7" w:rsidRPr="003878F9">
              <w:t xml:space="preserve"> changes were observed in the lungs, liver, kidneys and brain</w:t>
            </w:r>
            <w:r w:rsidR="003F08A9" w:rsidRPr="003878F9">
              <w:t xml:space="preserve"> of </w:t>
            </w:r>
            <w:r w:rsidRPr="003878F9">
              <w:t>exposed animals; no further information</w:t>
            </w:r>
          </w:p>
          <w:p w14:paraId="6C2F5A4B" w14:textId="670DFF01" w:rsidR="008321D0" w:rsidRPr="002E3947" w:rsidRDefault="00662DBC" w:rsidP="003878F9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3878F9">
              <w:t xml:space="preserve">Dermal </w:t>
            </w:r>
            <w:r w:rsidR="004039C7" w:rsidRPr="003878F9">
              <w:t>LD</w:t>
            </w:r>
            <w:r w:rsidR="004039C7" w:rsidRPr="003878F9">
              <w:rPr>
                <w:vertAlign w:val="subscript"/>
              </w:rPr>
              <w:t>50</w:t>
            </w:r>
            <w:r w:rsidR="004039C7" w:rsidRPr="003878F9">
              <w:t>: 93 mg/kg (rabbits); 47 mg/kg (guinea pigs); 239 mg/kg (hamsters); 183</w:t>
            </w:r>
            <w:r w:rsidR="006422ED" w:rsidRPr="003878F9">
              <w:t> </w:t>
            </w:r>
            <w:r w:rsidR="004039C7" w:rsidRPr="003878F9">
              <w:t>mg/kg (rats)</w:t>
            </w:r>
            <w:r w:rsidR="008321D0" w:rsidRPr="003878F9">
              <w:t xml:space="preserve"> </w:t>
            </w:r>
          </w:p>
          <w:p w14:paraId="46D42AE8" w14:textId="2A1C0395" w:rsidR="008321D0" w:rsidRPr="002E3947" w:rsidRDefault="008321D0" w:rsidP="003878F9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3878F9">
              <w:t xml:space="preserve">Summarised study: </w:t>
            </w:r>
            <w:r w:rsidRPr="003878F9">
              <w:rPr>
                <w:rFonts w:cs="Arial"/>
              </w:rPr>
              <w:t>rats, dogs and monkeys exposed at 0, 0.04, or 0.1 ppm, 24 h/d, 7</w:t>
            </w:r>
            <w:r w:rsidR="003C0200" w:rsidRPr="003878F9">
              <w:rPr>
                <w:rFonts w:cs="Arial"/>
              </w:rPr>
              <w:t> </w:t>
            </w:r>
            <w:r w:rsidRPr="003878F9">
              <w:rPr>
                <w:rFonts w:cs="Arial"/>
              </w:rPr>
              <w:t>d/</w:t>
            </w:r>
            <w:proofErr w:type="spellStart"/>
            <w:r w:rsidRPr="003878F9">
              <w:rPr>
                <w:rFonts w:cs="Arial"/>
              </w:rPr>
              <w:t>wk</w:t>
            </w:r>
            <w:proofErr w:type="spellEnd"/>
            <w:r w:rsidRPr="003878F9">
              <w:rPr>
                <w:rFonts w:cs="Arial"/>
              </w:rPr>
              <w:t xml:space="preserve"> for 90 d</w:t>
            </w:r>
            <w:r w:rsidR="00A52485" w:rsidRPr="003878F9">
              <w:rPr>
                <w:rFonts w:cs="Arial"/>
              </w:rPr>
              <w:t>:</w:t>
            </w:r>
            <w:r w:rsidRPr="003878F9">
              <w:rPr>
                <w:rFonts w:cs="Arial"/>
              </w:rPr>
              <w:t xml:space="preserve"> </w:t>
            </w:r>
          </w:p>
          <w:p w14:paraId="547EE06B" w14:textId="77CAFCAB" w:rsidR="008321D0" w:rsidRPr="003878F9" w:rsidRDefault="008321D0" w:rsidP="003878F9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E3947">
              <w:rPr>
                <w:rStyle w:val="checkbox"/>
                <w:rFonts w:ascii="Arial" w:hAnsi="Arial" w:cs="Arial"/>
              </w:rPr>
              <w:t>h</w:t>
            </w:r>
            <w:r w:rsidRPr="003878F9">
              <w:rPr>
                <w:rStyle w:val="checkbox"/>
                <w:rFonts w:ascii="Arial" w:hAnsi="Arial" w:cs="Arial"/>
              </w:rPr>
              <w:t>aematological effects in rats and dogs at 0.1 ppm</w:t>
            </w:r>
          </w:p>
          <w:p w14:paraId="2274566B" w14:textId="77777777" w:rsidR="008321D0" w:rsidRPr="002E3947" w:rsidRDefault="008321D0" w:rsidP="003878F9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  <w:rPr>
                <w:rFonts w:cs="Arial"/>
              </w:rPr>
            </w:pPr>
            <w:r w:rsidRPr="003878F9">
              <w:rPr>
                <w:rFonts w:cs="Arial"/>
              </w:rPr>
              <w:t>discolouration of the liver at 0.1 ppm in dogs</w:t>
            </w:r>
          </w:p>
          <w:p w14:paraId="7D48BE95" w14:textId="14007530" w:rsidR="004039C7" w:rsidRPr="002E3947" w:rsidRDefault="008321D0" w:rsidP="003878F9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  <w:rPr>
                <w:rFonts w:cs="Arial"/>
              </w:rPr>
            </w:pPr>
            <w:r w:rsidRPr="003878F9">
              <w:rPr>
                <w:rFonts w:cs="Arial"/>
              </w:rPr>
              <w:t>elevated serum phosphorus in rats at 0.04 and 0.1 ppm</w:t>
            </w:r>
          </w:p>
          <w:p w14:paraId="6AC449EB" w14:textId="551A37DA" w:rsidR="004039C7" w:rsidRPr="003878F9" w:rsidRDefault="001A5D2D" w:rsidP="003878F9">
            <w:pPr>
              <w:pStyle w:val="ListBullet"/>
              <w:spacing w:before="60" w:after="60"/>
              <w:ind w:left="714" w:hanging="357"/>
              <w:contextualSpacing w:val="0"/>
            </w:pPr>
            <w:r w:rsidRPr="002E3947">
              <w:t xml:space="preserve">Rats, mice, dogs and monkeys exposed </w:t>
            </w:r>
            <w:r w:rsidR="004039C7" w:rsidRPr="003878F9">
              <w:t>6 h/d, 5 d/</w:t>
            </w:r>
            <w:proofErr w:type="spellStart"/>
            <w:r w:rsidR="004039C7" w:rsidRPr="003878F9">
              <w:t>w</w:t>
            </w:r>
            <w:r w:rsidR="008B6846">
              <w:t>k</w:t>
            </w:r>
            <w:proofErr w:type="spellEnd"/>
            <w:r w:rsidR="004039C7" w:rsidRPr="003878F9">
              <w:t xml:space="preserve"> for 6 </w:t>
            </w:r>
            <w:proofErr w:type="spellStart"/>
            <w:r w:rsidR="004039C7" w:rsidRPr="003878F9">
              <w:t>m</w:t>
            </w:r>
            <w:r w:rsidR="001D4AD7" w:rsidRPr="003878F9">
              <w:t>o</w:t>
            </w:r>
            <w:proofErr w:type="spellEnd"/>
            <w:r w:rsidR="004039C7" w:rsidRPr="003878F9">
              <w:t xml:space="preserve"> </w:t>
            </w:r>
            <w:r w:rsidR="0012629D" w:rsidRPr="003878F9">
              <w:t xml:space="preserve">at </w:t>
            </w:r>
            <w:r w:rsidR="004039C7" w:rsidRPr="003878F9">
              <w:t>0, 0.2, 1, 2, or 5</w:t>
            </w:r>
            <w:r w:rsidR="006422ED" w:rsidRPr="003878F9">
              <w:t> </w:t>
            </w:r>
            <w:r w:rsidR="004039C7" w:rsidRPr="003878F9">
              <w:t>ppm:</w:t>
            </w:r>
          </w:p>
          <w:p w14:paraId="0754BCE0" w14:textId="7A42F8BD" w:rsidR="004039C7" w:rsidRPr="003878F9" w:rsidRDefault="009704F2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b</w:t>
            </w:r>
            <w:r w:rsidR="004039C7" w:rsidRPr="003878F9">
              <w:t>ody weight r</w:t>
            </w:r>
            <w:r w:rsidR="00440211" w:rsidRPr="003878F9">
              <w:t>eductions in rats at 1 to 5 ppm</w:t>
            </w:r>
          </w:p>
          <w:p w14:paraId="58DEA4A1" w14:textId="0669B403" w:rsidR="004039C7" w:rsidRPr="003878F9" w:rsidRDefault="001D4AD7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ha</w:t>
            </w:r>
            <w:r w:rsidR="004039C7" w:rsidRPr="003878F9">
              <w:t xml:space="preserve">emolytic </w:t>
            </w:r>
            <w:r w:rsidRPr="003878F9">
              <w:t>anaemia</w:t>
            </w:r>
            <w:r w:rsidR="004039C7" w:rsidRPr="003878F9">
              <w:t xml:space="preserve"> and Heinz bodies in dogs </w:t>
            </w:r>
            <w:r w:rsidR="0012629D" w:rsidRPr="003878F9">
              <w:t xml:space="preserve">at </w:t>
            </w:r>
            <w:r w:rsidR="004039C7" w:rsidRPr="003878F9">
              <w:t>0.2 ppm</w:t>
            </w:r>
          </w:p>
          <w:p w14:paraId="705EAAB9" w14:textId="0A604F60" w:rsidR="004039C7" w:rsidRPr="003878F9" w:rsidRDefault="001D4AD7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i</w:t>
            </w:r>
            <w:r w:rsidR="004039C7" w:rsidRPr="003878F9">
              <w:t xml:space="preserve">ncreased </w:t>
            </w:r>
            <w:proofErr w:type="spellStart"/>
            <w:r w:rsidR="004039C7" w:rsidRPr="003878F9">
              <w:t>methemoglobin</w:t>
            </w:r>
            <w:proofErr w:type="spellEnd"/>
            <w:r w:rsidR="004039C7" w:rsidRPr="003878F9">
              <w:t xml:space="preserve"> formation at 2 and 5 ppm</w:t>
            </w:r>
          </w:p>
          <w:p w14:paraId="76111576" w14:textId="72E539C5" w:rsidR="004039C7" w:rsidRPr="003878F9" w:rsidRDefault="001D4AD7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b</w:t>
            </w:r>
            <w:r w:rsidR="004039C7" w:rsidRPr="003878F9">
              <w:t xml:space="preserve">ile suppression </w:t>
            </w:r>
            <w:r w:rsidR="001A5D2D" w:rsidRPr="003878F9">
              <w:t>i</w:t>
            </w:r>
            <w:r w:rsidR="004039C7" w:rsidRPr="003878F9">
              <w:t xml:space="preserve">n dogs </w:t>
            </w:r>
            <w:r w:rsidR="001A5D2D" w:rsidRPr="003878F9">
              <w:t>at</w:t>
            </w:r>
            <w:r w:rsidR="004039C7" w:rsidRPr="003878F9">
              <w:t xml:space="preserve"> 0.2</w:t>
            </w:r>
            <w:r w:rsidR="00662DBC" w:rsidRPr="003878F9">
              <w:t xml:space="preserve"> </w:t>
            </w:r>
            <w:r w:rsidR="004039C7" w:rsidRPr="003878F9">
              <w:t xml:space="preserve">ppm, hepatic and renal tubular </w:t>
            </w:r>
            <w:proofErr w:type="spellStart"/>
            <w:r w:rsidR="001A52B5" w:rsidRPr="003878F9">
              <w:t>haemosideros</w:t>
            </w:r>
            <w:r w:rsidR="001A52B5">
              <w:t>i</w:t>
            </w:r>
            <w:r w:rsidR="001A52B5" w:rsidRPr="003878F9">
              <w:t>s</w:t>
            </w:r>
            <w:proofErr w:type="spellEnd"/>
            <w:r w:rsidR="001A52B5" w:rsidRPr="003878F9">
              <w:t xml:space="preserve"> </w:t>
            </w:r>
            <w:r w:rsidR="004039C7" w:rsidRPr="003878F9">
              <w:t>at 2</w:t>
            </w:r>
            <w:r w:rsidR="001A5D2D" w:rsidRPr="003878F9">
              <w:t> </w:t>
            </w:r>
            <w:r w:rsidR="004039C7" w:rsidRPr="003878F9">
              <w:t xml:space="preserve">and </w:t>
            </w:r>
            <w:r w:rsidR="001A52B5" w:rsidRPr="003878F9">
              <w:t>5</w:t>
            </w:r>
            <w:r w:rsidR="001A52B5">
              <w:t> </w:t>
            </w:r>
            <w:r w:rsidR="004039C7" w:rsidRPr="003878F9">
              <w:t>ppm</w:t>
            </w:r>
          </w:p>
          <w:p w14:paraId="0871400A" w14:textId="38D47D07" w:rsidR="004039C7" w:rsidRPr="002E3947" w:rsidRDefault="004039C7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 xml:space="preserve">increase in </w:t>
            </w:r>
            <w:proofErr w:type="spellStart"/>
            <w:r w:rsidRPr="003878F9">
              <w:t>biportal</w:t>
            </w:r>
            <w:proofErr w:type="spellEnd"/>
            <w:r w:rsidRPr="003878F9">
              <w:t xml:space="preserve"> </w:t>
            </w:r>
            <w:r w:rsidRPr="002E3947">
              <w:t xml:space="preserve">or </w:t>
            </w:r>
            <w:proofErr w:type="spellStart"/>
            <w:r w:rsidRPr="002E3947">
              <w:t>centrilobular</w:t>
            </w:r>
            <w:proofErr w:type="spellEnd"/>
            <w:r w:rsidRPr="002E3947">
              <w:t xml:space="preserve"> cholestasis and bile duct proliferation</w:t>
            </w:r>
            <w:r w:rsidR="001A52B5" w:rsidRPr="003878F9">
              <w:t xml:space="preserve"> </w:t>
            </w:r>
            <w:r w:rsidR="001A52B5">
              <w:t xml:space="preserve">in </w:t>
            </w:r>
            <w:r w:rsidR="001A52B5" w:rsidRPr="003878F9">
              <w:t>mice exposed at 2 and 5 ppm</w:t>
            </w:r>
          </w:p>
          <w:p w14:paraId="452563F8" w14:textId="5F068D10" w:rsidR="00044E9F" w:rsidRPr="003878F9" w:rsidRDefault="004039C7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h</w:t>
            </w:r>
            <w:r w:rsidR="001D4AD7" w:rsidRPr="003878F9">
              <w:t>a</w:t>
            </w:r>
            <w:r w:rsidRPr="003878F9">
              <w:t>emolysis and Heinz bodies formation in erythrocytes in monkeys</w:t>
            </w:r>
            <w:r w:rsidR="001A52B5">
              <w:t xml:space="preserve"> at </w:t>
            </w:r>
            <w:r w:rsidR="001A52B5" w:rsidRPr="003878F9">
              <w:t xml:space="preserve">5 ppm </w:t>
            </w:r>
          </w:p>
          <w:p w14:paraId="0EDDDDF8" w14:textId="2BB33630" w:rsidR="0012629D" w:rsidRPr="003878F9" w:rsidRDefault="0012629D" w:rsidP="003878F9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 w:rsidRPr="003878F9">
              <w:t>transient anaemia, reduced haematocr</w:t>
            </w:r>
            <w:r w:rsidR="001A5D2D" w:rsidRPr="003878F9">
              <w:t>it and haemoglobin</w:t>
            </w:r>
            <w:r w:rsidR="001A52B5" w:rsidRPr="003878F9">
              <w:t xml:space="preserve"> </w:t>
            </w:r>
            <w:r w:rsidR="001A52B5">
              <w:t xml:space="preserve">in </w:t>
            </w:r>
            <w:r w:rsidR="001A52B5" w:rsidRPr="003878F9">
              <w:t>dogs exposed at 0.2 ppm</w:t>
            </w:r>
            <w:r w:rsidR="001A52B5">
              <w:t xml:space="preserve">; </w:t>
            </w:r>
            <w:r w:rsidR="001A52B5" w:rsidRPr="003878F9">
              <w:t>hepatic damage</w:t>
            </w:r>
            <w:r w:rsidR="001A52B5">
              <w:t xml:space="preserve"> at </w:t>
            </w:r>
            <w:r w:rsidRPr="003878F9">
              <w:t xml:space="preserve">2 ppm </w:t>
            </w:r>
          </w:p>
          <w:p w14:paraId="0A433A74" w14:textId="6C9706BE" w:rsidR="004039C7" w:rsidRPr="003878F9" w:rsidRDefault="001A5D2D" w:rsidP="003878F9">
            <w:pPr>
              <w:pStyle w:val="ListBullet"/>
              <w:spacing w:before="60" w:after="60"/>
              <w:ind w:left="714" w:hanging="357"/>
              <w:contextualSpacing w:val="0"/>
            </w:pPr>
            <w:r w:rsidRPr="003878F9">
              <w:t xml:space="preserve">1 </w:t>
            </w:r>
            <w:proofErr w:type="spellStart"/>
            <w:r w:rsidR="0012629D" w:rsidRPr="003878F9">
              <w:t>yr</w:t>
            </w:r>
            <w:proofErr w:type="spellEnd"/>
            <w:r w:rsidR="0012629D" w:rsidRPr="003878F9">
              <w:t xml:space="preserve"> i</w:t>
            </w:r>
            <w:r w:rsidR="004039C7" w:rsidRPr="003878F9">
              <w:t xml:space="preserve">nhalation </w:t>
            </w:r>
            <w:r w:rsidR="0012629D" w:rsidRPr="003878F9">
              <w:t>study in rats, mice</w:t>
            </w:r>
            <w:r w:rsidR="009C3869">
              <w:t>,</w:t>
            </w:r>
            <w:r w:rsidR="0012629D" w:rsidRPr="003878F9">
              <w:t xml:space="preserve"> hamsters</w:t>
            </w:r>
            <w:r w:rsidR="009C3869">
              <w:t xml:space="preserve"> and dogs</w:t>
            </w:r>
            <w:r w:rsidR="0012629D" w:rsidRPr="003878F9">
              <w:t xml:space="preserve">; </w:t>
            </w:r>
            <w:r w:rsidR="004039C7" w:rsidRPr="003878F9">
              <w:t>6 h/d, 5 d/week</w:t>
            </w:r>
            <w:r w:rsidR="006422ED" w:rsidRPr="003878F9">
              <w:t xml:space="preserve"> </w:t>
            </w:r>
            <w:r w:rsidR="0012629D" w:rsidRPr="003878F9">
              <w:t xml:space="preserve">at </w:t>
            </w:r>
            <w:r w:rsidR="004039C7" w:rsidRPr="003878F9">
              <w:t>0.02 ppm (rats and mice) and 0.2, 2, or 5 ppm (rats and hamsters)</w:t>
            </w:r>
            <w:r w:rsidR="0012629D" w:rsidRPr="003878F9">
              <w:t>:</w:t>
            </w:r>
          </w:p>
          <w:p w14:paraId="502632A1" w14:textId="3E3F1558" w:rsidR="004039C7" w:rsidRPr="003878F9" w:rsidRDefault="001D4AD7" w:rsidP="003878F9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 w:rsidRPr="003878F9">
              <w:lastRenderedPageBreak/>
              <w:t>d</w:t>
            </w:r>
            <w:r w:rsidR="004039C7" w:rsidRPr="003878F9">
              <w:t xml:space="preserve">ecreased rate of growth </w:t>
            </w:r>
            <w:r w:rsidR="00494484" w:rsidRPr="003878F9">
              <w:t>in</w:t>
            </w:r>
            <w:r w:rsidR="004039C7" w:rsidRPr="003878F9">
              <w:t xml:space="preserve"> rats at 0.02</w:t>
            </w:r>
            <w:r w:rsidR="00662DBC" w:rsidRPr="003878F9">
              <w:t xml:space="preserve"> </w:t>
            </w:r>
            <w:r w:rsidR="004039C7" w:rsidRPr="003878F9">
              <w:t>ppm</w:t>
            </w:r>
          </w:p>
          <w:p w14:paraId="24894DB1" w14:textId="18FCA3E8" w:rsidR="003A66AF" w:rsidRDefault="001D4AD7" w:rsidP="003878F9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4039C7">
              <w:t xml:space="preserve">asal </w:t>
            </w:r>
            <w:r w:rsidR="00494484">
              <w:t xml:space="preserve">irritation and </w:t>
            </w:r>
            <w:proofErr w:type="spellStart"/>
            <w:r w:rsidR="00494484">
              <w:t>plasmacytosis</w:t>
            </w:r>
            <w:proofErr w:type="spellEnd"/>
            <w:r w:rsidR="00494484">
              <w:t xml:space="preserve"> in</w:t>
            </w:r>
            <w:r w:rsidR="004039C7">
              <w:t xml:space="preserve"> mice at 0.02</w:t>
            </w:r>
            <w:r w:rsidR="00662DBC">
              <w:t xml:space="preserve"> </w:t>
            </w:r>
            <w:r w:rsidR="004039C7">
              <w:t>ppm</w:t>
            </w:r>
          </w:p>
          <w:p w14:paraId="5C091213" w14:textId="38CF19B8" w:rsidR="003A66AF" w:rsidRDefault="004039C7" w:rsidP="003878F9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renal cysts</w:t>
            </w:r>
            <w:r w:rsidR="003A66AF">
              <w:t xml:space="preserve"> </w:t>
            </w:r>
            <w:r w:rsidR="001A52B5">
              <w:t xml:space="preserve">at 0.2 ppm </w:t>
            </w:r>
            <w:r w:rsidR="003A66AF">
              <w:t>in mice</w:t>
            </w:r>
            <w:r>
              <w:t xml:space="preserve"> </w:t>
            </w:r>
          </w:p>
          <w:p w14:paraId="6471370F" w14:textId="0494DA95" w:rsidR="004039C7" w:rsidRDefault="004039C7" w:rsidP="003878F9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proofErr w:type="spellStart"/>
            <w:r>
              <w:t>hydronephrosis</w:t>
            </w:r>
            <w:proofErr w:type="spellEnd"/>
            <w:r>
              <w:t xml:space="preserve"> and a significantly higher incidence of lung tumours, nasal adenomas, nasal poly</w:t>
            </w:r>
            <w:r w:rsidR="00494484">
              <w:t xml:space="preserve">ps, nasal </w:t>
            </w:r>
            <w:proofErr w:type="spellStart"/>
            <w:r w:rsidR="00494484">
              <w:t>osteomas</w:t>
            </w:r>
            <w:proofErr w:type="spellEnd"/>
            <w:r w:rsidR="00494484">
              <w:t>, hemangiomas</w:t>
            </w:r>
            <w:r>
              <w:t xml:space="preserve"> and liver adenomas and carcinomas</w:t>
            </w:r>
            <w:r w:rsidR="001A52B5">
              <w:t xml:space="preserve"> in mice exposed at 2 ppm </w:t>
            </w:r>
          </w:p>
          <w:p w14:paraId="1C2BA934" w14:textId="506AA1F1" w:rsidR="00B57468" w:rsidRDefault="00B57468" w:rsidP="003878F9">
            <w:pPr>
              <w:pStyle w:val="ListBullet"/>
              <w:numPr>
                <w:ilvl w:val="1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 tumours </w:t>
            </w:r>
            <w:r w:rsidR="001A52B5">
              <w:t xml:space="preserve">were not dose dependent </w:t>
            </w:r>
            <w:r>
              <w:t>in rats at any dose</w:t>
            </w:r>
          </w:p>
          <w:p w14:paraId="665A1BDB" w14:textId="6A7EAE5F" w:rsidR="004039C7" w:rsidRDefault="009704F2" w:rsidP="003878F9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4039C7">
              <w:t xml:space="preserve">hinitis and an </w:t>
            </w:r>
            <w:r w:rsidR="004039C7" w:rsidRPr="00204A8D">
              <w:t xml:space="preserve">increased </w:t>
            </w:r>
            <w:r w:rsidR="001A52B5">
              <w:t>i</w:t>
            </w:r>
            <w:r w:rsidR="00994124">
              <w:t>n</w:t>
            </w:r>
            <w:r w:rsidR="001A52B5">
              <w:t>cidence</w:t>
            </w:r>
            <w:r w:rsidR="001A52B5" w:rsidRPr="00204A8D">
              <w:t xml:space="preserve"> </w:t>
            </w:r>
            <w:r w:rsidR="004039C7" w:rsidRPr="00204A8D">
              <w:t>of biliary cysts</w:t>
            </w:r>
            <w:r w:rsidR="00994124">
              <w:t xml:space="preserve"> in hamsters exposed at 0.2 ppm; </w:t>
            </w:r>
            <w:r w:rsidR="004039C7">
              <w:t>increase nasal polyps, inte</w:t>
            </w:r>
            <w:r w:rsidR="00494484">
              <w:t>rstitial fibrosis of the kidney</w:t>
            </w:r>
            <w:r w:rsidR="004039C7">
              <w:t xml:space="preserve"> and benign </w:t>
            </w:r>
            <w:r w:rsidR="00746963">
              <w:t>adrenal adenoma and</w:t>
            </w:r>
            <w:r w:rsidR="004039C7">
              <w:t xml:space="preserve"> reduced </w:t>
            </w:r>
            <w:r w:rsidR="00994124">
              <w:t>body weight at 2 or 5 ppm</w:t>
            </w:r>
          </w:p>
          <w:p w14:paraId="36EEE629" w14:textId="4525C85E" w:rsidR="00B57468" w:rsidRDefault="00994124" w:rsidP="003878F9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 xml:space="preserve">no pathological changes in </w:t>
            </w:r>
            <w:r w:rsidR="00A52485">
              <w:t>d</w:t>
            </w:r>
            <w:r w:rsidR="00B57468">
              <w:t xml:space="preserve">ogs </w:t>
            </w:r>
          </w:p>
          <w:p w14:paraId="6AEE300A" w14:textId="77777777" w:rsidR="006E3859" w:rsidRDefault="004039C7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</w:t>
            </w:r>
            <w:r w:rsidRPr="00992958">
              <w:t>eak positive response</w:t>
            </w:r>
            <w:r>
              <w:t>s were reported in a s</w:t>
            </w:r>
            <w:r w:rsidRPr="001A682A">
              <w:t xml:space="preserve">pot test in </w:t>
            </w:r>
            <w:r w:rsidRPr="001A682A">
              <w:rPr>
                <w:i/>
              </w:rPr>
              <w:t>E.coli</w:t>
            </w:r>
            <w:r>
              <w:t xml:space="preserve"> and </w:t>
            </w:r>
            <w:r w:rsidRPr="001A682A">
              <w:rPr>
                <w:i/>
              </w:rPr>
              <w:t>Salmonella</w:t>
            </w:r>
            <w:r w:rsidRPr="001A682A">
              <w:t xml:space="preserve"> tests</w:t>
            </w:r>
            <w:r w:rsidR="009704F2">
              <w:t>.</w:t>
            </w:r>
          </w:p>
          <w:p w14:paraId="431E4BB3" w14:textId="1E1D73BF" w:rsidR="00494484" w:rsidRDefault="00494484" w:rsidP="0049448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6E3859" w:rsidRPr="00DA352E" w14:paraId="4C63F6D6" w14:textId="77777777" w:rsidTr="003C0200">
        <w:tc>
          <w:tcPr>
            <w:tcW w:w="5000" w:type="pct"/>
            <w:shd w:val="clear" w:color="auto" w:fill="F2F2F2" w:themeFill="background1" w:themeFillShade="F2"/>
          </w:tcPr>
          <w:p w14:paraId="40D1D1A1" w14:textId="74B1FBC0" w:rsidR="006E3859" w:rsidRPr="00DA352E" w:rsidRDefault="006E3859" w:rsidP="006E385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272751712"/>
                <w:placeholder>
                  <w:docPart w:val="D339689455F74C14B6F9F7065290C3F1"/>
                </w:placeholder>
                <w:text/>
              </w:sdtPr>
              <w:sdtEndPr/>
              <w:sdtContent>
                <w:r>
                  <w:t>1973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24B4E4D1CF67451AB74951F904777EE3"/>
                </w:placeholder>
              </w:sdtPr>
              <w:sdtEndPr/>
              <w:sdtContent>
                <w:r>
                  <w:t>0.1</w:t>
                </w:r>
                <w:r w:rsidR="0012629D">
                  <w:t xml:space="preserve"> </w:t>
                </w:r>
                <w:r>
                  <w:t>ppm (0.25 mg/m</w:t>
                </w:r>
                <w:r w:rsidRPr="008E50FB"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6E3859" w:rsidRPr="00DA352E" w14:paraId="78A9D131" w14:textId="77777777" w:rsidTr="003C0200">
        <w:tc>
          <w:tcPr>
            <w:tcW w:w="5000" w:type="pct"/>
          </w:tcPr>
          <w:p w14:paraId="702A2EB4" w14:textId="77777777" w:rsidR="00ED1158" w:rsidRDefault="00ED1158" w:rsidP="00ED1158">
            <w:pPr>
              <w:pStyle w:val="Tabletextprimarysource"/>
            </w:pPr>
            <w:r>
              <w:t>Summary of additional data:</w:t>
            </w:r>
          </w:p>
          <w:p w14:paraId="14F2771A" w14:textId="4DEB03A6" w:rsidR="006E3859" w:rsidRDefault="00454BD7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</w:t>
            </w:r>
            <w:r w:rsidR="001348CC">
              <w:t xml:space="preserve">nitial gagging, </w:t>
            </w:r>
            <w:r w:rsidR="00117016" w:rsidRPr="00117016">
              <w:t>difficulty breathing</w:t>
            </w:r>
            <w:r w:rsidR="00D9674D">
              <w:t xml:space="preserve">, </w:t>
            </w:r>
            <w:r w:rsidR="00117016" w:rsidRPr="00117016">
              <w:t>severe nausea and violent vomiting</w:t>
            </w:r>
            <w:r w:rsidR="009704F2">
              <w:t xml:space="preserve"> </w:t>
            </w:r>
            <w:r w:rsidR="004D25CE">
              <w:t>in 2 men ~</w:t>
            </w:r>
            <w:r w:rsidR="004D25CE" w:rsidRPr="00117016">
              <w:t xml:space="preserve">700 m from a </w:t>
            </w:r>
            <w:r w:rsidR="004D25CE">
              <w:t xml:space="preserve">spillage </w:t>
            </w:r>
            <w:r w:rsidR="009704F2">
              <w:t>(n</w:t>
            </w:r>
            <w:r w:rsidR="009E7825">
              <w:t xml:space="preserve">o further information). </w:t>
            </w:r>
          </w:p>
          <w:p w14:paraId="3201586B" w14:textId="7604104E" w:rsidR="00494484" w:rsidRPr="00DA352E" w:rsidRDefault="00494484" w:rsidP="0049448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6E3859" w:rsidRPr="00DA352E" w14:paraId="00851BBD" w14:textId="77777777" w:rsidTr="003C0200">
        <w:tc>
          <w:tcPr>
            <w:tcW w:w="5000" w:type="pct"/>
            <w:shd w:val="clear" w:color="auto" w:fill="F2F2F2" w:themeFill="background1" w:themeFillShade="F2"/>
          </w:tcPr>
          <w:p w14:paraId="25CB3A37" w14:textId="77777777" w:rsidR="006E3859" w:rsidRPr="00DA352E" w:rsidRDefault="006E3859" w:rsidP="006E385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768699850"/>
                <w:placeholder>
                  <w:docPart w:val="81C42DA2686A46A3BC387B4CCD20BB6F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D2B6B2A4B8EA49ADB74C6A775D73F791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6E3859" w:rsidRPr="00DA352E" w14:paraId="603AA950" w14:textId="77777777" w:rsidTr="003C0200">
        <w:tc>
          <w:tcPr>
            <w:tcW w:w="5000" w:type="pct"/>
          </w:tcPr>
          <w:p w14:paraId="0D85C747" w14:textId="1DBB8440" w:rsidR="006E3859" w:rsidRPr="00DA352E" w:rsidRDefault="003A66AF" w:rsidP="006E3859">
            <w:pPr>
              <w:pStyle w:val="Tabletextprimarysource"/>
            </w:pPr>
            <w:r>
              <w:t>No report</w:t>
            </w:r>
            <w:r w:rsidR="006422ED">
              <w:t>.</w:t>
            </w:r>
          </w:p>
        </w:tc>
      </w:tr>
      <w:tr w:rsidR="006E3859" w:rsidRPr="00DA352E" w14:paraId="17BA03E3" w14:textId="77777777" w:rsidTr="003C0200">
        <w:tc>
          <w:tcPr>
            <w:tcW w:w="5000" w:type="pct"/>
            <w:shd w:val="clear" w:color="auto" w:fill="F2F2F2" w:themeFill="background1" w:themeFillShade="F2"/>
          </w:tcPr>
          <w:p w14:paraId="457E4215" w14:textId="77777777" w:rsidR="006E3859" w:rsidRPr="00DA352E" w:rsidRDefault="006E3859" w:rsidP="006E385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936748013"/>
                <w:placeholder>
                  <w:docPart w:val="A696EBF9AEF940CE86622F4A374ACDDD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CB57DA83EA684D8A84BE5FFF33F7CFDE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6E3859" w:rsidRPr="00DA352E" w14:paraId="1CCA82E6" w14:textId="77777777" w:rsidTr="003C0200">
        <w:tc>
          <w:tcPr>
            <w:tcW w:w="5000" w:type="pct"/>
          </w:tcPr>
          <w:p w14:paraId="5633D04A" w14:textId="40A2BB1E" w:rsidR="006E3859" w:rsidRPr="00DA352E" w:rsidRDefault="003A66AF" w:rsidP="006E3859">
            <w:pPr>
              <w:pStyle w:val="Tabletextprimarysource"/>
            </w:pPr>
            <w:r>
              <w:t>No report</w:t>
            </w:r>
            <w:r w:rsidR="006422ED">
              <w:t>.</w:t>
            </w:r>
          </w:p>
        </w:tc>
      </w:tr>
      <w:tr w:rsidR="006E3859" w:rsidRPr="00DA352E" w14:paraId="16DD31F6" w14:textId="77777777" w:rsidTr="003C0200">
        <w:tc>
          <w:tcPr>
            <w:tcW w:w="5000" w:type="pct"/>
            <w:shd w:val="clear" w:color="auto" w:fill="F2F2F2" w:themeFill="background1" w:themeFillShade="F2"/>
          </w:tcPr>
          <w:p w14:paraId="200C6721" w14:textId="77777777" w:rsidR="006E3859" w:rsidRPr="00DA352E" w:rsidRDefault="006E3859" w:rsidP="006E385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1543090908"/>
                <w:placeholder>
                  <w:docPart w:val="1BE3A18902C542E39984077F13532083"/>
                </w:placeholder>
                <w:text/>
              </w:sdtPr>
              <w:sdtEndPr/>
              <w:sdtContent>
                <w:r>
                  <w:t>2002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B72BDE30A66B45439291484B59162529"/>
                </w:placeholder>
              </w:sdtPr>
              <w:sdtEndPr/>
              <w:sdtContent>
                <w:r>
                  <w:t>Not assigned</w:t>
                </w:r>
              </w:sdtContent>
            </w:sdt>
          </w:p>
        </w:tc>
      </w:tr>
      <w:tr w:rsidR="006E3859" w:rsidRPr="00DA352E" w14:paraId="274A3A70" w14:textId="77777777" w:rsidTr="003C0200">
        <w:tc>
          <w:tcPr>
            <w:tcW w:w="5000" w:type="pct"/>
          </w:tcPr>
          <w:p w14:paraId="6C2EA8E9" w14:textId="7584AA4B" w:rsidR="003A66AF" w:rsidRDefault="003A66AF" w:rsidP="00ED1158">
            <w:pPr>
              <w:pStyle w:val="Tabletextprimarysource"/>
            </w:pPr>
            <w:r>
              <w:t xml:space="preserve">Evaluation of carcinogenicity and </w:t>
            </w:r>
            <w:proofErr w:type="spellStart"/>
            <w:r>
              <w:t>genotoxicity</w:t>
            </w:r>
            <w:proofErr w:type="spellEnd"/>
            <w:r w:rsidR="009704F2">
              <w:t>.</w:t>
            </w:r>
          </w:p>
          <w:p w14:paraId="50685192" w14:textId="1F71CF69" w:rsidR="00ED1158" w:rsidRDefault="00ED1158" w:rsidP="00ED1158">
            <w:pPr>
              <w:pStyle w:val="Tabletextprimarysource"/>
            </w:pPr>
            <w:r>
              <w:t>Summary of additional data:</w:t>
            </w:r>
          </w:p>
          <w:p w14:paraId="4D0E35AA" w14:textId="738C3722" w:rsidR="00ED1158" w:rsidRDefault="003A66AF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in humans</w:t>
            </w:r>
          </w:p>
          <w:p w14:paraId="3B2AD2A6" w14:textId="10E8A80C" w:rsidR="003A66AF" w:rsidRDefault="003A66AF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Sufficient evidence of carcinogenicity in animals</w:t>
            </w:r>
          </w:p>
          <w:p w14:paraId="2F387D21" w14:textId="77777777" w:rsidR="006E3859" w:rsidRDefault="007B0FCB" w:rsidP="003878F9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Recommended to </w:t>
            </w:r>
            <w:r w:rsidR="003A66AF">
              <w:t>be considered carcinogenic to humans based on animal data</w:t>
            </w:r>
            <w:r w:rsidR="009704F2">
              <w:t>.</w:t>
            </w:r>
          </w:p>
          <w:p w14:paraId="3ED25D18" w14:textId="642D0C29" w:rsidR="00494484" w:rsidRPr="00DA352E" w:rsidRDefault="00494484" w:rsidP="0049448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5B0908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69"/>
        <w:gridCol w:w="552"/>
        <w:gridCol w:w="661"/>
        <w:gridCol w:w="6344"/>
      </w:tblGrid>
      <w:tr w:rsidR="004966BF" w:rsidRPr="00263255" w14:paraId="018AC6E6" w14:textId="77777777" w:rsidTr="006422ED">
        <w:trPr>
          <w:cantSplit/>
          <w:trHeight w:val="393"/>
          <w:tblHeader/>
        </w:trPr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41A6AEC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552" w:type="dxa"/>
            <w:shd w:val="clear" w:color="auto" w:fill="BFBFBF" w:themeFill="background1" w:themeFillShade="BF"/>
            <w:vAlign w:val="center"/>
          </w:tcPr>
          <w:p w14:paraId="328C6A5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FD8D8E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344" w:type="dxa"/>
            <w:shd w:val="clear" w:color="auto" w:fill="BFBFBF" w:themeFill="background1" w:themeFillShade="BF"/>
            <w:vAlign w:val="center"/>
          </w:tcPr>
          <w:p w14:paraId="4D0630CB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B728732" w14:textId="77777777" w:rsidTr="006422ED">
        <w:trPr>
          <w:cantSplit/>
        </w:trPr>
        <w:tc>
          <w:tcPr>
            <w:tcW w:w="1469" w:type="dxa"/>
          </w:tcPr>
          <w:p w14:paraId="3A6D0B21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552" w:type="dxa"/>
          </w:tcPr>
          <w:p w14:paraId="0450C6EF" w14:textId="09331270" w:rsidR="004966BF" w:rsidRPr="00CE617F" w:rsidRDefault="007270A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B0FC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9EC7F6A" w14:textId="5BBFBDB2" w:rsidR="004966BF" w:rsidRPr="004C23F4" w:rsidRDefault="007B0FC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344" w:type="dxa"/>
          </w:tcPr>
          <w:p w14:paraId="0E167B17" w14:textId="739CBC62" w:rsidR="004966BF" w:rsidRPr="001724F3" w:rsidRDefault="007B0FCB" w:rsidP="003878F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1724F3">
              <w:rPr>
                <w:rFonts w:cs="Arial"/>
              </w:rPr>
              <w:t>Vapours reported to irritate the eyes, nose and throat in humans</w:t>
            </w:r>
          </w:p>
          <w:p w14:paraId="5EF3FCED" w14:textId="2A87EE5D" w:rsidR="008321D0" w:rsidRPr="006422ED" w:rsidRDefault="006422ED" w:rsidP="003878F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9704F2">
              <w:rPr>
                <w:rFonts w:cs="Arial"/>
              </w:rPr>
              <w:t xml:space="preserve">uman susceptibility </w:t>
            </w:r>
            <w:r w:rsidR="008321D0" w:rsidRPr="00044E9F">
              <w:rPr>
                <w:rFonts w:cs="Arial"/>
              </w:rPr>
              <w:t>more like the dog than rat or monkey</w:t>
            </w:r>
          </w:p>
          <w:p w14:paraId="70E0CF03" w14:textId="174038AE" w:rsidR="00166648" w:rsidRPr="004C23F4" w:rsidRDefault="00166648" w:rsidP="003878F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considered to be genotoxic based on i</w:t>
            </w:r>
            <w:r>
              <w:rPr>
                <w:rStyle w:val="checkbox"/>
                <w:rFonts w:ascii="Arial" w:hAnsi="Arial" w:cs="Arial"/>
                <w:i/>
              </w:rPr>
              <w:t xml:space="preserve">n vivo </w:t>
            </w:r>
            <w:r>
              <w:rPr>
                <w:rStyle w:val="checkbox"/>
                <w:rFonts w:ascii="Arial" w:hAnsi="Arial" w:cs="Arial"/>
              </w:rPr>
              <w:t>evidence</w:t>
            </w:r>
            <w:r w:rsidR="009704F2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581A44F5" w14:textId="77777777" w:rsidR="007E2A4B" w:rsidRDefault="007E2A4B" w:rsidP="00494484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7042AD8" w14:textId="77777777" w:rsidTr="006422ED">
        <w:trPr>
          <w:trHeight w:val="454"/>
          <w:tblHeader/>
        </w:trPr>
        <w:tc>
          <w:tcPr>
            <w:tcW w:w="6597" w:type="dxa"/>
            <w:vAlign w:val="center"/>
          </w:tcPr>
          <w:p w14:paraId="02D45927" w14:textId="77777777" w:rsidR="002E0D61" w:rsidRDefault="00B1422A" w:rsidP="00494484">
            <w:pPr>
              <w:pStyle w:val="Tablefont"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76CE118" w14:textId="0D992092" w:rsidR="002E0D61" w:rsidRDefault="0012629D" w:rsidP="00494484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3F0210D" w14:textId="77777777" w:rsidTr="006422ED">
        <w:trPr>
          <w:trHeight w:val="454"/>
        </w:trPr>
        <w:tc>
          <w:tcPr>
            <w:tcW w:w="6597" w:type="dxa"/>
            <w:vAlign w:val="center"/>
          </w:tcPr>
          <w:p w14:paraId="15EC51C6" w14:textId="77777777" w:rsidR="008A36CF" w:rsidRDefault="008A36CF" w:rsidP="00494484">
            <w:pPr>
              <w:pStyle w:val="Tablefont"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609E057" w14:textId="4D0264AA" w:rsidR="008A36CF" w:rsidRDefault="0012629D" w:rsidP="00494484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494484" w14:paraId="03B1CFC3" w14:textId="77777777" w:rsidTr="002350F9">
        <w:trPr>
          <w:trHeight w:val="454"/>
        </w:trPr>
        <w:sdt>
          <w:sdtPr>
            <w:rPr>
              <w:b/>
            </w:rPr>
            <w:id w:val="1830936485"/>
            <w:placeholder>
              <w:docPart w:val="D85B08BFB45C4D07BB5D75F33EDEF8D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312CF92" w14:textId="0D742E14" w:rsidR="00494484" w:rsidRDefault="00494484" w:rsidP="00494484">
                <w:pPr>
                  <w:pStyle w:val="Tablefont"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7396C10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F73682D" w14:textId="77777777" w:rsidTr="00484323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79778C8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7A57A57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1381E95" w14:textId="77777777" w:rsidTr="00484323">
        <w:trPr>
          <w:cantSplit/>
        </w:trPr>
        <w:tc>
          <w:tcPr>
            <w:tcW w:w="3153" w:type="dxa"/>
          </w:tcPr>
          <w:p w14:paraId="597044C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430AD271" w14:textId="77777777" w:rsidR="00687890" w:rsidRPr="00DD2F9B" w:rsidRDefault="00A82D29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3F7499AF" w14:textId="77777777" w:rsidTr="00484323">
        <w:trPr>
          <w:cantSplit/>
        </w:trPr>
        <w:tc>
          <w:tcPr>
            <w:tcW w:w="3153" w:type="dxa"/>
          </w:tcPr>
          <w:p w14:paraId="30F9F25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7FD23CD4" w14:textId="77777777" w:rsidR="007925F0" w:rsidRPr="00DD2F9B" w:rsidRDefault="00A82D29" w:rsidP="00DD2F9B">
            <w:pPr>
              <w:pStyle w:val="Tablefont"/>
            </w:pPr>
            <w:r w:rsidRPr="00A82D29">
              <w:t>Carcinogenicity – category 1B</w:t>
            </w:r>
          </w:p>
        </w:tc>
      </w:tr>
      <w:tr w:rsidR="00AF483F" w:rsidRPr="004C23F4" w14:paraId="6ABF38C1" w14:textId="77777777" w:rsidTr="00484323">
        <w:trPr>
          <w:cantSplit/>
        </w:trPr>
        <w:tc>
          <w:tcPr>
            <w:tcW w:w="3153" w:type="dxa"/>
          </w:tcPr>
          <w:p w14:paraId="7738B46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556DA77D" w14:textId="1E70BEE5" w:rsidR="00AF483F" w:rsidRPr="00DD2F9B" w:rsidRDefault="00FF77A1" w:rsidP="00DD2F9B">
            <w:pPr>
              <w:pStyle w:val="Tablefont"/>
            </w:pPr>
            <w:proofErr w:type="spellStart"/>
            <w:r w:rsidRPr="00FF77A1">
              <w:t>Carc</w:t>
            </w:r>
            <w:proofErr w:type="spellEnd"/>
            <w:r w:rsidRPr="00FF77A1">
              <w:t>. Cat</w:t>
            </w:r>
            <w:r>
              <w:t>.</w:t>
            </w:r>
            <w:r w:rsidRPr="00FF77A1">
              <w:t xml:space="preserve"> 2</w:t>
            </w:r>
          </w:p>
        </w:tc>
      </w:tr>
      <w:tr w:rsidR="00484323" w:rsidRPr="004C23F4" w14:paraId="010C2894" w14:textId="77777777" w:rsidTr="00484323">
        <w:trPr>
          <w:cantSplit/>
        </w:trPr>
        <w:tc>
          <w:tcPr>
            <w:tcW w:w="3153" w:type="dxa"/>
          </w:tcPr>
          <w:p w14:paraId="44F135DB" w14:textId="77777777" w:rsidR="00484323" w:rsidRPr="004C23F4" w:rsidRDefault="00484323" w:rsidP="00484323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74ABE20E" w14:textId="538F3250" w:rsidR="00484323" w:rsidRPr="00DD2F9B" w:rsidRDefault="00484323" w:rsidP="00484323">
            <w:pPr>
              <w:pStyle w:val="Tablefont"/>
            </w:pPr>
            <w:r w:rsidRPr="003821E5">
              <w:t>Carcinogenicity – category 1B</w:t>
            </w:r>
          </w:p>
        </w:tc>
      </w:tr>
      <w:tr w:rsidR="00484323" w:rsidRPr="004C23F4" w14:paraId="49D94A83" w14:textId="77777777" w:rsidTr="00484323">
        <w:trPr>
          <w:cantSplit/>
        </w:trPr>
        <w:tc>
          <w:tcPr>
            <w:tcW w:w="3153" w:type="dxa"/>
          </w:tcPr>
          <w:p w14:paraId="4A7D620C" w14:textId="77777777" w:rsidR="00484323" w:rsidRDefault="00484323" w:rsidP="00484323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47274D9D" w14:textId="44CFE9E6" w:rsidR="00484323" w:rsidRPr="00DD2F9B" w:rsidRDefault="00484323" w:rsidP="00484323">
            <w:pPr>
              <w:pStyle w:val="Tablefont"/>
            </w:pPr>
            <w:r w:rsidRPr="003821E5">
              <w:t>Carcinogenicity – category 1B</w:t>
            </w:r>
          </w:p>
        </w:tc>
      </w:tr>
      <w:tr w:rsidR="002E0D61" w:rsidRPr="004C23F4" w14:paraId="0526C369" w14:textId="77777777" w:rsidTr="00484323">
        <w:trPr>
          <w:cantSplit/>
        </w:trPr>
        <w:tc>
          <w:tcPr>
            <w:tcW w:w="3153" w:type="dxa"/>
          </w:tcPr>
          <w:p w14:paraId="300C728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6893B229" w14:textId="77777777" w:rsidR="002E0D61" w:rsidRPr="00DD2F9B" w:rsidRDefault="00573440" w:rsidP="00DD2F9B">
            <w:pPr>
              <w:pStyle w:val="Tablefont"/>
            </w:pPr>
            <w:r w:rsidRPr="00573440">
              <w:t>Carcinogenicity – A3</w:t>
            </w:r>
          </w:p>
        </w:tc>
      </w:tr>
      <w:tr w:rsidR="002E0D61" w:rsidRPr="004C23F4" w14:paraId="1CD4EF76" w14:textId="77777777" w:rsidTr="00484323">
        <w:trPr>
          <w:cantSplit/>
        </w:trPr>
        <w:tc>
          <w:tcPr>
            <w:tcW w:w="3153" w:type="dxa"/>
          </w:tcPr>
          <w:p w14:paraId="3B2357E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55F1158F" w14:textId="15AC5BA2" w:rsidR="002E0D61" w:rsidRPr="003C0200" w:rsidRDefault="00573440" w:rsidP="00DD2F9B">
            <w:pPr>
              <w:pStyle w:val="Tablefont"/>
            </w:pPr>
            <w:r w:rsidRPr="003C0200">
              <w:t>H</w:t>
            </w:r>
            <w:r w:rsidR="00484323" w:rsidRPr="003C0200">
              <w:t xml:space="preserve"> (skin)</w:t>
            </w:r>
            <w:r w:rsidRPr="003C0200">
              <w:t xml:space="preserve">, </w:t>
            </w:r>
            <w:proofErr w:type="spellStart"/>
            <w:r w:rsidRPr="003C0200">
              <w:t>Sh</w:t>
            </w:r>
            <w:proofErr w:type="spellEnd"/>
            <w:r w:rsidR="00484323" w:rsidRPr="003C0200">
              <w:t xml:space="preserve"> (dermal sensitiser)</w:t>
            </w:r>
          </w:p>
        </w:tc>
      </w:tr>
      <w:tr w:rsidR="002E0D61" w:rsidRPr="004C23F4" w14:paraId="38397998" w14:textId="77777777" w:rsidTr="00484323">
        <w:trPr>
          <w:cantSplit/>
        </w:trPr>
        <w:tc>
          <w:tcPr>
            <w:tcW w:w="3153" w:type="dxa"/>
          </w:tcPr>
          <w:p w14:paraId="2FF3338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200D45BF" w14:textId="77777777" w:rsidR="002E0D61" w:rsidRPr="00DD2F9B" w:rsidRDefault="0015791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CEAB1B8" w14:textId="77777777" w:rsidTr="00484323">
        <w:trPr>
          <w:cantSplit/>
        </w:trPr>
        <w:tc>
          <w:tcPr>
            <w:tcW w:w="3153" w:type="dxa"/>
          </w:tcPr>
          <w:p w14:paraId="0FFA817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184512B0" w14:textId="7C9B9317" w:rsidR="002E0D61" w:rsidRPr="00DD2F9B" w:rsidRDefault="003C0200" w:rsidP="00DD2F9B">
            <w:pPr>
              <w:pStyle w:val="Tablefont"/>
            </w:pPr>
            <w:r w:rsidRPr="003C0200">
              <w:t>Carcinogenicity – category 2</w:t>
            </w:r>
          </w:p>
        </w:tc>
      </w:tr>
      <w:tr w:rsidR="00386093" w:rsidRPr="004C23F4" w14:paraId="35E4059F" w14:textId="77777777" w:rsidTr="00484323">
        <w:trPr>
          <w:cantSplit/>
        </w:trPr>
        <w:tc>
          <w:tcPr>
            <w:tcW w:w="3153" w:type="dxa"/>
          </w:tcPr>
          <w:p w14:paraId="42B0BA2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10E17F79" w14:textId="1C59877F" w:rsidR="00386093" w:rsidRPr="00DD2F9B" w:rsidRDefault="00FF77A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9ABF175" w14:textId="77777777" w:rsidTr="00484323">
        <w:trPr>
          <w:cantSplit/>
        </w:trPr>
        <w:tc>
          <w:tcPr>
            <w:tcW w:w="3153" w:type="dxa"/>
          </w:tcPr>
          <w:p w14:paraId="07B8753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4A765BC8" w14:textId="34F83541" w:rsidR="00386093" w:rsidRPr="00DD2F9B" w:rsidRDefault="00FF77A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45ADB4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C9A774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894B20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CDF964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658887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62" w:type="dxa"/>
              <w:tblLook w:val="04A0" w:firstRow="1" w:lastRow="0" w:firstColumn="1" w:lastColumn="0" w:noHBand="0" w:noVBand="1"/>
            </w:tblPr>
            <w:tblGrid>
              <w:gridCol w:w="3567"/>
              <w:gridCol w:w="1050"/>
              <w:gridCol w:w="1050"/>
              <w:gridCol w:w="3095"/>
            </w:tblGrid>
            <w:tr w:rsidR="00CC493D" w:rsidRPr="00CC493D" w14:paraId="2A1DCAA8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89DB62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B1F3CD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E2D7F7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83E610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1C81885B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F45683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FA7C45E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252FC0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A5BE48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4934413D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58C761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E5902E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D91A89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DBF435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189AE560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B78C89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9759A2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566B0E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55AB56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5B279FD9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5E5345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AD24CF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69C927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56C09A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7208D77C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2C21C0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177507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F162CF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68942A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93D" w:rsidRPr="00CC493D" w14:paraId="50350256" w14:textId="77777777" w:rsidTr="003C0200">
              <w:trPr>
                <w:trHeight w:val="339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3FB425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EED246" w14:textId="77777777" w:rsidR="00CC493D" w:rsidRPr="00CC493D" w:rsidRDefault="00CC493D" w:rsidP="00CC493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5914F" w14:textId="77777777" w:rsidR="00CC493D" w:rsidRPr="00CC493D" w:rsidRDefault="00CC493D" w:rsidP="00CC493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A46149" w14:textId="77777777" w:rsidR="00CC493D" w:rsidRPr="00CC493D" w:rsidRDefault="00CC493D" w:rsidP="00CC493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93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B7F868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D770EA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064236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B79C79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9EB3BDC" w14:textId="0BCAA740" w:rsidR="00EB3D1B" w:rsidRDefault="00F1683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CAE7D35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05EAE09" w14:textId="77777777" w:rsidTr="007270A7">
        <w:trPr>
          <w:cantSplit/>
          <w:tblHeader/>
        </w:trPr>
        <w:tc>
          <w:tcPr>
            <w:tcW w:w="4077" w:type="dxa"/>
            <w:vAlign w:val="center"/>
          </w:tcPr>
          <w:p w14:paraId="5D0637F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29EC7AA" w14:textId="77777777" w:rsidR="001B79E5" w:rsidRDefault="00573440" w:rsidP="001B79E5">
                <w:pPr>
                  <w:pStyle w:val="Tablefont"/>
                </w:pPr>
                <w:r>
                  <w:t>46.1</w:t>
                </w:r>
              </w:p>
            </w:tc>
          </w:sdtContent>
        </w:sdt>
      </w:tr>
      <w:tr w:rsidR="00A31D99" w:rsidRPr="004C23F4" w14:paraId="3F71665C" w14:textId="77777777" w:rsidTr="00494484">
        <w:trPr>
          <w:cantSplit/>
        </w:trPr>
        <w:tc>
          <w:tcPr>
            <w:tcW w:w="4077" w:type="dxa"/>
            <w:vAlign w:val="center"/>
          </w:tcPr>
          <w:p w14:paraId="3B474A9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9063D7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21C7502" w14:textId="77777777" w:rsidTr="00494484">
        <w:trPr>
          <w:cantSplit/>
        </w:trPr>
        <w:tc>
          <w:tcPr>
            <w:tcW w:w="4077" w:type="dxa"/>
            <w:vAlign w:val="center"/>
          </w:tcPr>
          <w:p w14:paraId="7C70A69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8B4FB6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9AE2752" w14:textId="77777777" w:rsidTr="00494484">
        <w:trPr>
          <w:cantSplit/>
        </w:trPr>
        <w:tc>
          <w:tcPr>
            <w:tcW w:w="4077" w:type="dxa"/>
            <w:vAlign w:val="center"/>
          </w:tcPr>
          <w:p w14:paraId="38C18D1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4F84F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03E5046" w14:textId="77777777" w:rsidTr="00494484">
        <w:trPr>
          <w:cantSplit/>
        </w:trPr>
        <w:tc>
          <w:tcPr>
            <w:tcW w:w="4077" w:type="dxa"/>
            <w:vAlign w:val="center"/>
          </w:tcPr>
          <w:p w14:paraId="192731D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B079D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87AE72" w14:textId="77777777" w:rsidTr="00494484">
        <w:trPr>
          <w:cantSplit/>
        </w:trPr>
        <w:tc>
          <w:tcPr>
            <w:tcW w:w="4077" w:type="dxa"/>
            <w:vAlign w:val="center"/>
          </w:tcPr>
          <w:p w14:paraId="719A3EE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56B3972" w14:textId="77777777" w:rsidR="00E06F40" w:rsidRPr="00A006A0" w:rsidRDefault="007270A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93C11B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539F8F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07FC20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043D47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B94934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C104C7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851F79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DE2FDC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82FC113" w14:textId="019071A2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BECB29D" w14:textId="209FD58E" w:rsidR="00C00B60" w:rsidRDefault="00C00B60" w:rsidP="00C00B60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(1973) </w:t>
      </w:r>
      <w:proofErr w:type="spellStart"/>
      <w:r w:rsidRPr="00C00B60">
        <w:t>Methylhydrazine</w:t>
      </w:r>
      <w:proofErr w:type="spellEnd"/>
      <w:r>
        <w:t xml:space="preserve"> – MAK value documentation.</w:t>
      </w:r>
    </w:p>
    <w:p w14:paraId="3D13BB0E" w14:textId="5CAD80BA" w:rsidR="00C00B60" w:rsidRDefault="00C00B60" w:rsidP="00C00B60">
      <w:r w:rsidRPr="00C00B60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12BB9729" w14:textId="392EF639" w:rsidR="00C00B60" w:rsidRDefault="00C00B60" w:rsidP="00C00B60">
      <w:pPr>
        <w:rPr>
          <w:b/>
        </w:rPr>
      </w:pPr>
      <w:r w:rsidRPr="002022B6">
        <w:t>Health Council of the Netherlands</w:t>
      </w:r>
      <w:r>
        <w:t xml:space="preserve"> (HCOTN) (2002) </w:t>
      </w:r>
      <w:r w:rsidRPr="00C00B60">
        <w:t>N-</w:t>
      </w:r>
      <w:proofErr w:type="spellStart"/>
      <w:r w:rsidRPr="00C00B60">
        <w:t>Methylhydrazine</w:t>
      </w:r>
      <w:proofErr w:type="spellEnd"/>
      <w:r w:rsidRPr="005F7416">
        <w:t xml:space="preserve">. </w:t>
      </w:r>
      <w:r w:rsidRPr="00C00B60">
        <w:t xml:space="preserve">Evaluation of the carcinogenicity and </w:t>
      </w:r>
      <w:proofErr w:type="spellStart"/>
      <w:r w:rsidRPr="00C00B60">
        <w:t>genotoxicity</w:t>
      </w:r>
      <w:proofErr w:type="spellEnd"/>
      <w:r w:rsidR="008E4963">
        <w:t xml:space="preserve">. </w:t>
      </w:r>
      <w:r w:rsidRPr="005F7416">
        <w:t xml:space="preserve">The Hague: Health Council of the Netherlands; publication no. </w:t>
      </w:r>
      <w:r>
        <w:t>2002/07OSH.</w:t>
      </w:r>
    </w:p>
    <w:p w14:paraId="281E1567" w14:textId="0A9E5E33" w:rsidR="00C00B60" w:rsidRDefault="00C00B60" w:rsidP="00C00B60">
      <w:r w:rsidRPr="002022B6">
        <w:t>National Industrial Chemicals Notification and Assessment Scheme (NICNAS)</w:t>
      </w:r>
      <w:r>
        <w:t xml:space="preserve"> (</w:t>
      </w:r>
      <w:r w:rsidR="006233AF">
        <w:t>2014</w:t>
      </w:r>
      <w:r>
        <w:t xml:space="preserve">) </w:t>
      </w:r>
      <w:r w:rsidR="006233AF" w:rsidRPr="006233AF">
        <w:t>Hydrazine, methyl</w:t>
      </w:r>
      <w:r w:rsidRPr="0071660C">
        <w:t xml:space="preserve">: Human health </w:t>
      </w:r>
      <w:sdt>
        <w:sdtPr>
          <w:id w:val="-1295753243"/>
          <w:placeholder>
            <w:docPart w:val="D0AA0FD1CA1848F8A164F1EE068448BC"/>
          </w:placeholder>
          <w:temporary/>
          <w:showingPlcHdr/>
        </w:sdtPr>
        <w:sdtEndPr/>
        <w:sdtContent>
          <w:r w:rsidRPr="006233AF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50C010B1" w14:textId="77777777" w:rsidR="006422ED" w:rsidRPr="00C00B60" w:rsidRDefault="006422ED" w:rsidP="006422ED">
      <w:r w:rsidRPr="00C00B60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0291879A" w14:textId="3486EE92" w:rsidR="00C00B60" w:rsidRDefault="00C00B60" w:rsidP="00C00B60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C48F79D2448046228B0EAF7E26087C71"/>
          </w:placeholder>
          <w:temporary/>
          <w:showingPlcHdr/>
        </w:sdtPr>
        <w:sdtEndPr/>
        <w:sdtContent>
          <w:r w:rsidRPr="007708E3">
            <w:t>1994</w:t>
          </w:r>
        </w:sdtContent>
      </w:sdt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="007708E3">
        <w:t>methyl hydrazine</w:t>
      </w:r>
      <w:r>
        <w:t>.</w:t>
      </w:r>
    </w:p>
    <w:p w14:paraId="7648EE9D" w14:textId="77777777" w:rsidR="00C00B60" w:rsidRDefault="00C00B60" w:rsidP="00C00B60">
      <w:pPr>
        <w:rPr>
          <w:b/>
        </w:rPr>
      </w:pPr>
    </w:p>
    <w:p w14:paraId="1D63FEF0" w14:textId="77777777" w:rsidR="003A2E71" w:rsidRPr="00351FE0" w:rsidRDefault="003A2E71" w:rsidP="00084859"/>
    <w:sectPr w:rsidR="003A2E7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9646D" w16cid:durableId="21D9220B"/>
  <w16cid:commentId w16cid:paraId="4FC6AD70" w16cid:durableId="21D925BD"/>
  <w16cid:commentId w16cid:paraId="3FE26AE6" w16cid:durableId="21D9247A"/>
  <w16cid:commentId w16cid:paraId="3ABC87DE" w16cid:durableId="21D92538"/>
  <w16cid:commentId w16cid:paraId="217F448D" w16cid:durableId="21D924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F9A0" w14:textId="77777777" w:rsidR="002161C2" w:rsidRDefault="002161C2" w:rsidP="00F43AD5">
      <w:pPr>
        <w:spacing w:after="0" w:line="240" w:lineRule="auto"/>
      </w:pPr>
      <w:r>
        <w:separator/>
      </w:r>
    </w:p>
  </w:endnote>
  <w:endnote w:type="continuationSeparator" w:id="0">
    <w:p w14:paraId="1DB155B2" w14:textId="77777777" w:rsidR="002161C2" w:rsidRDefault="002161C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4963D" w14:textId="77777777" w:rsidR="0092555C" w:rsidRDefault="00925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CAA4432" w14:textId="77777777" w:rsidR="008A36CF" w:rsidRDefault="007F523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Methyl hydrazine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60-34-4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B07215B" w14:textId="3AC070F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270A7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ED51" w14:textId="77777777" w:rsidR="0092555C" w:rsidRDefault="0092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4DF4" w14:textId="77777777" w:rsidR="002161C2" w:rsidRDefault="002161C2" w:rsidP="00F43AD5">
      <w:pPr>
        <w:spacing w:after="0" w:line="240" w:lineRule="auto"/>
      </w:pPr>
      <w:r>
        <w:separator/>
      </w:r>
    </w:p>
  </w:footnote>
  <w:footnote w:type="continuationSeparator" w:id="0">
    <w:p w14:paraId="00E628D2" w14:textId="77777777" w:rsidR="002161C2" w:rsidRDefault="002161C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09FE" w14:textId="77777777" w:rsidR="0092555C" w:rsidRDefault="00925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2F7B" w14:textId="108ADF09" w:rsidR="0092555C" w:rsidRDefault="0092555C" w:rsidP="0092555C">
    <w:pPr>
      <w:pStyle w:val="Header"/>
      <w:jc w:val="right"/>
    </w:pPr>
    <w:r>
      <w:pict w14:anchorId="56B130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6145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DFB6C8E" wp14:editId="318077CD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5FD1A" w14:textId="30DF4C72" w:rsidR="0092555C" w:rsidRDefault="0092555C">
    <w:pPr>
      <w:pStyle w:val="Header"/>
    </w:pPr>
  </w:p>
  <w:p w14:paraId="7448700A" w14:textId="3B36C0FA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859F" w14:textId="77777777" w:rsidR="0092555C" w:rsidRDefault="009255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6454" w14:textId="565BC439" w:rsidR="0092555C" w:rsidRDefault="0092555C" w:rsidP="0092555C">
    <w:pPr>
      <w:pStyle w:val="Header"/>
      <w:jc w:val="right"/>
    </w:pPr>
    <w:r>
      <w:pict w14:anchorId="36245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27FF03B" wp14:editId="112FE9AB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1C002" w14:textId="77777777" w:rsidR="0092555C" w:rsidRDefault="0092555C" w:rsidP="0092555C">
    <w:pPr>
      <w:pStyle w:val="Header"/>
      <w:jc w:val="right"/>
    </w:pPr>
  </w:p>
  <w:p w14:paraId="405C9980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FAA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77C04"/>
    <w:multiLevelType w:val="hybridMultilevel"/>
    <w:tmpl w:val="D0189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3097C"/>
    <w:multiLevelType w:val="hybridMultilevel"/>
    <w:tmpl w:val="01CA2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D72CD"/>
    <w:multiLevelType w:val="hybridMultilevel"/>
    <w:tmpl w:val="002271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3573F"/>
    <w:multiLevelType w:val="hybridMultilevel"/>
    <w:tmpl w:val="B1F47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B640AA"/>
    <w:multiLevelType w:val="hybridMultilevel"/>
    <w:tmpl w:val="EDF67C8C"/>
    <w:lvl w:ilvl="0" w:tplc="DAEC1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A5847"/>
    <w:multiLevelType w:val="hybridMultilevel"/>
    <w:tmpl w:val="B9600B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247"/>
    <w:rsid w:val="00017C82"/>
    <w:rsid w:val="00032B88"/>
    <w:rsid w:val="00042CE6"/>
    <w:rsid w:val="00044E9F"/>
    <w:rsid w:val="00046DF5"/>
    <w:rsid w:val="00052060"/>
    <w:rsid w:val="0005574A"/>
    <w:rsid w:val="00055FE1"/>
    <w:rsid w:val="00056EC2"/>
    <w:rsid w:val="00057A8C"/>
    <w:rsid w:val="00060B48"/>
    <w:rsid w:val="00067F32"/>
    <w:rsid w:val="00071807"/>
    <w:rsid w:val="000803E1"/>
    <w:rsid w:val="00084513"/>
    <w:rsid w:val="00084859"/>
    <w:rsid w:val="00092D94"/>
    <w:rsid w:val="000A50FD"/>
    <w:rsid w:val="000B0868"/>
    <w:rsid w:val="000B3E12"/>
    <w:rsid w:val="000B3E78"/>
    <w:rsid w:val="000B6B0D"/>
    <w:rsid w:val="000B7B48"/>
    <w:rsid w:val="000C096D"/>
    <w:rsid w:val="000C139A"/>
    <w:rsid w:val="000C2053"/>
    <w:rsid w:val="000C248C"/>
    <w:rsid w:val="000C6551"/>
    <w:rsid w:val="000D291C"/>
    <w:rsid w:val="000E5A54"/>
    <w:rsid w:val="000E63D3"/>
    <w:rsid w:val="000E67CF"/>
    <w:rsid w:val="00103D16"/>
    <w:rsid w:val="0010461E"/>
    <w:rsid w:val="00106FAA"/>
    <w:rsid w:val="00113443"/>
    <w:rsid w:val="00117016"/>
    <w:rsid w:val="0012629D"/>
    <w:rsid w:val="001269A7"/>
    <w:rsid w:val="00127350"/>
    <w:rsid w:val="00131092"/>
    <w:rsid w:val="001348CC"/>
    <w:rsid w:val="00140E6A"/>
    <w:rsid w:val="00146545"/>
    <w:rsid w:val="00146B75"/>
    <w:rsid w:val="00147B2C"/>
    <w:rsid w:val="0015266D"/>
    <w:rsid w:val="0015288A"/>
    <w:rsid w:val="00157913"/>
    <w:rsid w:val="00160F47"/>
    <w:rsid w:val="00166648"/>
    <w:rsid w:val="00166A99"/>
    <w:rsid w:val="00171A65"/>
    <w:rsid w:val="001724F3"/>
    <w:rsid w:val="00177CA1"/>
    <w:rsid w:val="00183823"/>
    <w:rsid w:val="00183942"/>
    <w:rsid w:val="001A009E"/>
    <w:rsid w:val="001A1287"/>
    <w:rsid w:val="001A2737"/>
    <w:rsid w:val="001A3859"/>
    <w:rsid w:val="001A3C9D"/>
    <w:rsid w:val="001A43F8"/>
    <w:rsid w:val="001A52B5"/>
    <w:rsid w:val="001A5D2D"/>
    <w:rsid w:val="001A682A"/>
    <w:rsid w:val="001B79E5"/>
    <w:rsid w:val="001D4AD7"/>
    <w:rsid w:val="001D56F0"/>
    <w:rsid w:val="001D663B"/>
    <w:rsid w:val="001D7B41"/>
    <w:rsid w:val="001E46DA"/>
    <w:rsid w:val="001E7D80"/>
    <w:rsid w:val="001F4B6C"/>
    <w:rsid w:val="001F5CAD"/>
    <w:rsid w:val="001F62CB"/>
    <w:rsid w:val="001F6ED0"/>
    <w:rsid w:val="001F72E6"/>
    <w:rsid w:val="001F73C5"/>
    <w:rsid w:val="00200C08"/>
    <w:rsid w:val="002046A6"/>
    <w:rsid w:val="00204956"/>
    <w:rsid w:val="00204A8D"/>
    <w:rsid w:val="00211B2B"/>
    <w:rsid w:val="00213640"/>
    <w:rsid w:val="002161C2"/>
    <w:rsid w:val="00221547"/>
    <w:rsid w:val="002216FC"/>
    <w:rsid w:val="00222533"/>
    <w:rsid w:val="00222F30"/>
    <w:rsid w:val="00224EE2"/>
    <w:rsid w:val="002251C3"/>
    <w:rsid w:val="00227EC7"/>
    <w:rsid w:val="00244AD1"/>
    <w:rsid w:val="002463BC"/>
    <w:rsid w:val="002465CE"/>
    <w:rsid w:val="0025734A"/>
    <w:rsid w:val="00263255"/>
    <w:rsid w:val="00276494"/>
    <w:rsid w:val="00277B0C"/>
    <w:rsid w:val="00293CFD"/>
    <w:rsid w:val="00297B5A"/>
    <w:rsid w:val="002B1A2C"/>
    <w:rsid w:val="002C34F2"/>
    <w:rsid w:val="002C58FF"/>
    <w:rsid w:val="002C7AFE"/>
    <w:rsid w:val="002D05D2"/>
    <w:rsid w:val="002E0D61"/>
    <w:rsid w:val="002E3947"/>
    <w:rsid w:val="002E4C7B"/>
    <w:rsid w:val="0030740C"/>
    <w:rsid w:val="00315833"/>
    <w:rsid w:val="003215EE"/>
    <w:rsid w:val="003224BF"/>
    <w:rsid w:val="003241A8"/>
    <w:rsid w:val="003253F0"/>
    <w:rsid w:val="0033189D"/>
    <w:rsid w:val="003337DA"/>
    <w:rsid w:val="003349FC"/>
    <w:rsid w:val="00334EFB"/>
    <w:rsid w:val="00335CDE"/>
    <w:rsid w:val="003365A5"/>
    <w:rsid w:val="0034096B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8F9"/>
    <w:rsid w:val="003904A4"/>
    <w:rsid w:val="00391841"/>
    <w:rsid w:val="00391B6D"/>
    <w:rsid w:val="00394922"/>
    <w:rsid w:val="003A0E32"/>
    <w:rsid w:val="003A2B94"/>
    <w:rsid w:val="003A2E71"/>
    <w:rsid w:val="003A347A"/>
    <w:rsid w:val="003A66AF"/>
    <w:rsid w:val="003B387D"/>
    <w:rsid w:val="003C0200"/>
    <w:rsid w:val="003C0D58"/>
    <w:rsid w:val="003C32DC"/>
    <w:rsid w:val="003D4FA3"/>
    <w:rsid w:val="003D6ABD"/>
    <w:rsid w:val="003E0807"/>
    <w:rsid w:val="003E51FB"/>
    <w:rsid w:val="003E6B39"/>
    <w:rsid w:val="003F07E1"/>
    <w:rsid w:val="003F08A9"/>
    <w:rsid w:val="003F78B5"/>
    <w:rsid w:val="004030BC"/>
    <w:rsid w:val="004039C7"/>
    <w:rsid w:val="00403F7D"/>
    <w:rsid w:val="00406785"/>
    <w:rsid w:val="004079B4"/>
    <w:rsid w:val="00414BFF"/>
    <w:rsid w:val="00417A56"/>
    <w:rsid w:val="00420957"/>
    <w:rsid w:val="00422A10"/>
    <w:rsid w:val="00430179"/>
    <w:rsid w:val="00440211"/>
    <w:rsid w:val="004414B5"/>
    <w:rsid w:val="00444482"/>
    <w:rsid w:val="00444B42"/>
    <w:rsid w:val="00445E44"/>
    <w:rsid w:val="004509E2"/>
    <w:rsid w:val="004515EE"/>
    <w:rsid w:val="004529F0"/>
    <w:rsid w:val="00454BD7"/>
    <w:rsid w:val="00460A03"/>
    <w:rsid w:val="00472A11"/>
    <w:rsid w:val="00472AAD"/>
    <w:rsid w:val="00474E33"/>
    <w:rsid w:val="00476803"/>
    <w:rsid w:val="00484323"/>
    <w:rsid w:val="00485BFD"/>
    <w:rsid w:val="004867A2"/>
    <w:rsid w:val="004873F2"/>
    <w:rsid w:val="00490D4C"/>
    <w:rsid w:val="00493A35"/>
    <w:rsid w:val="00494484"/>
    <w:rsid w:val="0049527A"/>
    <w:rsid w:val="004966BF"/>
    <w:rsid w:val="00497984"/>
    <w:rsid w:val="004A5088"/>
    <w:rsid w:val="004B6D52"/>
    <w:rsid w:val="004C1E3F"/>
    <w:rsid w:val="004C23F4"/>
    <w:rsid w:val="004C3475"/>
    <w:rsid w:val="004C58B6"/>
    <w:rsid w:val="004D16A3"/>
    <w:rsid w:val="004D25CE"/>
    <w:rsid w:val="004D4AA1"/>
    <w:rsid w:val="004D6D68"/>
    <w:rsid w:val="004E5EDD"/>
    <w:rsid w:val="004F448A"/>
    <w:rsid w:val="004F493D"/>
    <w:rsid w:val="004F65E8"/>
    <w:rsid w:val="0050005E"/>
    <w:rsid w:val="00502B88"/>
    <w:rsid w:val="00513812"/>
    <w:rsid w:val="005142C4"/>
    <w:rsid w:val="0051509C"/>
    <w:rsid w:val="005272E2"/>
    <w:rsid w:val="0053108F"/>
    <w:rsid w:val="00532B56"/>
    <w:rsid w:val="00534B10"/>
    <w:rsid w:val="0054453E"/>
    <w:rsid w:val="005446A2"/>
    <w:rsid w:val="00544D2F"/>
    <w:rsid w:val="00551BD8"/>
    <w:rsid w:val="00573440"/>
    <w:rsid w:val="00581055"/>
    <w:rsid w:val="00587A22"/>
    <w:rsid w:val="00590E47"/>
    <w:rsid w:val="00591E38"/>
    <w:rsid w:val="005A03CF"/>
    <w:rsid w:val="005A19C5"/>
    <w:rsid w:val="005A3034"/>
    <w:rsid w:val="005A462D"/>
    <w:rsid w:val="005B253B"/>
    <w:rsid w:val="005B771D"/>
    <w:rsid w:val="005C5D16"/>
    <w:rsid w:val="005D1D73"/>
    <w:rsid w:val="005D3193"/>
    <w:rsid w:val="005D4A6E"/>
    <w:rsid w:val="005E6979"/>
    <w:rsid w:val="005E75CB"/>
    <w:rsid w:val="006013C1"/>
    <w:rsid w:val="0060669E"/>
    <w:rsid w:val="00610F2E"/>
    <w:rsid w:val="00611399"/>
    <w:rsid w:val="00617A99"/>
    <w:rsid w:val="006233AF"/>
    <w:rsid w:val="00624C4E"/>
    <w:rsid w:val="00625200"/>
    <w:rsid w:val="006363A8"/>
    <w:rsid w:val="00636DB7"/>
    <w:rsid w:val="006422ED"/>
    <w:rsid w:val="00650905"/>
    <w:rsid w:val="006532ED"/>
    <w:rsid w:val="006549F2"/>
    <w:rsid w:val="006565BE"/>
    <w:rsid w:val="006567B7"/>
    <w:rsid w:val="00657BFB"/>
    <w:rsid w:val="00662DBC"/>
    <w:rsid w:val="0066333C"/>
    <w:rsid w:val="006639B4"/>
    <w:rsid w:val="006650FE"/>
    <w:rsid w:val="0067305D"/>
    <w:rsid w:val="00677D9B"/>
    <w:rsid w:val="006829D0"/>
    <w:rsid w:val="006867F3"/>
    <w:rsid w:val="00687890"/>
    <w:rsid w:val="006901A2"/>
    <w:rsid w:val="00690368"/>
    <w:rsid w:val="0069079C"/>
    <w:rsid w:val="00690B53"/>
    <w:rsid w:val="00695B72"/>
    <w:rsid w:val="006A78E4"/>
    <w:rsid w:val="006B160A"/>
    <w:rsid w:val="006B4E6C"/>
    <w:rsid w:val="006B50B6"/>
    <w:rsid w:val="006D79EA"/>
    <w:rsid w:val="006E3859"/>
    <w:rsid w:val="006E5D05"/>
    <w:rsid w:val="00701053"/>
    <w:rsid w:val="00701507"/>
    <w:rsid w:val="00714021"/>
    <w:rsid w:val="00716A0F"/>
    <w:rsid w:val="00717D45"/>
    <w:rsid w:val="007208F7"/>
    <w:rsid w:val="007218AF"/>
    <w:rsid w:val="007270A7"/>
    <w:rsid w:val="0073089B"/>
    <w:rsid w:val="007365D1"/>
    <w:rsid w:val="00740E0E"/>
    <w:rsid w:val="00742B81"/>
    <w:rsid w:val="00746963"/>
    <w:rsid w:val="00750212"/>
    <w:rsid w:val="00754779"/>
    <w:rsid w:val="0075716D"/>
    <w:rsid w:val="00762649"/>
    <w:rsid w:val="00765F14"/>
    <w:rsid w:val="007708E3"/>
    <w:rsid w:val="00770E31"/>
    <w:rsid w:val="007770F1"/>
    <w:rsid w:val="0078089A"/>
    <w:rsid w:val="00783FB1"/>
    <w:rsid w:val="00785CDD"/>
    <w:rsid w:val="00791847"/>
    <w:rsid w:val="007925F0"/>
    <w:rsid w:val="007939B3"/>
    <w:rsid w:val="00794EF8"/>
    <w:rsid w:val="0079509C"/>
    <w:rsid w:val="00796708"/>
    <w:rsid w:val="007A29EE"/>
    <w:rsid w:val="007B0FCB"/>
    <w:rsid w:val="007B1B42"/>
    <w:rsid w:val="007C30EB"/>
    <w:rsid w:val="007D09DA"/>
    <w:rsid w:val="007E063C"/>
    <w:rsid w:val="007E2A4B"/>
    <w:rsid w:val="007E307D"/>
    <w:rsid w:val="007E6A4E"/>
    <w:rsid w:val="007E6C94"/>
    <w:rsid w:val="007F1005"/>
    <w:rsid w:val="007F25E0"/>
    <w:rsid w:val="007F4963"/>
    <w:rsid w:val="007F5238"/>
    <w:rsid w:val="007F5328"/>
    <w:rsid w:val="00804F5A"/>
    <w:rsid w:val="00810C6D"/>
    <w:rsid w:val="00812887"/>
    <w:rsid w:val="00826F21"/>
    <w:rsid w:val="008321D0"/>
    <w:rsid w:val="00834CC8"/>
    <w:rsid w:val="00835E00"/>
    <w:rsid w:val="00837113"/>
    <w:rsid w:val="008414E4"/>
    <w:rsid w:val="00842BA2"/>
    <w:rsid w:val="00843E21"/>
    <w:rsid w:val="0084508E"/>
    <w:rsid w:val="00852E64"/>
    <w:rsid w:val="00856018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6846"/>
    <w:rsid w:val="008B7983"/>
    <w:rsid w:val="008C2511"/>
    <w:rsid w:val="008D026D"/>
    <w:rsid w:val="008D23AB"/>
    <w:rsid w:val="008D4B8B"/>
    <w:rsid w:val="008D5A78"/>
    <w:rsid w:val="008E4963"/>
    <w:rsid w:val="008E50FB"/>
    <w:rsid w:val="008E7B64"/>
    <w:rsid w:val="008F5DCD"/>
    <w:rsid w:val="008F74C5"/>
    <w:rsid w:val="00900951"/>
    <w:rsid w:val="009118A6"/>
    <w:rsid w:val="00916909"/>
    <w:rsid w:val="00916EC0"/>
    <w:rsid w:val="00920467"/>
    <w:rsid w:val="00921DE7"/>
    <w:rsid w:val="0092555C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4F2"/>
    <w:rsid w:val="00974F2D"/>
    <w:rsid w:val="00977524"/>
    <w:rsid w:val="00977E88"/>
    <w:rsid w:val="00984920"/>
    <w:rsid w:val="00990D6A"/>
    <w:rsid w:val="00992958"/>
    <w:rsid w:val="0099303A"/>
    <w:rsid w:val="00994124"/>
    <w:rsid w:val="009971C2"/>
    <w:rsid w:val="009A1254"/>
    <w:rsid w:val="009A6A1E"/>
    <w:rsid w:val="009B2FF2"/>
    <w:rsid w:val="009B380C"/>
    <w:rsid w:val="009B4843"/>
    <w:rsid w:val="009B6543"/>
    <w:rsid w:val="009C199D"/>
    <w:rsid w:val="009C278F"/>
    <w:rsid w:val="009C2B94"/>
    <w:rsid w:val="009C3869"/>
    <w:rsid w:val="009C5874"/>
    <w:rsid w:val="009C5FCE"/>
    <w:rsid w:val="009D3B5A"/>
    <w:rsid w:val="009E0C05"/>
    <w:rsid w:val="009E0D1C"/>
    <w:rsid w:val="009E2214"/>
    <w:rsid w:val="009E355A"/>
    <w:rsid w:val="009E3ECD"/>
    <w:rsid w:val="009E63E2"/>
    <w:rsid w:val="009E7825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6F1"/>
    <w:rsid w:val="00A27E2D"/>
    <w:rsid w:val="00A31D99"/>
    <w:rsid w:val="00A357BA"/>
    <w:rsid w:val="00A35ADC"/>
    <w:rsid w:val="00A402A3"/>
    <w:rsid w:val="00A43AC9"/>
    <w:rsid w:val="00A52485"/>
    <w:rsid w:val="00A53681"/>
    <w:rsid w:val="00A6293F"/>
    <w:rsid w:val="00A633D4"/>
    <w:rsid w:val="00A6461A"/>
    <w:rsid w:val="00A66C70"/>
    <w:rsid w:val="00A82D29"/>
    <w:rsid w:val="00A84504"/>
    <w:rsid w:val="00A8672F"/>
    <w:rsid w:val="00A93057"/>
    <w:rsid w:val="00A968B0"/>
    <w:rsid w:val="00AA1AAA"/>
    <w:rsid w:val="00AB0D47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4F0C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5493"/>
    <w:rsid w:val="00B57468"/>
    <w:rsid w:val="00B71188"/>
    <w:rsid w:val="00B71DC3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0B60"/>
    <w:rsid w:val="00C051A4"/>
    <w:rsid w:val="00C056AE"/>
    <w:rsid w:val="00C06E43"/>
    <w:rsid w:val="00C16315"/>
    <w:rsid w:val="00C3091E"/>
    <w:rsid w:val="00C40FF1"/>
    <w:rsid w:val="00C419E2"/>
    <w:rsid w:val="00C5020E"/>
    <w:rsid w:val="00C57452"/>
    <w:rsid w:val="00C57D40"/>
    <w:rsid w:val="00C6022E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493D"/>
    <w:rsid w:val="00CD2BFD"/>
    <w:rsid w:val="00CE5AD6"/>
    <w:rsid w:val="00CE617F"/>
    <w:rsid w:val="00CE78EF"/>
    <w:rsid w:val="00CF71DF"/>
    <w:rsid w:val="00D048F7"/>
    <w:rsid w:val="00D0517E"/>
    <w:rsid w:val="00D140FC"/>
    <w:rsid w:val="00D21D8C"/>
    <w:rsid w:val="00D246AA"/>
    <w:rsid w:val="00D31357"/>
    <w:rsid w:val="00D33220"/>
    <w:rsid w:val="00D334D1"/>
    <w:rsid w:val="00D339F5"/>
    <w:rsid w:val="00D44C89"/>
    <w:rsid w:val="00D516CD"/>
    <w:rsid w:val="00D668E6"/>
    <w:rsid w:val="00D70670"/>
    <w:rsid w:val="00D74D80"/>
    <w:rsid w:val="00D76624"/>
    <w:rsid w:val="00D814F0"/>
    <w:rsid w:val="00D87570"/>
    <w:rsid w:val="00D91CB9"/>
    <w:rsid w:val="00D9674D"/>
    <w:rsid w:val="00D97989"/>
    <w:rsid w:val="00D97D8D"/>
    <w:rsid w:val="00DA352E"/>
    <w:rsid w:val="00DC3B01"/>
    <w:rsid w:val="00DC3B9B"/>
    <w:rsid w:val="00DC7694"/>
    <w:rsid w:val="00DD1BF6"/>
    <w:rsid w:val="00DD2F9B"/>
    <w:rsid w:val="00DE2513"/>
    <w:rsid w:val="00DE26E8"/>
    <w:rsid w:val="00DF2823"/>
    <w:rsid w:val="00DF5F00"/>
    <w:rsid w:val="00DF6F36"/>
    <w:rsid w:val="00E0084C"/>
    <w:rsid w:val="00E025AB"/>
    <w:rsid w:val="00E02B23"/>
    <w:rsid w:val="00E06F40"/>
    <w:rsid w:val="00E07CE8"/>
    <w:rsid w:val="00E20037"/>
    <w:rsid w:val="00E26A07"/>
    <w:rsid w:val="00E32595"/>
    <w:rsid w:val="00E37CFD"/>
    <w:rsid w:val="00E41A26"/>
    <w:rsid w:val="00E46BCB"/>
    <w:rsid w:val="00E51CAF"/>
    <w:rsid w:val="00E57DD6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158"/>
    <w:rsid w:val="00ED1D89"/>
    <w:rsid w:val="00ED4113"/>
    <w:rsid w:val="00ED66BC"/>
    <w:rsid w:val="00EE692B"/>
    <w:rsid w:val="00EF233A"/>
    <w:rsid w:val="00EF303E"/>
    <w:rsid w:val="00EF3A40"/>
    <w:rsid w:val="00EF7F78"/>
    <w:rsid w:val="00F01B08"/>
    <w:rsid w:val="00F01C4D"/>
    <w:rsid w:val="00F04DC7"/>
    <w:rsid w:val="00F053FA"/>
    <w:rsid w:val="00F10C97"/>
    <w:rsid w:val="00F11C71"/>
    <w:rsid w:val="00F16019"/>
    <w:rsid w:val="00F1672D"/>
    <w:rsid w:val="00F16832"/>
    <w:rsid w:val="00F20E68"/>
    <w:rsid w:val="00F22093"/>
    <w:rsid w:val="00F236DF"/>
    <w:rsid w:val="00F43AD5"/>
    <w:rsid w:val="00F4402E"/>
    <w:rsid w:val="00F5123F"/>
    <w:rsid w:val="00F56DD0"/>
    <w:rsid w:val="00F6491C"/>
    <w:rsid w:val="00F67BBB"/>
    <w:rsid w:val="00F87D92"/>
    <w:rsid w:val="00F90AA7"/>
    <w:rsid w:val="00F92498"/>
    <w:rsid w:val="00F93E50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A5EFD7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EE6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2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2B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C00B60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4B6D52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2629D"/>
    <w:pPr>
      <w:ind w:left="720"/>
      <w:contextualSpacing/>
    </w:pPr>
  </w:style>
  <w:style w:type="paragraph" w:styleId="Revision">
    <w:name w:val="Revision"/>
    <w:hidden/>
    <w:uiPriority w:val="99"/>
    <w:semiHidden/>
    <w:rsid w:val="003C0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0AA0FD1CA1848F8A164F1EE0684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A0AB5-ABFE-41DF-B558-087EAB3474E9}"/>
      </w:docPartPr>
      <w:docPartBody>
        <w:p w:rsidR="009479BF" w:rsidRDefault="00643486" w:rsidP="00643486">
          <w:pPr>
            <w:pStyle w:val="D0AA0FD1CA1848F8A164F1EE068448BC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C48F79D2448046228B0EAF7E2608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375D-1F38-4CB4-98F8-DBF86BAACA8F}"/>
      </w:docPartPr>
      <w:docPartBody>
        <w:p w:rsidR="009479BF" w:rsidRDefault="00643486" w:rsidP="00643486">
          <w:pPr>
            <w:pStyle w:val="C48F79D2448046228B0EAF7E26087C7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339689455F74C14B6F9F7065290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B1BF-FB65-413D-A554-4EFFFA90ED98}"/>
      </w:docPartPr>
      <w:docPartBody>
        <w:p w:rsidR="00D47323" w:rsidRDefault="00A9381E" w:rsidP="00A9381E">
          <w:pPr>
            <w:pStyle w:val="D339689455F74C14B6F9F7065290C3F1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24B4E4D1CF67451AB74951F904777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4653-8E05-426E-8074-118E0A461314}"/>
      </w:docPartPr>
      <w:docPartBody>
        <w:p w:rsidR="00D47323" w:rsidRDefault="00A9381E" w:rsidP="00A9381E">
          <w:pPr>
            <w:pStyle w:val="24B4E4D1CF67451AB74951F904777EE3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1C42DA2686A46A3BC387B4CCD20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E186-83B7-46D2-AB87-5E3099CE2A96}"/>
      </w:docPartPr>
      <w:docPartBody>
        <w:p w:rsidR="00D47323" w:rsidRDefault="00A9381E" w:rsidP="00A9381E">
          <w:pPr>
            <w:pStyle w:val="81C42DA2686A46A3BC387B4CCD20BB6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2B6B2A4B8EA49ADB74C6A775D73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E820-BB61-4642-B70F-E0E976DBCF1A}"/>
      </w:docPartPr>
      <w:docPartBody>
        <w:p w:rsidR="00D47323" w:rsidRDefault="00A9381E" w:rsidP="00A9381E">
          <w:pPr>
            <w:pStyle w:val="D2B6B2A4B8EA49ADB74C6A775D73F79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696EBF9AEF940CE86622F4A374A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B6D89-5C99-4059-A23E-9F9CCC1D7CF1}"/>
      </w:docPartPr>
      <w:docPartBody>
        <w:p w:rsidR="00D47323" w:rsidRDefault="00A9381E" w:rsidP="00A9381E">
          <w:pPr>
            <w:pStyle w:val="A696EBF9AEF940CE86622F4A374ACDD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CB57DA83EA684D8A84BE5FFF33F7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57EC-6252-4D7F-BF48-A48D02612A85}"/>
      </w:docPartPr>
      <w:docPartBody>
        <w:p w:rsidR="00D47323" w:rsidRDefault="00A9381E" w:rsidP="00A9381E">
          <w:pPr>
            <w:pStyle w:val="CB57DA83EA684D8A84BE5FFF33F7CFD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BE3A18902C542E39984077F1353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4E66-4343-422A-A4D9-6DF3218D3687}"/>
      </w:docPartPr>
      <w:docPartBody>
        <w:p w:rsidR="00D47323" w:rsidRDefault="00A9381E" w:rsidP="00A9381E">
          <w:pPr>
            <w:pStyle w:val="1BE3A18902C542E39984077F13532083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72BDE30A66B45439291484B5916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6EF5-F62C-4200-B927-2671393A8F81}"/>
      </w:docPartPr>
      <w:docPartBody>
        <w:p w:rsidR="00D47323" w:rsidRDefault="00A9381E" w:rsidP="00A9381E">
          <w:pPr>
            <w:pStyle w:val="B72BDE30A66B45439291484B5916252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9334E2E667544088705EBE5C229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6B8E-84BB-4861-B9B3-8D7E81983228}"/>
      </w:docPartPr>
      <w:docPartBody>
        <w:p w:rsidR="00D47323" w:rsidRDefault="00A9381E" w:rsidP="00A9381E">
          <w:pPr>
            <w:pStyle w:val="29334E2E667544088705EBE5C229A2A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47BE14284C249B5A4CC3DB7139C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9957-2364-4F8E-BDE1-6B8A00759C21}"/>
      </w:docPartPr>
      <w:docPartBody>
        <w:p w:rsidR="00D47323" w:rsidRDefault="00A9381E" w:rsidP="00A9381E">
          <w:pPr>
            <w:pStyle w:val="B47BE14284C249B5A4CC3DB7139CBB2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E0EC42FC4B24499822F7F612519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B850-7EA4-4C7C-A5FD-1756CDE8E247}"/>
      </w:docPartPr>
      <w:docPartBody>
        <w:p w:rsidR="00F05D5D" w:rsidRDefault="00795B61" w:rsidP="00795B61">
          <w:pPr>
            <w:pStyle w:val="AE0EC42FC4B24499822F7F6125199DF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85B08BFB45C4D07BB5D75F33EDE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B915-6B1E-4353-AA15-5A4BD06618DA}"/>
      </w:docPartPr>
      <w:docPartBody>
        <w:p w:rsidR="00CE67F0" w:rsidRDefault="00031E84" w:rsidP="00031E84">
          <w:pPr>
            <w:pStyle w:val="D85B08BFB45C4D07BB5D75F33EDEF8D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31E84"/>
    <w:rsid w:val="00643486"/>
    <w:rsid w:val="00795B61"/>
    <w:rsid w:val="009479BF"/>
    <w:rsid w:val="00A829E8"/>
    <w:rsid w:val="00A9381E"/>
    <w:rsid w:val="00B87BAE"/>
    <w:rsid w:val="00CE67F0"/>
    <w:rsid w:val="00D21A9F"/>
    <w:rsid w:val="00D47323"/>
    <w:rsid w:val="00F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E8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D753692CBE244609357A09B2F91EA3C">
    <w:name w:val="0D753692CBE244609357A09B2F91EA3C"/>
    <w:rsid w:val="00643486"/>
    <w:rPr>
      <w:lang w:val="en-US" w:eastAsia="en-US"/>
    </w:rPr>
  </w:style>
  <w:style w:type="paragraph" w:customStyle="1" w:styleId="598EB6D354604E489B0596C5DA019827">
    <w:name w:val="598EB6D354604E489B0596C5DA019827"/>
    <w:rsid w:val="00643486"/>
    <w:rPr>
      <w:lang w:val="en-US" w:eastAsia="en-US"/>
    </w:rPr>
  </w:style>
  <w:style w:type="paragraph" w:customStyle="1" w:styleId="FA645BB36B8F4403934FABB0B3ED10FE">
    <w:name w:val="FA645BB36B8F4403934FABB0B3ED10FE"/>
    <w:rsid w:val="00643486"/>
    <w:rPr>
      <w:lang w:val="en-US" w:eastAsia="en-US"/>
    </w:rPr>
  </w:style>
  <w:style w:type="paragraph" w:customStyle="1" w:styleId="3B0ABD19C38A4BFBAFB3ACD7F498ABD3">
    <w:name w:val="3B0ABD19C38A4BFBAFB3ACD7F498ABD3"/>
    <w:rsid w:val="00643486"/>
    <w:rPr>
      <w:lang w:val="en-US" w:eastAsia="en-US"/>
    </w:rPr>
  </w:style>
  <w:style w:type="paragraph" w:customStyle="1" w:styleId="CDC2144E3D2F429EB0E5DA3237EF9F89">
    <w:name w:val="CDC2144E3D2F429EB0E5DA3237EF9F89"/>
    <w:rsid w:val="00643486"/>
    <w:rPr>
      <w:lang w:val="en-US" w:eastAsia="en-US"/>
    </w:rPr>
  </w:style>
  <w:style w:type="paragraph" w:customStyle="1" w:styleId="30B8E4BACEAE4435BA71765738DFCF69">
    <w:name w:val="30B8E4BACEAE4435BA71765738DFCF69"/>
    <w:rsid w:val="00643486"/>
    <w:rPr>
      <w:lang w:val="en-US" w:eastAsia="en-US"/>
    </w:rPr>
  </w:style>
  <w:style w:type="paragraph" w:customStyle="1" w:styleId="A5B5541B137A44CAA4A5EFF1FB42D64B">
    <w:name w:val="A5B5541B137A44CAA4A5EFF1FB42D64B"/>
    <w:rsid w:val="00643486"/>
    <w:rPr>
      <w:lang w:val="en-US" w:eastAsia="en-US"/>
    </w:rPr>
  </w:style>
  <w:style w:type="paragraph" w:customStyle="1" w:styleId="72E34406245C497B963995E55FE1F6B0">
    <w:name w:val="72E34406245C497B963995E55FE1F6B0"/>
    <w:rsid w:val="00643486"/>
    <w:rPr>
      <w:lang w:val="en-US" w:eastAsia="en-US"/>
    </w:rPr>
  </w:style>
  <w:style w:type="paragraph" w:customStyle="1" w:styleId="A1BE0F7029FA425C9D7DABD1B9F92E77">
    <w:name w:val="A1BE0F7029FA425C9D7DABD1B9F92E77"/>
    <w:rsid w:val="00643486"/>
    <w:rPr>
      <w:lang w:val="en-US" w:eastAsia="en-US"/>
    </w:rPr>
  </w:style>
  <w:style w:type="paragraph" w:customStyle="1" w:styleId="1FAF7EDE47EE448DAF83239D014F45FE">
    <w:name w:val="1FAF7EDE47EE448DAF83239D014F45FE"/>
    <w:rsid w:val="00643486"/>
    <w:rPr>
      <w:lang w:val="en-US" w:eastAsia="en-US"/>
    </w:rPr>
  </w:style>
  <w:style w:type="paragraph" w:customStyle="1" w:styleId="3BCD10842E734C32A1D7C2A1710AFFBE">
    <w:name w:val="3BCD10842E734C32A1D7C2A1710AFFBE"/>
    <w:rsid w:val="00643486"/>
    <w:rPr>
      <w:lang w:val="en-US" w:eastAsia="en-US"/>
    </w:rPr>
  </w:style>
  <w:style w:type="paragraph" w:customStyle="1" w:styleId="D73DEC8D830C41D7BA168D4CF049F551">
    <w:name w:val="D73DEC8D830C41D7BA168D4CF049F551"/>
    <w:rsid w:val="00643486"/>
    <w:rPr>
      <w:lang w:val="en-US" w:eastAsia="en-US"/>
    </w:rPr>
  </w:style>
  <w:style w:type="paragraph" w:customStyle="1" w:styleId="78F4B7EBBA364F4F912CCDF239AB1C58">
    <w:name w:val="78F4B7EBBA364F4F912CCDF239AB1C58"/>
    <w:rsid w:val="00643486"/>
    <w:rPr>
      <w:lang w:val="en-US" w:eastAsia="en-US"/>
    </w:rPr>
  </w:style>
  <w:style w:type="paragraph" w:customStyle="1" w:styleId="AC9ABFAC1D704A7985C19D8C720AC6AC">
    <w:name w:val="AC9ABFAC1D704A7985C19D8C720AC6AC"/>
    <w:rsid w:val="00643486"/>
    <w:rPr>
      <w:lang w:val="en-US" w:eastAsia="en-US"/>
    </w:rPr>
  </w:style>
  <w:style w:type="paragraph" w:customStyle="1" w:styleId="16941CBA463A4A8F910FA610DB9AECEE">
    <w:name w:val="16941CBA463A4A8F910FA610DB9AECEE"/>
    <w:rsid w:val="00643486"/>
    <w:rPr>
      <w:lang w:val="en-US" w:eastAsia="en-US"/>
    </w:rPr>
  </w:style>
  <w:style w:type="paragraph" w:customStyle="1" w:styleId="D0AA0FD1CA1848F8A164F1EE068448BC">
    <w:name w:val="D0AA0FD1CA1848F8A164F1EE068448BC"/>
    <w:rsid w:val="00643486"/>
    <w:rPr>
      <w:lang w:val="en-US" w:eastAsia="en-US"/>
    </w:rPr>
  </w:style>
  <w:style w:type="paragraph" w:customStyle="1" w:styleId="E072D1C6FF2A49DF9397D8A7355FDFF6">
    <w:name w:val="E072D1C6FF2A49DF9397D8A7355FDFF6"/>
    <w:rsid w:val="00643486"/>
    <w:rPr>
      <w:lang w:val="en-US" w:eastAsia="en-US"/>
    </w:rPr>
  </w:style>
  <w:style w:type="paragraph" w:customStyle="1" w:styleId="97F9C3BBC5584C1A81200645D6674FCC">
    <w:name w:val="97F9C3BBC5584C1A81200645D6674FCC"/>
    <w:rsid w:val="00643486"/>
    <w:rPr>
      <w:lang w:val="en-US" w:eastAsia="en-US"/>
    </w:rPr>
  </w:style>
  <w:style w:type="paragraph" w:customStyle="1" w:styleId="C48F79D2448046228B0EAF7E26087C71">
    <w:name w:val="C48F79D2448046228B0EAF7E26087C71"/>
    <w:rsid w:val="00643486"/>
    <w:rPr>
      <w:lang w:val="en-US" w:eastAsia="en-US"/>
    </w:rPr>
  </w:style>
  <w:style w:type="paragraph" w:customStyle="1" w:styleId="B44760A3E55B44C0B06D96230485D465">
    <w:name w:val="B44760A3E55B44C0B06D96230485D465"/>
    <w:rsid w:val="00643486"/>
    <w:rPr>
      <w:lang w:val="en-US" w:eastAsia="en-US"/>
    </w:rPr>
  </w:style>
  <w:style w:type="paragraph" w:customStyle="1" w:styleId="6292F61654EE4ED0A4DF923A82151FF4">
    <w:name w:val="6292F61654EE4ED0A4DF923A82151FF4"/>
    <w:rsid w:val="00A9381E"/>
    <w:rPr>
      <w:lang w:val="en-US" w:eastAsia="en-US"/>
    </w:rPr>
  </w:style>
  <w:style w:type="paragraph" w:customStyle="1" w:styleId="4A7E4BA9FC414344AB0145F781D65971">
    <w:name w:val="4A7E4BA9FC414344AB0145F781D65971"/>
    <w:rsid w:val="00A9381E"/>
    <w:rPr>
      <w:lang w:val="en-US" w:eastAsia="en-US"/>
    </w:rPr>
  </w:style>
  <w:style w:type="paragraph" w:customStyle="1" w:styleId="D44B910FCB2046478B58A95BCB9960D6">
    <w:name w:val="D44B910FCB2046478B58A95BCB9960D6"/>
    <w:rsid w:val="00A9381E"/>
    <w:rPr>
      <w:lang w:val="en-US" w:eastAsia="en-US"/>
    </w:rPr>
  </w:style>
  <w:style w:type="paragraph" w:customStyle="1" w:styleId="0A399CC92AB641B7BF72CDD78CC87140">
    <w:name w:val="0A399CC92AB641B7BF72CDD78CC87140"/>
    <w:rsid w:val="00A9381E"/>
    <w:rPr>
      <w:lang w:val="en-US" w:eastAsia="en-US"/>
    </w:rPr>
  </w:style>
  <w:style w:type="paragraph" w:customStyle="1" w:styleId="D339689455F74C14B6F9F7065290C3F1">
    <w:name w:val="D339689455F74C14B6F9F7065290C3F1"/>
    <w:rsid w:val="00A9381E"/>
    <w:rPr>
      <w:lang w:val="en-US" w:eastAsia="en-US"/>
    </w:rPr>
  </w:style>
  <w:style w:type="paragraph" w:customStyle="1" w:styleId="24B4E4D1CF67451AB74951F904777EE3">
    <w:name w:val="24B4E4D1CF67451AB74951F904777EE3"/>
    <w:rsid w:val="00A9381E"/>
    <w:rPr>
      <w:lang w:val="en-US" w:eastAsia="en-US"/>
    </w:rPr>
  </w:style>
  <w:style w:type="paragraph" w:customStyle="1" w:styleId="81C42DA2686A46A3BC387B4CCD20BB6F">
    <w:name w:val="81C42DA2686A46A3BC387B4CCD20BB6F"/>
    <w:rsid w:val="00A9381E"/>
    <w:rPr>
      <w:lang w:val="en-US" w:eastAsia="en-US"/>
    </w:rPr>
  </w:style>
  <w:style w:type="paragraph" w:customStyle="1" w:styleId="D2B6B2A4B8EA49ADB74C6A775D73F791">
    <w:name w:val="D2B6B2A4B8EA49ADB74C6A775D73F791"/>
    <w:rsid w:val="00A9381E"/>
    <w:rPr>
      <w:lang w:val="en-US" w:eastAsia="en-US"/>
    </w:rPr>
  </w:style>
  <w:style w:type="paragraph" w:customStyle="1" w:styleId="A696EBF9AEF940CE86622F4A374ACDDD">
    <w:name w:val="A696EBF9AEF940CE86622F4A374ACDDD"/>
    <w:rsid w:val="00A9381E"/>
    <w:rPr>
      <w:lang w:val="en-US" w:eastAsia="en-US"/>
    </w:rPr>
  </w:style>
  <w:style w:type="paragraph" w:customStyle="1" w:styleId="CB57DA83EA684D8A84BE5FFF33F7CFDE">
    <w:name w:val="CB57DA83EA684D8A84BE5FFF33F7CFDE"/>
    <w:rsid w:val="00A9381E"/>
    <w:rPr>
      <w:lang w:val="en-US" w:eastAsia="en-US"/>
    </w:rPr>
  </w:style>
  <w:style w:type="paragraph" w:customStyle="1" w:styleId="1BE3A18902C542E39984077F13532083">
    <w:name w:val="1BE3A18902C542E39984077F13532083"/>
    <w:rsid w:val="00A9381E"/>
    <w:rPr>
      <w:lang w:val="en-US" w:eastAsia="en-US"/>
    </w:rPr>
  </w:style>
  <w:style w:type="paragraph" w:customStyle="1" w:styleId="B72BDE30A66B45439291484B59162529">
    <w:name w:val="B72BDE30A66B45439291484B59162529"/>
    <w:rsid w:val="00A9381E"/>
    <w:rPr>
      <w:lang w:val="en-US" w:eastAsia="en-US"/>
    </w:rPr>
  </w:style>
  <w:style w:type="paragraph" w:customStyle="1" w:styleId="29334E2E667544088705EBE5C229A2A0">
    <w:name w:val="29334E2E667544088705EBE5C229A2A0"/>
    <w:rsid w:val="00A9381E"/>
    <w:rPr>
      <w:lang w:val="en-US" w:eastAsia="en-US"/>
    </w:rPr>
  </w:style>
  <w:style w:type="paragraph" w:customStyle="1" w:styleId="B47BE14284C249B5A4CC3DB7139CBB26">
    <w:name w:val="B47BE14284C249B5A4CC3DB7139CBB26"/>
    <w:rsid w:val="00A9381E"/>
    <w:rPr>
      <w:lang w:val="en-US" w:eastAsia="en-US"/>
    </w:rPr>
  </w:style>
  <w:style w:type="paragraph" w:customStyle="1" w:styleId="AE0EC42FC4B24499822F7F6125199DFC">
    <w:name w:val="AE0EC42FC4B24499822F7F6125199DFC"/>
    <w:rsid w:val="00795B61"/>
  </w:style>
  <w:style w:type="paragraph" w:customStyle="1" w:styleId="D85B08BFB45C4D07BB5D75F33EDEF8D5">
    <w:name w:val="D85B08BFB45C4D07BB5D75F33EDEF8D5"/>
    <w:rsid w:val="00031E84"/>
  </w:style>
  <w:style w:type="paragraph" w:customStyle="1" w:styleId="FF2947C1578147D3A3593878B8D18BC0">
    <w:name w:val="FF2947C1578147D3A3593878B8D18BC0"/>
    <w:rsid w:val="00A82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F212-1EAD-44FD-8588-4B62907D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C2076-ADF8-4D82-9496-908E47AD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9CBDB7D5.dotm</Template>
  <TotalTime>1521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76</cp:revision>
  <cp:lastPrinted>2018-10-22T22:41:00Z</cp:lastPrinted>
  <dcterms:created xsi:type="dcterms:W3CDTF">2019-04-14T23:55:00Z</dcterms:created>
  <dcterms:modified xsi:type="dcterms:W3CDTF">2020-01-30T21:21:00Z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