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A9F5D71" w14:textId="77777777" w:rsidR="00BD499F" w:rsidRPr="004C23F4" w:rsidRDefault="00D624C0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methyl mercaptan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8"/>
        <w:gridCol w:w="5048"/>
      </w:tblGrid>
      <w:tr w:rsidR="00F43AD5" w:rsidRPr="004C23F4" w14:paraId="7E6DE14D" w14:textId="77777777" w:rsidTr="00B76A41">
        <w:trPr>
          <w:cantSplit/>
          <w:tblHeader/>
        </w:trPr>
        <w:tc>
          <w:tcPr>
            <w:tcW w:w="4077" w:type="dxa"/>
          </w:tcPr>
          <w:p w14:paraId="7ED0AFDC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6F775C6" w14:textId="77777777" w:rsidR="00F43AD5" w:rsidRPr="00717D45" w:rsidRDefault="00D624C0" w:rsidP="00B76A41">
            <w:pPr>
              <w:pStyle w:val="Tablefont"/>
            </w:pPr>
            <w:r w:rsidRPr="00D624C0">
              <w:t>74-93-1</w:t>
            </w:r>
          </w:p>
        </w:tc>
      </w:tr>
      <w:tr w:rsidR="00F43AD5" w:rsidRPr="004C23F4" w14:paraId="22F55FCF" w14:textId="77777777" w:rsidTr="00B76A41">
        <w:trPr>
          <w:cantSplit/>
        </w:trPr>
        <w:tc>
          <w:tcPr>
            <w:tcW w:w="4077" w:type="dxa"/>
          </w:tcPr>
          <w:p w14:paraId="586945E6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9AB7D5E" w14:textId="77777777" w:rsidR="00F43AD5" w:rsidRPr="00717D45" w:rsidRDefault="00D624C0" w:rsidP="00B76A41">
            <w:pPr>
              <w:pStyle w:val="Tablefont"/>
            </w:pPr>
            <w:proofErr w:type="spellStart"/>
            <w:r w:rsidRPr="00D624C0">
              <w:t>Mercaptomethane</w:t>
            </w:r>
            <w:proofErr w:type="spellEnd"/>
            <w:r>
              <w:t>,</w:t>
            </w:r>
            <w:r w:rsidR="00F279DC">
              <w:t xml:space="preserve"> </w:t>
            </w:r>
            <w:proofErr w:type="spellStart"/>
            <w:r w:rsidR="00F279DC">
              <w:t>m</w:t>
            </w:r>
            <w:r w:rsidRPr="00D624C0">
              <w:t>ethanethiol</w:t>
            </w:r>
            <w:proofErr w:type="spellEnd"/>
            <w:r>
              <w:t>,</w:t>
            </w:r>
            <w:r w:rsidRPr="00D624C0">
              <w:t xml:space="preserve"> </w:t>
            </w:r>
            <w:r w:rsidR="00F279DC">
              <w:t>m</w:t>
            </w:r>
            <w:r w:rsidRPr="00D624C0">
              <w:t xml:space="preserve">ethyl </w:t>
            </w:r>
            <w:proofErr w:type="spellStart"/>
            <w:r w:rsidRPr="00D624C0">
              <w:t>sulfhydrate</w:t>
            </w:r>
            <w:proofErr w:type="spellEnd"/>
            <w:r>
              <w:t>,</w:t>
            </w:r>
            <w:r w:rsidRPr="00D624C0">
              <w:t xml:space="preserve"> </w:t>
            </w:r>
            <w:proofErr w:type="spellStart"/>
            <w:r w:rsidR="00F279DC">
              <w:t>t</w:t>
            </w:r>
            <w:r w:rsidRPr="00D624C0">
              <w:t>hiomethyl</w:t>
            </w:r>
            <w:proofErr w:type="spellEnd"/>
            <w:r w:rsidRPr="00D624C0">
              <w:t xml:space="preserve"> alcohol</w:t>
            </w:r>
            <w:r w:rsidR="007E55A7">
              <w:t xml:space="preserve">, </w:t>
            </w:r>
            <w:proofErr w:type="spellStart"/>
            <w:r w:rsidR="007E55A7" w:rsidRPr="007E55A7">
              <w:t>thiomethanol</w:t>
            </w:r>
            <w:proofErr w:type="spellEnd"/>
          </w:p>
        </w:tc>
      </w:tr>
      <w:tr w:rsidR="00F43AD5" w:rsidRPr="004C23F4" w14:paraId="132522FF" w14:textId="77777777" w:rsidTr="00B76A41">
        <w:trPr>
          <w:cantSplit/>
        </w:trPr>
        <w:tc>
          <w:tcPr>
            <w:tcW w:w="4077" w:type="dxa"/>
          </w:tcPr>
          <w:p w14:paraId="3A6947D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73F4D891" w14:textId="77777777" w:rsidR="00F43AD5" w:rsidRPr="00717D45" w:rsidRDefault="00546AC2" w:rsidP="00B76A41">
            <w:pPr>
              <w:pStyle w:val="Tablefont"/>
            </w:pPr>
            <w:r>
              <w:t>CH</w:t>
            </w:r>
            <w:r w:rsidRPr="00546AC2">
              <w:rPr>
                <w:vertAlign w:val="subscript"/>
              </w:rPr>
              <w:t>4</w:t>
            </w:r>
            <w:r>
              <w:t>S</w:t>
            </w:r>
          </w:p>
        </w:tc>
      </w:tr>
      <w:tr w:rsidR="00F43AD5" w:rsidRPr="004C23F4" w14:paraId="742E00E5" w14:textId="77777777" w:rsidTr="00B76A41">
        <w:trPr>
          <w:cantSplit/>
        </w:trPr>
        <w:tc>
          <w:tcPr>
            <w:tcW w:w="4077" w:type="dxa"/>
          </w:tcPr>
          <w:p w14:paraId="12BC4EE8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D2BCB95" w14:textId="77777777" w:rsidR="00F43AD5" w:rsidRPr="00B40C60" w:rsidRDefault="00546AC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23E5555E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151E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24A5552" w14:textId="77777777" w:rsidTr="00546AC2">
        <w:trPr>
          <w:cantSplit/>
          <w:tblHeader/>
        </w:trPr>
        <w:tc>
          <w:tcPr>
            <w:tcW w:w="4010" w:type="dxa"/>
            <w:vAlign w:val="center"/>
          </w:tcPr>
          <w:p w14:paraId="3008BA8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59E7F261" w14:textId="77777777" w:rsidR="002C7AFE" w:rsidRPr="00EB3D1B" w:rsidRDefault="008151E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 ppm (0.98 mg/m</w:t>
            </w:r>
            <w:r w:rsidRPr="008151E9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546AC2" w:rsidRPr="004C23F4" w14:paraId="401ED34C" w14:textId="77777777" w:rsidTr="00546AC2">
        <w:trPr>
          <w:cantSplit/>
        </w:trPr>
        <w:tc>
          <w:tcPr>
            <w:tcW w:w="4010" w:type="dxa"/>
            <w:vAlign w:val="center"/>
          </w:tcPr>
          <w:p w14:paraId="68B7FBB6" w14:textId="77777777" w:rsidR="00546AC2" w:rsidRPr="002C58FF" w:rsidRDefault="00546AC2" w:rsidP="00546AC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540558C" w14:textId="77777777" w:rsidR="00546AC2" w:rsidRPr="00EB3D1B" w:rsidRDefault="00546AC2" w:rsidP="00546AC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546AC2" w:rsidRPr="004C23F4" w14:paraId="2E90341F" w14:textId="77777777" w:rsidTr="00546AC2">
        <w:trPr>
          <w:cantSplit/>
        </w:trPr>
        <w:tc>
          <w:tcPr>
            <w:tcW w:w="4010" w:type="dxa"/>
            <w:vAlign w:val="center"/>
          </w:tcPr>
          <w:p w14:paraId="799CD2C3" w14:textId="77777777" w:rsidR="00546AC2" w:rsidRPr="002C58FF" w:rsidRDefault="00546AC2" w:rsidP="00546AC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104E7FF9" w14:textId="77777777" w:rsidR="00546AC2" w:rsidRPr="00EB3D1B" w:rsidRDefault="00546AC2" w:rsidP="00546AC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546AC2" w:rsidRPr="004C23F4" w14:paraId="6CDCDA07" w14:textId="77777777" w:rsidTr="00546AC2">
        <w:trPr>
          <w:cantSplit/>
        </w:trPr>
        <w:tc>
          <w:tcPr>
            <w:tcW w:w="4010" w:type="dxa"/>
          </w:tcPr>
          <w:p w14:paraId="6D2C59BB" w14:textId="77777777" w:rsidR="00546AC2" w:rsidRPr="002C58FF" w:rsidRDefault="00546AC2" w:rsidP="00546AC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597B5E48" w14:textId="77777777" w:rsidR="00546AC2" w:rsidRPr="00EB3D1B" w:rsidRDefault="00546AC2" w:rsidP="00546AC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546AC2" w:rsidRPr="004C23F4" w14:paraId="2744710D" w14:textId="77777777" w:rsidTr="00546AC2">
        <w:trPr>
          <w:cantSplit/>
        </w:trPr>
        <w:tc>
          <w:tcPr>
            <w:tcW w:w="4010" w:type="dxa"/>
            <w:vAlign w:val="center"/>
          </w:tcPr>
          <w:p w14:paraId="6FA531A1" w14:textId="77777777" w:rsidR="00546AC2" w:rsidRPr="002C58FF" w:rsidRDefault="00546AC2" w:rsidP="00546AC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2F6DEDB1" w14:textId="77777777" w:rsidR="00546AC2" w:rsidRPr="00EB3D1B" w:rsidRDefault="003F7598" w:rsidP="00546AC2">
            <w:pPr>
              <w:pStyle w:val="Tablefont"/>
              <w:rPr>
                <w:b/>
              </w:rPr>
            </w:pPr>
            <w:r>
              <w:rPr>
                <w:b/>
              </w:rPr>
              <w:t>150 ppm</w:t>
            </w:r>
          </w:p>
        </w:tc>
      </w:tr>
      <w:tr w:rsidR="00CB6704" w:rsidRPr="004C23F4" w14:paraId="3DA1E368" w14:textId="77777777" w:rsidTr="00AC7F6F">
        <w:trPr>
          <w:cantSplit/>
        </w:trPr>
        <w:tc>
          <w:tcPr>
            <w:tcW w:w="9026" w:type="dxa"/>
            <w:gridSpan w:val="2"/>
            <w:vAlign w:val="center"/>
          </w:tcPr>
          <w:p w14:paraId="482E91F3" w14:textId="0937897E" w:rsidR="00CB6704" w:rsidRPr="00EB3D1B" w:rsidRDefault="00CB6704" w:rsidP="00546AC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9F4B6F00E922433FAC0B27F57955BF32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985644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69DD53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00A516F" w14:textId="1566463D" w:rsidR="006639B4" w:rsidRPr="003C1002" w:rsidRDefault="00065B30" w:rsidP="000C139A">
      <w:pPr>
        <w:rPr>
          <w:rFonts w:cs="Arial"/>
        </w:rPr>
      </w:pPr>
      <w:r>
        <w:rPr>
          <w:rFonts w:cs="Arial"/>
        </w:rPr>
        <w:t>A TWA of 0.5 ppm (</w:t>
      </w:r>
      <w:r w:rsidR="003C1002">
        <w:rPr>
          <w:rFonts w:cs="Arial"/>
        </w:rPr>
        <w:t>0.98 mg/m</w:t>
      </w:r>
      <w:r w:rsidR="003C1002">
        <w:rPr>
          <w:rFonts w:cs="Arial"/>
          <w:vertAlign w:val="superscript"/>
        </w:rPr>
        <w:t>3</w:t>
      </w:r>
      <w:r>
        <w:rPr>
          <w:rFonts w:cs="Arial"/>
        </w:rPr>
        <w:t>)</w:t>
      </w:r>
      <w:r w:rsidR="003C1002">
        <w:rPr>
          <w:rFonts w:cs="Arial"/>
        </w:rPr>
        <w:t xml:space="preserve"> is recommended to protect for </w:t>
      </w:r>
      <w:r w:rsidR="003C1002">
        <w:t>respiratory tract irritation, central nervous system (CNS) effects and other systemic effects in exposed workers.</w:t>
      </w:r>
    </w:p>
    <w:p w14:paraId="56E30C14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50643A0" w14:textId="77777777" w:rsidR="00AA0CA5" w:rsidRDefault="00606974" w:rsidP="003C1002">
      <w:r>
        <w:t>Methyl mercaptan is u</w:t>
      </w:r>
      <w:r w:rsidR="00AC4851">
        <w:t xml:space="preserve">sed as an intermediate in pesticides, fungicides and jet fuel production and in the synthesis of methionine and plastics. </w:t>
      </w:r>
    </w:p>
    <w:p w14:paraId="18A741C6" w14:textId="32D20FB1" w:rsidR="00B076D2" w:rsidRDefault="00B076D2" w:rsidP="003C1002">
      <w:r>
        <w:t xml:space="preserve">Critical effects </w:t>
      </w:r>
      <w:r w:rsidR="00AA0CA5">
        <w:t>of</w:t>
      </w:r>
      <w:r>
        <w:t xml:space="preserve"> exposure are respiratory tract irritation, </w:t>
      </w:r>
      <w:r w:rsidR="003C1002">
        <w:t xml:space="preserve">CNS </w:t>
      </w:r>
      <w:r>
        <w:t>effects and other systemic effects. Limited data</w:t>
      </w:r>
      <w:r w:rsidR="00AA0CA5">
        <w:t xml:space="preserve"> are available</w:t>
      </w:r>
      <w:r>
        <w:t xml:space="preserve"> in humans. Exposure</w:t>
      </w:r>
      <w:r w:rsidR="00AA0CA5">
        <w:t xml:space="preserve"> is</w:t>
      </w:r>
      <w:r>
        <w:t xml:space="preserve"> reported to produce eye and respiratory tract irritation, dizziness, staggered gait, nausea and vomiting in humans. A NO</w:t>
      </w:r>
      <w:r w:rsidR="00AA0CA5">
        <w:t>A</w:t>
      </w:r>
      <w:r>
        <w:t>E</w:t>
      </w:r>
      <w:r w:rsidR="00AA0CA5">
        <w:t>C</w:t>
      </w:r>
      <w:r>
        <w:t xml:space="preserve"> of 17 ppm </w:t>
      </w:r>
      <w:r w:rsidR="00AA0CA5">
        <w:t>i</w:t>
      </w:r>
      <w:r>
        <w:t xml:space="preserve">s reported in rats </w:t>
      </w:r>
      <w:r w:rsidR="00AA0CA5">
        <w:t xml:space="preserve">in a three </w:t>
      </w:r>
      <w:r>
        <w:t xml:space="preserve">month inhalation study for </w:t>
      </w:r>
      <w:r w:rsidR="00AA0CA5">
        <w:t xml:space="preserve">liver </w:t>
      </w:r>
      <w:r>
        <w:t>effects and body weight changes (ACGIH, 2018; HCOTN, 2000). The DFG (2003) report a LOAEL of 2 ppm for behaviour</w:t>
      </w:r>
      <w:r w:rsidR="00AA0CA5">
        <w:t>al</w:t>
      </w:r>
      <w:r>
        <w:t xml:space="preserve"> effects from the same study</w:t>
      </w:r>
      <w:r w:rsidR="00AA0CA5">
        <w:t>.</w:t>
      </w:r>
      <w:r>
        <w:t xml:space="preserve"> </w:t>
      </w:r>
    </w:p>
    <w:p w14:paraId="639301CC" w14:textId="5DDC2315" w:rsidR="00B076D2" w:rsidRDefault="003C1002" w:rsidP="003C1002">
      <w:r>
        <w:rPr>
          <w:rFonts w:cs="Arial"/>
        </w:rPr>
        <w:t>The TWA of 0.5 ppm is consistent across primary sources and on the weight of evidence presented</w:t>
      </w:r>
      <w:r w:rsidR="00AA0CA5">
        <w:rPr>
          <w:rFonts w:cs="Arial"/>
        </w:rPr>
        <w:t>,</w:t>
      </w:r>
      <w:r>
        <w:rPr>
          <w:rFonts w:cs="Arial"/>
        </w:rPr>
        <w:t xml:space="preserve"> is expected to be protective of effects on the CNS and irritation.</w:t>
      </w:r>
    </w:p>
    <w:p w14:paraId="6D1ECA2B" w14:textId="77777777" w:rsidR="004529F0" w:rsidRPr="004C23F4" w:rsidRDefault="004529F0" w:rsidP="00D40827">
      <w:pPr>
        <w:pStyle w:val="Heading2"/>
      </w:pPr>
      <w:r>
        <w:t>Recommendation for notations</w:t>
      </w:r>
    </w:p>
    <w:p w14:paraId="513ED2A0" w14:textId="77777777" w:rsidR="00546AC2" w:rsidRPr="000C10C0" w:rsidRDefault="00546AC2" w:rsidP="000C10C0">
      <w:pPr>
        <w:keepNext/>
        <w:rPr>
          <w:rFonts w:cs="Arial"/>
        </w:rPr>
      </w:pPr>
      <w:r w:rsidRPr="000C10C0">
        <w:rPr>
          <w:rFonts w:cs="Arial"/>
        </w:rPr>
        <w:t>Not classified as a carcinogen according to the Globally Harmonized System of Classification and Labelling o</w:t>
      </w:r>
      <w:r w:rsidR="0091474E" w:rsidRPr="000C10C0">
        <w:rPr>
          <w:rFonts w:cs="Arial"/>
        </w:rPr>
        <w:t>f</w:t>
      </w:r>
      <w:r w:rsidRPr="000C10C0">
        <w:rPr>
          <w:rFonts w:cs="Arial"/>
        </w:rPr>
        <w:t xml:space="preserve"> Chemicals (GHS). </w:t>
      </w:r>
    </w:p>
    <w:p w14:paraId="72231977" w14:textId="77777777" w:rsidR="00546AC2" w:rsidRPr="000C10C0" w:rsidRDefault="00546AC2" w:rsidP="000C10C0">
      <w:pPr>
        <w:keepNext/>
        <w:rPr>
          <w:rFonts w:cs="Arial"/>
        </w:rPr>
      </w:pPr>
      <w:r w:rsidRPr="000C10C0">
        <w:rPr>
          <w:rFonts w:cs="Arial"/>
        </w:rPr>
        <w:t xml:space="preserve">Not classified as a skin </w:t>
      </w:r>
      <w:r w:rsidR="0091474E" w:rsidRPr="000C10C0">
        <w:rPr>
          <w:rFonts w:cs="Arial"/>
        </w:rPr>
        <w:t xml:space="preserve">sensitiser </w:t>
      </w:r>
      <w:r w:rsidRPr="000C10C0">
        <w:rPr>
          <w:rFonts w:cs="Arial"/>
        </w:rPr>
        <w:t>or respiratory sensitiser according to the GHS.</w:t>
      </w:r>
    </w:p>
    <w:p w14:paraId="4794E629" w14:textId="77777777" w:rsidR="004529F0" w:rsidRDefault="0091474E" w:rsidP="000C10C0">
      <w:pPr>
        <w:keepNext/>
        <w:rPr>
          <w:rFonts w:cs="Arial"/>
        </w:rPr>
      </w:pPr>
      <w:r w:rsidRPr="000C10C0">
        <w:rPr>
          <w:rFonts w:cs="Arial"/>
        </w:rPr>
        <w:t>There are i</w:t>
      </w:r>
      <w:r w:rsidR="00546AC2" w:rsidRPr="000C10C0">
        <w:rPr>
          <w:rFonts w:cs="Arial"/>
        </w:rPr>
        <w:t xml:space="preserve">nsufficient </w:t>
      </w:r>
      <w:r w:rsidRPr="000C10C0">
        <w:rPr>
          <w:rFonts w:cs="Arial"/>
        </w:rPr>
        <w:t xml:space="preserve">data </w:t>
      </w:r>
      <w:r w:rsidR="00546AC2" w:rsidRPr="000C10C0">
        <w:rPr>
          <w:rFonts w:cs="Arial"/>
        </w:rPr>
        <w:t>to recommend a skin notation.</w:t>
      </w:r>
    </w:p>
    <w:p w14:paraId="00FDBD01" w14:textId="77777777" w:rsidR="0025734A" w:rsidRPr="004C23F4" w:rsidRDefault="0025734A">
      <w:pPr>
        <w:rPr>
          <w:rFonts w:cs="Arial"/>
        </w:rPr>
      </w:pPr>
    </w:p>
    <w:p w14:paraId="21487FFE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56308B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351565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AE8774E" w14:textId="77777777" w:rsidTr="00C80AD7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26A165C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B7EFEB6" w14:textId="77777777" w:rsidTr="00C80AD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335A170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D079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D0798">
                  <w:t>TWA: 0.5 ppm (0.98 mg/m</w:t>
                </w:r>
                <w:r w:rsidR="00ED0798" w:rsidRPr="00ED0798">
                  <w:rPr>
                    <w:vertAlign w:val="superscript"/>
                  </w:rPr>
                  <w:t>3</w:t>
                </w:r>
                <w:r w:rsidR="00ED0798">
                  <w:t>)</w:t>
                </w:r>
              </w:sdtContent>
            </w:sdt>
          </w:p>
        </w:tc>
      </w:tr>
      <w:tr w:rsidR="00C978F0" w:rsidRPr="00DA352E" w14:paraId="332ACCC3" w14:textId="77777777" w:rsidTr="00C80AD7">
        <w:trPr>
          <w:gridAfter w:val="1"/>
          <w:wAfter w:w="8" w:type="pct"/>
        </w:trPr>
        <w:tc>
          <w:tcPr>
            <w:tcW w:w="4992" w:type="pct"/>
          </w:tcPr>
          <w:p w14:paraId="21FE485D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DFBE14B" w14:textId="77777777" w:rsidTr="00C80AD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BFE186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87BE3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87BE3">
                  <w:t>TLV-TWA: 0.5 ppm (1.0</w:t>
                </w:r>
                <w:r w:rsidR="00387BE3" w:rsidRPr="00387BE3">
                  <w:t xml:space="preserve"> mg/m</w:t>
                </w:r>
                <w:r w:rsidR="00387BE3" w:rsidRPr="00387BE3">
                  <w:rPr>
                    <w:vertAlign w:val="superscript"/>
                  </w:rPr>
                  <w:t>3</w:t>
                </w:r>
                <w:r w:rsidR="00387BE3" w:rsidRPr="00387BE3">
                  <w:t>)</w:t>
                </w:r>
              </w:sdtContent>
            </w:sdt>
          </w:p>
        </w:tc>
      </w:tr>
      <w:tr w:rsidR="00C978F0" w:rsidRPr="00DA352E" w14:paraId="01D8890C" w14:textId="77777777" w:rsidTr="00C80AD7">
        <w:trPr>
          <w:gridAfter w:val="1"/>
          <w:wAfter w:w="8" w:type="pct"/>
        </w:trPr>
        <w:tc>
          <w:tcPr>
            <w:tcW w:w="4992" w:type="pct"/>
          </w:tcPr>
          <w:p w14:paraId="32FECFF7" w14:textId="4DBB615C" w:rsidR="00C978F0" w:rsidRDefault="00012109" w:rsidP="00AA0CA5">
            <w:pPr>
              <w:pStyle w:val="Tabletextprimarysource"/>
            </w:pPr>
            <w:r>
              <w:t xml:space="preserve">TLV-TWA </w:t>
            </w:r>
            <w:r w:rsidR="00AC4851">
              <w:t xml:space="preserve">recommended </w:t>
            </w:r>
            <w:r>
              <w:t>to protect for adverse liver</w:t>
            </w:r>
            <w:r w:rsidR="0034570F">
              <w:t xml:space="preserve"> and systemic</w:t>
            </w:r>
            <w:r>
              <w:t xml:space="preserve"> effects</w:t>
            </w:r>
            <w:r w:rsidR="007415E7">
              <w:t>.</w:t>
            </w:r>
          </w:p>
          <w:p w14:paraId="747D08C6" w14:textId="77777777" w:rsidR="00012109" w:rsidRDefault="00012109" w:rsidP="00AA0CA5">
            <w:pPr>
              <w:pStyle w:val="Tabletextprimarysource"/>
            </w:pPr>
            <w:r>
              <w:t>Summary of data:</w:t>
            </w:r>
          </w:p>
          <w:p w14:paraId="0B955508" w14:textId="77777777" w:rsidR="00F77806" w:rsidRDefault="00F77806" w:rsidP="00AA0CA5">
            <w:pPr>
              <w:pStyle w:val="Tabletextprimarysource"/>
            </w:pPr>
            <w:r>
              <w:t>Human data:</w:t>
            </w:r>
          </w:p>
          <w:p w14:paraId="7AEBC92D" w14:textId="77777777" w:rsidR="00F77806" w:rsidRDefault="00F2383A" w:rsidP="00AA0CA5">
            <w:pPr>
              <w:pStyle w:val="Tabletextprimarysource"/>
              <w:numPr>
                <w:ilvl w:val="0"/>
                <w:numId w:val="1"/>
              </w:numPr>
            </w:pPr>
            <w:r>
              <w:t>Potent ocular and dermal irritant in workers</w:t>
            </w:r>
          </w:p>
          <w:p w14:paraId="2D7FF520" w14:textId="729CB9EF" w:rsidR="00F77806" w:rsidRDefault="00F2383A" w:rsidP="00AA0CA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Exposure </w:t>
            </w:r>
            <w:r w:rsidR="00AC4851">
              <w:t>reported to produce</w:t>
            </w:r>
            <w:r>
              <w:t xml:space="preserve"> eye and respiratory tract irritation, dizziness, staggered gait, nausea and vomiting</w:t>
            </w:r>
            <w:r w:rsidR="00AC4851">
              <w:t>, p</w:t>
            </w:r>
            <w:r>
              <w:t xml:space="preserve">ulmonary oedema and </w:t>
            </w:r>
            <w:r w:rsidR="00E91F4A">
              <w:t xml:space="preserve">liver </w:t>
            </w:r>
            <w:r>
              <w:t>and renal damage</w:t>
            </w:r>
            <w:r w:rsidR="0037301E">
              <w:t>;</w:t>
            </w:r>
            <w:r>
              <w:t xml:space="preserve"> </w:t>
            </w:r>
            <w:r w:rsidR="00BD51B3">
              <w:t>exposure conditions not specified</w:t>
            </w:r>
            <w:r w:rsidR="007415E7">
              <w:t>.</w:t>
            </w:r>
          </w:p>
          <w:p w14:paraId="20EB887F" w14:textId="77777777" w:rsidR="00012109" w:rsidRDefault="00F64685" w:rsidP="00AA0CA5">
            <w:pPr>
              <w:pStyle w:val="Tabletextprimarysource"/>
            </w:pPr>
            <w:r>
              <w:t>Animal data:</w:t>
            </w:r>
          </w:p>
          <w:p w14:paraId="06E028A3" w14:textId="0C9AA21B" w:rsidR="00221452" w:rsidRDefault="00B076D2" w:rsidP="00AA0CA5">
            <w:pPr>
              <w:pStyle w:val="Tabletextprimarysource"/>
              <w:numPr>
                <w:ilvl w:val="0"/>
                <w:numId w:val="1"/>
              </w:numPr>
            </w:pPr>
            <w:r>
              <w:t>Rats exposed at 1,</w:t>
            </w:r>
            <w:r w:rsidR="00AC4851">
              <w:t xml:space="preserve">400 ppm for 15 min; </w:t>
            </w:r>
            <w:r w:rsidR="00221452">
              <w:t xml:space="preserve">lethargic or lapsed into a reversible coma </w:t>
            </w:r>
          </w:p>
          <w:p w14:paraId="6083A70A" w14:textId="51400AB3" w:rsidR="00221452" w:rsidRDefault="00221452" w:rsidP="00AA0CA5">
            <w:pPr>
              <w:pStyle w:val="Tabletextprimarysource"/>
              <w:numPr>
                <w:ilvl w:val="0"/>
                <w:numId w:val="1"/>
              </w:numPr>
            </w:pPr>
            <w:r>
              <w:t>An acute inhalation exposure study in female rats reported</w:t>
            </w:r>
            <w:r w:rsidR="00AA0CA5">
              <w:t>:</w:t>
            </w:r>
          </w:p>
          <w:p w14:paraId="35AC22D2" w14:textId="6C43F595" w:rsidR="00221452" w:rsidRDefault="000C10C0" w:rsidP="00AA0CA5">
            <w:pPr>
              <w:pStyle w:val="Tabletextprimarysource"/>
              <w:numPr>
                <w:ilvl w:val="0"/>
                <w:numId w:val="2"/>
              </w:numPr>
              <w:ind w:left="1014"/>
            </w:pPr>
            <w:r>
              <w:t>n</w:t>
            </w:r>
            <w:r w:rsidR="004661DA">
              <w:t xml:space="preserve">o effects at 500 </w:t>
            </w:r>
            <w:r w:rsidR="00AE0292">
              <w:t>ppm for 30</w:t>
            </w:r>
            <w:r w:rsidR="00595441">
              <w:t>–</w:t>
            </w:r>
            <w:r w:rsidR="00AE0292">
              <w:t>35 min</w:t>
            </w:r>
          </w:p>
          <w:p w14:paraId="27C09341" w14:textId="5B1CDC14" w:rsidR="004661DA" w:rsidRDefault="000C10C0" w:rsidP="00AA0CA5">
            <w:pPr>
              <w:pStyle w:val="Tabletextprimarysource"/>
              <w:numPr>
                <w:ilvl w:val="0"/>
                <w:numId w:val="2"/>
              </w:numPr>
              <w:ind w:left="1014"/>
            </w:pPr>
            <w:r>
              <w:t>l</w:t>
            </w:r>
            <w:r w:rsidR="004661DA">
              <w:t>ethargy at 700 ppm and recovery after termination of exposure</w:t>
            </w:r>
          </w:p>
          <w:p w14:paraId="21DDEA99" w14:textId="7D33D134" w:rsidR="004661DA" w:rsidRDefault="000C10C0" w:rsidP="00AA0CA5">
            <w:pPr>
              <w:pStyle w:val="Tabletextprimarysource"/>
              <w:numPr>
                <w:ilvl w:val="0"/>
                <w:numId w:val="2"/>
              </w:numPr>
              <w:ind w:left="1014"/>
            </w:pPr>
            <w:r>
              <w:t>r</w:t>
            </w:r>
            <w:r w:rsidR="004661DA">
              <w:t>ighting reflex abolished at 1</w:t>
            </w:r>
            <w:r w:rsidR="00AC4851">
              <w:t>,</w:t>
            </w:r>
            <w:r w:rsidR="004661DA">
              <w:t>500 ppm</w:t>
            </w:r>
          </w:p>
          <w:p w14:paraId="597DBC15" w14:textId="64D4EBCD" w:rsidR="004661DA" w:rsidRDefault="00AC4851" w:rsidP="00AA0CA5">
            <w:pPr>
              <w:pStyle w:val="Tabletextprimarysource"/>
              <w:numPr>
                <w:ilvl w:val="0"/>
                <w:numId w:val="2"/>
              </w:numPr>
              <w:ind w:left="1014"/>
            </w:pPr>
            <w:r>
              <w:t>CNS</w:t>
            </w:r>
            <w:r w:rsidR="000C10C0">
              <w:t xml:space="preserve"> </w:t>
            </w:r>
            <w:r w:rsidR="004661DA">
              <w:t>depression, paralysis of locomotor muscles and mucous membrane irritation after exposure at 10</w:t>
            </w:r>
            <w:r>
              <w:t>,</w:t>
            </w:r>
            <w:r w:rsidR="004661DA">
              <w:t xml:space="preserve">000 </w:t>
            </w:r>
            <w:r w:rsidR="00985644">
              <w:t>ppm for 1 min</w:t>
            </w:r>
            <w:r w:rsidR="00AA0CA5">
              <w:t>; d</w:t>
            </w:r>
            <w:r w:rsidR="00985644">
              <w:t>eath occurred within 14 min.</w:t>
            </w:r>
          </w:p>
          <w:p w14:paraId="47A55CED" w14:textId="6567A200" w:rsidR="00F64685" w:rsidRDefault="00AC4851" w:rsidP="00AA0CA5">
            <w:pPr>
              <w:pStyle w:val="Tabletextprimarysource"/>
              <w:numPr>
                <w:ilvl w:val="0"/>
                <w:numId w:val="1"/>
              </w:numPr>
            </w:pPr>
            <w:r>
              <w:t>Rats</w:t>
            </w:r>
            <w:r w:rsidR="00CB6704">
              <w:t xml:space="preserve"> </w:t>
            </w:r>
            <w:r>
              <w:t xml:space="preserve">exposed </w:t>
            </w:r>
            <w:r w:rsidR="009232ED">
              <w:t xml:space="preserve">at </w:t>
            </w:r>
            <w:r>
              <w:t>7</w:t>
            </w:r>
            <w:r w:rsidR="0037301E">
              <w:t xml:space="preserve"> h/d, 5 d/wk, 3 mo</w:t>
            </w:r>
            <w:r>
              <w:t xml:space="preserve"> at either </w:t>
            </w:r>
            <w:r w:rsidR="009232ED">
              <w:t xml:space="preserve">0, </w:t>
            </w:r>
            <w:r w:rsidR="00F64685">
              <w:t xml:space="preserve">2, 17 and 57 ppm </w:t>
            </w:r>
            <w:r w:rsidR="009232ED">
              <w:t>indicated</w:t>
            </w:r>
            <w:r w:rsidR="00F64685">
              <w:t>;</w:t>
            </w:r>
          </w:p>
          <w:p w14:paraId="2DEACE22" w14:textId="1CE8033F" w:rsidR="00F64685" w:rsidRDefault="00EC2A47" w:rsidP="00AA0CA5">
            <w:pPr>
              <w:pStyle w:val="Tabletextprimarysource"/>
              <w:numPr>
                <w:ilvl w:val="1"/>
                <w:numId w:val="1"/>
              </w:numPr>
              <w:ind w:left="1014"/>
            </w:pPr>
            <w:r>
              <w:t>body weight</w:t>
            </w:r>
            <w:r w:rsidR="00AA0CA5">
              <w:t xml:space="preserve"> </w:t>
            </w:r>
            <w:r w:rsidR="00F64685">
              <w:t>reduction</w:t>
            </w:r>
            <w:r w:rsidR="00AC4851">
              <w:t>,</w:t>
            </w:r>
            <w:r w:rsidR="00F64685">
              <w:t xml:space="preserve"> equivocal hepatotoxicity at 57 ppm</w:t>
            </w:r>
          </w:p>
          <w:p w14:paraId="23F2C69E" w14:textId="77D38D0A" w:rsidR="00F64685" w:rsidRDefault="000C10C0" w:rsidP="00AA0CA5">
            <w:pPr>
              <w:pStyle w:val="Tabletextprimarysource"/>
              <w:numPr>
                <w:ilvl w:val="1"/>
                <w:numId w:val="1"/>
              </w:numPr>
              <w:ind w:left="1014"/>
            </w:pPr>
            <w:r>
              <w:t>n</w:t>
            </w:r>
            <w:r w:rsidR="00F64685">
              <w:t>o histopathological differences relative to controls</w:t>
            </w:r>
          </w:p>
          <w:p w14:paraId="33BA7431" w14:textId="3139134C" w:rsidR="00AC4851" w:rsidRDefault="00AC4851" w:rsidP="00AA0CA5">
            <w:pPr>
              <w:pStyle w:val="Tabletextprimarysource"/>
              <w:numPr>
                <w:ilvl w:val="1"/>
                <w:numId w:val="1"/>
              </w:numPr>
              <w:ind w:left="1014"/>
            </w:pPr>
            <w:r>
              <w:t xml:space="preserve">NOEL of 17 ppm; minimal </w:t>
            </w:r>
            <w:r w:rsidR="00E91F4A">
              <w:t>liver</w:t>
            </w:r>
            <w:r>
              <w:t xml:space="preserve"> effects</w:t>
            </w:r>
          </w:p>
          <w:p w14:paraId="130838A5" w14:textId="24569613" w:rsidR="002C2600" w:rsidRDefault="004661DA" w:rsidP="00AA0CA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Subchronic inhalation study with exposure </w:t>
            </w:r>
            <w:r w:rsidR="009232ED">
              <w:t>at</w:t>
            </w:r>
            <w:r>
              <w:t xml:space="preserve"> 300 ppm (2 h/d, 3 times/wk, 2 mo) reported;</w:t>
            </w:r>
          </w:p>
          <w:p w14:paraId="3D71D84D" w14:textId="735B6E32" w:rsidR="002C2600" w:rsidRDefault="000C10C0" w:rsidP="00AA0CA5">
            <w:pPr>
              <w:pStyle w:val="Tabletextprimarysource"/>
              <w:numPr>
                <w:ilvl w:val="1"/>
                <w:numId w:val="1"/>
              </w:numPr>
              <w:ind w:left="1014"/>
            </w:pPr>
            <w:r>
              <w:t xml:space="preserve">6 </w:t>
            </w:r>
            <w:r w:rsidR="00F77806">
              <w:t xml:space="preserve">mice </w:t>
            </w:r>
            <w:r w:rsidR="00985644">
              <w:t>fatalities</w:t>
            </w:r>
            <w:r w:rsidR="00F77806">
              <w:t xml:space="preserve"> following 15 exposures</w:t>
            </w:r>
          </w:p>
          <w:p w14:paraId="5383CAF4" w14:textId="7453CF9A" w:rsidR="00F77806" w:rsidRDefault="007415E7" w:rsidP="00AA0CA5">
            <w:pPr>
              <w:pStyle w:val="Tabletextprimarysource"/>
              <w:numPr>
                <w:ilvl w:val="1"/>
                <w:numId w:val="1"/>
              </w:numPr>
              <w:ind w:left="1014"/>
            </w:pPr>
            <w:r>
              <w:t xml:space="preserve">fatal to </w:t>
            </w:r>
            <w:r w:rsidR="000C10C0">
              <w:t>r</w:t>
            </w:r>
            <w:r w:rsidR="00F77806">
              <w:t>emaining population of mice following 25 exposures.</w:t>
            </w:r>
          </w:p>
          <w:p w14:paraId="1DD401E6" w14:textId="77777777" w:rsidR="00AA0CA5" w:rsidRDefault="00AA0CA5" w:rsidP="00AA0CA5">
            <w:pPr>
              <w:spacing w:before="60" w:after="60"/>
            </w:pPr>
          </w:p>
          <w:p w14:paraId="020DC956" w14:textId="7B10114C" w:rsidR="00B076D2" w:rsidRPr="004C23F4" w:rsidRDefault="00B076D2" w:rsidP="00AA0CA5">
            <w:pPr>
              <w:spacing w:before="60" w:after="60"/>
              <w:rPr>
                <w:rFonts w:cs="Arial"/>
              </w:rPr>
            </w:pPr>
            <w:r>
              <w:t>Insufficient data to assign Skin, SEN or carcinogenicity notations or to recommend a TLV-STEL</w:t>
            </w:r>
            <w:r w:rsidR="00AA0CA5">
              <w:t>.</w:t>
            </w:r>
          </w:p>
          <w:p w14:paraId="65F1A1C9" w14:textId="77777777" w:rsidR="00F77806" w:rsidRPr="00DA352E" w:rsidRDefault="00F77806" w:rsidP="00AA0CA5">
            <w:pPr>
              <w:pStyle w:val="Tabletextprimarysource"/>
            </w:pPr>
          </w:p>
        </w:tc>
      </w:tr>
      <w:tr w:rsidR="00C978F0" w:rsidRPr="00DA352E" w14:paraId="1CCCDEEB" w14:textId="77777777" w:rsidTr="00C80AD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B0E407D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279DC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F279DC">
                  <w:t>MAK: 0.5 ppm (1 mg/m</w:t>
                </w:r>
                <w:r w:rsidR="00F279DC" w:rsidRPr="00F279DC">
                  <w:rPr>
                    <w:vertAlign w:val="superscript"/>
                  </w:rPr>
                  <w:t>3</w:t>
                </w:r>
                <w:r w:rsidR="00F279DC">
                  <w:t>)</w:t>
                </w:r>
              </w:sdtContent>
            </w:sdt>
          </w:p>
        </w:tc>
      </w:tr>
      <w:tr w:rsidR="00C978F0" w:rsidRPr="00DA352E" w14:paraId="20A011DC" w14:textId="77777777" w:rsidTr="00C80AD7">
        <w:trPr>
          <w:gridAfter w:val="1"/>
          <w:wAfter w:w="8" w:type="pct"/>
        </w:trPr>
        <w:tc>
          <w:tcPr>
            <w:tcW w:w="4992" w:type="pct"/>
          </w:tcPr>
          <w:p w14:paraId="1BC8F031" w14:textId="5E2D5EAD" w:rsidR="003F4FB9" w:rsidRDefault="0037301E" w:rsidP="00AA0CA5">
            <w:pPr>
              <w:pStyle w:val="Tabletextprimarysource"/>
            </w:pPr>
            <w:r>
              <w:t>MAK recommended to protect for CNS effects and possible irritation of the mucous membranes</w:t>
            </w:r>
            <w:r w:rsidR="00AE0292">
              <w:t>.</w:t>
            </w:r>
          </w:p>
          <w:p w14:paraId="243DECBE" w14:textId="7C89DAC3" w:rsidR="00AB02C7" w:rsidRDefault="00BF298D" w:rsidP="00AA0CA5">
            <w:pPr>
              <w:pStyle w:val="Tabletextprimarysource"/>
            </w:pPr>
            <w:r>
              <w:t>Summary of</w:t>
            </w:r>
            <w:r w:rsidR="00606974">
              <w:t xml:space="preserve"> additional</w:t>
            </w:r>
            <w:r>
              <w:t xml:space="preserve"> data:</w:t>
            </w:r>
          </w:p>
          <w:p w14:paraId="76B0099D" w14:textId="77777777" w:rsidR="0037301E" w:rsidRDefault="00AB02C7" w:rsidP="00AA0CA5">
            <w:pPr>
              <w:pStyle w:val="Tabletextprimarysource"/>
            </w:pPr>
            <w:r>
              <w:t>Human data:</w:t>
            </w:r>
          </w:p>
          <w:p w14:paraId="5A6DCF02" w14:textId="77777777" w:rsidR="00AB02C7" w:rsidRDefault="0037301E" w:rsidP="00AA0CA5">
            <w:pPr>
              <w:pStyle w:val="ListBullet"/>
              <w:spacing w:before="60" w:after="60"/>
              <w:ind w:left="720"/>
              <w:contextualSpacing w:val="0"/>
            </w:pPr>
            <w:r>
              <w:t>Odour threshold between 0.0005 and 0.0820 mg/m</w:t>
            </w:r>
            <w:r w:rsidRPr="00AB02C7">
              <w:rPr>
                <w:vertAlign w:val="superscript"/>
              </w:rPr>
              <w:t>3</w:t>
            </w:r>
          </w:p>
          <w:p w14:paraId="41AB6D0C" w14:textId="6BA7BD55" w:rsidR="00EE19C6" w:rsidRDefault="00EE19C6" w:rsidP="00AA0CA5">
            <w:pPr>
              <w:pStyle w:val="Tabletextprimarysource"/>
              <w:numPr>
                <w:ilvl w:val="0"/>
                <w:numId w:val="1"/>
              </w:numPr>
            </w:pPr>
            <w:r>
              <w:t>V</w:t>
            </w:r>
            <w:r w:rsidR="00C80AD7">
              <w:t>arious worker incidents reported</w:t>
            </w:r>
            <w:r>
              <w:t>:</w:t>
            </w:r>
          </w:p>
          <w:p w14:paraId="68833FB9" w14:textId="31FE726B" w:rsidR="00BF298D" w:rsidRDefault="007415E7" w:rsidP="00AA0CA5">
            <w:pPr>
              <w:pStyle w:val="Tabletextprimarysource"/>
              <w:numPr>
                <w:ilvl w:val="1"/>
                <w:numId w:val="1"/>
              </w:numPr>
              <w:ind w:left="1014"/>
            </w:pPr>
            <w:r>
              <w:t xml:space="preserve">3 </w:t>
            </w:r>
            <w:r w:rsidR="00AE0292">
              <w:t>w</w:t>
            </w:r>
            <w:r w:rsidR="00AB02C7">
              <w:t>orker</w:t>
            </w:r>
            <w:r w:rsidR="00D84754">
              <w:t>s</w:t>
            </w:r>
            <w:r w:rsidR="00AB02C7">
              <w:t xml:space="preserve"> expos</w:t>
            </w:r>
            <w:r w:rsidR="00D84754">
              <w:t>ed</w:t>
            </w:r>
            <w:r w:rsidR="00AB02C7">
              <w:t xml:space="preserve"> </w:t>
            </w:r>
            <w:r w:rsidR="00B076D2">
              <w:t xml:space="preserve">at </w:t>
            </w:r>
            <w:r>
              <w:t xml:space="preserve">high levels (estimated at hundreds of ppm, along with dimethyl sulfide) for </w:t>
            </w:r>
            <w:r w:rsidR="00AB02C7">
              <w:t>30,10 and 3</w:t>
            </w:r>
            <w:r w:rsidR="00595441">
              <w:t>–</w:t>
            </w:r>
            <w:r>
              <w:t xml:space="preserve">4 </w:t>
            </w:r>
            <w:r w:rsidR="00AE0292">
              <w:t>min</w:t>
            </w:r>
            <w:r w:rsidR="00AB02C7">
              <w:t xml:space="preserve"> </w:t>
            </w:r>
            <w:r>
              <w:t xml:space="preserve">(respectively) </w:t>
            </w:r>
            <w:r w:rsidR="00AB02C7">
              <w:t xml:space="preserve">resulted in </w:t>
            </w:r>
            <w:r>
              <w:t xml:space="preserve">symptoms consistent with methyl mercaptan, namely </w:t>
            </w:r>
            <w:r w:rsidR="00AB02C7">
              <w:t xml:space="preserve">drowsiness, unconsciousness, apnoea and anoxic convulsions, pulmonary oedema, vomiting </w:t>
            </w:r>
            <w:r w:rsidR="00EE19C6">
              <w:t>and liver</w:t>
            </w:r>
            <w:r>
              <w:t xml:space="preserve"> function</w:t>
            </w:r>
            <w:r w:rsidR="00EE19C6">
              <w:t xml:space="preserve"> disorders</w:t>
            </w:r>
          </w:p>
          <w:p w14:paraId="0E30784C" w14:textId="65569D1E" w:rsidR="00EE19C6" w:rsidRDefault="00AE0292" w:rsidP="00AA0CA5">
            <w:pPr>
              <w:pStyle w:val="Tabletextprimarysource"/>
              <w:numPr>
                <w:ilvl w:val="1"/>
                <w:numId w:val="1"/>
              </w:numPr>
              <w:ind w:left="1014"/>
            </w:pPr>
            <w:r>
              <w:t>f</w:t>
            </w:r>
            <w:r w:rsidR="00EE19C6">
              <w:t>atality (respiratory arrest and heart failure after 45</w:t>
            </w:r>
            <w:r>
              <w:t xml:space="preserve"> min</w:t>
            </w:r>
            <w:r w:rsidR="00D84754">
              <w:t>)</w:t>
            </w:r>
            <w:r>
              <w:t xml:space="preserve"> of a male (19 </w:t>
            </w:r>
            <w:proofErr w:type="spellStart"/>
            <w:r w:rsidR="00EC2A47">
              <w:t>yr</w:t>
            </w:r>
            <w:proofErr w:type="spellEnd"/>
            <w:r w:rsidR="00EE19C6">
              <w:t xml:space="preserve">) following a high exposure dose (possibly </w:t>
            </w:r>
            <w:r>
              <w:t>&gt;</w:t>
            </w:r>
            <w:r w:rsidR="00EE19C6">
              <w:t>10</w:t>
            </w:r>
            <w:r w:rsidR="0037301E">
              <w:t>,</w:t>
            </w:r>
            <w:r>
              <w:t>000 ppm) for a few minutes</w:t>
            </w:r>
          </w:p>
          <w:p w14:paraId="7483B826" w14:textId="45A1ECB5" w:rsidR="00D84754" w:rsidRDefault="00AE0292" w:rsidP="0005500D">
            <w:pPr>
              <w:pStyle w:val="Tabletextprimarysource"/>
              <w:numPr>
                <w:ilvl w:val="1"/>
                <w:numId w:val="1"/>
              </w:numPr>
              <w:ind w:left="1014"/>
            </w:pPr>
            <w:r>
              <w:lastRenderedPageBreak/>
              <w:t>p</w:t>
            </w:r>
            <w:r w:rsidR="00931D65">
              <w:t>ulmonary embolism (</w:t>
            </w:r>
            <w:r>
              <w:t>4 wk</w:t>
            </w:r>
            <w:r w:rsidR="00931D65">
              <w:t xml:space="preserve"> after exposure) of</w:t>
            </w:r>
            <w:r w:rsidR="00F057D5">
              <w:t xml:space="preserve"> a male (53 </w:t>
            </w:r>
            <w:proofErr w:type="spellStart"/>
            <w:r w:rsidR="00F057D5">
              <w:t>yr</w:t>
            </w:r>
            <w:proofErr w:type="spellEnd"/>
            <w:r w:rsidR="004D5150">
              <w:t xml:space="preserve">) </w:t>
            </w:r>
            <w:r w:rsidR="00C80AD7">
              <w:t>concentration</w:t>
            </w:r>
            <w:r w:rsidR="004D5150">
              <w:t xml:space="preserve"> not specified</w:t>
            </w:r>
            <w:r w:rsidR="00C80AD7">
              <w:t>, however exposure was inside a tank for 1 h</w:t>
            </w:r>
          </w:p>
          <w:p w14:paraId="7C3C8103" w14:textId="22B697C1" w:rsidR="00EE19C6" w:rsidRDefault="004D5150" w:rsidP="00BF298D">
            <w:pPr>
              <w:pStyle w:val="Tabletextprimarysource"/>
              <w:numPr>
                <w:ilvl w:val="0"/>
                <w:numId w:val="1"/>
              </w:numPr>
            </w:pPr>
            <w:r>
              <w:t>Hepatic encephalopathy development from impaired liver function following increased blood concentrations is uncertain</w:t>
            </w:r>
            <w:r w:rsidR="00AE0292">
              <w:t>.</w:t>
            </w:r>
          </w:p>
          <w:p w14:paraId="382E4FFE" w14:textId="77777777" w:rsidR="00BF298D" w:rsidRDefault="00A64070" w:rsidP="003365A5">
            <w:pPr>
              <w:pStyle w:val="Tabletextprimarysource"/>
            </w:pPr>
            <w:r>
              <w:t>Animal data:</w:t>
            </w:r>
          </w:p>
          <w:p w14:paraId="63BF9F82" w14:textId="0AC3E365" w:rsidR="00A64070" w:rsidRDefault="00A64070" w:rsidP="00A64070">
            <w:pPr>
              <w:pStyle w:val="Tabletextprimarysource"/>
              <w:numPr>
                <w:ilvl w:val="0"/>
                <w:numId w:val="5"/>
              </w:numPr>
            </w:pPr>
            <w:r>
              <w:t>LC</w:t>
            </w:r>
            <w:r w:rsidRPr="00A64070">
              <w:rPr>
                <w:vertAlign w:val="subscript"/>
              </w:rPr>
              <w:t>50</w:t>
            </w:r>
            <w:r w:rsidR="00BA5B0E">
              <w:t>: 1</w:t>
            </w:r>
            <w:r w:rsidR="0037301E">
              <w:t>,</w:t>
            </w:r>
            <w:r w:rsidR="00BA5B0E">
              <w:t xml:space="preserve">664 </w:t>
            </w:r>
            <w:r w:rsidR="0005500D">
              <w:t>ppm</w:t>
            </w:r>
            <w:r w:rsidR="00BA5B0E">
              <w:t xml:space="preserve"> (mice</w:t>
            </w:r>
            <w:r w:rsidR="0005500D">
              <w:t>, 4-h</w:t>
            </w:r>
            <w:r w:rsidR="00BA5B0E">
              <w:t xml:space="preserve">) and 675 </w:t>
            </w:r>
            <w:r w:rsidR="0005500D">
              <w:t>ppm</w:t>
            </w:r>
            <w:r w:rsidR="00BA5B0E">
              <w:rPr>
                <w:vertAlign w:val="superscript"/>
              </w:rPr>
              <w:t xml:space="preserve"> </w:t>
            </w:r>
            <w:r w:rsidR="00BA5B0E">
              <w:t>(rats)</w:t>
            </w:r>
            <w:r w:rsidR="00985644">
              <w:t>.</w:t>
            </w:r>
          </w:p>
          <w:p w14:paraId="34E02871" w14:textId="77777777" w:rsidR="00AA0CA5" w:rsidRDefault="00AA0CA5" w:rsidP="003365A5">
            <w:pPr>
              <w:pStyle w:val="Tabletextprimarysource"/>
            </w:pPr>
          </w:p>
          <w:p w14:paraId="1EDCB2F5" w14:textId="77777777" w:rsidR="003F4FB9" w:rsidRDefault="0037301E" w:rsidP="003365A5">
            <w:pPr>
              <w:pStyle w:val="Tabletextprimarysource"/>
            </w:pPr>
            <w:r>
              <w:t>LOAEL of 2 ppm for behavioural changes in rats; 3 mo study (cited by ACGIH, 2018)</w:t>
            </w:r>
            <w:r w:rsidR="00606974">
              <w:t>; basis for MAK; no derivation</w:t>
            </w:r>
            <w:r w:rsidR="00AE0292">
              <w:t xml:space="preserve">. </w:t>
            </w:r>
          </w:p>
          <w:p w14:paraId="66352A2E" w14:textId="22151BEA" w:rsidR="00AA0CA5" w:rsidRPr="00DA352E" w:rsidRDefault="00AA0CA5" w:rsidP="003365A5">
            <w:pPr>
              <w:pStyle w:val="Tabletextprimarysource"/>
            </w:pPr>
          </w:p>
        </w:tc>
      </w:tr>
      <w:tr w:rsidR="00C978F0" w:rsidRPr="00DA352E" w14:paraId="3F99A153" w14:textId="77777777" w:rsidTr="00C80AD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7D9F505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E55A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7E55A7">
                  <w:t>NA</w:t>
                </w:r>
                <w:proofErr w:type="spellEnd"/>
              </w:sdtContent>
            </w:sdt>
          </w:p>
        </w:tc>
      </w:tr>
      <w:tr w:rsidR="00C978F0" w:rsidRPr="00DA352E" w14:paraId="2E6FD30D" w14:textId="77777777" w:rsidTr="00C80AD7">
        <w:trPr>
          <w:gridAfter w:val="1"/>
          <w:wAfter w:w="8" w:type="pct"/>
        </w:trPr>
        <w:tc>
          <w:tcPr>
            <w:tcW w:w="4992" w:type="pct"/>
          </w:tcPr>
          <w:p w14:paraId="03CEC532" w14:textId="6BD55012" w:rsidR="00C978F0" w:rsidRPr="00DA352E" w:rsidRDefault="007E55A7" w:rsidP="003365A5">
            <w:pPr>
              <w:pStyle w:val="Tabletextprimarysource"/>
            </w:pPr>
            <w:r>
              <w:t>No report</w:t>
            </w:r>
            <w:r w:rsidR="00AE0292">
              <w:t>.</w:t>
            </w:r>
          </w:p>
        </w:tc>
      </w:tr>
      <w:tr w:rsidR="00DA352E" w:rsidRPr="00DA352E" w14:paraId="10E009B3" w14:textId="77777777" w:rsidTr="00C80AD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30062EE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E55A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7E55A7">
                  <w:t>NA</w:t>
                </w:r>
                <w:proofErr w:type="spellEnd"/>
              </w:sdtContent>
            </w:sdt>
          </w:p>
        </w:tc>
      </w:tr>
      <w:tr w:rsidR="00DA352E" w:rsidRPr="00DA352E" w14:paraId="32FA7066" w14:textId="77777777" w:rsidTr="00C80AD7">
        <w:trPr>
          <w:gridAfter w:val="1"/>
          <w:wAfter w:w="8" w:type="pct"/>
        </w:trPr>
        <w:tc>
          <w:tcPr>
            <w:tcW w:w="4992" w:type="pct"/>
          </w:tcPr>
          <w:p w14:paraId="7DE0C535" w14:textId="0F117335" w:rsidR="00DA352E" w:rsidRPr="00DA352E" w:rsidRDefault="007E55A7" w:rsidP="003365A5">
            <w:pPr>
              <w:pStyle w:val="Tabletextprimarysource"/>
            </w:pPr>
            <w:r>
              <w:t>No report</w:t>
            </w:r>
            <w:r w:rsidR="00AE0292">
              <w:t>.</w:t>
            </w:r>
          </w:p>
        </w:tc>
      </w:tr>
      <w:tr w:rsidR="00DA352E" w:rsidRPr="00DA352E" w14:paraId="1CDC6BD5" w14:textId="77777777" w:rsidTr="00C80AD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CB6D37E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F7598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3F7598">
                  <w:t>TWA: 0.5 ppm (1 mg/m</w:t>
                </w:r>
                <w:r w:rsidR="003F7598" w:rsidRPr="003F7598">
                  <w:rPr>
                    <w:vertAlign w:val="superscript"/>
                  </w:rPr>
                  <w:t>3</w:t>
                </w:r>
                <w:r w:rsidR="003F7598">
                  <w:t>)</w:t>
                </w:r>
              </w:sdtContent>
            </w:sdt>
          </w:p>
        </w:tc>
      </w:tr>
      <w:tr w:rsidR="00DA352E" w:rsidRPr="00DA352E" w14:paraId="1AA6B1D9" w14:textId="77777777" w:rsidTr="00C80AD7">
        <w:trPr>
          <w:gridAfter w:val="1"/>
          <w:wAfter w:w="8" w:type="pct"/>
        </w:trPr>
        <w:tc>
          <w:tcPr>
            <w:tcW w:w="4992" w:type="pct"/>
          </w:tcPr>
          <w:p w14:paraId="4F2182CD" w14:textId="0CEF87CE" w:rsidR="00DA352E" w:rsidRDefault="00606974" w:rsidP="003365A5">
            <w:pPr>
              <w:pStyle w:val="Tabletextprimarysource"/>
            </w:pPr>
            <w:r>
              <w:t>TWA recommended to protect for respiratory irritation effects and systemic effects; administrative OEL</w:t>
            </w:r>
            <w:r w:rsidR="00AE0292">
              <w:t>.</w:t>
            </w:r>
          </w:p>
          <w:p w14:paraId="53A3C3B2" w14:textId="77777777" w:rsidR="00606974" w:rsidRDefault="00606974" w:rsidP="003365A5">
            <w:pPr>
              <w:pStyle w:val="Tabletextprimarysource"/>
            </w:pPr>
            <w:r>
              <w:t>Summary of additional data:</w:t>
            </w:r>
          </w:p>
          <w:p w14:paraId="4C97599B" w14:textId="715CFD6E" w:rsidR="00606974" w:rsidRDefault="00606974" w:rsidP="00AE0292">
            <w:pPr>
              <w:pStyle w:val="ListBullet"/>
              <w:ind w:left="1080"/>
            </w:pPr>
            <w:r>
              <w:t>NOAEL of 17 ppm (34 mg/m</w:t>
            </w:r>
            <w:r>
              <w:rPr>
                <w:vertAlign w:val="superscript"/>
              </w:rPr>
              <w:t>3</w:t>
            </w:r>
            <w:r>
              <w:t xml:space="preserve">) in rats for concentration-related decrease of </w:t>
            </w:r>
            <w:r w:rsidR="00EC2A47">
              <w:t>body weight</w:t>
            </w:r>
            <w:r>
              <w:t xml:space="preserve">; 3 </w:t>
            </w:r>
            <w:proofErr w:type="spellStart"/>
            <w:r>
              <w:t>mo</w:t>
            </w:r>
            <w:proofErr w:type="spellEnd"/>
            <w:r>
              <w:t xml:space="preserve"> study (cited by ACGIH, 2018); justification for TWA; no additional information</w:t>
            </w:r>
          </w:p>
          <w:p w14:paraId="71D103BA" w14:textId="77777777" w:rsidR="00606974" w:rsidRDefault="00606974" w:rsidP="00AE0292">
            <w:pPr>
              <w:pStyle w:val="ListBullet"/>
              <w:ind w:left="1080"/>
            </w:pPr>
            <w:r>
              <w:t>No data on irritation in humans and animals</w:t>
            </w:r>
            <w:r w:rsidR="00AE0292">
              <w:t>.</w:t>
            </w:r>
          </w:p>
          <w:p w14:paraId="65557642" w14:textId="4F61B106" w:rsidR="00AA0CA5" w:rsidRPr="00DA352E" w:rsidRDefault="00AA0CA5" w:rsidP="00AA0CA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8018C94" w14:textId="77777777" w:rsidR="00A20751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078EB444" w14:textId="392BD535" w:rsidR="007E2A4B" w:rsidRDefault="00AE0292">
      <w:r>
        <w:rPr>
          <w:lang w:eastAsia="en-AU"/>
        </w:rPr>
        <w:t>NIL.</w:t>
      </w:r>
    </w:p>
    <w:bookmarkEnd w:id="0"/>
    <w:p w14:paraId="08A65166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5651D71" w14:textId="77777777" w:rsidTr="00AE0292">
        <w:trPr>
          <w:trHeight w:val="454"/>
          <w:tblHeader/>
        </w:trPr>
        <w:tc>
          <w:tcPr>
            <w:tcW w:w="6603" w:type="dxa"/>
            <w:vAlign w:val="center"/>
          </w:tcPr>
          <w:p w14:paraId="6F8D6E79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FD40F8B" w14:textId="77777777" w:rsidR="002E0D61" w:rsidRDefault="000052A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AB299E8" w14:textId="77777777" w:rsidTr="00AE029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56260B9" w14:textId="77777777" w:rsidR="008A36CF" w:rsidRPr="006901A2" w:rsidRDefault="00606974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A25797E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6004695E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3357A5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44B31E9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3C68DA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3B57B01" w14:textId="77777777" w:rsidTr="00812887">
        <w:trPr>
          <w:cantSplit/>
        </w:trPr>
        <w:tc>
          <w:tcPr>
            <w:tcW w:w="3227" w:type="dxa"/>
          </w:tcPr>
          <w:p w14:paraId="55A23AE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BB9D88D" w14:textId="77777777" w:rsidR="00687890" w:rsidRPr="00DD2F9B" w:rsidRDefault="002E3CDC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0E663069" w14:textId="77777777" w:rsidTr="00812887">
        <w:trPr>
          <w:cantSplit/>
        </w:trPr>
        <w:tc>
          <w:tcPr>
            <w:tcW w:w="3227" w:type="dxa"/>
          </w:tcPr>
          <w:p w14:paraId="543CB0C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7568CD9" w14:textId="77777777" w:rsidR="007925F0" w:rsidRPr="00DD2F9B" w:rsidRDefault="002E3CDC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23EFD52F" w14:textId="77777777" w:rsidTr="00812887">
        <w:trPr>
          <w:cantSplit/>
        </w:trPr>
        <w:tc>
          <w:tcPr>
            <w:tcW w:w="3227" w:type="dxa"/>
          </w:tcPr>
          <w:p w14:paraId="015BDBE1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C0EEEE7" w14:textId="77777777" w:rsidR="00AF483F" w:rsidRPr="00DD2F9B" w:rsidRDefault="003F759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8D0F727" w14:textId="77777777" w:rsidTr="00812887">
        <w:trPr>
          <w:cantSplit/>
        </w:trPr>
        <w:tc>
          <w:tcPr>
            <w:tcW w:w="3227" w:type="dxa"/>
          </w:tcPr>
          <w:p w14:paraId="42D23308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4FC9446" w14:textId="77777777" w:rsidR="00687890" w:rsidRPr="00DD2F9B" w:rsidRDefault="002E3CDC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4FC0AA37" w14:textId="77777777" w:rsidTr="00812887">
        <w:trPr>
          <w:cantSplit/>
        </w:trPr>
        <w:tc>
          <w:tcPr>
            <w:tcW w:w="3227" w:type="dxa"/>
          </w:tcPr>
          <w:p w14:paraId="43A67613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40C87C0" w14:textId="77777777" w:rsidR="00E41A26" w:rsidRPr="00DD2F9B" w:rsidRDefault="003F759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82DF78A" w14:textId="77777777" w:rsidTr="00812887">
        <w:trPr>
          <w:cantSplit/>
        </w:trPr>
        <w:tc>
          <w:tcPr>
            <w:tcW w:w="3227" w:type="dxa"/>
          </w:tcPr>
          <w:p w14:paraId="2D4ED52D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454E6FB" w14:textId="77777777" w:rsidR="002E0D61" w:rsidRPr="00DD2F9B" w:rsidRDefault="00F279D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D49A039" w14:textId="77777777" w:rsidTr="00812887">
        <w:trPr>
          <w:cantSplit/>
        </w:trPr>
        <w:tc>
          <w:tcPr>
            <w:tcW w:w="3227" w:type="dxa"/>
          </w:tcPr>
          <w:p w14:paraId="667E2021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FA37845" w14:textId="77777777" w:rsidR="002E0D61" w:rsidRPr="00DD2F9B" w:rsidRDefault="007E55A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5ED4A08" w14:textId="77777777" w:rsidTr="00812887">
        <w:trPr>
          <w:cantSplit/>
        </w:trPr>
        <w:tc>
          <w:tcPr>
            <w:tcW w:w="3227" w:type="dxa"/>
          </w:tcPr>
          <w:p w14:paraId="5C94642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3D3F866" w14:textId="77777777" w:rsidR="002E0D61" w:rsidRPr="00DD2F9B" w:rsidRDefault="007E55A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AC8931C" w14:textId="77777777" w:rsidTr="00812887">
        <w:trPr>
          <w:cantSplit/>
        </w:trPr>
        <w:tc>
          <w:tcPr>
            <w:tcW w:w="3227" w:type="dxa"/>
          </w:tcPr>
          <w:p w14:paraId="6B3DDABD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EFD6997" w14:textId="77777777" w:rsidR="002E0D61" w:rsidRPr="00DD2F9B" w:rsidRDefault="002E3CDC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667CC803" w14:textId="77777777" w:rsidTr="00812887">
        <w:trPr>
          <w:cantSplit/>
        </w:trPr>
        <w:tc>
          <w:tcPr>
            <w:tcW w:w="3227" w:type="dxa"/>
          </w:tcPr>
          <w:p w14:paraId="1BC05711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CD8DC00" w14:textId="77777777" w:rsidR="00386093" w:rsidRPr="00DD2F9B" w:rsidRDefault="003F759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50726AE" w14:textId="77777777" w:rsidTr="00812887">
        <w:trPr>
          <w:cantSplit/>
        </w:trPr>
        <w:tc>
          <w:tcPr>
            <w:tcW w:w="3227" w:type="dxa"/>
          </w:tcPr>
          <w:p w14:paraId="5C11F707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83E9C83" w14:textId="77777777" w:rsidR="00386093" w:rsidRPr="00DD2F9B" w:rsidRDefault="003F759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0E63B9E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2E09556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E8057D1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CCDCEB9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EE5C0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CB5A0C7" w14:textId="1737C10D" w:rsidR="00932DCE" w:rsidRPr="004C23F4" w:rsidRDefault="00AE0292" w:rsidP="00F9496B">
            <w:pPr>
              <w:pStyle w:val="Tablefont"/>
            </w:pPr>
            <w:r w:rsidRPr="00EA0DA8">
              <w:t>Insufficient data to assign a skin notation</w:t>
            </w:r>
            <w:r>
              <w:t>.</w:t>
            </w:r>
          </w:p>
        </w:tc>
      </w:tr>
    </w:tbl>
    <w:bookmarkEnd w:id="3"/>
    <w:p w14:paraId="6F149A32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0A5146C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46C66A1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DA9E8B5" w14:textId="77777777" w:rsidR="00EB3D1B" w:rsidRDefault="00654A95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B148CF7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466ECFF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E70CFAD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8DBE1B6" w14:textId="77777777" w:rsidR="001B79E5" w:rsidRDefault="00F279DC" w:rsidP="001B79E5">
                <w:pPr>
                  <w:pStyle w:val="Tablefont"/>
                </w:pPr>
                <w:r>
                  <w:t>48.11</w:t>
                </w:r>
              </w:p>
            </w:tc>
          </w:sdtContent>
        </w:sdt>
      </w:tr>
      <w:tr w:rsidR="00A31D99" w:rsidRPr="004C23F4" w14:paraId="3253C14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42E2B0D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A365B28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A70D17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22BBAE1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2AD390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D3261ED" w14:textId="77777777" w:rsidTr="00EA6243">
        <w:trPr>
          <w:cantSplit/>
        </w:trPr>
        <w:tc>
          <w:tcPr>
            <w:tcW w:w="4077" w:type="dxa"/>
            <w:vAlign w:val="center"/>
          </w:tcPr>
          <w:p w14:paraId="55200CCE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998278E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045ABCC" w14:textId="77777777" w:rsidTr="00EA6243">
        <w:trPr>
          <w:cantSplit/>
        </w:trPr>
        <w:tc>
          <w:tcPr>
            <w:tcW w:w="4077" w:type="dxa"/>
            <w:vAlign w:val="center"/>
          </w:tcPr>
          <w:p w14:paraId="40E3BE27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C02BE2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75A5297" w14:textId="77777777" w:rsidTr="00EA6243">
        <w:trPr>
          <w:cantSplit/>
        </w:trPr>
        <w:tc>
          <w:tcPr>
            <w:tcW w:w="4077" w:type="dxa"/>
            <w:vAlign w:val="center"/>
          </w:tcPr>
          <w:p w14:paraId="5BDC6B7A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2141444" w14:textId="77777777" w:rsidR="00E06F40" w:rsidRPr="00A006A0" w:rsidRDefault="0023429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F1F352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B78A8F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B482D1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AF7475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704D506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EF7468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F597C5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0F6D2DD6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A84188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8ADA5D8" w14:textId="77777777" w:rsidR="00232CD2" w:rsidRDefault="00232CD2" w:rsidP="00232CD2">
      <w:r w:rsidRPr="002022B6">
        <w:t>Deutsche Forschungsgemeinschaft (DFG)</w:t>
      </w:r>
      <w:r>
        <w:t xml:space="preserve"> (2003) </w:t>
      </w:r>
      <w:r w:rsidRPr="00232CD2">
        <w:t>Methyl mercaptan</w:t>
      </w:r>
      <w:r>
        <w:t xml:space="preserve"> – MAK value documentation.</w:t>
      </w:r>
    </w:p>
    <w:p w14:paraId="2FDDC349" w14:textId="77777777" w:rsidR="00232CD2" w:rsidRPr="00232CD2" w:rsidRDefault="00232CD2" w:rsidP="00232CD2">
      <w:r w:rsidRPr="002022B6">
        <w:t>Health Council of the Netherlands</w:t>
      </w:r>
      <w:r>
        <w:t xml:space="preserve"> (HCOTN) (</w:t>
      </w:r>
      <w:r w:rsidR="008B1B5C">
        <w:t>2000</w:t>
      </w:r>
      <w:r>
        <w:t xml:space="preserve">) </w:t>
      </w:r>
      <w:r w:rsidR="008B1B5C" w:rsidRPr="008B1B5C">
        <w:t>Methanethiol</w:t>
      </w:r>
      <w:r w:rsidRPr="005F7416">
        <w:t xml:space="preserve">. </w:t>
      </w:r>
      <w:r>
        <w:t>Health-based reassessment of administrative occupational exposure limits</w:t>
      </w:r>
      <w:r w:rsidRPr="005F7416">
        <w:t xml:space="preserve">. The Hague: Health Council of the Netherlands; publication no. </w:t>
      </w:r>
      <w:r w:rsidR="00126D18">
        <w:t>2000/15OSH/008</w:t>
      </w:r>
      <w:r>
        <w:t>.</w:t>
      </w:r>
    </w:p>
    <w:p w14:paraId="6661E497" w14:textId="77777777" w:rsidR="00AE0292" w:rsidRPr="00D25076" w:rsidRDefault="00AE0292" w:rsidP="00AE0292">
      <w:r w:rsidRPr="00D25076">
        <w:t>Tenth Adaptation to Technical Progress Commission Regulation (EU Annex)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439131F6" w14:textId="45284D6D" w:rsidR="00654A95" w:rsidRPr="00985644" w:rsidRDefault="00232CD2" w:rsidP="00084859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277F52C7FC4C45FABAF485DFDF4E03E7"/>
          </w:placeholder>
          <w:temporary/>
          <w:showingPlcHdr/>
        </w:sdtPr>
        <w:sdtEndPr/>
        <w:sdtContent>
          <w:r w:rsidRPr="00584AB9">
            <w:t>1994</w:t>
          </w:r>
        </w:sdtContent>
      </w:sdt>
      <w:r>
        <w:t xml:space="preserve">) Immediately dangerous to life or health concentrations – </w:t>
      </w:r>
      <w:r w:rsidR="00CC0211">
        <w:t>methyl mercaptan</w:t>
      </w:r>
      <w:r>
        <w:t>.</w:t>
      </w:r>
    </w:p>
    <w:sectPr w:rsidR="00654A95" w:rsidRPr="00985644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17A72" w14:textId="77777777" w:rsidR="00B93B53" w:rsidRDefault="00B93B53" w:rsidP="00F43AD5">
      <w:pPr>
        <w:spacing w:after="0" w:line="240" w:lineRule="auto"/>
      </w:pPr>
      <w:r>
        <w:separator/>
      </w:r>
    </w:p>
  </w:endnote>
  <w:endnote w:type="continuationSeparator" w:id="0">
    <w:p w14:paraId="3C171798" w14:textId="77777777" w:rsidR="00B93B53" w:rsidRDefault="00B93B5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569" w14:textId="77777777" w:rsidR="00234293" w:rsidRDefault="00234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E45D50E" w14:textId="77777777" w:rsidR="008A36CF" w:rsidRDefault="00546AC2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Methyl mercaptan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74-93-1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280B4457" w14:textId="2CA2FEF7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34293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0507" w14:textId="77777777" w:rsidR="00234293" w:rsidRDefault="00234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88AC5" w14:textId="77777777" w:rsidR="00B93B53" w:rsidRDefault="00B93B53" w:rsidP="00F43AD5">
      <w:pPr>
        <w:spacing w:after="0" w:line="240" w:lineRule="auto"/>
      </w:pPr>
      <w:r>
        <w:separator/>
      </w:r>
    </w:p>
  </w:footnote>
  <w:footnote w:type="continuationSeparator" w:id="0">
    <w:p w14:paraId="5F31F27E" w14:textId="77777777" w:rsidR="00B93B53" w:rsidRDefault="00B93B5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D619B" w14:textId="77777777" w:rsidR="00234293" w:rsidRDefault="00234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AAE7" w14:textId="527F05F3" w:rsidR="00234293" w:rsidRDefault="00234293" w:rsidP="00234293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Content>
        <w:r>
          <w:pict w14:anchorId="7691B3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E8DE3CA" wp14:editId="5F301413">
          <wp:extent cx="2941955" cy="588645"/>
          <wp:effectExtent l="0" t="0" r="0" b="1905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53C44" w14:textId="798B7844" w:rsidR="008A36CF" w:rsidRPr="00234293" w:rsidRDefault="008A36CF" w:rsidP="002342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8D4DD" w14:textId="77777777" w:rsidR="00234293" w:rsidRDefault="002342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5F974" w14:textId="0F8D4D3F" w:rsidR="00234293" w:rsidRDefault="00234293" w:rsidP="00234293">
    <w:pPr>
      <w:pStyle w:val="Header"/>
      <w:jc w:val="right"/>
    </w:pPr>
    <w:sdt>
      <w:sdtPr>
        <w:id w:val="392082876"/>
        <w:docPartObj>
          <w:docPartGallery w:val="Watermarks"/>
          <w:docPartUnique/>
        </w:docPartObj>
      </w:sdtPr>
      <w:sdtContent>
        <w:r>
          <w:pict w14:anchorId="41D3F3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B2D1F90" wp14:editId="06874C78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C61B3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7493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96001"/>
    <w:multiLevelType w:val="hybridMultilevel"/>
    <w:tmpl w:val="834EA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31629"/>
    <w:multiLevelType w:val="hybridMultilevel"/>
    <w:tmpl w:val="9702C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04DB"/>
    <w:multiLevelType w:val="hybridMultilevel"/>
    <w:tmpl w:val="50148B68"/>
    <w:lvl w:ilvl="0" w:tplc="927402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934C1"/>
    <w:multiLevelType w:val="hybridMultilevel"/>
    <w:tmpl w:val="FBF0C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52A1"/>
    <w:rsid w:val="00007B80"/>
    <w:rsid w:val="00012109"/>
    <w:rsid w:val="00013A22"/>
    <w:rsid w:val="00014C3F"/>
    <w:rsid w:val="00017C82"/>
    <w:rsid w:val="00032B88"/>
    <w:rsid w:val="00046DF5"/>
    <w:rsid w:val="00052060"/>
    <w:rsid w:val="0005500D"/>
    <w:rsid w:val="0005574A"/>
    <w:rsid w:val="00055FE1"/>
    <w:rsid w:val="00056EC2"/>
    <w:rsid w:val="00060B48"/>
    <w:rsid w:val="00065B30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0C0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5C0B"/>
    <w:rsid w:val="001269A7"/>
    <w:rsid w:val="00126D18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452"/>
    <w:rsid w:val="00221547"/>
    <w:rsid w:val="002216FC"/>
    <w:rsid w:val="00222533"/>
    <w:rsid w:val="00222F30"/>
    <w:rsid w:val="00224EE2"/>
    <w:rsid w:val="00227EC7"/>
    <w:rsid w:val="00232CD2"/>
    <w:rsid w:val="00234293"/>
    <w:rsid w:val="00244AD1"/>
    <w:rsid w:val="002463BC"/>
    <w:rsid w:val="002465CE"/>
    <w:rsid w:val="0025734A"/>
    <w:rsid w:val="00263255"/>
    <w:rsid w:val="00276494"/>
    <w:rsid w:val="00277B0C"/>
    <w:rsid w:val="002B1A2C"/>
    <w:rsid w:val="002B7FEB"/>
    <w:rsid w:val="002C2600"/>
    <w:rsid w:val="002C34F2"/>
    <w:rsid w:val="002C58FF"/>
    <w:rsid w:val="002C7AFE"/>
    <w:rsid w:val="002D05D2"/>
    <w:rsid w:val="002D7A3E"/>
    <w:rsid w:val="002E0D61"/>
    <w:rsid w:val="002E3CDC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570F"/>
    <w:rsid w:val="00347192"/>
    <w:rsid w:val="0034744C"/>
    <w:rsid w:val="00351FE0"/>
    <w:rsid w:val="00352615"/>
    <w:rsid w:val="0035412B"/>
    <w:rsid w:val="003567A8"/>
    <w:rsid w:val="00362895"/>
    <w:rsid w:val="00370DBF"/>
    <w:rsid w:val="0037301E"/>
    <w:rsid w:val="00386093"/>
    <w:rsid w:val="00387BE3"/>
    <w:rsid w:val="003904A4"/>
    <w:rsid w:val="00391841"/>
    <w:rsid w:val="00391B6D"/>
    <w:rsid w:val="00394922"/>
    <w:rsid w:val="003A0E32"/>
    <w:rsid w:val="003A2B94"/>
    <w:rsid w:val="003B387D"/>
    <w:rsid w:val="003C0D58"/>
    <w:rsid w:val="003C1002"/>
    <w:rsid w:val="003D4FA3"/>
    <w:rsid w:val="003E0807"/>
    <w:rsid w:val="003E51FB"/>
    <w:rsid w:val="003E6B39"/>
    <w:rsid w:val="003F07E1"/>
    <w:rsid w:val="003F4FB9"/>
    <w:rsid w:val="003F6DEB"/>
    <w:rsid w:val="003F7598"/>
    <w:rsid w:val="004030BC"/>
    <w:rsid w:val="00403F7D"/>
    <w:rsid w:val="00406785"/>
    <w:rsid w:val="004079B4"/>
    <w:rsid w:val="00417A56"/>
    <w:rsid w:val="00420957"/>
    <w:rsid w:val="00422A10"/>
    <w:rsid w:val="00430179"/>
    <w:rsid w:val="00430B12"/>
    <w:rsid w:val="004414B5"/>
    <w:rsid w:val="00444482"/>
    <w:rsid w:val="00444B42"/>
    <w:rsid w:val="00445E44"/>
    <w:rsid w:val="004509E2"/>
    <w:rsid w:val="004515EE"/>
    <w:rsid w:val="004529F0"/>
    <w:rsid w:val="00460A03"/>
    <w:rsid w:val="004661DA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5150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46AC2"/>
    <w:rsid w:val="00551BD8"/>
    <w:rsid w:val="00581055"/>
    <w:rsid w:val="00584AB9"/>
    <w:rsid w:val="00591E38"/>
    <w:rsid w:val="00595441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06974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4A95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15E7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1B6"/>
    <w:rsid w:val="007939B3"/>
    <w:rsid w:val="0079509C"/>
    <w:rsid w:val="00796708"/>
    <w:rsid w:val="007B1B42"/>
    <w:rsid w:val="007C30EB"/>
    <w:rsid w:val="007D56C4"/>
    <w:rsid w:val="007E063C"/>
    <w:rsid w:val="007E2A4B"/>
    <w:rsid w:val="007E307D"/>
    <w:rsid w:val="007E55A7"/>
    <w:rsid w:val="007E6A4E"/>
    <w:rsid w:val="007E6C94"/>
    <w:rsid w:val="007F1005"/>
    <w:rsid w:val="007F25E0"/>
    <w:rsid w:val="007F5328"/>
    <w:rsid w:val="00804F5A"/>
    <w:rsid w:val="00810C6D"/>
    <w:rsid w:val="00812887"/>
    <w:rsid w:val="008151E9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1B5C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474E"/>
    <w:rsid w:val="00916909"/>
    <w:rsid w:val="00916EC0"/>
    <w:rsid w:val="00920467"/>
    <w:rsid w:val="00921DE7"/>
    <w:rsid w:val="009232ED"/>
    <w:rsid w:val="0093041A"/>
    <w:rsid w:val="00930714"/>
    <w:rsid w:val="00931B03"/>
    <w:rsid w:val="00931D65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85644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4AA5"/>
    <w:rsid w:val="009E63E2"/>
    <w:rsid w:val="009F04D2"/>
    <w:rsid w:val="009F05CF"/>
    <w:rsid w:val="009F0F3A"/>
    <w:rsid w:val="00A01D0C"/>
    <w:rsid w:val="00A0643F"/>
    <w:rsid w:val="00A067EE"/>
    <w:rsid w:val="00A10FCE"/>
    <w:rsid w:val="00A14C8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070"/>
    <w:rsid w:val="00A6461A"/>
    <w:rsid w:val="00A73F8F"/>
    <w:rsid w:val="00A84504"/>
    <w:rsid w:val="00A8672F"/>
    <w:rsid w:val="00A93057"/>
    <w:rsid w:val="00A968B0"/>
    <w:rsid w:val="00AA0CA5"/>
    <w:rsid w:val="00AB02C7"/>
    <w:rsid w:val="00AB2672"/>
    <w:rsid w:val="00AB2817"/>
    <w:rsid w:val="00AB43C4"/>
    <w:rsid w:val="00AC32E7"/>
    <w:rsid w:val="00AC3A9F"/>
    <w:rsid w:val="00AC4851"/>
    <w:rsid w:val="00AC6D2F"/>
    <w:rsid w:val="00AE0292"/>
    <w:rsid w:val="00AE2745"/>
    <w:rsid w:val="00AE2F64"/>
    <w:rsid w:val="00AF415E"/>
    <w:rsid w:val="00AF42CB"/>
    <w:rsid w:val="00AF483F"/>
    <w:rsid w:val="00AF5E07"/>
    <w:rsid w:val="00AF5F06"/>
    <w:rsid w:val="00AF7D31"/>
    <w:rsid w:val="00B00A25"/>
    <w:rsid w:val="00B076D2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93B53"/>
    <w:rsid w:val="00BA0B38"/>
    <w:rsid w:val="00BA1DBB"/>
    <w:rsid w:val="00BA4510"/>
    <w:rsid w:val="00BA529A"/>
    <w:rsid w:val="00BA5B0E"/>
    <w:rsid w:val="00BB3F7E"/>
    <w:rsid w:val="00BB612A"/>
    <w:rsid w:val="00BD0BA7"/>
    <w:rsid w:val="00BD499F"/>
    <w:rsid w:val="00BD51B3"/>
    <w:rsid w:val="00BD56DE"/>
    <w:rsid w:val="00BF2406"/>
    <w:rsid w:val="00BF298D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0AD7"/>
    <w:rsid w:val="00C850A0"/>
    <w:rsid w:val="00C85A86"/>
    <w:rsid w:val="00C978F0"/>
    <w:rsid w:val="00CA58FE"/>
    <w:rsid w:val="00CB1CB1"/>
    <w:rsid w:val="00CB6704"/>
    <w:rsid w:val="00CB6BC1"/>
    <w:rsid w:val="00CB6CB8"/>
    <w:rsid w:val="00CC0211"/>
    <w:rsid w:val="00CC1A68"/>
    <w:rsid w:val="00CC2123"/>
    <w:rsid w:val="00CD2BFD"/>
    <w:rsid w:val="00CE5AD6"/>
    <w:rsid w:val="00CE617F"/>
    <w:rsid w:val="00CE78EF"/>
    <w:rsid w:val="00CF4250"/>
    <w:rsid w:val="00CF55C1"/>
    <w:rsid w:val="00D048F7"/>
    <w:rsid w:val="00D0517E"/>
    <w:rsid w:val="00D140FC"/>
    <w:rsid w:val="00D21D8C"/>
    <w:rsid w:val="00D31357"/>
    <w:rsid w:val="00D33220"/>
    <w:rsid w:val="00D334D1"/>
    <w:rsid w:val="00D40827"/>
    <w:rsid w:val="00D44C89"/>
    <w:rsid w:val="00D516CD"/>
    <w:rsid w:val="00D624C0"/>
    <w:rsid w:val="00D668E6"/>
    <w:rsid w:val="00D70670"/>
    <w:rsid w:val="00D74D80"/>
    <w:rsid w:val="00D76624"/>
    <w:rsid w:val="00D8475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09C7"/>
    <w:rsid w:val="00E025AB"/>
    <w:rsid w:val="00E02B23"/>
    <w:rsid w:val="00E06F40"/>
    <w:rsid w:val="00E07CE8"/>
    <w:rsid w:val="00E26A07"/>
    <w:rsid w:val="00E32595"/>
    <w:rsid w:val="00E36687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1F4A"/>
    <w:rsid w:val="00E92499"/>
    <w:rsid w:val="00E949AF"/>
    <w:rsid w:val="00E96077"/>
    <w:rsid w:val="00EA0A06"/>
    <w:rsid w:val="00EA6243"/>
    <w:rsid w:val="00EA74AB"/>
    <w:rsid w:val="00EB3D1B"/>
    <w:rsid w:val="00EB454B"/>
    <w:rsid w:val="00EC2A47"/>
    <w:rsid w:val="00ED0798"/>
    <w:rsid w:val="00ED1D89"/>
    <w:rsid w:val="00ED66BC"/>
    <w:rsid w:val="00EE19C6"/>
    <w:rsid w:val="00EF233A"/>
    <w:rsid w:val="00EF303E"/>
    <w:rsid w:val="00EF3A40"/>
    <w:rsid w:val="00EF7F78"/>
    <w:rsid w:val="00F01B08"/>
    <w:rsid w:val="00F01C4D"/>
    <w:rsid w:val="00F053FA"/>
    <w:rsid w:val="00F057D5"/>
    <w:rsid w:val="00F10C97"/>
    <w:rsid w:val="00F11C71"/>
    <w:rsid w:val="00F16019"/>
    <w:rsid w:val="00F20E68"/>
    <w:rsid w:val="00F22093"/>
    <w:rsid w:val="00F236DF"/>
    <w:rsid w:val="00F2383A"/>
    <w:rsid w:val="00F279DC"/>
    <w:rsid w:val="00F43AD5"/>
    <w:rsid w:val="00F4402E"/>
    <w:rsid w:val="00F56DD0"/>
    <w:rsid w:val="00F64685"/>
    <w:rsid w:val="00F6491C"/>
    <w:rsid w:val="00F67BBB"/>
    <w:rsid w:val="00F77806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284950C5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232CD2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F77806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6D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6D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6D2"/>
    <w:rPr>
      <w:b/>
      <w:bCs/>
      <w:szCs w:val="20"/>
    </w:rPr>
  </w:style>
  <w:style w:type="paragraph" w:styleId="Revision">
    <w:name w:val="Revision"/>
    <w:hidden/>
    <w:uiPriority w:val="99"/>
    <w:semiHidden/>
    <w:rsid w:val="00AE0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277F52C7FC4C45FABAF485DFDF4E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A331A-0010-4F86-9E3E-B27381D28F33}"/>
      </w:docPartPr>
      <w:docPartBody>
        <w:p w:rsidR="00D055AC" w:rsidRDefault="00C74FCA" w:rsidP="00C74FCA">
          <w:pPr>
            <w:pStyle w:val="277F52C7FC4C45FABAF485DFDF4E03E7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9F4B6F00E922433FAC0B27F57955B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5302-2267-4C2F-AA34-73F8859C9E18}"/>
      </w:docPartPr>
      <w:docPartBody>
        <w:p w:rsidR="00CE4AE5" w:rsidRDefault="00C90ABD" w:rsidP="00C90ABD">
          <w:pPr>
            <w:pStyle w:val="9F4B6F00E922433FAC0B27F57955BF32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C74FCA"/>
    <w:rsid w:val="00C90ABD"/>
    <w:rsid w:val="00CE4AE5"/>
    <w:rsid w:val="00D055AC"/>
    <w:rsid w:val="00D21A9F"/>
    <w:rsid w:val="00F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AB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7ABD38C5CD7C410E9716E9398A3ABACD">
    <w:name w:val="7ABD38C5CD7C410E9716E9398A3ABACD"/>
    <w:rsid w:val="00C74FCA"/>
    <w:rPr>
      <w:lang w:val="en-US" w:eastAsia="en-US"/>
    </w:rPr>
  </w:style>
  <w:style w:type="paragraph" w:customStyle="1" w:styleId="AF2A0A6C127542C6AFCDF94AC5DC6E65">
    <w:name w:val="AF2A0A6C127542C6AFCDF94AC5DC6E65"/>
    <w:rsid w:val="00C74FCA"/>
    <w:rPr>
      <w:lang w:val="en-US" w:eastAsia="en-US"/>
    </w:rPr>
  </w:style>
  <w:style w:type="paragraph" w:customStyle="1" w:styleId="0B3BAD1F13014542AD88EA9A332C1FD6">
    <w:name w:val="0B3BAD1F13014542AD88EA9A332C1FD6"/>
    <w:rsid w:val="00C74FCA"/>
    <w:rPr>
      <w:lang w:val="en-US" w:eastAsia="en-US"/>
    </w:rPr>
  </w:style>
  <w:style w:type="paragraph" w:customStyle="1" w:styleId="B84F964AB3504F74BEADD2701E175421">
    <w:name w:val="B84F964AB3504F74BEADD2701E175421"/>
    <w:rsid w:val="00C74FCA"/>
    <w:rPr>
      <w:lang w:val="en-US" w:eastAsia="en-US"/>
    </w:rPr>
  </w:style>
  <w:style w:type="paragraph" w:customStyle="1" w:styleId="9CDE8E7D237B4F409D318CB04B4D4E2A">
    <w:name w:val="9CDE8E7D237B4F409D318CB04B4D4E2A"/>
    <w:rsid w:val="00C74FCA"/>
    <w:rPr>
      <w:lang w:val="en-US" w:eastAsia="en-US"/>
    </w:rPr>
  </w:style>
  <w:style w:type="paragraph" w:customStyle="1" w:styleId="CC94F4EA472E41F2A02D3681B674203D">
    <w:name w:val="CC94F4EA472E41F2A02D3681B674203D"/>
    <w:rsid w:val="00C74FCA"/>
    <w:rPr>
      <w:lang w:val="en-US" w:eastAsia="en-US"/>
    </w:rPr>
  </w:style>
  <w:style w:type="paragraph" w:customStyle="1" w:styleId="43AC397E3F7C43ACA9A6641A7224F9B9">
    <w:name w:val="43AC397E3F7C43ACA9A6641A7224F9B9"/>
    <w:rsid w:val="00C74FCA"/>
    <w:rPr>
      <w:lang w:val="en-US" w:eastAsia="en-US"/>
    </w:rPr>
  </w:style>
  <w:style w:type="paragraph" w:customStyle="1" w:styleId="7F8DA28D30884EC6ADCEA1B4F51A4DCA">
    <w:name w:val="7F8DA28D30884EC6ADCEA1B4F51A4DCA"/>
    <w:rsid w:val="00C74FCA"/>
    <w:rPr>
      <w:lang w:val="en-US" w:eastAsia="en-US"/>
    </w:rPr>
  </w:style>
  <w:style w:type="paragraph" w:customStyle="1" w:styleId="94ABB39E71914EC8B480C3364888B899">
    <w:name w:val="94ABB39E71914EC8B480C3364888B899"/>
    <w:rsid w:val="00C74FCA"/>
    <w:rPr>
      <w:lang w:val="en-US" w:eastAsia="en-US"/>
    </w:rPr>
  </w:style>
  <w:style w:type="paragraph" w:customStyle="1" w:styleId="E0635B45928D488BB18F0EF36D9FACEC">
    <w:name w:val="E0635B45928D488BB18F0EF36D9FACEC"/>
    <w:rsid w:val="00C74FCA"/>
    <w:rPr>
      <w:lang w:val="en-US" w:eastAsia="en-US"/>
    </w:rPr>
  </w:style>
  <w:style w:type="paragraph" w:customStyle="1" w:styleId="685285BB0857433DA5B3014192F9373B">
    <w:name w:val="685285BB0857433DA5B3014192F9373B"/>
    <w:rsid w:val="00C74FCA"/>
    <w:rPr>
      <w:lang w:val="en-US" w:eastAsia="en-US"/>
    </w:rPr>
  </w:style>
  <w:style w:type="paragraph" w:customStyle="1" w:styleId="63F31155C4A44F99ACAF703E46C0F058">
    <w:name w:val="63F31155C4A44F99ACAF703E46C0F058"/>
    <w:rsid w:val="00C74FCA"/>
    <w:rPr>
      <w:lang w:val="en-US" w:eastAsia="en-US"/>
    </w:rPr>
  </w:style>
  <w:style w:type="paragraph" w:customStyle="1" w:styleId="277F52C7FC4C45FABAF485DFDF4E03E7">
    <w:name w:val="277F52C7FC4C45FABAF485DFDF4E03E7"/>
    <w:rsid w:val="00C74FCA"/>
    <w:rPr>
      <w:lang w:val="en-US" w:eastAsia="en-US"/>
    </w:rPr>
  </w:style>
  <w:style w:type="paragraph" w:customStyle="1" w:styleId="754FAC1D81EA451D99CE4D931A28C72E">
    <w:name w:val="754FAC1D81EA451D99CE4D931A28C72E"/>
    <w:rsid w:val="00C74FCA"/>
    <w:rPr>
      <w:lang w:val="en-US" w:eastAsia="en-US"/>
    </w:rPr>
  </w:style>
  <w:style w:type="paragraph" w:customStyle="1" w:styleId="9F4B6F00E922433FAC0B27F57955BF32">
    <w:name w:val="9F4B6F00E922433FAC0B27F57955BF32"/>
    <w:rsid w:val="00C90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E1C43A-E5D2-4DA3-A247-98409C548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A9B5F-4673-46FE-8326-F4EA44D0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E9BA3B2A.dotm</Template>
  <TotalTime>719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51</cp:revision>
  <cp:lastPrinted>2018-10-22T22:41:00Z</cp:lastPrinted>
  <dcterms:created xsi:type="dcterms:W3CDTF">2019-04-14T23:55:00Z</dcterms:created>
  <dcterms:modified xsi:type="dcterms:W3CDTF">2020-01-30T01:48:00Z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