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0BF80280" w14:textId="67A41AF8" w:rsidR="00BD499F" w:rsidRPr="004C23F4" w:rsidRDefault="00AC682E" w:rsidP="00B40C60">
          <w:pPr>
            <w:pStyle w:val="Heading1"/>
            <w:jc w:val="center"/>
            <w:rPr>
              <w:rFonts w:ascii="Arial" w:hAnsi="Arial" w:cs="Arial"/>
            </w:rPr>
          </w:pPr>
          <w:r>
            <w:rPr>
              <w:rFonts w:ascii="Arial" w:hAnsi="Arial" w:cs="Arial"/>
            </w:rPr>
            <w:t>M</w:t>
          </w:r>
          <w:r w:rsidR="00814AA3">
            <w:rPr>
              <w:rFonts w:ascii="Arial" w:hAnsi="Arial" w:cs="Arial"/>
            </w:rPr>
            <w:t>ethyl methacrylate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78"/>
        <w:gridCol w:w="5048"/>
      </w:tblGrid>
      <w:tr w:rsidR="00F43AD5" w:rsidRPr="004C23F4" w14:paraId="13AC0CE2" w14:textId="77777777" w:rsidTr="0004072D">
        <w:trPr>
          <w:cantSplit/>
          <w:tblHeader/>
        </w:trPr>
        <w:tc>
          <w:tcPr>
            <w:tcW w:w="3978" w:type="dxa"/>
          </w:tcPr>
          <w:p w14:paraId="448494A2" w14:textId="77777777" w:rsidR="00F43AD5" w:rsidRPr="00921DE7" w:rsidRDefault="00CB1CB1" w:rsidP="00B76A41">
            <w:pPr>
              <w:pStyle w:val="Tablerowright"/>
            </w:pPr>
            <w:r w:rsidRPr="00921DE7">
              <w:t>CAS number:</w:t>
            </w:r>
          </w:p>
        </w:tc>
        <w:tc>
          <w:tcPr>
            <w:tcW w:w="5048" w:type="dxa"/>
          </w:tcPr>
          <w:p w14:paraId="2D46E42B" w14:textId="77777777" w:rsidR="00F43AD5" w:rsidRPr="00717D45" w:rsidRDefault="00814AA3" w:rsidP="00B76A41">
            <w:pPr>
              <w:pStyle w:val="Tablefont"/>
            </w:pPr>
            <w:r w:rsidRPr="00814AA3">
              <w:t>80-62-6</w:t>
            </w:r>
          </w:p>
        </w:tc>
      </w:tr>
      <w:tr w:rsidR="00F43AD5" w:rsidRPr="004C23F4" w14:paraId="3E71D486" w14:textId="77777777" w:rsidTr="0004072D">
        <w:trPr>
          <w:cantSplit/>
        </w:trPr>
        <w:tc>
          <w:tcPr>
            <w:tcW w:w="3978" w:type="dxa"/>
          </w:tcPr>
          <w:p w14:paraId="4A76E39D" w14:textId="77777777" w:rsidR="00F43AD5" w:rsidRPr="00921DE7" w:rsidRDefault="00CB1CB1" w:rsidP="00B76A41">
            <w:pPr>
              <w:pStyle w:val="Tablerowright"/>
            </w:pPr>
            <w:r w:rsidRPr="00921DE7">
              <w:t>Synonyms:</w:t>
            </w:r>
          </w:p>
        </w:tc>
        <w:tc>
          <w:tcPr>
            <w:tcW w:w="5048" w:type="dxa"/>
          </w:tcPr>
          <w:p w14:paraId="4E06C9A3" w14:textId="77777777" w:rsidR="00814AA3" w:rsidRDefault="00814AA3" w:rsidP="00814AA3">
            <w:pPr>
              <w:pStyle w:val="Tablefont"/>
            </w:pPr>
            <w:r>
              <w:t>Methacrylic acid methyl ester, methyl alpha-methyl-acrylate, methyl-2-methylpropenoate, methyl-2-methyl-2-propenoate, 2-methyl-2-propenoic acid</w:t>
            </w:r>
          </w:p>
          <w:p w14:paraId="7572569E" w14:textId="77777777" w:rsidR="00F43AD5" w:rsidRPr="00717D45" w:rsidRDefault="00814AA3" w:rsidP="00814AA3">
            <w:pPr>
              <w:pStyle w:val="Tablefont"/>
            </w:pPr>
            <w:r>
              <w:t>methyl ester, MMA</w:t>
            </w:r>
            <w:r w:rsidR="0074604B">
              <w:t xml:space="preserve">, </w:t>
            </w:r>
            <w:r w:rsidR="0074604B" w:rsidRPr="0074604B">
              <w:t>methyl α-methyl acrylate</w:t>
            </w:r>
          </w:p>
        </w:tc>
      </w:tr>
      <w:tr w:rsidR="00F43AD5" w:rsidRPr="004C23F4" w14:paraId="6CDB110B" w14:textId="77777777" w:rsidTr="0004072D">
        <w:trPr>
          <w:cantSplit/>
        </w:trPr>
        <w:tc>
          <w:tcPr>
            <w:tcW w:w="3978" w:type="dxa"/>
          </w:tcPr>
          <w:p w14:paraId="2FF2EC87" w14:textId="77777777" w:rsidR="00F43AD5" w:rsidRPr="00921DE7" w:rsidRDefault="00CB1CB1" w:rsidP="00B76A41">
            <w:pPr>
              <w:pStyle w:val="Tablerowright"/>
            </w:pPr>
            <w:r w:rsidRPr="00921DE7">
              <w:t>Chemical formula:</w:t>
            </w:r>
          </w:p>
        </w:tc>
        <w:tc>
          <w:tcPr>
            <w:tcW w:w="5048" w:type="dxa"/>
          </w:tcPr>
          <w:p w14:paraId="1568B456" w14:textId="77777777" w:rsidR="00F43AD5" w:rsidRPr="00717D45" w:rsidRDefault="008C6004" w:rsidP="008C6004">
            <w:pPr>
              <w:pStyle w:val="Tablefont"/>
            </w:pPr>
            <w:r w:rsidRPr="008C6004">
              <w:t>C</w:t>
            </w:r>
            <w:r w:rsidRPr="008C6004">
              <w:rPr>
                <w:vertAlign w:val="subscript"/>
              </w:rPr>
              <w:t>5</w:t>
            </w:r>
            <w:r w:rsidRPr="008C6004">
              <w:t>H</w:t>
            </w:r>
            <w:r w:rsidRPr="008C6004">
              <w:rPr>
                <w:vertAlign w:val="subscript"/>
              </w:rPr>
              <w:t>8</w:t>
            </w:r>
            <w:r w:rsidRPr="008C6004">
              <w:t>O</w:t>
            </w:r>
            <w:r w:rsidRPr="008C6004">
              <w:rPr>
                <w:vertAlign w:val="subscript"/>
              </w:rPr>
              <w:t>2</w:t>
            </w:r>
          </w:p>
        </w:tc>
      </w:tr>
    </w:tbl>
    <w:p w14:paraId="4435BB07" w14:textId="1147032E"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E02CA6">
            <w:rPr>
              <w:rStyle w:val="WESstatus"/>
            </w:rPr>
            <w:t>(retained)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161D71FE" w14:textId="77777777" w:rsidTr="008C6004">
        <w:trPr>
          <w:cantSplit/>
          <w:tblHeader/>
        </w:trPr>
        <w:tc>
          <w:tcPr>
            <w:tcW w:w="4010" w:type="dxa"/>
            <w:vAlign w:val="center"/>
          </w:tcPr>
          <w:p w14:paraId="5C54D335" w14:textId="77777777" w:rsidR="002C7AFE" w:rsidRPr="002C58FF" w:rsidRDefault="00921DE7" w:rsidP="00921DE7">
            <w:pPr>
              <w:pStyle w:val="Tablerowright"/>
            </w:pPr>
            <w:r>
              <w:t>TWA:</w:t>
            </w:r>
          </w:p>
        </w:tc>
        <w:tc>
          <w:tcPr>
            <w:tcW w:w="5016" w:type="dxa"/>
          </w:tcPr>
          <w:p w14:paraId="3D378606" w14:textId="554B37FF" w:rsidR="002C7AFE" w:rsidRPr="00EB3D1B" w:rsidRDefault="00E02CA6" w:rsidP="00017C82">
            <w:pPr>
              <w:pStyle w:val="Tablefont"/>
              <w:rPr>
                <w:b/>
              </w:rPr>
            </w:pPr>
            <w:r>
              <w:rPr>
                <w:b/>
              </w:rPr>
              <w:t xml:space="preserve">50 ppm </w:t>
            </w:r>
            <w:r w:rsidRPr="00E02CA6">
              <w:rPr>
                <w:b/>
              </w:rPr>
              <w:t>(208 mg/m</w:t>
            </w:r>
            <w:r w:rsidRPr="00E02CA6">
              <w:rPr>
                <w:b/>
                <w:vertAlign w:val="superscript"/>
              </w:rPr>
              <w:t>3</w:t>
            </w:r>
            <w:r w:rsidRPr="00E02CA6">
              <w:rPr>
                <w:b/>
              </w:rPr>
              <w:t>)</w:t>
            </w:r>
          </w:p>
        </w:tc>
      </w:tr>
      <w:tr w:rsidR="008C6004" w:rsidRPr="004C23F4" w14:paraId="5B9FE472" w14:textId="77777777" w:rsidTr="008C6004">
        <w:trPr>
          <w:cantSplit/>
        </w:trPr>
        <w:tc>
          <w:tcPr>
            <w:tcW w:w="4010" w:type="dxa"/>
            <w:vAlign w:val="center"/>
          </w:tcPr>
          <w:p w14:paraId="02AAE0A3" w14:textId="77777777" w:rsidR="008C6004" w:rsidRPr="002C58FF" w:rsidRDefault="008C6004" w:rsidP="008C6004">
            <w:pPr>
              <w:pStyle w:val="Tablerowright"/>
            </w:pPr>
            <w:r w:rsidRPr="002C58FF">
              <w:t>STEL</w:t>
            </w:r>
            <w:r>
              <w:t>:</w:t>
            </w:r>
          </w:p>
        </w:tc>
        <w:tc>
          <w:tcPr>
            <w:tcW w:w="5016" w:type="dxa"/>
          </w:tcPr>
          <w:p w14:paraId="70788C01" w14:textId="73E300A2" w:rsidR="008C6004" w:rsidRPr="00E02CA6" w:rsidRDefault="00E02CA6" w:rsidP="008C6004">
            <w:pPr>
              <w:pStyle w:val="Tablefont"/>
              <w:rPr>
                <w:b/>
              </w:rPr>
            </w:pPr>
            <w:r>
              <w:rPr>
                <w:b/>
              </w:rPr>
              <w:t>100 ppm (</w:t>
            </w:r>
            <w:r w:rsidRPr="00E02CA6">
              <w:rPr>
                <w:b/>
              </w:rPr>
              <w:t>416 mg/m</w:t>
            </w:r>
            <w:r w:rsidRPr="00E02CA6">
              <w:rPr>
                <w:b/>
                <w:vertAlign w:val="superscript"/>
              </w:rPr>
              <w:t>3</w:t>
            </w:r>
            <w:r w:rsidRPr="00E02CA6">
              <w:rPr>
                <w:b/>
              </w:rPr>
              <w:t>)</w:t>
            </w:r>
          </w:p>
        </w:tc>
      </w:tr>
      <w:tr w:rsidR="008C6004" w:rsidRPr="004C23F4" w14:paraId="1C6C9B5B" w14:textId="77777777" w:rsidTr="008C6004">
        <w:trPr>
          <w:cantSplit/>
        </w:trPr>
        <w:tc>
          <w:tcPr>
            <w:tcW w:w="4010" w:type="dxa"/>
            <w:vAlign w:val="center"/>
          </w:tcPr>
          <w:p w14:paraId="200BD158" w14:textId="77777777" w:rsidR="008C6004" w:rsidRPr="002C58FF" w:rsidRDefault="008C6004" w:rsidP="008C6004">
            <w:pPr>
              <w:pStyle w:val="Tablerowright"/>
            </w:pPr>
            <w:r>
              <w:t>Peak limitation:</w:t>
            </w:r>
          </w:p>
        </w:tc>
        <w:tc>
          <w:tcPr>
            <w:tcW w:w="5016" w:type="dxa"/>
          </w:tcPr>
          <w:p w14:paraId="006ACDFA" w14:textId="77777777" w:rsidR="008C6004" w:rsidRPr="00EB3D1B" w:rsidRDefault="008C6004" w:rsidP="008C6004">
            <w:pPr>
              <w:pStyle w:val="Tablefont"/>
              <w:rPr>
                <w:b/>
              </w:rPr>
            </w:pPr>
            <w:r>
              <w:rPr>
                <w:b/>
              </w:rPr>
              <w:t>—</w:t>
            </w:r>
          </w:p>
        </w:tc>
      </w:tr>
      <w:tr w:rsidR="008C6004" w:rsidRPr="004C23F4" w14:paraId="0FA3D2BE" w14:textId="77777777" w:rsidTr="008C6004">
        <w:trPr>
          <w:cantSplit/>
        </w:trPr>
        <w:tc>
          <w:tcPr>
            <w:tcW w:w="4010" w:type="dxa"/>
          </w:tcPr>
          <w:p w14:paraId="0D90B9FF" w14:textId="77777777" w:rsidR="008C6004" w:rsidRPr="002C58FF" w:rsidRDefault="008C6004" w:rsidP="008C6004">
            <w:pPr>
              <w:pStyle w:val="Tablerowright"/>
            </w:pPr>
            <w:r>
              <w:rPr>
                <w:b w:val="0"/>
                <w:bCs/>
                <w:color w:val="000000" w:themeColor="text1"/>
              </w:rPr>
              <w:tab/>
            </w:r>
            <w:r w:rsidRPr="003241A8">
              <w:t>Notations</w:t>
            </w:r>
            <w:r>
              <w:t>:</w:t>
            </w:r>
          </w:p>
        </w:tc>
        <w:tc>
          <w:tcPr>
            <w:tcW w:w="5016" w:type="dxa"/>
          </w:tcPr>
          <w:p w14:paraId="043C12A4" w14:textId="397E8C94" w:rsidR="008C6004" w:rsidRPr="00EB3D1B" w:rsidRDefault="00E02CA6" w:rsidP="008C6004">
            <w:pPr>
              <w:pStyle w:val="Tablefont"/>
              <w:rPr>
                <w:b/>
              </w:rPr>
            </w:pPr>
            <w:r>
              <w:rPr>
                <w:b/>
              </w:rPr>
              <w:t>DSEN</w:t>
            </w:r>
          </w:p>
        </w:tc>
      </w:tr>
      <w:tr w:rsidR="008C6004" w:rsidRPr="004C23F4" w14:paraId="20724D70" w14:textId="77777777" w:rsidTr="008C6004">
        <w:trPr>
          <w:cantSplit/>
        </w:trPr>
        <w:tc>
          <w:tcPr>
            <w:tcW w:w="4010" w:type="dxa"/>
            <w:vAlign w:val="center"/>
          </w:tcPr>
          <w:p w14:paraId="1AD884DA" w14:textId="77777777" w:rsidR="008C6004" w:rsidRPr="002C58FF" w:rsidRDefault="008C6004" w:rsidP="008C6004">
            <w:pPr>
              <w:pStyle w:val="Tablerowright"/>
            </w:pPr>
            <w:r>
              <w:t>IDLH:</w:t>
            </w:r>
          </w:p>
        </w:tc>
        <w:tc>
          <w:tcPr>
            <w:tcW w:w="5016" w:type="dxa"/>
          </w:tcPr>
          <w:p w14:paraId="7F6D5567" w14:textId="4DA1829B" w:rsidR="008C6004" w:rsidRPr="00EB3D1B" w:rsidRDefault="00F54531" w:rsidP="008C6004">
            <w:pPr>
              <w:pStyle w:val="Tablefont"/>
              <w:rPr>
                <w:b/>
              </w:rPr>
            </w:pPr>
            <w:r>
              <w:rPr>
                <w:b/>
              </w:rPr>
              <w:t>1,000 ppm</w:t>
            </w:r>
          </w:p>
        </w:tc>
      </w:tr>
      <w:tr w:rsidR="008E762D" w:rsidRPr="004C23F4" w14:paraId="07B054EE" w14:textId="77777777" w:rsidTr="00420DEF">
        <w:trPr>
          <w:cantSplit/>
        </w:trPr>
        <w:tc>
          <w:tcPr>
            <w:tcW w:w="9026" w:type="dxa"/>
            <w:gridSpan w:val="2"/>
            <w:vAlign w:val="center"/>
          </w:tcPr>
          <w:p w14:paraId="280FF82B" w14:textId="1475A846" w:rsidR="008E762D" w:rsidRPr="008E762D" w:rsidRDefault="008E762D" w:rsidP="008C6004">
            <w:pPr>
              <w:pStyle w:val="Tablefont"/>
              <w:rPr>
                <w:b/>
              </w:rPr>
            </w:pPr>
            <w:r w:rsidRPr="008E762D">
              <w:rPr>
                <w:b/>
              </w:rPr>
              <w:t>Sampling and analysis:</w:t>
            </w:r>
            <w:r>
              <w:rPr>
                <w:rStyle w:val="WESstatus"/>
                <w:color w:val="auto"/>
              </w:rPr>
              <w:t xml:space="preserve"> </w:t>
            </w:r>
            <w:sdt>
              <w:sdtPr>
                <w:rPr>
                  <w:rStyle w:val="WESstatus"/>
                  <w:color w:val="auto"/>
                </w:rPr>
                <w:id w:val="-2105258949"/>
                <w:placeholder>
                  <w:docPart w:val="92D92918874B4153B5924383E5927905"/>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Pr>
                    <w:rStyle w:val="WESstatus"/>
                    <w:color w:val="auto"/>
                  </w:rPr>
                  <w:t xml:space="preserve">The recommended value is quantifiable through available sampling and analysis techniques. </w:t>
                </w:r>
              </w:sdtContent>
            </w:sdt>
          </w:p>
        </w:tc>
      </w:tr>
    </w:tbl>
    <w:p w14:paraId="12B6D0A2" w14:textId="63FFBBA4" w:rsidR="00CB1CB1" w:rsidRDefault="00F10C97" w:rsidP="003365A5">
      <w:pPr>
        <w:pStyle w:val="Heading2"/>
      </w:pPr>
      <w:r>
        <w:t>Recommendation and basis for workplace exposure standard</w:t>
      </w:r>
    </w:p>
    <w:p w14:paraId="1BCA75BD" w14:textId="7FDA04B8" w:rsidR="001B26EC" w:rsidRPr="001B26EC" w:rsidRDefault="001B26EC" w:rsidP="001B26EC">
      <w:pPr>
        <w:rPr>
          <w:rFonts w:eastAsia="Calibri" w:cs="Times New Roman"/>
        </w:rPr>
      </w:pPr>
      <w:r w:rsidRPr="001B26EC">
        <w:rPr>
          <w:rFonts w:eastAsia="Calibri" w:cs="Times New Roman"/>
        </w:rPr>
        <w:t xml:space="preserve">A TWA </w:t>
      </w:r>
      <w:r w:rsidRPr="008E762D">
        <w:rPr>
          <w:rFonts w:eastAsia="Calibri" w:cs="Times New Roman"/>
        </w:rPr>
        <w:t xml:space="preserve">of </w:t>
      </w:r>
      <w:r w:rsidR="008E762D" w:rsidRPr="008E762D">
        <w:rPr>
          <w:rFonts w:eastAsia="Calibri" w:cs="Times New Roman"/>
        </w:rPr>
        <w:t>50</w:t>
      </w:r>
      <w:r w:rsidRPr="008E762D">
        <w:rPr>
          <w:rFonts w:eastAsia="Calibri" w:cs="Times New Roman"/>
        </w:rPr>
        <w:t xml:space="preserve"> ppm (</w:t>
      </w:r>
      <w:r w:rsidR="008E762D">
        <w:rPr>
          <w:rFonts w:eastAsia="Calibri" w:cs="Times New Roman"/>
        </w:rPr>
        <w:t>208</w:t>
      </w:r>
      <w:r w:rsidRPr="008E762D">
        <w:rPr>
          <w:rFonts w:eastAsia="Calibri" w:cs="Times New Roman"/>
        </w:rPr>
        <w:t xml:space="preserve"> mg/m</w:t>
      </w:r>
      <w:r w:rsidRPr="008E762D">
        <w:rPr>
          <w:rFonts w:eastAsia="Calibri" w:cs="Times New Roman"/>
          <w:vertAlign w:val="superscript"/>
        </w:rPr>
        <w:t>3</w:t>
      </w:r>
      <w:r w:rsidRPr="008E762D">
        <w:rPr>
          <w:rFonts w:eastAsia="Calibri" w:cs="Times New Roman"/>
        </w:rPr>
        <w:t>)</w:t>
      </w:r>
      <w:r w:rsidRPr="001B26EC">
        <w:rPr>
          <w:rFonts w:eastAsia="Calibri" w:cs="Times New Roman"/>
        </w:rPr>
        <w:t xml:space="preserve"> is </w:t>
      </w:r>
      <w:r w:rsidR="008E762D">
        <w:rPr>
          <w:rFonts w:eastAsia="Calibri" w:cs="Times New Roman"/>
        </w:rPr>
        <w:t xml:space="preserve">recommended </w:t>
      </w:r>
      <w:r w:rsidRPr="001B26EC">
        <w:rPr>
          <w:rFonts w:eastAsia="Calibri" w:cs="Times New Roman"/>
        </w:rPr>
        <w:t>to prot</w:t>
      </w:r>
      <w:r w:rsidRPr="008E762D">
        <w:rPr>
          <w:rFonts w:eastAsia="Calibri" w:cs="Times New Roman"/>
        </w:rPr>
        <w:t xml:space="preserve">ect for </w:t>
      </w:r>
      <w:r w:rsidR="00474849">
        <w:rPr>
          <w:rFonts w:eastAsia="Calibri" w:cs="Times New Roman"/>
        </w:rPr>
        <w:t>irritation</w:t>
      </w:r>
      <w:r w:rsidRPr="008E762D">
        <w:rPr>
          <w:rFonts w:eastAsia="Calibri" w:cs="Times New Roman"/>
        </w:rPr>
        <w:t xml:space="preserve"> and</w:t>
      </w:r>
      <w:r w:rsidR="008E762D">
        <w:rPr>
          <w:rFonts w:eastAsia="Calibri" w:cs="Times New Roman"/>
        </w:rPr>
        <w:t xml:space="preserve"> potential</w:t>
      </w:r>
      <w:r w:rsidRPr="008E762D">
        <w:rPr>
          <w:rFonts w:eastAsia="Calibri" w:cs="Times New Roman"/>
        </w:rPr>
        <w:t xml:space="preserve"> chronic respiratory conditions in exposed workers.</w:t>
      </w:r>
      <w:r w:rsidRPr="001B26EC">
        <w:rPr>
          <w:rFonts w:eastAsia="Calibri" w:cs="Times New Roman"/>
        </w:rPr>
        <w:t xml:space="preserve"> </w:t>
      </w:r>
    </w:p>
    <w:p w14:paraId="64CE657B" w14:textId="19CD31A2" w:rsidR="001B26EC" w:rsidRPr="001B26EC" w:rsidRDefault="001B26EC" w:rsidP="001B26EC">
      <w:pPr>
        <w:rPr>
          <w:rFonts w:eastAsia="Calibri" w:cs="Times New Roman"/>
        </w:rPr>
      </w:pPr>
      <w:r w:rsidRPr="001B26EC">
        <w:rPr>
          <w:rFonts w:eastAsia="Calibri" w:cs="Times New Roman"/>
        </w:rPr>
        <w:t xml:space="preserve">A STEL of </w:t>
      </w:r>
      <w:r w:rsidR="008E762D" w:rsidRPr="008E762D">
        <w:rPr>
          <w:rFonts w:eastAsia="Calibri" w:cs="Times New Roman"/>
        </w:rPr>
        <w:t>100</w:t>
      </w:r>
      <w:r w:rsidRPr="008E762D">
        <w:rPr>
          <w:rFonts w:eastAsia="Calibri" w:cs="Times New Roman"/>
        </w:rPr>
        <w:t xml:space="preserve"> ppm (</w:t>
      </w:r>
      <w:r w:rsidR="008E762D" w:rsidRPr="008E762D">
        <w:rPr>
          <w:rFonts w:eastAsia="Calibri" w:cs="Times New Roman"/>
        </w:rPr>
        <w:t>416</w:t>
      </w:r>
      <w:r w:rsidRPr="008E762D">
        <w:rPr>
          <w:rFonts w:eastAsia="Calibri" w:cs="Times New Roman"/>
        </w:rPr>
        <w:t xml:space="preserve"> mg/m</w:t>
      </w:r>
      <w:r w:rsidRPr="008E762D">
        <w:rPr>
          <w:rFonts w:eastAsia="Calibri" w:cs="Times New Roman"/>
          <w:vertAlign w:val="superscript"/>
        </w:rPr>
        <w:t>3</w:t>
      </w:r>
      <w:r w:rsidRPr="008E762D">
        <w:rPr>
          <w:rFonts w:eastAsia="Calibri" w:cs="Times New Roman"/>
        </w:rPr>
        <w:t xml:space="preserve">) is recommended to protect for </w:t>
      </w:r>
      <w:r w:rsidR="00474849">
        <w:rPr>
          <w:rFonts w:eastAsia="Calibri" w:cs="Times New Roman"/>
        </w:rPr>
        <w:t>acute irritation in exposed workers</w:t>
      </w:r>
      <w:r w:rsidR="008E762D">
        <w:rPr>
          <w:rFonts w:eastAsia="Calibri" w:cs="Times New Roman"/>
        </w:rPr>
        <w:t>.</w:t>
      </w:r>
    </w:p>
    <w:p w14:paraId="4CC09591" w14:textId="77777777" w:rsidR="00C7155E" w:rsidRPr="004C23F4" w:rsidRDefault="00F10C97" w:rsidP="003365A5">
      <w:pPr>
        <w:pStyle w:val="Heading2"/>
      </w:pPr>
      <w:r>
        <w:t>Discussion and conclusions</w:t>
      </w:r>
    </w:p>
    <w:p w14:paraId="65DB12E4" w14:textId="69F40DDD" w:rsidR="00474849" w:rsidRDefault="00350ABF" w:rsidP="006639B4">
      <w:pPr>
        <w:rPr>
          <w:rFonts w:cs="Arial"/>
        </w:rPr>
      </w:pPr>
      <w:r>
        <w:rPr>
          <w:rFonts w:cs="Arial"/>
        </w:rPr>
        <w:t xml:space="preserve">Methyl methacrylate is used as monomer in the production of acrylic polymer for sheeting, dental reconstruction, medical implants and </w:t>
      </w:r>
      <w:r w:rsidR="008E762D">
        <w:rPr>
          <w:rFonts w:cs="Arial"/>
        </w:rPr>
        <w:t>concrete</w:t>
      </w:r>
      <w:r>
        <w:rPr>
          <w:rFonts w:cs="Arial"/>
        </w:rPr>
        <w:t xml:space="preserve"> impregnation. </w:t>
      </w:r>
    </w:p>
    <w:p w14:paraId="5B5422D5" w14:textId="248B33E1" w:rsidR="00474849" w:rsidRDefault="00350ABF" w:rsidP="006639B4">
      <w:pPr>
        <w:rPr>
          <w:rFonts w:cs="Arial"/>
        </w:rPr>
      </w:pPr>
      <w:r>
        <w:rPr>
          <w:rFonts w:cs="Arial"/>
        </w:rPr>
        <w:t xml:space="preserve">Critical effects </w:t>
      </w:r>
      <w:r w:rsidR="00474849">
        <w:rPr>
          <w:rFonts w:cs="Arial"/>
        </w:rPr>
        <w:t xml:space="preserve">of exposure </w:t>
      </w:r>
      <w:r>
        <w:rPr>
          <w:rFonts w:cs="Arial"/>
        </w:rPr>
        <w:t xml:space="preserve">are </w:t>
      </w:r>
      <w:r w:rsidR="00F637D9">
        <w:rPr>
          <w:rFonts w:cs="Arial"/>
        </w:rPr>
        <w:t xml:space="preserve">irritation of the </w:t>
      </w:r>
      <w:r>
        <w:rPr>
          <w:rFonts w:cs="Arial"/>
        </w:rPr>
        <w:t>eye</w:t>
      </w:r>
      <w:r w:rsidR="00F637D9">
        <w:rPr>
          <w:rFonts w:cs="Arial"/>
        </w:rPr>
        <w:t>s</w:t>
      </w:r>
      <w:r>
        <w:rPr>
          <w:rFonts w:cs="Arial"/>
        </w:rPr>
        <w:t xml:space="preserve"> and respiratory tract</w:t>
      </w:r>
      <w:r w:rsidR="00F637D9">
        <w:rPr>
          <w:rFonts w:cs="Arial"/>
        </w:rPr>
        <w:t xml:space="preserve"> and</w:t>
      </w:r>
      <w:r>
        <w:rPr>
          <w:rFonts w:cs="Arial"/>
        </w:rPr>
        <w:t xml:space="preserve"> impaired olfaction</w:t>
      </w:r>
      <w:r w:rsidR="00474849">
        <w:rPr>
          <w:rFonts w:cs="Arial"/>
        </w:rPr>
        <w:t xml:space="preserve"> (smell)</w:t>
      </w:r>
      <w:r>
        <w:rPr>
          <w:rFonts w:cs="Arial"/>
        </w:rPr>
        <w:t xml:space="preserve"> and respiratory function</w:t>
      </w:r>
      <w:r w:rsidR="00474849">
        <w:rPr>
          <w:rFonts w:cs="Arial"/>
        </w:rPr>
        <w:t>.</w:t>
      </w:r>
      <w:r>
        <w:rPr>
          <w:rFonts w:cs="Arial"/>
        </w:rPr>
        <w:t xml:space="preserve"> </w:t>
      </w:r>
      <w:r w:rsidR="00474849">
        <w:rPr>
          <w:rFonts w:cs="Arial"/>
        </w:rPr>
        <w:t xml:space="preserve">Rats </w:t>
      </w:r>
      <w:r w:rsidR="00D35AC2">
        <w:rPr>
          <w:rFonts w:cs="Arial"/>
        </w:rPr>
        <w:t>appear</w:t>
      </w:r>
      <w:r w:rsidR="00474849">
        <w:rPr>
          <w:rFonts w:cs="Arial"/>
        </w:rPr>
        <w:t xml:space="preserve"> to be more susceptible to irritation effects than humans because of </w:t>
      </w:r>
      <w:r w:rsidR="00900F7C">
        <w:rPr>
          <w:rFonts w:cs="Arial"/>
        </w:rPr>
        <w:t xml:space="preserve">anatomical differences in the nasal cavity (ACGIH, 2018; DFG, 2010). </w:t>
      </w:r>
      <w:r w:rsidR="00474849">
        <w:rPr>
          <w:rFonts w:cs="Arial"/>
        </w:rPr>
        <w:t>L</w:t>
      </w:r>
      <w:r>
        <w:rPr>
          <w:rFonts w:cs="Arial"/>
        </w:rPr>
        <w:t>iver damage is reported in animals at irritation</w:t>
      </w:r>
      <w:r w:rsidR="008E762D">
        <w:rPr>
          <w:rFonts w:cs="Arial"/>
        </w:rPr>
        <w:t>al thresholds</w:t>
      </w:r>
      <w:r>
        <w:rPr>
          <w:rFonts w:cs="Arial"/>
        </w:rPr>
        <w:t xml:space="preserve"> in sub</w:t>
      </w:r>
      <w:r w:rsidR="00D35AC2">
        <w:rPr>
          <w:rFonts w:cs="Arial"/>
        </w:rPr>
        <w:t>-</w:t>
      </w:r>
      <w:r>
        <w:rPr>
          <w:rFonts w:cs="Arial"/>
        </w:rPr>
        <w:t xml:space="preserve">chronic </w:t>
      </w:r>
      <w:r w:rsidR="00EB6FE1">
        <w:rPr>
          <w:rFonts w:cs="Arial"/>
        </w:rPr>
        <w:t>studies</w:t>
      </w:r>
      <w:r>
        <w:rPr>
          <w:rFonts w:cs="Arial"/>
        </w:rPr>
        <w:t xml:space="preserve">, but not over chronic </w:t>
      </w:r>
      <w:r w:rsidR="00EB6FE1">
        <w:rPr>
          <w:rFonts w:cs="Arial"/>
        </w:rPr>
        <w:t>exposure periods (ACGIH, 2018).</w:t>
      </w:r>
      <w:r w:rsidR="00474849">
        <w:rPr>
          <w:rFonts w:cs="Arial"/>
        </w:rPr>
        <w:t xml:space="preserve"> </w:t>
      </w:r>
      <w:r>
        <w:rPr>
          <w:rFonts w:cs="Arial"/>
        </w:rPr>
        <w:t>The weight of evidence from several workplace exposure studies indicates that no adverse effects occur at average air concentrations between 40 to 5</w:t>
      </w:r>
      <w:r w:rsidR="00DB72FB">
        <w:rPr>
          <w:rFonts w:cs="Arial"/>
        </w:rPr>
        <w:t xml:space="preserve">0 ppm (ACGIH, 2018; DFG, 2010). </w:t>
      </w:r>
      <w:r>
        <w:rPr>
          <w:rFonts w:cs="Arial"/>
        </w:rPr>
        <w:t>The onset of eye and respiratory irritation are reported above 100 ppm in acrylic plant workers</w:t>
      </w:r>
      <w:r w:rsidR="00EB6FE1">
        <w:rPr>
          <w:rFonts w:cs="Arial"/>
        </w:rPr>
        <w:t xml:space="preserve"> (DFG, 2010)</w:t>
      </w:r>
      <w:r w:rsidR="00474849">
        <w:rPr>
          <w:rFonts w:cs="Arial"/>
        </w:rPr>
        <w:t>. This is</w:t>
      </w:r>
      <w:r>
        <w:rPr>
          <w:rFonts w:cs="Arial"/>
        </w:rPr>
        <w:t xml:space="preserve"> supported by a LOAE</w:t>
      </w:r>
      <w:r w:rsidR="00474849">
        <w:rPr>
          <w:rFonts w:cs="Arial"/>
        </w:rPr>
        <w:t>C</w:t>
      </w:r>
      <w:r>
        <w:rPr>
          <w:rFonts w:cs="Arial"/>
        </w:rPr>
        <w:t xml:space="preserve"> of </w:t>
      </w:r>
      <w:r w:rsidR="00474849">
        <w:rPr>
          <w:rFonts w:cs="Arial"/>
        </w:rPr>
        <w:t>116 </w:t>
      </w:r>
      <w:r w:rsidR="00EB6FE1">
        <w:rPr>
          <w:rFonts w:cs="Arial"/>
        </w:rPr>
        <w:t>ppm for fibrotic pulmonary oedema in sub</w:t>
      </w:r>
      <w:r w:rsidR="00D35AC2">
        <w:rPr>
          <w:rFonts w:cs="Arial"/>
        </w:rPr>
        <w:noBreakHyphen/>
      </w:r>
      <w:r w:rsidR="00EB6FE1">
        <w:rPr>
          <w:rFonts w:cs="Arial"/>
        </w:rPr>
        <w:t xml:space="preserve">chronically exposed rats (ACGIH, 2018). </w:t>
      </w:r>
    </w:p>
    <w:p w14:paraId="70F9FD23" w14:textId="38A9127B" w:rsidR="00350ABF" w:rsidRDefault="00EB6FE1" w:rsidP="006639B4">
      <w:pPr>
        <w:rPr>
          <w:rFonts w:cs="Arial"/>
        </w:rPr>
      </w:pPr>
      <w:r>
        <w:rPr>
          <w:rFonts w:cs="Arial"/>
        </w:rPr>
        <w:t xml:space="preserve">The </w:t>
      </w:r>
      <w:r w:rsidR="00D35AC2">
        <w:rPr>
          <w:rFonts w:cs="Arial"/>
        </w:rPr>
        <w:t xml:space="preserve">existing </w:t>
      </w:r>
      <w:r>
        <w:rPr>
          <w:rFonts w:cs="Arial"/>
        </w:rPr>
        <w:t xml:space="preserve">TWA is based on </w:t>
      </w:r>
      <w:r w:rsidR="001B26EC">
        <w:rPr>
          <w:rFonts w:cs="Arial"/>
        </w:rPr>
        <w:t>a</w:t>
      </w:r>
      <w:r>
        <w:rPr>
          <w:rFonts w:cs="Arial"/>
        </w:rPr>
        <w:t xml:space="preserve"> </w:t>
      </w:r>
      <w:r w:rsidR="00D35AC2">
        <w:rPr>
          <w:rFonts w:cs="Arial"/>
        </w:rPr>
        <w:t xml:space="preserve">NOAEC </w:t>
      </w:r>
      <w:r w:rsidR="001B26EC">
        <w:rPr>
          <w:rFonts w:cs="Arial"/>
        </w:rPr>
        <w:t xml:space="preserve">of 50 ppm </w:t>
      </w:r>
      <w:r>
        <w:rPr>
          <w:rFonts w:cs="Arial"/>
        </w:rPr>
        <w:t xml:space="preserve">from </w:t>
      </w:r>
      <w:r w:rsidR="001B26EC">
        <w:rPr>
          <w:rFonts w:cs="Arial"/>
        </w:rPr>
        <w:t>workplace exposure studies</w:t>
      </w:r>
      <w:r w:rsidR="00474849">
        <w:rPr>
          <w:rFonts w:cs="Arial"/>
        </w:rPr>
        <w:t>. The</w:t>
      </w:r>
      <w:r w:rsidR="001B26EC">
        <w:rPr>
          <w:rFonts w:cs="Arial"/>
        </w:rPr>
        <w:t xml:space="preserve"> recommended STEL of 100 ppm is </w:t>
      </w:r>
      <w:r>
        <w:rPr>
          <w:rFonts w:cs="Arial"/>
        </w:rPr>
        <w:t>considered protective of irritation</w:t>
      </w:r>
      <w:r w:rsidR="00474849">
        <w:rPr>
          <w:rFonts w:cs="Arial"/>
        </w:rPr>
        <w:t xml:space="preserve"> </w:t>
      </w:r>
      <w:r>
        <w:rPr>
          <w:rFonts w:cs="Arial"/>
        </w:rPr>
        <w:t xml:space="preserve">effects reported </w:t>
      </w:r>
      <w:r w:rsidR="001B26EC">
        <w:rPr>
          <w:rFonts w:cs="Arial"/>
        </w:rPr>
        <w:t>in workers between 125</w:t>
      </w:r>
      <w:r w:rsidR="00474849">
        <w:rPr>
          <w:rFonts w:cs="Arial"/>
        </w:rPr>
        <w:t xml:space="preserve"> and </w:t>
      </w:r>
      <w:r w:rsidR="001B26EC">
        <w:rPr>
          <w:rFonts w:cs="Arial"/>
        </w:rPr>
        <w:t>200 ppm (ACGIH, 2018).</w:t>
      </w:r>
    </w:p>
    <w:p w14:paraId="3767FD66" w14:textId="77777777" w:rsidR="004529F0" w:rsidRPr="004C23F4" w:rsidRDefault="004529F0" w:rsidP="004529F0">
      <w:pPr>
        <w:pStyle w:val="Heading2"/>
      </w:pPr>
      <w:r>
        <w:lastRenderedPageBreak/>
        <w:t>Recommendation for notations</w:t>
      </w:r>
    </w:p>
    <w:p w14:paraId="2B7100CE" w14:textId="7AFDCD82" w:rsidR="008C6004" w:rsidRPr="00957DC8" w:rsidRDefault="008C6004" w:rsidP="008C6004">
      <w:pPr>
        <w:rPr>
          <w:rFonts w:cs="Arial"/>
        </w:rPr>
      </w:pPr>
      <w:r w:rsidRPr="00957DC8">
        <w:rPr>
          <w:rFonts w:cs="Arial"/>
        </w:rPr>
        <w:t>Not classified as a carcinogen according to the Globally Harmonized System of Classification and Labelling o</w:t>
      </w:r>
      <w:r w:rsidR="004E36CA">
        <w:rPr>
          <w:rFonts w:cs="Arial"/>
        </w:rPr>
        <w:t>f</w:t>
      </w:r>
      <w:r w:rsidRPr="00957DC8">
        <w:rPr>
          <w:rFonts w:cs="Arial"/>
        </w:rPr>
        <w:t xml:space="preserve"> Chemicals (GHS). </w:t>
      </w:r>
    </w:p>
    <w:p w14:paraId="2938B501" w14:textId="12D83F35" w:rsidR="008C6004" w:rsidRPr="00957DC8" w:rsidRDefault="00957DC8" w:rsidP="008C6004">
      <w:pPr>
        <w:rPr>
          <w:rFonts w:cs="Arial"/>
        </w:rPr>
      </w:pPr>
      <w:r w:rsidRPr="00957DC8">
        <w:rPr>
          <w:rFonts w:cs="Arial"/>
        </w:rPr>
        <w:t xml:space="preserve">Classified as a skin sensitiser </w:t>
      </w:r>
      <w:r w:rsidR="00474849">
        <w:rPr>
          <w:rFonts w:cs="Arial"/>
        </w:rPr>
        <w:t>and</w:t>
      </w:r>
      <w:r w:rsidRPr="00957DC8">
        <w:rPr>
          <w:rFonts w:cs="Arial"/>
        </w:rPr>
        <w:t xml:space="preserve"> not a respiratory sensitiser according to the GHS</w:t>
      </w:r>
      <w:r w:rsidR="008C6004" w:rsidRPr="00957DC8">
        <w:rPr>
          <w:rFonts w:cs="Arial"/>
        </w:rPr>
        <w:t>.</w:t>
      </w:r>
    </w:p>
    <w:p w14:paraId="224E0111" w14:textId="22F4B8BE" w:rsidR="0025734A" w:rsidRPr="00957DC8" w:rsidRDefault="00957DC8">
      <w:pPr>
        <w:rPr>
          <w:rFonts w:cs="Arial"/>
        </w:rPr>
      </w:pPr>
      <w:r w:rsidRPr="00957DC8">
        <w:rPr>
          <w:rFonts w:cs="Arial"/>
        </w:rPr>
        <w:t xml:space="preserve">A skin notation is not </w:t>
      </w:r>
      <w:r w:rsidR="00474849">
        <w:rPr>
          <w:rFonts w:cs="Arial"/>
        </w:rPr>
        <w:t>recommend</w:t>
      </w:r>
      <w:r w:rsidRPr="00957DC8">
        <w:rPr>
          <w:rFonts w:cs="Arial"/>
        </w:rPr>
        <w:t>ed based on the available evidence.</w:t>
      </w:r>
    </w:p>
    <w:p w14:paraId="258BA50C"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794775DA"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45812AC0"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14:paraId="6A177D3C" w14:textId="77777777" w:rsidTr="00DE26E8">
        <w:trPr>
          <w:gridAfter w:val="1"/>
          <w:wAfter w:w="8" w:type="pct"/>
          <w:cantSplit/>
          <w:trHeight w:val="393"/>
          <w:tblHeader/>
        </w:trPr>
        <w:tc>
          <w:tcPr>
            <w:tcW w:w="4992" w:type="pct"/>
            <w:shd w:val="clear" w:color="auto" w:fill="BFBFBF" w:themeFill="background1" w:themeFillShade="BF"/>
            <w:vAlign w:val="center"/>
          </w:tcPr>
          <w:p w14:paraId="0751D9A7"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18E0660F" w14:textId="77777777" w:rsidTr="00DE26E8">
        <w:trPr>
          <w:cantSplit/>
        </w:trPr>
        <w:tc>
          <w:tcPr>
            <w:tcW w:w="5000" w:type="pct"/>
            <w:gridSpan w:val="2"/>
            <w:shd w:val="clear" w:color="auto" w:fill="F2F2F2" w:themeFill="background1" w:themeFillShade="F2"/>
          </w:tcPr>
          <w:p w14:paraId="222C4F06"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8C6004">
                  <w:t>1995</w:t>
                </w:r>
              </w:sdtContent>
            </w:sdt>
            <w:r w:rsidRPr="003365A5">
              <w:tab/>
            </w:r>
            <w:r>
              <w:tab/>
            </w:r>
            <w:sdt>
              <w:sdtPr>
                <w:alias w:val="SWA WES"/>
                <w:tag w:val="SWA WES"/>
                <w:id w:val="857077202"/>
                <w:placeholder>
                  <w:docPart w:val="81CFEC2FDBC5451289F394E66D92D1A0"/>
                </w:placeholder>
              </w:sdtPr>
              <w:sdtEndPr/>
              <w:sdtContent>
                <w:r w:rsidR="008C6004">
                  <w:t>TWA: 50 ppm (208 mg/m</w:t>
                </w:r>
                <w:r w:rsidR="008C6004" w:rsidRPr="008C6004">
                  <w:rPr>
                    <w:vertAlign w:val="superscript"/>
                  </w:rPr>
                  <w:t>3</w:t>
                </w:r>
                <w:r w:rsidR="008C6004">
                  <w:t>); STEL: 100 ppm (416 mg/m</w:t>
                </w:r>
                <w:r w:rsidR="008C6004" w:rsidRPr="008C6004">
                  <w:rPr>
                    <w:vertAlign w:val="superscript"/>
                  </w:rPr>
                  <w:t>3</w:t>
                </w:r>
                <w:r w:rsidR="008C6004">
                  <w:t>)</w:t>
                </w:r>
              </w:sdtContent>
            </w:sdt>
          </w:p>
        </w:tc>
      </w:tr>
      <w:tr w:rsidR="00C978F0" w:rsidRPr="00DA352E" w14:paraId="771EFDB6" w14:textId="77777777" w:rsidTr="00DE26E8">
        <w:trPr>
          <w:gridAfter w:val="1"/>
          <w:wAfter w:w="8" w:type="pct"/>
          <w:cantSplit/>
        </w:trPr>
        <w:tc>
          <w:tcPr>
            <w:tcW w:w="4992" w:type="pct"/>
          </w:tcPr>
          <w:p w14:paraId="73B80EDC" w14:textId="77777777" w:rsidR="00C978F0" w:rsidRPr="00DA352E" w:rsidRDefault="00C978F0" w:rsidP="003365A5">
            <w:pPr>
              <w:pStyle w:val="Tabletextprimarysource"/>
            </w:pPr>
          </w:p>
        </w:tc>
      </w:tr>
      <w:tr w:rsidR="00C978F0" w:rsidRPr="00DA352E" w14:paraId="1E47AE05" w14:textId="77777777" w:rsidTr="00DE26E8">
        <w:trPr>
          <w:gridAfter w:val="1"/>
          <w:wAfter w:w="8" w:type="pct"/>
          <w:cantSplit/>
        </w:trPr>
        <w:tc>
          <w:tcPr>
            <w:tcW w:w="4992" w:type="pct"/>
            <w:shd w:val="clear" w:color="auto" w:fill="F2F2F2" w:themeFill="background1" w:themeFillShade="F2"/>
          </w:tcPr>
          <w:p w14:paraId="7AF82F9E" w14:textId="3B6168D1" w:rsidR="00C978F0" w:rsidRPr="00DA352E" w:rsidRDefault="00DA352E" w:rsidP="003106B1">
            <w:pPr>
              <w:pStyle w:val="Tablerowheadingitalic"/>
              <w:tabs>
                <w:tab w:val="clear" w:pos="2268"/>
                <w:tab w:val="clear" w:pos="5670"/>
                <w:tab w:val="left" w:pos="1418"/>
                <w:tab w:val="left" w:pos="2552"/>
              </w:tabs>
              <w:ind w:left="2857" w:hanging="2857"/>
            </w:pPr>
            <w:r w:rsidRPr="00DA352E">
              <w:t>ACGIH</w:t>
            </w:r>
            <w:r w:rsidR="00916EC0">
              <w:t xml:space="preserve"> </w:t>
            </w:r>
            <w:r w:rsidR="00916EC0" w:rsidRPr="003365A5">
              <w:tab/>
            </w:r>
            <w:sdt>
              <w:sdtPr>
                <w:id w:val="444816450"/>
                <w:placeholder>
                  <w:docPart w:val="C8FBF9621EB94FE084F687C8955AF85F"/>
                </w:placeholder>
                <w:text/>
              </w:sdtPr>
              <w:sdtEndPr/>
              <w:sdtContent>
                <w:r w:rsidR="003106B1">
                  <w:t>2015</w:t>
                </w:r>
              </w:sdtContent>
            </w:sdt>
            <w:r w:rsidR="00916EC0" w:rsidRPr="003365A5">
              <w:tab/>
            </w:r>
            <w:sdt>
              <w:sdtPr>
                <w:alias w:val="ACGIH WES equivalent"/>
                <w:tag w:val="ACGIH WES equivalent"/>
                <w:id w:val="-1676410403"/>
                <w:placeholder>
                  <w:docPart w:val="522022AAE76B4622AC0DF750489702EB"/>
                </w:placeholder>
              </w:sdtPr>
              <w:sdtEndPr/>
              <w:sdtContent>
                <w:r w:rsidR="003106B1">
                  <w:t>TLV-TWA: 50 ppm (205 mg/m</w:t>
                </w:r>
                <w:r w:rsidR="003106B1" w:rsidRPr="008C6004">
                  <w:rPr>
                    <w:vertAlign w:val="superscript"/>
                  </w:rPr>
                  <w:t>3</w:t>
                </w:r>
                <w:r w:rsidR="003106B1">
                  <w:t>); TLV-STEL: 100 ppm (410 mg/</w:t>
                </w:r>
                <w:r w:rsidR="003106B1" w:rsidRPr="00037B3B">
                  <w:t>m</w:t>
                </w:r>
                <w:r w:rsidR="003106B1" w:rsidRPr="00037B3B">
                  <w:rPr>
                    <w:vertAlign w:val="superscript"/>
                  </w:rPr>
                  <w:t>3</w:t>
                </w:r>
                <w:r w:rsidR="00037B3B">
                  <w:t>)</w:t>
                </w:r>
              </w:sdtContent>
            </w:sdt>
          </w:p>
        </w:tc>
      </w:tr>
      <w:tr w:rsidR="00C978F0" w:rsidRPr="00DA352E" w14:paraId="760EC2C5" w14:textId="77777777" w:rsidTr="00364573">
        <w:trPr>
          <w:gridAfter w:val="1"/>
          <w:wAfter w:w="8" w:type="pct"/>
        </w:trPr>
        <w:tc>
          <w:tcPr>
            <w:tcW w:w="0" w:type="pct"/>
          </w:tcPr>
          <w:p w14:paraId="523AFE78" w14:textId="46D87AC3" w:rsidR="00474849" w:rsidRDefault="00037B3B" w:rsidP="003365A5">
            <w:pPr>
              <w:pStyle w:val="Tabletextprimarysource"/>
            </w:pPr>
            <w:r>
              <w:t xml:space="preserve">TLV-TWA intended to protect for eye and respiratory tract irritation, pulmonary oedema and impaired olfactory function. </w:t>
            </w:r>
          </w:p>
          <w:p w14:paraId="792C5F9A" w14:textId="77777777" w:rsidR="00474849" w:rsidRDefault="00037B3B" w:rsidP="003365A5">
            <w:pPr>
              <w:pStyle w:val="Tabletextprimarysource"/>
            </w:pPr>
            <w:r>
              <w:t xml:space="preserve">TLV-STEL intended to protect for acute eye and respiratory tract irritation reported above 100 ppm in humans. </w:t>
            </w:r>
          </w:p>
          <w:p w14:paraId="31574633" w14:textId="67B9D61B" w:rsidR="00474849" w:rsidRDefault="00037B3B" w:rsidP="003365A5">
            <w:pPr>
              <w:pStyle w:val="Tabletextprimarysource"/>
            </w:pPr>
            <w:r>
              <w:t xml:space="preserve">Reported allergic dermatitis, erythema and skin oedema in exposed workers warrant a dermal sensitiser notation. </w:t>
            </w:r>
          </w:p>
          <w:p w14:paraId="2848E0B5" w14:textId="09B2F46A" w:rsidR="00C978F0" w:rsidRDefault="00037B3B" w:rsidP="003365A5">
            <w:pPr>
              <w:pStyle w:val="Tabletextprimarysource"/>
            </w:pPr>
            <w:r>
              <w:t>Not classifiable as a human carcinogen based on chronic animal exposure studies and limited epidemiological data.</w:t>
            </w:r>
          </w:p>
          <w:p w14:paraId="40634F46" w14:textId="32D5A34A" w:rsidR="00037B3B" w:rsidRDefault="00037B3B" w:rsidP="003365A5">
            <w:pPr>
              <w:pStyle w:val="Tabletextprimarysource"/>
            </w:pPr>
            <w:r>
              <w:t>Summary of data:</w:t>
            </w:r>
          </w:p>
          <w:p w14:paraId="48E61C1C" w14:textId="5F57AE5C" w:rsidR="00037B3B" w:rsidRDefault="00D3051A" w:rsidP="003365A5">
            <w:pPr>
              <w:pStyle w:val="Tabletextprimarysource"/>
            </w:pPr>
            <w:r>
              <w:t>TLV-TWA and TLV-STEL expected to be sufficiently low to protect for irritation and adverse pulmonary effects reported for workers above 100 ppm and rats a</w:t>
            </w:r>
            <w:r w:rsidR="00F637D9">
              <w:t>nd</w:t>
            </w:r>
            <w:r>
              <w:t xml:space="preserve"> a LOAE</w:t>
            </w:r>
            <w:r w:rsidR="00474849">
              <w:t>C</w:t>
            </w:r>
            <w:r>
              <w:t xml:space="preserve"> of 116 ppm and NOAEL of 25 ppm</w:t>
            </w:r>
            <w:r w:rsidR="0060578D">
              <w:t>.</w:t>
            </w:r>
          </w:p>
          <w:p w14:paraId="2702469D" w14:textId="5F1B16D0" w:rsidR="00037B3B" w:rsidRDefault="00037B3B" w:rsidP="003365A5">
            <w:pPr>
              <w:pStyle w:val="Tabletextprimarysource"/>
            </w:pPr>
            <w:r>
              <w:t>Human data:</w:t>
            </w:r>
          </w:p>
          <w:p w14:paraId="39C2471A" w14:textId="1AB767DA" w:rsidR="00334698" w:rsidRDefault="00334698" w:rsidP="003C4878">
            <w:pPr>
              <w:pStyle w:val="Tabletextprimarysource"/>
              <w:numPr>
                <w:ilvl w:val="0"/>
                <w:numId w:val="1"/>
              </w:numPr>
              <w:ind w:hanging="357"/>
            </w:pPr>
            <w:r>
              <w:t>Occupational health study showed time-averaged wo</w:t>
            </w:r>
            <w:r w:rsidR="00D83246">
              <w:t>rkplace concentrations at 30–65 </w:t>
            </w:r>
            <w:r>
              <w:t xml:space="preserve">ppm with excursions </w:t>
            </w:r>
            <w:r w:rsidR="00D83246">
              <w:t>at</w:t>
            </w:r>
            <w:r>
              <w:t xml:space="preserve"> 170–250 ppm; irritation complaints reported above 200 ppm</w:t>
            </w:r>
          </w:p>
          <w:p w14:paraId="18497F86" w14:textId="70D71CE9" w:rsidR="00334698" w:rsidRDefault="00334698" w:rsidP="00364573">
            <w:pPr>
              <w:pStyle w:val="Tabletextprimarysource"/>
              <w:numPr>
                <w:ilvl w:val="1"/>
                <w:numId w:val="1"/>
              </w:numPr>
              <w:ind w:left="1156" w:hanging="425"/>
            </w:pPr>
            <w:r>
              <w:t>cases of mucous membrane irritation at 125–200 ppm</w:t>
            </w:r>
            <w:r w:rsidR="001B412D">
              <w:t xml:space="preserve"> </w:t>
            </w:r>
            <w:r w:rsidR="00F637D9">
              <w:t>not con</w:t>
            </w:r>
            <w:r w:rsidR="001B412D">
              <w:t>firmed</w:t>
            </w:r>
          </w:p>
          <w:p w14:paraId="4B1366B2" w14:textId="622AB3E0" w:rsidR="00334698" w:rsidRDefault="00045470" w:rsidP="003C4878">
            <w:pPr>
              <w:pStyle w:val="Tabletextprimarysource"/>
              <w:numPr>
                <w:ilvl w:val="0"/>
                <w:numId w:val="1"/>
              </w:numPr>
              <w:ind w:hanging="357"/>
            </w:pPr>
            <w:r>
              <w:t>T</w:t>
            </w:r>
            <w:r w:rsidR="00334698">
              <w:t xml:space="preserve">ransient eye irritation </w:t>
            </w:r>
            <w:r>
              <w:t>in surgical thea</w:t>
            </w:r>
            <w:r w:rsidR="00D83246">
              <w:t xml:space="preserve">tre workers exposed </w:t>
            </w:r>
            <w:r w:rsidR="00F637D9">
              <w:t>at</w:t>
            </w:r>
            <w:r w:rsidR="00D83246">
              <w:t xml:space="preserve"> up to 77 </w:t>
            </w:r>
            <w:r>
              <w:t>ppm</w:t>
            </w:r>
          </w:p>
          <w:p w14:paraId="22CBDD7D" w14:textId="77777777" w:rsidR="00F637D9" w:rsidRDefault="008E3AB2" w:rsidP="003C4878">
            <w:pPr>
              <w:pStyle w:val="Tabletextprimarysource"/>
              <w:numPr>
                <w:ilvl w:val="0"/>
                <w:numId w:val="1"/>
              </w:numPr>
              <w:ind w:hanging="357"/>
            </w:pPr>
            <w:r>
              <w:t>Increased colon and rectal cancers in exposed product</w:t>
            </w:r>
            <w:r w:rsidR="00233485">
              <w:t>ion plant workers (n=2,524, &gt;</w:t>
            </w:r>
            <w:r>
              <w:t>10 mo)</w:t>
            </w:r>
          </w:p>
          <w:p w14:paraId="37F7F178" w14:textId="0675CEAA" w:rsidR="00F637D9" w:rsidRDefault="008E3AB2" w:rsidP="0004072D">
            <w:pPr>
              <w:pStyle w:val="Tabletextprimarysource"/>
              <w:numPr>
                <w:ilvl w:val="1"/>
                <w:numId w:val="1"/>
              </w:numPr>
              <w:ind w:left="1156" w:hanging="425"/>
            </w:pPr>
            <w:r>
              <w:t>not separable from mixed exposures</w:t>
            </w:r>
          </w:p>
          <w:p w14:paraId="1FEEF237" w14:textId="5F650FE8" w:rsidR="003C4878" w:rsidRDefault="008E3AB2" w:rsidP="0004072D">
            <w:pPr>
              <w:pStyle w:val="Tabletextprimarysource"/>
              <w:numPr>
                <w:ilvl w:val="1"/>
                <w:numId w:val="1"/>
              </w:numPr>
              <w:ind w:left="1156" w:hanging="425"/>
            </w:pPr>
            <w:r>
              <w:t xml:space="preserve">increased cancer incidence not affirmed in several similar </w:t>
            </w:r>
            <w:r w:rsidR="003C4878">
              <w:t xml:space="preserve">other </w:t>
            </w:r>
            <w:r>
              <w:t>studies (n=6,548 and 3,381)</w:t>
            </w:r>
            <w:r w:rsidR="003C4878">
              <w:t xml:space="preserve"> and epidemiological </w:t>
            </w:r>
            <w:r w:rsidR="00233485">
              <w:t>study</w:t>
            </w:r>
            <w:r w:rsidR="003C4878">
              <w:t xml:space="preserve"> (n=2,671)</w:t>
            </w:r>
          </w:p>
          <w:p w14:paraId="7B9D3A6B" w14:textId="40B83F96" w:rsidR="003C4878" w:rsidRDefault="003C4878" w:rsidP="003C4878">
            <w:pPr>
              <w:pStyle w:val="Tabletextprimarysource"/>
              <w:numPr>
                <w:ilvl w:val="0"/>
                <w:numId w:val="1"/>
              </w:numPr>
              <w:ind w:hanging="357"/>
            </w:pPr>
            <w:r>
              <w:t xml:space="preserve">Comprehensive review of workplace studies showed no adverse effects occurred after repeated average exposures </w:t>
            </w:r>
            <w:r w:rsidR="00D83246">
              <w:t>at</w:t>
            </w:r>
            <w:r>
              <w:t xml:space="preserve"> 50 ppm (8 h</w:t>
            </w:r>
            <w:r w:rsidR="00F637D9">
              <w:t>;</w:t>
            </w:r>
            <w:r w:rsidR="00D35AC2">
              <w:t xml:space="preserve"> presumably considered the </w:t>
            </w:r>
            <w:r w:rsidR="00F637D9">
              <w:t xml:space="preserve">human </w:t>
            </w:r>
            <w:r w:rsidR="00D35AC2">
              <w:t>N</w:t>
            </w:r>
            <w:r w:rsidR="00703D65">
              <w:t>O</w:t>
            </w:r>
            <w:r w:rsidR="00D35AC2">
              <w:t>AEC</w:t>
            </w:r>
            <w:r w:rsidR="00F637D9">
              <w:t>)</w:t>
            </w:r>
            <w:r>
              <w:t xml:space="preserve"> or 62–601 ppm (20 min) </w:t>
            </w:r>
          </w:p>
          <w:p w14:paraId="66A4ADCB" w14:textId="009D5778" w:rsidR="00410DFD" w:rsidRDefault="00410DFD" w:rsidP="00364573">
            <w:pPr>
              <w:pStyle w:val="Tabletextprimarysource"/>
              <w:numPr>
                <w:ilvl w:val="1"/>
                <w:numId w:val="1"/>
              </w:numPr>
              <w:ind w:left="1156" w:hanging="425"/>
            </w:pPr>
            <w:r>
              <w:t>equivocal evidence for pulmonary function impairment at exposures up to 93 ppm, mixed exposures and smoking habits were not separable from available data</w:t>
            </w:r>
          </w:p>
          <w:p w14:paraId="2F3153F6" w14:textId="2AC4F8D6" w:rsidR="00D3051A" w:rsidRDefault="00D3051A" w:rsidP="00364573">
            <w:pPr>
              <w:pStyle w:val="Tabletextprimarysource"/>
              <w:numPr>
                <w:ilvl w:val="1"/>
                <w:numId w:val="1"/>
              </w:numPr>
              <w:ind w:left="1156" w:hanging="425"/>
            </w:pPr>
            <w:r>
              <w:t>case control study showed increased OR for lung function impairment in workers (n=77), which decreased with cumulative exposure time suggesting the effects were transient rather than a chronic inflammatory response</w:t>
            </w:r>
            <w:r w:rsidR="004E36CA">
              <w:t>.</w:t>
            </w:r>
          </w:p>
          <w:p w14:paraId="391DB7B3" w14:textId="776C2532" w:rsidR="00410DFD" w:rsidRDefault="00410DFD" w:rsidP="00410DFD">
            <w:pPr>
              <w:pStyle w:val="Tabletextprimarysource"/>
              <w:numPr>
                <w:ilvl w:val="0"/>
                <w:numId w:val="1"/>
              </w:numPr>
            </w:pPr>
            <w:r>
              <w:t>Positive skin sensitisation results reported in several patch-test studies using 5–100%; positive results generally characterised by contact dermatitis, erythema and oedema</w:t>
            </w:r>
            <w:r w:rsidR="004E36CA">
              <w:t>.</w:t>
            </w:r>
          </w:p>
          <w:p w14:paraId="75EA1BD5" w14:textId="15B01BFE" w:rsidR="00037B3B" w:rsidRDefault="00037B3B" w:rsidP="003365A5">
            <w:pPr>
              <w:pStyle w:val="Tabletextprimarysource"/>
            </w:pPr>
            <w:r>
              <w:t>Animal data:</w:t>
            </w:r>
          </w:p>
          <w:p w14:paraId="7C04B293" w14:textId="6055697F" w:rsidR="00873934" w:rsidRDefault="00873934" w:rsidP="003C4878">
            <w:pPr>
              <w:pStyle w:val="Tabletextprimarysource"/>
              <w:numPr>
                <w:ilvl w:val="0"/>
                <w:numId w:val="1"/>
              </w:numPr>
            </w:pPr>
            <w:r>
              <w:t>LC</w:t>
            </w:r>
            <w:r>
              <w:rPr>
                <w:vertAlign w:val="subscript"/>
              </w:rPr>
              <w:t>50</w:t>
            </w:r>
            <w:r>
              <w:t>: 7,093 ppm (rats, 4 h); less recent acute inhalational studies report lethal air co</w:t>
            </w:r>
            <w:r w:rsidR="005E1413">
              <w:t>ncentrations between 41–48 ppm, dismissed due to measurement inaccuracies</w:t>
            </w:r>
          </w:p>
          <w:p w14:paraId="094FE7FA" w14:textId="40E78CF4" w:rsidR="00EB6FE1" w:rsidRDefault="00F03B7E" w:rsidP="00EB6FE1">
            <w:pPr>
              <w:pStyle w:val="Tabletextprimarysource"/>
              <w:numPr>
                <w:ilvl w:val="0"/>
                <w:numId w:val="1"/>
              </w:numPr>
            </w:pPr>
            <w:r>
              <w:t>LOAE</w:t>
            </w:r>
            <w:r w:rsidR="00474849">
              <w:t>C</w:t>
            </w:r>
            <w:r>
              <w:t>: 116 ppm for liver necrosis and fibrotic pulmonary oedema in sub</w:t>
            </w:r>
            <w:r w:rsidR="00D35AC2">
              <w:t>-</w:t>
            </w:r>
            <w:r>
              <w:t>chronic inhalation study (male rats, 7 h/d, 5 d/wk, 3 mo)</w:t>
            </w:r>
            <w:r w:rsidR="00E20930">
              <w:t xml:space="preserve">; no evidence for </w:t>
            </w:r>
            <w:r w:rsidR="00137359">
              <w:t>substance accumulation</w:t>
            </w:r>
          </w:p>
          <w:p w14:paraId="6425CF2C" w14:textId="642DBB6E" w:rsidR="0004072D" w:rsidRDefault="00925D79" w:rsidP="003C4878">
            <w:pPr>
              <w:pStyle w:val="Tabletextprimarysource"/>
              <w:numPr>
                <w:ilvl w:val="0"/>
                <w:numId w:val="1"/>
              </w:numPr>
            </w:pPr>
            <w:r>
              <w:t xml:space="preserve">Reduced </w:t>
            </w:r>
            <w:r w:rsidR="00D35AC2">
              <w:t>b</w:t>
            </w:r>
            <w:r w:rsidR="007B469A">
              <w:t xml:space="preserve">ody </w:t>
            </w:r>
            <w:r w:rsidR="00F637D9">
              <w:t>w</w:t>
            </w:r>
            <w:r w:rsidR="007B469A">
              <w:t>eight</w:t>
            </w:r>
            <w:r w:rsidR="00F637D9">
              <w:t xml:space="preserve"> </w:t>
            </w:r>
            <w:r>
              <w:t xml:space="preserve">at 500 and 1,000 ppm (rats, mice, 6 h/d, 5 d/wk, </w:t>
            </w:r>
            <w:r w:rsidR="006E5EEA">
              <w:t>14 wk)</w:t>
            </w:r>
          </w:p>
          <w:p w14:paraId="02C776FD" w14:textId="25139C4F" w:rsidR="00925D79" w:rsidRDefault="006E5EEA" w:rsidP="0004072D">
            <w:pPr>
              <w:pStyle w:val="Tabletextprimarysource"/>
              <w:numPr>
                <w:ilvl w:val="1"/>
                <w:numId w:val="1"/>
              </w:numPr>
              <w:ind w:left="1156" w:hanging="425"/>
            </w:pPr>
            <w:r>
              <w:t>dose-dependent mortality, cerebellar congestion, haemorrhage and nasal epithelial necrosis, sloughing and inflammation reported at 2,000–5,000 ppm</w:t>
            </w:r>
          </w:p>
          <w:p w14:paraId="51BBB944" w14:textId="79FA64C1" w:rsidR="006E5EEA" w:rsidRDefault="006E5EEA" w:rsidP="003C4878">
            <w:pPr>
              <w:pStyle w:val="Tabletextprimarysource"/>
              <w:numPr>
                <w:ilvl w:val="0"/>
                <w:numId w:val="1"/>
              </w:numPr>
            </w:pPr>
            <w:r>
              <w:lastRenderedPageBreak/>
              <w:t>No adverse effects at 100 and 400 ppm (male beagles, 6 h/d, 5 d/wk, 3 mo)</w:t>
            </w:r>
          </w:p>
          <w:p w14:paraId="4FA6C651" w14:textId="77777777" w:rsidR="0004072D" w:rsidRDefault="006E5EEA" w:rsidP="003C4878">
            <w:pPr>
              <w:pStyle w:val="Tabletextprimarysource"/>
              <w:numPr>
                <w:ilvl w:val="0"/>
                <w:numId w:val="1"/>
              </w:numPr>
            </w:pPr>
            <w:r>
              <w:t xml:space="preserve">No evidence for carcinogenic activity at </w:t>
            </w:r>
            <w:r w:rsidR="007D4005">
              <w:t>250/</w:t>
            </w:r>
            <w:r>
              <w:t xml:space="preserve">500 or </w:t>
            </w:r>
            <w:r w:rsidR="007D4005">
              <w:t>500/</w:t>
            </w:r>
            <w:r>
              <w:t>1,000 ppm (</w:t>
            </w:r>
            <w:r w:rsidR="007D4005">
              <w:t>female/</w:t>
            </w:r>
            <w:r>
              <w:t>male rats)</w:t>
            </w:r>
            <w:r w:rsidR="007D4005">
              <w:t xml:space="preserve"> and 500 or 1,000 ppm (female</w:t>
            </w:r>
            <w:r w:rsidR="00001771">
              <w:t>/</w:t>
            </w:r>
            <w:r w:rsidR="007D4005">
              <w:t>male mice) in lifetime inhalational study</w:t>
            </w:r>
          </w:p>
          <w:p w14:paraId="15F82F9C" w14:textId="7C604B9A" w:rsidR="006E5EEA" w:rsidRDefault="007D4005" w:rsidP="0004072D">
            <w:pPr>
              <w:pStyle w:val="Tabletextprimarysource"/>
              <w:numPr>
                <w:ilvl w:val="1"/>
                <w:numId w:val="1"/>
              </w:numPr>
              <w:ind w:left="1156" w:hanging="425"/>
            </w:pPr>
            <w:r>
              <w:t>dose-dependent upper respiratory tract inflammation, degeneration, and epithelial hyperplasia reported;</w:t>
            </w:r>
          </w:p>
          <w:p w14:paraId="528B6B25" w14:textId="3EE87F1F" w:rsidR="007D4005" w:rsidRDefault="007D4005" w:rsidP="00364573">
            <w:pPr>
              <w:pStyle w:val="Tabletextprimarysource"/>
              <w:numPr>
                <w:ilvl w:val="1"/>
                <w:numId w:val="1"/>
              </w:numPr>
              <w:ind w:left="1156" w:hanging="425"/>
            </w:pPr>
            <w:r>
              <w:t>similar chronic inhalation study with treatment range: 25–400 ppm found comparable toxic endpoints; NOAE</w:t>
            </w:r>
            <w:r w:rsidR="00474849">
              <w:t>C</w:t>
            </w:r>
            <w:r>
              <w:t xml:space="preserve"> of </w:t>
            </w:r>
            <w:r w:rsidR="00364573">
              <w:t>25 ppm</w:t>
            </w:r>
            <w:r>
              <w:t xml:space="preserve"> (rats, 6 h/d, 5 d/wk, 2 yr)</w:t>
            </w:r>
          </w:p>
          <w:p w14:paraId="685FB083" w14:textId="7F039251" w:rsidR="00CE4F54" w:rsidRDefault="00CE4F54" w:rsidP="003C4878">
            <w:pPr>
              <w:pStyle w:val="Tabletextprimarysource"/>
              <w:numPr>
                <w:ilvl w:val="0"/>
                <w:numId w:val="1"/>
              </w:numPr>
            </w:pPr>
            <w:r>
              <w:t>No evidence for developmental toxicity in several inhalation stud</w:t>
            </w:r>
            <w:r w:rsidR="0047653D">
              <w:t>ies at</w:t>
            </w:r>
            <w:r>
              <w:t xml:space="preserve"> 99–2,028 ppm (rats)</w:t>
            </w:r>
          </w:p>
          <w:p w14:paraId="47112A2E" w14:textId="63840B53" w:rsidR="0047653D" w:rsidRDefault="0047653D" w:rsidP="003C4878">
            <w:pPr>
              <w:pStyle w:val="Tabletextprimarysource"/>
              <w:numPr>
                <w:ilvl w:val="0"/>
                <w:numId w:val="1"/>
              </w:numPr>
            </w:pPr>
            <w:r>
              <w:t xml:space="preserve">Considered non-mutagenic </w:t>
            </w:r>
            <w:r>
              <w:rPr>
                <w:i/>
              </w:rPr>
              <w:t>in vitro</w:t>
            </w:r>
            <w:r>
              <w:t xml:space="preserve"> and </w:t>
            </w:r>
            <w:r>
              <w:rPr>
                <w:i/>
              </w:rPr>
              <w:t>in vivo</w:t>
            </w:r>
            <w:r>
              <w:t xml:space="preserve">; slight increase in frequency of chromosomal aberrations at high concentrations </w:t>
            </w:r>
            <w:r>
              <w:rPr>
                <w:i/>
              </w:rPr>
              <w:t>in vitro</w:t>
            </w:r>
            <w:r>
              <w:t xml:space="preserve"> in mouse lymphoma L5178Y and Chinese hamster ovarian cells, but not affirmed </w:t>
            </w:r>
            <w:r>
              <w:rPr>
                <w:i/>
              </w:rPr>
              <w:t>in vivo</w:t>
            </w:r>
            <w:r>
              <w:t xml:space="preserve"> in mice at 250 mg/kg (oral)</w:t>
            </w:r>
            <w:r w:rsidR="004E36CA">
              <w:t>.</w:t>
            </w:r>
          </w:p>
          <w:p w14:paraId="3BB85E43" w14:textId="77777777" w:rsidR="00474849" w:rsidRDefault="00474849" w:rsidP="003C4878">
            <w:pPr>
              <w:pStyle w:val="Tabletextprimarysource"/>
            </w:pPr>
          </w:p>
          <w:p w14:paraId="7FC2786C" w14:textId="77777777" w:rsidR="00037B3B" w:rsidRDefault="00037B3B" w:rsidP="003C4878">
            <w:pPr>
              <w:pStyle w:val="Tabletextprimarysource"/>
            </w:pPr>
            <w:r>
              <w:t>Insufficient data available to assign notations for skin absorption and respiratory sensitisation.</w:t>
            </w:r>
          </w:p>
          <w:p w14:paraId="3EEBC5C4" w14:textId="0243D802" w:rsidR="00474849" w:rsidRPr="00DA352E" w:rsidRDefault="00474849" w:rsidP="003C4878">
            <w:pPr>
              <w:pStyle w:val="Tabletextprimarysource"/>
            </w:pPr>
          </w:p>
        </w:tc>
      </w:tr>
      <w:tr w:rsidR="00C978F0" w:rsidRPr="00DA352E" w14:paraId="1F222F32" w14:textId="77777777" w:rsidTr="00DE26E8">
        <w:trPr>
          <w:gridAfter w:val="1"/>
          <w:wAfter w:w="8" w:type="pct"/>
          <w:cantSplit/>
        </w:trPr>
        <w:tc>
          <w:tcPr>
            <w:tcW w:w="4992" w:type="pct"/>
            <w:shd w:val="clear" w:color="auto" w:fill="F2F2F2" w:themeFill="background1" w:themeFillShade="F2"/>
          </w:tcPr>
          <w:p w14:paraId="2F530637" w14:textId="77777777"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9F21DA">
                  <w:t>2010</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9F21DA">
                  <w:t>MAK: 50 ppm (201 mg/m</w:t>
                </w:r>
                <w:r w:rsidR="009F21DA" w:rsidRPr="009F21DA">
                  <w:rPr>
                    <w:vertAlign w:val="superscript"/>
                  </w:rPr>
                  <w:t>3</w:t>
                </w:r>
                <w:r w:rsidR="009F21DA">
                  <w:t>)</w:t>
                </w:r>
              </w:sdtContent>
            </w:sdt>
          </w:p>
        </w:tc>
      </w:tr>
      <w:tr w:rsidR="00C978F0" w:rsidRPr="00DA352E" w14:paraId="2FE67DC7" w14:textId="77777777" w:rsidTr="0004072D">
        <w:trPr>
          <w:gridAfter w:val="1"/>
          <w:wAfter w:w="8" w:type="pct"/>
        </w:trPr>
        <w:tc>
          <w:tcPr>
            <w:tcW w:w="4992" w:type="pct"/>
          </w:tcPr>
          <w:p w14:paraId="7AE2B74F" w14:textId="2A2C4BCA" w:rsidR="00CD1534" w:rsidRDefault="00CD1534" w:rsidP="00CD1534">
            <w:pPr>
              <w:pStyle w:val="Tabletextprimarysource"/>
            </w:pPr>
            <w:r>
              <w:t>Summary of additional data:</w:t>
            </w:r>
          </w:p>
          <w:p w14:paraId="66921B0E" w14:textId="77777777" w:rsidR="00474849" w:rsidRDefault="00CD1534" w:rsidP="00CD1534">
            <w:pPr>
              <w:pStyle w:val="Tabletextprimarysource"/>
            </w:pPr>
            <w:r>
              <w:t>MAK derived from human exposure data in favour of rat inhalation data due to anatomical differences of the nasal cavity that increase susceptibility of rats to irritational effects.</w:t>
            </w:r>
            <w:r w:rsidR="004A7DD0">
              <w:t xml:space="preserve"> </w:t>
            </w:r>
          </w:p>
          <w:p w14:paraId="5B98121A" w14:textId="366F4AB7" w:rsidR="00B57532" w:rsidRDefault="004A7DD0" w:rsidP="00CD1534">
            <w:pPr>
              <w:pStyle w:val="Tabletextprimarysource"/>
            </w:pPr>
            <w:r>
              <w:t xml:space="preserve">Exposed workers showed no signs of adverse effects at average exposures of 40 ppm over 8.8 yr; irritation is reported at acute exposures of 100 ppm, therefore MAK of 50 ppm is retained. </w:t>
            </w:r>
          </w:p>
          <w:p w14:paraId="14CEC947" w14:textId="2F4159F5" w:rsidR="00B57532" w:rsidRDefault="00AB5C9F" w:rsidP="00CD1534">
            <w:pPr>
              <w:pStyle w:val="Tabletextprimarysource"/>
            </w:pPr>
            <w:r>
              <w:t xml:space="preserve">A carcinogenicity notation not warranted based on lack of evidence for carcinogenic activity in chronic animal exposure studies. </w:t>
            </w:r>
          </w:p>
          <w:p w14:paraId="01FB0227" w14:textId="77777777" w:rsidR="00B57532" w:rsidRDefault="004A7DD0" w:rsidP="00CD1534">
            <w:pPr>
              <w:pStyle w:val="Tabletextprimarysource"/>
            </w:pPr>
            <w:r>
              <w:t xml:space="preserve">Skin notation not warranted based on low </w:t>
            </w:r>
            <w:r w:rsidR="00AB5C9F">
              <w:rPr>
                <w:i/>
              </w:rPr>
              <w:t xml:space="preserve">in </w:t>
            </w:r>
            <w:r w:rsidR="00AB5C9F" w:rsidRPr="0004072D">
              <w:rPr>
                <w:i/>
              </w:rPr>
              <w:t>vitro</w:t>
            </w:r>
            <w:r w:rsidR="00AB5C9F">
              <w:t xml:space="preserve"> skin penetration rate, which would contribute minimally to overall burden relative to inhalational exposure at the MAK. </w:t>
            </w:r>
          </w:p>
          <w:p w14:paraId="00644965" w14:textId="61B89A0E" w:rsidR="00CD1534" w:rsidRDefault="00AB5C9F" w:rsidP="00CD1534">
            <w:pPr>
              <w:pStyle w:val="Tabletextprimarysource"/>
            </w:pPr>
            <w:r>
              <w:t>Dermal sensitiser notation assigned based on positive results in human and animal studies.</w:t>
            </w:r>
          </w:p>
          <w:p w14:paraId="4CE0EDA7" w14:textId="120815F4" w:rsidR="00AB5C9F" w:rsidRDefault="00AB5C9F" w:rsidP="00CD1534">
            <w:pPr>
              <w:pStyle w:val="Tabletextprimarysource"/>
            </w:pPr>
            <w:r>
              <w:t>Human data:</w:t>
            </w:r>
          </w:p>
          <w:p w14:paraId="5B3EE69D" w14:textId="1E0DDBF6" w:rsidR="00AB5C9F" w:rsidRDefault="00175A73" w:rsidP="00AB5C9F">
            <w:pPr>
              <w:pStyle w:val="Tabletextprimarysource"/>
              <w:numPr>
                <w:ilvl w:val="0"/>
                <w:numId w:val="1"/>
              </w:numPr>
            </w:pPr>
            <w:r w:rsidRPr="00175A73">
              <w:rPr>
                <w:i/>
              </w:rPr>
              <w:t xml:space="preserve">In vitro </w:t>
            </w:r>
            <w:r>
              <w:t>skin penetration rate: 274 µg/cm</w:t>
            </w:r>
            <w:r w:rsidRPr="00175A73">
              <w:rPr>
                <w:vertAlign w:val="superscript"/>
              </w:rPr>
              <w:t>2</w:t>
            </w:r>
            <w:r>
              <w:t>/h (occlusive) and 107 µg/cm</w:t>
            </w:r>
            <w:r w:rsidRPr="00175A73">
              <w:rPr>
                <w:vertAlign w:val="superscript"/>
              </w:rPr>
              <w:t>2</w:t>
            </w:r>
            <w:r>
              <w:t>/h (non-occlusive)</w:t>
            </w:r>
          </w:p>
          <w:p w14:paraId="06528B29" w14:textId="0793C65B" w:rsidR="00D12446" w:rsidRDefault="00175A73" w:rsidP="00D12446">
            <w:pPr>
              <w:pStyle w:val="Tabletextprimarysource"/>
              <w:numPr>
                <w:ilvl w:val="0"/>
                <w:numId w:val="1"/>
              </w:numPr>
            </w:pPr>
            <w:r>
              <w:t xml:space="preserve">PBPK models indicate </w:t>
            </w:r>
            <w:r w:rsidR="00D12446">
              <w:t>anatomical differences in respiratory tract result in 3–8 times lower effective exposure to nasal tissues in humans than in rats</w:t>
            </w:r>
          </w:p>
          <w:p w14:paraId="4B2D41C3" w14:textId="297FB8DC" w:rsidR="00D12446" w:rsidRDefault="00364573" w:rsidP="00D12446">
            <w:pPr>
              <w:pStyle w:val="Tabletextprimarysource"/>
              <w:numPr>
                <w:ilvl w:val="0"/>
                <w:numId w:val="1"/>
              </w:numPr>
            </w:pPr>
            <w:r>
              <w:t>CNS</w:t>
            </w:r>
            <w:r w:rsidR="00D12446">
              <w:t xml:space="preserve"> depression and hypotension reported at 36–83 ppm in exposed workers (exposure up to 11 yr); not used to derive MAK due to insufficient documentation</w:t>
            </w:r>
          </w:p>
          <w:p w14:paraId="110EB060" w14:textId="23E39861" w:rsidR="00D12446" w:rsidRDefault="00553766" w:rsidP="00D12446">
            <w:pPr>
              <w:pStyle w:val="Tabletextprimarysource"/>
              <w:numPr>
                <w:ilvl w:val="0"/>
                <w:numId w:val="1"/>
              </w:numPr>
            </w:pPr>
            <w:r>
              <w:t xml:space="preserve">No irritation effects at 40 ppm in exposed workers at acrylic sheet production plant; irritation reported at acute exposures </w:t>
            </w:r>
            <w:r w:rsidR="00364573">
              <w:t>&gt;</w:t>
            </w:r>
            <w:r>
              <w:t>100 ppm</w:t>
            </w:r>
          </w:p>
          <w:p w14:paraId="7A3C38E6" w14:textId="4F14DD17" w:rsidR="00553766" w:rsidRDefault="00553766" w:rsidP="00D12446">
            <w:pPr>
              <w:pStyle w:val="Tabletextprimarysource"/>
              <w:numPr>
                <w:ilvl w:val="0"/>
                <w:numId w:val="1"/>
              </w:numPr>
            </w:pPr>
            <w:r>
              <w:t>No olfactory impairment in production plant workers chronically exposed to 50 ppm (n=175)</w:t>
            </w:r>
          </w:p>
          <w:p w14:paraId="6E729139" w14:textId="1F96D759" w:rsidR="00553766" w:rsidRDefault="00553766" w:rsidP="00D12446">
            <w:pPr>
              <w:pStyle w:val="Tabletextprimarysource"/>
              <w:numPr>
                <w:ilvl w:val="0"/>
                <w:numId w:val="1"/>
              </w:numPr>
            </w:pPr>
            <w:r>
              <w:t>Slight respiratory obstruction and chronic coughing in 8/40 workers exposed to average concentrations of 18.5–21.6 ppm over 5–10 yr; not considered in MAK derivation due to use of static monitoring devices</w:t>
            </w:r>
          </w:p>
          <w:p w14:paraId="62B35972" w14:textId="50C7FECF" w:rsidR="0036479B" w:rsidRDefault="0036479B" w:rsidP="00D12446">
            <w:pPr>
              <w:pStyle w:val="Tabletextprimarysource"/>
              <w:numPr>
                <w:ilvl w:val="0"/>
                <w:numId w:val="1"/>
              </w:numPr>
            </w:pPr>
            <w:r>
              <w:t>Positive respiratory sensitisation in isolated cases of chronically exposed workers; these patients presented dyspnoea and wheezing when challenged with pure or diluted substance in prick- or patch-tests</w:t>
            </w:r>
          </w:p>
          <w:p w14:paraId="2387263D" w14:textId="5535619E" w:rsidR="0036479B" w:rsidRDefault="0036479B" w:rsidP="00D12446">
            <w:pPr>
              <w:pStyle w:val="Tabletextprimarysource"/>
              <w:numPr>
                <w:ilvl w:val="0"/>
                <w:numId w:val="1"/>
              </w:numPr>
            </w:pPr>
            <w:r>
              <w:t>No evidence for carcinogenic activity in epidemiological studies of acrylic sheet production workers (also cited by ACGIH, 2018)</w:t>
            </w:r>
            <w:r w:rsidR="00001771">
              <w:t>.</w:t>
            </w:r>
          </w:p>
          <w:p w14:paraId="2B84D50F" w14:textId="2FB1A3AD" w:rsidR="00AB5C9F" w:rsidRDefault="00AB5C9F" w:rsidP="00CD1534">
            <w:pPr>
              <w:pStyle w:val="Tabletextprimarysource"/>
            </w:pPr>
            <w:r>
              <w:t>Animal data:</w:t>
            </w:r>
          </w:p>
          <w:p w14:paraId="4CA990F0" w14:textId="78D03570" w:rsidR="0036479B" w:rsidRDefault="0036479B" w:rsidP="009A17F2">
            <w:pPr>
              <w:pStyle w:val="Tabletextprimarysource"/>
              <w:numPr>
                <w:ilvl w:val="0"/>
                <w:numId w:val="1"/>
              </w:numPr>
            </w:pPr>
            <w:r>
              <w:t>LD</w:t>
            </w:r>
            <w:r>
              <w:rPr>
                <w:vertAlign w:val="subscript"/>
              </w:rPr>
              <w:t>50</w:t>
            </w:r>
            <w:r w:rsidR="00E608B7" w:rsidRPr="00E608B7">
              <w:t>:</w:t>
            </w:r>
            <w:r>
              <w:t xml:space="preserve"> &gt;5,000 mg/kg (rabbits</w:t>
            </w:r>
            <w:r w:rsidR="00E608B7">
              <w:t>, dermal</w:t>
            </w:r>
            <w:r>
              <w:t>)</w:t>
            </w:r>
          </w:p>
          <w:p w14:paraId="00CB2F6A" w14:textId="1A492344" w:rsidR="0036479B" w:rsidRDefault="0036479B" w:rsidP="009A17F2">
            <w:pPr>
              <w:pStyle w:val="Tabletextprimarysource"/>
              <w:numPr>
                <w:ilvl w:val="0"/>
                <w:numId w:val="1"/>
              </w:numPr>
            </w:pPr>
            <w:r>
              <w:t>Positive dermal sensitisation results in maximisation test, induction using 10% in olive oil and challenge</w:t>
            </w:r>
            <w:r w:rsidR="00E13018">
              <w:t>d</w:t>
            </w:r>
            <w:r>
              <w:t xml:space="preserve"> </w:t>
            </w:r>
            <w:r w:rsidR="00E13018">
              <w:t>with 1% in olive oil (guinea pigs)</w:t>
            </w:r>
          </w:p>
          <w:p w14:paraId="5B0B00B0" w14:textId="669F0E29" w:rsidR="00175A73" w:rsidRDefault="00175A73" w:rsidP="009A17F2">
            <w:pPr>
              <w:pStyle w:val="Tabletextprimarysource"/>
              <w:numPr>
                <w:ilvl w:val="0"/>
                <w:numId w:val="1"/>
              </w:numPr>
            </w:pPr>
            <w:r>
              <w:lastRenderedPageBreak/>
              <w:t>10–20% deposition and metabolism in lower respiratory tract following inhalational dose of 21, 104, or 538</w:t>
            </w:r>
            <w:r w:rsidR="00001771">
              <w:t xml:space="preserve"> </w:t>
            </w:r>
            <w:r>
              <w:t>ppm (rats)</w:t>
            </w:r>
          </w:p>
          <w:p w14:paraId="11FA347B" w14:textId="24C69298" w:rsidR="00C978F0" w:rsidRDefault="009A17F2" w:rsidP="009A17F2">
            <w:pPr>
              <w:pStyle w:val="Tabletextprimarysource"/>
              <w:numPr>
                <w:ilvl w:val="0"/>
                <w:numId w:val="1"/>
              </w:numPr>
            </w:pPr>
            <w:r>
              <w:t xml:space="preserve">Negative mutagenicity results </w:t>
            </w:r>
            <w:r w:rsidRPr="009A17F2">
              <w:rPr>
                <w:i/>
              </w:rPr>
              <w:t>i</w:t>
            </w:r>
            <w:r>
              <w:rPr>
                <w:i/>
              </w:rPr>
              <w:t>n vivo</w:t>
            </w:r>
            <w:r>
              <w:t xml:space="preserve"> considered inadequate to dismiss clastogenicity observed </w:t>
            </w:r>
            <w:r>
              <w:rPr>
                <w:i/>
              </w:rPr>
              <w:t>in vitro</w:t>
            </w:r>
            <w:r>
              <w:t xml:space="preserve"> (mice, also cited in ACGIH, 2018)</w:t>
            </w:r>
            <w:r w:rsidR="00001771">
              <w:t>.</w:t>
            </w:r>
          </w:p>
          <w:p w14:paraId="70F288E3" w14:textId="77777777" w:rsidR="00474849" w:rsidRDefault="00474849" w:rsidP="00900F7C">
            <w:pPr>
              <w:pStyle w:val="Tabletextprimarysource"/>
            </w:pPr>
          </w:p>
          <w:p w14:paraId="5D8CE390" w14:textId="77777777" w:rsidR="009A17F2" w:rsidRDefault="00724F1A" w:rsidP="00724F1A">
            <w:pPr>
              <w:pStyle w:val="Tabletextprimarysource"/>
            </w:pPr>
            <w:r>
              <w:t xml:space="preserve">Insufficient </w:t>
            </w:r>
            <w:r w:rsidR="0036479B">
              <w:t>data to recommend respiratory sensitisation notation.</w:t>
            </w:r>
          </w:p>
          <w:p w14:paraId="7D794204" w14:textId="62CC956A" w:rsidR="00474849" w:rsidRPr="009A17F2" w:rsidRDefault="00474849" w:rsidP="00724F1A">
            <w:pPr>
              <w:pStyle w:val="Tabletextprimarysource"/>
            </w:pPr>
          </w:p>
        </w:tc>
      </w:tr>
      <w:tr w:rsidR="00C978F0" w:rsidRPr="00DA352E" w14:paraId="56EB9B93" w14:textId="77777777" w:rsidTr="00DE26E8">
        <w:trPr>
          <w:gridAfter w:val="1"/>
          <w:wAfter w:w="8" w:type="pct"/>
          <w:cantSplit/>
        </w:trPr>
        <w:tc>
          <w:tcPr>
            <w:tcW w:w="4992" w:type="pct"/>
            <w:shd w:val="clear" w:color="auto" w:fill="F2F2F2" w:themeFill="background1" w:themeFillShade="F2"/>
          </w:tcPr>
          <w:p w14:paraId="38740B8B" w14:textId="0BE989ED" w:rsidR="00C978F0" w:rsidRPr="00DA352E" w:rsidRDefault="00DA352E" w:rsidP="0051509C">
            <w:pPr>
              <w:pStyle w:val="Tablerowheadingitalic"/>
              <w:tabs>
                <w:tab w:val="clear" w:pos="2268"/>
                <w:tab w:val="clear" w:pos="5670"/>
                <w:tab w:val="left" w:pos="1418"/>
                <w:tab w:val="left" w:pos="2552"/>
              </w:tabs>
            </w:pPr>
            <w:r w:rsidRPr="00DA352E">
              <w:lastRenderedPageBreak/>
              <w:t>SCOEL</w:t>
            </w:r>
            <w:r w:rsidR="00916EC0" w:rsidRPr="003365A5">
              <w:t xml:space="preserve"> </w:t>
            </w:r>
            <w:r w:rsidR="00916EC0" w:rsidRPr="003365A5">
              <w:tab/>
            </w:r>
            <w:sdt>
              <w:sdtPr>
                <w:id w:val="-768699850"/>
                <w:placeholder>
                  <w:docPart w:val="FDC2A24E7D2549238DA6EE03BD0A6AE0"/>
                </w:placeholder>
                <w:text/>
              </w:sdtPr>
              <w:sdtEndPr/>
              <w:sdtContent>
                <w:r w:rsidR="002C2392">
                  <w:t>2006</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2C2392">
                  <w:t>TWA: 50 ppm</w:t>
                </w:r>
                <w:r w:rsidR="00E608B7">
                  <w:t xml:space="preserve"> (201 mg/m</w:t>
                </w:r>
                <w:r w:rsidR="00E608B7" w:rsidRPr="009F21DA">
                  <w:rPr>
                    <w:vertAlign w:val="superscript"/>
                  </w:rPr>
                  <w:t>3</w:t>
                </w:r>
                <w:r w:rsidR="00E608B7" w:rsidRPr="00E608B7">
                  <w:t>)</w:t>
                </w:r>
                <w:r w:rsidR="002C2392">
                  <w:t xml:space="preserve">; </w:t>
                </w:r>
                <w:r w:rsidR="00E13018">
                  <w:t>STEL</w:t>
                </w:r>
                <w:r w:rsidR="002C2392">
                  <w:t>: 100 ppm</w:t>
                </w:r>
                <w:r w:rsidR="00E608B7">
                  <w:t xml:space="preserve"> (402 mg/m</w:t>
                </w:r>
                <w:r w:rsidR="00E608B7" w:rsidRPr="009F21DA">
                  <w:rPr>
                    <w:vertAlign w:val="superscript"/>
                  </w:rPr>
                  <w:t>3</w:t>
                </w:r>
                <w:r w:rsidR="00E608B7" w:rsidRPr="00ED026A">
                  <w:t>)</w:t>
                </w:r>
                <w:r w:rsidR="00E608B7">
                  <w:t>;</w:t>
                </w:r>
              </w:sdtContent>
            </w:sdt>
          </w:p>
        </w:tc>
      </w:tr>
      <w:tr w:rsidR="00C978F0" w:rsidRPr="00DA352E" w14:paraId="7DD21B4F" w14:textId="77777777" w:rsidTr="00DE26E8">
        <w:trPr>
          <w:gridAfter w:val="1"/>
          <w:wAfter w:w="8" w:type="pct"/>
          <w:cantSplit/>
        </w:trPr>
        <w:tc>
          <w:tcPr>
            <w:tcW w:w="4992" w:type="pct"/>
          </w:tcPr>
          <w:p w14:paraId="4DDC643A" w14:textId="77777777" w:rsidR="00C978F0" w:rsidRDefault="00E13018" w:rsidP="003365A5">
            <w:pPr>
              <w:pStyle w:val="Tabletextprimarysource"/>
            </w:pPr>
            <w:r>
              <w:t>Summary of additional data:</w:t>
            </w:r>
          </w:p>
          <w:p w14:paraId="11133039" w14:textId="769B4E11" w:rsidR="00B57532" w:rsidRDefault="00B57532" w:rsidP="003365A5">
            <w:pPr>
              <w:pStyle w:val="Tabletextprimarysource"/>
            </w:pPr>
            <w:r>
              <w:t xml:space="preserve">Recommended TWA based on weight of evidence of human and animal exposure data. Several workplace studies indicate exposure </w:t>
            </w:r>
            <w:r w:rsidR="00D83246">
              <w:t>at</w:t>
            </w:r>
            <w:r>
              <w:t xml:space="preserve"> 50 ppm does not cause adverse </w:t>
            </w:r>
            <w:r w:rsidR="0081421F">
              <w:t>respiratory</w:t>
            </w:r>
            <w:r>
              <w:t xml:space="preserve"> effects, supported by a NOAEL of 25 ppm for slight degeneration of the nasal epithelium </w:t>
            </w:r>
            <w:r w:rsidR="0081421F">
              <w:t xml:space="preserve">in rats </w:t>
            </w:r>
            <w:r>
              <w:t>with a corresponding LOAEL of 100 ppm (also cited in ACGIH, 2018)</w:t>
            </w:r>
            <w:r w:rsidR="00474849">
              <w:t>.</w:t>
            </w:r>
            <w:r>
              <w:t xml:space="preserve"> PBPK modelling suggests the human respiratory tract would be at least 3 times less sensitive to these effects than that of rats (also cited in DFG, 2010).</w:t>
            </w:r>
          </w:p>
          <w:p w14:paraId="734F5A7B" w14:textId="1BDF1A9B" w:rsidR="00B57532" w:rsidRDefault="00B57532" w:rsidP="003365A5">
            <w:pPr>
              <w:pStyle w:val="Tabletextprimarysource"/>
            </w:pPr>
            <w:r>
              <w:t xml:space="preserve">The recommended STEL is based on reports of sensory irritation in workers exposed to concentrations </w:t>
            </w:r>
            <w:r w:rsidR="00E608B7">
              <w:t>&gt;</w:t>
            </w:r>
            <w:r>
              <w:t>100 ppm.</w:t>
            </w:r>
          </w:p>
          <w:p w14:paraId="56347F6A" w14:textId="041145C1" w:rsidR="0016183A" w:rsidRDefault="00291AC9" w:rsidP="003365A5">
            <w:pPr>
              <w:pStyle w:val="Tabletextprimarysource"/>
            </w:pPr>
            <w:r>
              <w:t>S</w:t>
            </w:r>
            <w:r w:rsidR="0016183A">
              <w:t>kin notation not warranted based on low systemic toxicity and low dermal penetration rate.</w:t>
            </w:r>
          </w:p>
          <w:p w14:paraId="2F92D8DD" w14:textId="489A4347" w:rsidR="0016183A" w:rsidRDefault="0016183A" w:rsidP="003365A5">
            <w:pPr>
              <w:pStyle w:val="Tabletextprimarysource"/>
            </w:pPr>
            <w:r>
              <w:t>Despite demonstrated dermal sensitisation potential, inadequate evidence for asthma induction in exposed individuals does not warrant a sensitisation notation.</w:t>
            </w:r>
          </w:p>
          <w:p w14:paraId="65B9BC59" w14:textId="62E8F5C8" w:rsidR="00291AC9" w:rsidRDefault="00291AC9" w:rsidP="003365A5">
            <w:pPr>
              <w:pStyle w:val="Tabletextprimarysource"/>
            </w:pPr>
            <w:r>
              <w:t>Human data:</w:t>
            </w:r>
          </w:p>
          <w:p w14:paraId="1E29E7A7" w14:textId="3EAEDFB9" w:rsidR="00291AC9" w:rsidRDefault="00291AC9" w:rsidP="00291AC9">
            <w:pPr>
              <w:pStyle w:val="Tabletextprimarysource"/>
              <w:numPr>
                <w:ilvl w:val="0"/>
                <w:numId w:val="1"/>
              </w:numPr>
            </w:pPr>
            <w:r>
              <w:t>Sensory irritation threshold not established in humans</w:t>
            </w:r>
            <w:r w:rsidR="00474849">
              <w:t xml:space="preserve">; </w:t>
            </w:r>
            <w:r>
              <w:t>expected to be near 100 ppm</w:t>
            </w:r>
          </w:p>
          <w:p w14:paraId="4A5F17DB" w14:textId="2105F01D" w:rsidR="00291AC9" w:rsidRDefault="00291AC9" w:rsidP="00291AC9">
            <w:pPr>
              <w:pStyle w:val="Tabletextprimarysource"/>
              <w:numPr>
                <w:ilvl w:val="0"/>
                <w:numId w:val="1"/>
              </w:numPr>
            </w:pPr>
            <w:r>
              <w:t xml:space="preserve">Equivocal evidence for respiratory sensitisation, whereby </w:t>
            </w:r>
            <w:r w:rsidR="007236A2">
              <w:t xml:space="preserve">expressed </w:t>
            </w:r>
            <w:r>
              <w:t xml:space="preserve">symptoms may be due to local irritation effects at high transient concentrations rather than </w:t>
            </w:r>
            <w:r w:rsidR="007236A2">
              <w:t>asthmatic reaction</w:t>
            </w:r>
          </w:p>
          <w:p w14:paraId="70A180DF" w14:textId="24D9996F" w:rsidR="00CD54F8" w:rsidRDefault="007236A2" w:rsidP="0081421F">
            <w:pPr>
              <w:pStyle w:val="Tabletextprimarysource"/>
              <w:numPr>
                <w:ilvl w:val="0"/>
                <w:numId w:val="1"/>
              </w:numPr>
            </w:pPr>
            <w:r>
              <w:t>Workplace study of polymerisation plant showed no adverse respiratory effects or pulmonary function deficiencies in workers at average concentrations of 50 ppm with brief peak exposures up to 500 ppm (also cited in ACGIH, 2018)</w:t>
            </w:r>
            <w:r w:rsidR="00001771">
              <w:t>.</w:t>
            </w:r>
          </w:p>
          <w:p w14:paraId="4F07F65F" w14:textId="07370B50" w:rsidR="00B57532" w:rsidRDefault="00B57532" w:rsidP="003365A5">
            <w:pPr>
              <w:pStyle w:val="Tabletextprimarysource"/>
            </w:pPr>
            <w:r>
              <w:t>Animal data:</w:t>
            </w:r>
          </w:p>
          <w:p w14:paraId="55219718" w14:textId="77777777" w:rsidR="00E13018" w:rsidRDefault="00B57532" w:rsidP="00B57532">
            <w:pPr>
              <w:pStyle w:val="Tabletextprimarysource"/>
              <w:numPr>
                <w:ilvl w:val="0"/>
                <w:numId w:val="1"/>
              </w:numPr>
            </w:pPr>
            <w:r>
              <w:t xml:space="preserve">Respiratory tract irritation caused by local </w:t>
            </w:r>
            <w:r w:rsidR="00291AC9">
              <w:t>enzymatic hydrolysis</w:t>
            </w:r>
            <w:r>
              <w:t xml:space="preserve"> to methacrylic acid, which </w:t>
            </w:r>
            <w:r w:rsidR="00291AC9">
              <w:t>causes</w:t>
            </w:r>
            <w:r>
              <w:t xml:space="preserve"> </w:t>
            </w:r>
            <w:r w:rsidR="00291AC9">
              <w:t xml:space="preserve">nasal </w:t>
            </w:r>
            <w:r>
              <w:t>epit</w:t>
            </w:r>
            <w:r w:rsidR="00291AC9">
              <w:t>helial degeneration</w:t>
            </w:r>
          </w:p>
          <w:p w14:paraId="79021DCD" w14:textId="77777777" w:rsidR="00291AC9" w:rsidRDefault="00291AC9" w:rsidP="00B57532">
            <w:pPr>
              <w:pStyle w:val="Tabletextprimarysource"/>
              <w:numPr>
                <w:ilvl w:val="0"/>
                <w:numId w:val="1"/>
              </w:numPr>
            </w:pPr>
            <w:r>
              <w:t>Positive sensitisation results in maximisation test (guinea pigs)</w:t>
            </w:r>
          </w:p>
          <w:p w14:paraId="47A9B3B8" w14:textId="77777777" w:rsidR="0081421F" w:rsidRDefault="0081421F" w:rsidP="00B57532">
            <w:pPr>
              <w:pStyle w:val="Tabletextprimarysource"/>
              <w:numPr>
                <w:ilvl w:val="0"/>
                <w:numId w:val="1"/>
              </w:numPr>
            </w:pPr>
            <w:r>
              <w:t xml:space="preserve">Non-mutagenic </w:t>
            </w:r>
            <w:r>
              <w:rPr>
                <w:i/>
              </w:rPr>
              <w:t xml:space="preserve">in vitro </w:t>
            </w:r>
            <w:r>
              <w:t xml:space="preserve">and </w:t>
            </w:r>
            <w:r>
              <w:rPr>
                <w:i/>
              </w:rPr>
              <w:t>in vivo</w:t>
            </w:r>
            <w:r>
              <w:t xml:space="preserve">; clastogenicity reported </w:t>
            </w:r>
            <w:r>
              <w:rPr>
                <w:i/>
              </w:rPr>
              <w:t>in vitro</w:t>
            </w:r>
            <w:r>
              <w:t xml:space="preserve"> in mammalian cell cultures at cytotoxic concentrations </w:t>
            </w:r>
          </w:p>
          <w:p w14:paraId="6F6759F8" w14:textId="77777777" w:rsidR="0081421F" w:rsidRDefault="0081421F" w:rsidP="00B57532">
            <w:pPr>
              <w:pStyle w:val="Tabletextprimarysource"/>
              <w:numPr>
                <w:ilvl w:val="0"/>
                <w:numId w:val="1"/>
              </w:numPr>
            </w:pPr>
            <w:r>
              <w:t>Negligible toxicity to fertility expected due to absence of systemic effects in repeat dose animal studies</w:t>
            </w:r>
          </w:p>
          <w:p w14:paraId="7661A04A" w14:textId="55C999DE" w:rsidR="0081421F" w:rsidRDefault="0081421F" w:rsidP="00B57532">
            <w:pPr>
              <w:pStyle w:val="Tabletextprimarysource"/>
              <w:numPr>
                <w:ilvl w:val="0"/>
                <w:numId w:val="1"/>
              </w:numPr>
            </w:pPr>
            <w:r>
              <w:t xml:space="preserve">No evidence for developmental toxicity at 2,028 ppm (rats, 6 h/d, </w:t>
            </w:r>
            <w:r w:rsidR="00474849">
              <w:t>GD</w:t>
            </w:r>
            <w:r>
              <w:t xml:space="preserve"> 5–16, also cited in ACGIH, 2018).</w:t>
            </w:r>
          </w:p>
          <w:p w14:paraId="27BC4C91" w14:textId="12C04D49" w:rsidR="00474849" w:rsidRPr="00DA352E" w:rsidRDefault="00474849" w:rsidP="00900F7C">
            <w:pPr>
              <w:pStyle w:val="Tabletextprimarysource"/>
            </w:pPr>
          </w:p>
        </w:tc>
      </w:tr>
      <w:tr w:rsidR="00DA352E" w:rsidRPr="00DA352E" w14:paraId="2C530989" w14:textId="77777777" w:rsidTr="00DE26E8">
        <w:trPr>
          <w:gridAfter w:val="1"/>
          <w:wAfter w:w="8" w:type="pct"/>
          <w:cantSplit/>
        </w:trPr>
        <w:tc>
          <w:tcPr>
            <w:tcW w:w="4992" w:type="pct"/>
            <w:shd w:val="clear" w:color="auto" w:fill="F2F2F2" w:themeFill="background1" w:themeFillShade="F2"/>
          </w:tcPr>
          <w:p w14:paraId="006E8E3A" w14:textId="77777777"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062067">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062067">
                  <w:t>NA</w:t>
                </w:r>
              </w:sdtContent>
            </w:sdt>
          </w:p>
        </w:tc>
      </w:tr>
      <w:tr w:rsidR="00DA352E" w:rsidRPr="00DA352E" w14:paraId="376B666E" w14:textId="77777777" w:rsidTr="00DE26E8">
        <w:trPr>
          <w:gridAfter w:val="1"/>
          <w:wAfter w:w="8" w:type="pct"/>
          <w:cantSplit/>
        </w:trPr>
        <w:tc>
          <w:tcPr>
            <w:tcW w:w="4992" w:type="pct"/>
          </w:tcPr>
          <w:p w14:paraId="08A184AC" w14:textId="6BF1E753" w:rsidR="00DA352E" w:rsidRPr="00DA352E" w:rsidRDefault="00062067" w:rsidP="003365A5">
            <w:pPr>
              <w:pStyle w:val="Tabletextprimarysource"/>
            </w:pPr>
            <w:r>
              <w:t>No report</w:t>
            </w:r>
            <w:r w:rsidR="004E36CA">
              <w:t>.</w:t>
            </w:r>
          </w:p>
        </w:tc>
      </w:tr>
      <w:tr w:rsidR="00DA352E" w:rsidRPr="00DA352E" w14:paraId="3741EEF9" w14:textId="77777777" w:rsidTr="00DE26E8">
        <w:trPr>
          <w:gridAfter w:val="1"/>
          <w:wAfter w:w="8" w:type="pct"/>
          <w:cantSplit/>
        </w:trPr>
        <w:tc>
          <w:tcPr>
            <w:tcW w:w="4992" w:type="pct"/>
            <w:shd w:val="clear" w:color="auto" w:fill="F2F2F2" w:themeFill="background1" w:themeFillShade="F2"/>
          </w:tcPr>
          <w:p w14:paraId="2E45650A" w14:textId="77777777"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062067">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062067">
                  <w:t>NA</w:t>
                </w:r>
              </w:sdtContent>
            </w:sdt>
          </w:p>
        </w:tc>
      </w:tr>
      <w:tr w:rsidR="00DA352E" w:rsidRPr="00DA352E" w14:paraId="10BF4D02" w14:textId="77777777" w:rsidTr="00DE26E8">
        <w:trPr>
          <w:gridAfter w:val="1"/>
          <w:wAfter w:w="8" w:type="pct"/>
          <w:cantSplit/>
        </w:trPr>
        <w:tc>
          <w:tcPr>
            <w:tcW w:w="4992" w:type="pct"/>
          </w:tcPr>
          <w:p w14:paraId="7779A517" w14:textId="3A445E34" w:rsidR="00DA352E" w:rsidRPr="00DA352E" w:rsidRDefault="00062067" w:rsidP="003365A5">
            <w:pPr>
              <w:pStyle w:val="Tabletextprimarysource"/>
            </w:pPr>
            <w:r>
              <w:t>No report</w:t>
            </w:r>
            <w:r w:rsidR="004E36CA">
              <w:t>.</w:t>
            </w:r>
          </w:p>
        </w:tc>
      </w:tr>
    </w:tbl>
    <w:p w14:paraId="15F9FDB3" w14:textId="77777777" w:rsidR="00A20751" w:rsidRPr="004C23F4" w:rsidRDefault="00A20751" w:rsidP="00900F7C">
      <w:pPr>
        <w:pStyle w:val="Heading3"/>
        <w:keepNext w:val="0"/>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88"/>
        <w:gridCol w:w="421"/>
        <w:gridCol w:w="661"/>
        <w:gridCol w:w="6456"/>
      </w:tblGrid>
      <w:tr w:rsidR="00BB7426" w:rsidRPr="00263255" w14:paraId="56198888" w14:textId="77777777" w:rsidTr="00E608B7">
        <w:trPr>
          <w:cantSplit/>
          <w:trHeight w:val="393"/>
          <w:tblHeader/>
        </w:trPr>
        <w:tc>
          <w:tcPr>
            <w:tcW w:w="1488" w:type="dxa"/>
            <w:shd w:val="clear" w:color="auto" w:fill="BFBFBF" w:themeFill="background1" w:themeFillShade="BF"/>
            <w:vAlign w:val="center"/>
          </w:tcPr>
          <w:p w14:paraId="328689CE" w14:textId="77777777" w:rsidR="004966BF" w:rsidRPr="00263255" w:rsidRDefault="004966BF" w:rsidP="00900F7C">
            <w:pPr>
              <w:pStyle w:val="Tableheader"/>
            </w:pPr>
            <w:r w:rsidRPr="00263255">
              <w:lastRenderedPageBreak/>
              <w:t>Source</w:t>
            </w:r>
          </w:p>
        </w:tc>
        <w:tc>
          <w:tcPr>
            <w:tcW w:w="421" w:type="dxa"/>
            <w:shd w:val="clear" w:color="auto" w:fill="BFBFBF" w:themeFill="background1" w:themeFillShade="BF"/>
            <w:vAlign w:val="center"/>
          </w:tcPr>
          <w:p w14:paraId="6E616C24" w14:textId="77777777" w:rsidR="004966BF" w:rsidRPr="00263255" w:rsidRDefault="004966BF" w:rsidP="00900F7C">
            <w:pPr>
              <w:pStyle w:val="Tableheader"/>
            </w:pPr>
          </w:p>
        </w:tc>
        <w:tc>
          <w:tcPr>
            <w:tcW w:w="661" w:type="dxa"/>
            <w:shd w:val="clear" w:color="auto" w:fill="BFBFBF" w:themeFill="background1" w:themeFillShade="BF"/>
            <w:vAlign w:val="center"/>
          </w:tcPr>
          <w:p w14:paraId="2A7E85C9" w14:textId="77777777" w:rsidR="004966BF" w:rsidRPr="00263255" w:rsidRDefault="004966BF" w:rsidP="00900F7C">
            <w:pPr>
              <w:pStyle w:val="Tableheader"/>
            </w:pPr>
            <w:r>
              <w:t>Year</w:t>
            </w:r>
          </w:p>
        </w:tc>
        <w:tc>
          <w:tcPr>
            <w:tcW w:w="6456" w:type="dxa"/>
            <w:shd w:val="clear" w:color="auto" w:fill="BFBFBF" w:themeFill="background1" w:themeFillShade="BF"/>
            <w:vAlign w:val="center"/>
          </w:tcPr>
          <w:p w14:paraId="52DF284A" w14:textId="77777777" w:rsidR="004966BF" w:rsidRPr="00263255" w:rsidRDefault="004966BF" w:rsidP="00900F7C">
            <w:pPr>
              <w:pStyle w:val="Tableheader"/>
            </w:pPr>
            <w:r>
              <w:t>Additional information</w:t>
            </w:r>
          </w:p>
        </w:tc>
      </w:tr>
      <w:tr w:rsidR="00223EB8" w:rsidRPr="004C23F4" w14:paraId="500162FE" w14:textId="77777777" w:rsidTr="00900F7C">
        <w:tc>
          <w:tcPr>
            <w:tcW w:w="1488" w:type="dxa"/>
          </w:tcPr>
          <w:p w14:paraId="3DDE312E" w14:textId="77777777" w:rsidR="004966BF" w:rsidRPr="004C23F4" w:rsidRDefault="004966BF" w:rsidP="00900F7C">
            <w:pPr>
              <w:pStyle w:val="Tablefont"/>
            </w:pPr>
            <w:r>
              <w:t>NICNAS</w:t>
            </w:r>
          </w:p>
        </w:tc>
        <w:tc>
          <w:tcPr>
            <w:tcW w:w="421" w:type="dxa"/>
          </w:tcPr>
          <w:p w14:paraId="101181D0" w14:textId="00FF8241" w:rsidR="004966BF" w:rsidRPr="00CE617F" w:rsidRDefault="00DB0D98" w:rsidP="00900F7C">
            <w:pPr>
              <w:spacing w:before="40"/>
              <w:jc w:val="center"/>
              <w:rPr>
                <w:rStyle w:val="checkbox"/>
                <w:lang w:eastAsia="en-AU"/>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BB7426">
                  <w:rPr>
                    <w:rStyle w:val="checkbox"/>
                  </w:rPr>
                  <w:t></w:t>
                </w:r>
              </w:sdtContent>
            </w:sdt>
          </w:p>
        </w:tc>
        <w:tc>
          <w:tcPr>
            <w:tcW w:w="661" w:type="dxa"/>
          </w:tcPr>
          <w:p w14:paraId="0AADC2B6" w14:textId="08F135FB" w:rsidR="004966BF" w:rsidRPr="004C23F4" w:rsidRDefault="009531ED" w:rsidP="00900F7C">
            <w:pPr>
              <w:pStyle w:val="Tablefont"/>
              <w:rPr>
                <w:rStyle w:val="checkbox"/>
                <w:rFonts w:ascii="Arial" w:hAnsi="Arial" w:cs="Arial"/>
                <w:lang w:eastAsia="en-US"/>
              </w:rPr>
            </w:pPr>
            <w:r>
              <w:rPr>
                <w:rStyle w:val="checkbox"/>
                <w:rFonts w:ascii="Arial" w:hAnsi="Arial" w:cs="Arial"/>
              </w:rPr>
              <w:t>2014</w:t>
            </w:r>
          </w:p>
        </w:tc>
        <w:tc>
          <w:tcPr>
            <w:tcW w:w="6456" w:type="dxa"/>
          </w:tcPr>
          <w:p w14:paraId="2055B030" w14:textId="76C10B82" w:rsidR="00E92DCA" w:rsidRPr="00E92DCA" w:rsidRDefault="00BB7426" w:rsidP="00900F7C">
            <w:pPr>
              <w:pStyle w:val="Tablefont"/>
              <w:numPr>
                <w:ilvl w:val="0"/>
                <w:numId w:val="1"/>
              </w:numPr>
              <w:rPr>
                <w:rFonts w:cs="Arial"/>
              </w:rPr>
            </w:pPr>
            <w:r>
              <w:rPr>
                <w:rFonts w:cs="Arial"/>
              </w:rPr>
              <w:t>Skin and respiratory irritation, asthmatic reactions and local neurological symptoms (not specified) reported in exposed w</w:t>
            </w:r>
            <w:r w:rsidR="00E92DCA" w:rsidRPr="00E92DCA">
              <w:rPr>
                <w:rFonts w:cs="Arial"/>
              </w:rPr>
              <w:t>orkers</w:t>
            </w:r>
            <w:r>
              <w:rPr>
                <w:rFonts w:cs="Arial"/>
              </w:rPr>
              <w:t xml:space="preserve"> at</w:t>
            </w:r>
            <w:r w:rsidR="00E92DCA" w:rsidRPr="00E92DCA">
              <w:rPr>
                <w:rFonts w:cs="Arial"/>
              </w:rPr>
              <w:t xml:space="preserve"> </w:t>
            </w:r>
            <w:r>
              <w:rPr>
                <w:rFonts w:cs="Arial"/>
              </w:rPr>
              <w:t>&lt;</w:t>
            </w:r>
            <w:r w:rsidR="00E92DCA" w:rsidRPr="00E92DCA">
              <w:rPr>
                <w:rFonts w:cs="Arial"/>
              </w:rPr>
              <w:t>112 ppm</w:t>
            </w:r>
          </w:p>
          <w:p w14:paraId="13C1EE6A" w14:textId="3C44EDDC" w:rsidR="00B05164" w:rsidRDefault="00B05164" w:rsidP="00900F7C">
            <w:pPr>
              <w:pStyle w:val="Tablefont"/>
              <w:numPr>
                <w:ilvl w:val="0"/>
                <w:numId w:val="1"/>
              </w:numPr>
              <w:rPr>
                <w:rFonts w:cs="Arial"/>
              </w:rPr>
            </w:pPr>
            <w:r>
              <w:rPr>
                <w:rFonts w:cs="Arial"/>
              </w:rPr>
              <w:t>Erythema and eczema in 18/20 volunteers with 5% topical treatment</w:t>
            </w:r>
          </w:p>
          <w:p w14:paraId="1254F37D" w14:textId="55FBAA70" w:rsidR="00E92DCA" w:rsidRDefault="00B05164" w:rsidP="00900F7C">
            <w:pPr>
              <w:pStyle w:val="Tablefont"/>
              <w:numPr>
                <w:ilvl w:val="0"/>
                <w:numId w:val="1"/>
              </w:numPr>
              <w:rPr>
                <w:rFonts w:cs="Arial"/>
              </w:rPr>
            </w:pPr>
            <w:r>
              <w:rPr>
                <w:rFonts w:cs="Arial"/>
              </w:rPr>
              <w:t xml:space="preserve">Mild erythema in 1/3 volunteers exposed to saturated cotton pellets for 48 h </w:t>
            </w:r>
          </w:p>
          <w:p w14:paraId="134A050B" w14:textId="08124FD9" w:rsidR="009531ED" w:rsidRPr="00E92DCA" w:rsidRDefault="00B05164" w:rsidP="00900F7C">
            <w:pPr>
              <w:pStyle w:val="Tablefont"/>
              <w:numPr>
                <w:ilvl w:val="0"/>
                <w:numId w:val="1"/>
              </w:numPr>
              <w:rPr>
                <w:rFonts w:cs="Arial"/>
              </w:rPr>
            </w:pPr>
            <w:r>
              <w:rPr>
                <w:rFonts w:cs="Arial"/>
              </w:rPr>
              <w:t>Headache, lethargy, light-headedness and sensation of heavy limbs reported in acutely exposed workers during monomer mixing</w:t>
            </w:r>
          </w:p>
          <w:p w14:paraId="471371CB" w14:textId="4ADFFE81" w:rsidR="004966BF" w:rsidRPr="009531ED" w:rsidRDefault="008E762D" w:rsidP="00900F7C">
            <w:pPr>
              <w:pStyle w:val="Tablefont"/>
              <w:numPr>
                <w:ilvl w:val="0"/>
                <w:numId w:val="1"/>
              </w:numPr>
              <w:rPr>
                <w:rStyle w:val="checkbox"/>
                <w:rFonts w:ascii="Arial" w:hAnsi="Arial" w:cs="Arial"/>
              </w:rPr>
            </w:pPr>
            <w:r>
              <w:rPr>
                <w:rFonts w:cs="Arial"/>
              </w:rPr>
              <w:t>N</w:t>
            </w:r>
            <w:r w:rsidR="00B05164">
              <w:rPr>
                <w:rFonts w:cs="Arial"/>
              </w:rPr>
              <w:t>ot considered</w:t>
            </w:r>
            <w:r w:rsidR="009531ED">
              <w:rPr>
                <w:rFonts w:cs="Arial"/>
              </w:rPr>
              <w:t xml:space="preserve"> mutagen</w:t>
            </w:r>
            <w:r w:rsidR="00B05164">
              <w:rPr>
                <w:rFonts w:cs="Arial"/>
              </w:rPr>
              <w:t>ic</w:t>
            </w:r>
            <w:r w:rsidR="009531ED">
              <w:rPr>
                <w:rFonts w:cs="Arial"/>
              </w:rPr>
              <w:t xml:space="preserve">; </w:t>
            </w:r>
            <w:r w:rsidR="009531ED">
              <w:rPr>
                <w:rFonts w:cs="Arial"/>
                <w:i/>
              </w:rPr>
              <w:t xml:space="preserve">in vitro </w:t>
            </w:r>
            <w:r w:rsidR="009531ED">
              <w:rPr>
                <w:rFonts w:cs="Arial"/>
              </w:rPr>
              <w:t xml:space="preserve">clastogenicity in mammalian cells not affirmed </w:t>
            </w:r>
            <w:r w:rsidR="009531ED">
              <w:rPr>
                <w:rFonts w:cs="Arial"/>
                <w:i/>
              </w:rPr>
              <w:t>in vivo</w:t>
            </w:r>
            <w:r w:rsidR="00001771" w:rsidRPr="00E608B7">
              <w:rPr>
                <w:rFonts w:cs="Arial"/>
              </w:rPr>
              <w:t>.</w:t>
            </w:r>
          </w:p>
        </w:tc>
      </w:tr>
      <w:tr w:rsidR="00223EB8" w:rsidRPr="004C23F4" w14:paraId="0D31ECFC" w14:textId="77777777" w:rsidTr="00E608B7">
        <w:trPr>
          <w:cantSplit/>
        </w:trPr>
        <w:tc>
          <w:tcPr>
            <w:tcW w:w="1488" w:type="dxa"/>
          </w:tcPr>
          <w:p w14:paraId="4D2ED304" w14:textId="77777777" w:rsidR="004966BF" w:rsidRPr="004C23F4" w:rsidRDefault="004966BF" w:rsidP="00224EE2">
            <w:pPr>
              <w:pStyle w:val="Tablefont"/>
            </w:pPr>
            <w:r>
              <w:t>IARC</w:t>
            </w:r>
          </w:p>
        </w:tc>
        <w:tc>
          <w:tcPr>
            <w:tcW w:w="421" w:type="dxa"/>
          </w:tcPr>
          <w:p w14:paraId="1862284E" w14:textId="0F071E77" w:rsidR="004966BF" w:rsidRPr="00CE617F" w:rsidRDefault="00DB0D98" w:rsidP="00AB43C4">
            <w:pPr>
              <w:spacing w:before="40"/>
              <w:jc w:val="center"/>
              <w:rPr>
                <w:rStyle w:val="checkbox"/>
              </w:rPr>
            </w:pPr>
            <w:sdt>
              <w:sdtPr>
                <w:rPr>
                  <w:rStyle w:val="checkbox"/>
                </w:rPr>
                <w:id w:val="1592279139"/>
                <w:placeholder>
                  <w:docPart w:val="20BC8D26515A4C11AC6304FB75A7CBAD"/>
                </w:placeholder>
                <w:dropDownList>
                  <w:listItem w:displayText="" w:value=""/>
                  <w:listItem w:displayText="" w:value=""/>
                  <w:listItem w:displayText="" w:value=""/>
                </w:dropDownList>
              </w:sdtPr>
              <w:sdtEndPr>
                <w:rPr>
                  <w:rStyle w:val="checkbox"/>
                </w:rPr>
              </w:sdtEndPr>
              <w:sdtContent>
                <w:r w:rsidR="00B05164">
                  <w:rPr>
                    <w:rStyle w:val="checkbox"/>
                  </w:rPr>
                  <w:t></w:t>
                </w:r>
              </w:sdtContent>
            </w:sdt>
          </w:p>
        </w:tc>
        <w:tc>
          <w:tcPr>
            <w:tcW w:w="661" w:type="dxa"/>
          </w:tcPr>
          <w:p w14:paraId="08B108BD" w14:textId="7C74AC47" w:rsidR="004966BF" w:rsidRPr="004C23F4" w:rsidRDefault="009531ED" w:rsidP="00717D45">
            <w:pPr>
              <w:pStyle w:val="Tablefont"/>
              <w:rPr>
                <w:rStyle w:val="checkbox"/>
                <w:rFonts w:ascii="Arial" w:hAnsi="Arial" w:cs="Arial"/>
              </w:rPr>
            </w:pPr>
            <w:r>
              <w:rPr>
                <w:rStyle w:val="checkbox"/>
                <w:rFonts w:ascii="Arial" w:hAnsi="Arial" w:cs="Arial"/>
              </w:rPr>
              <w:t>1994</w:t>
            </w:r>
          </w:p>
        </w:tc>
        <w:tc>
          <w:tcPr>
            <w:tcW w:w="6456" w:type="dxa"/>
          </w:tcPr>
          <w:p w14:paraId="0AA8EA51" w14:textId="31CB6788" w:rsidR="004966BF" w:rsidRPr="004C23F4" w:rsidRDefault="00B05164" w:rsidP="00B05164">
            <w:pPr>
              <w:pStyle w:val="Tablefont"/>
              <w:numPr>
                <w:ilvl w:val="0"/>
                <w:numId w:val="1"/>
              </w:numPr>
              <w:rPr>
                <w:rStyle w:val="checkbox"/>
                <w:rFonts w:ascii="Arial" w:hAnsi="Arial" w:cs="Arial"/>
              </w:rPr>
            </w:pPr>
            <w:r>
              <w:rPr>
                <w:rFonts w:cs="Arial"/>
              </w:rPr>
              <w:t>I</w:t>
            </w:r>
            <w:r w:rsidR="009531ED" w:rsidRPr="009531ED">
              <w:rPr>
                <w:rFonts w:cs="Arial"/>
              </w:rPr>
              <w:t xml:space="preserve">nadequate evidence </w:t>
            </w:r>
            <w:r w:rsidRPr="009531ED">
              <w:rPr>
                <w:rFonts w:cs="Arial"/>
              </w:rPr>
              <w:t xml:space="preserve">for carcinogenicity </w:t>
            </w:r>
            <w:r w:rsidR="009531ED" w:rsidRPr="009531ED">
              <w:rPr>
                <w:rFonts w:cs="Arial"/>
              </w:rPr>
              <w:t>in humans</w:t>
            </w:r>
            <w:r>
              <w:rPr>
                <w:rFonts w:cs="Arial"/>
              </w:rPr>
              <w:t xml:space="preserve">; evidence suggests </w:t>
            </w:r>
            <w:r w:rsidR="009531ED" w:rsidRPr="009531ED">
              <w:rPr>
                <w:rFonts w:cs="Arial"/>
              </w:rPr>
              <w:t xml:space="preserve">lack of carcinogenicity </w:t>
            </w:r>
            <w:r w:rsidR="009531ED">
              <w:rPr>
                <w:rFonts w:cs="Arial"/>
              </w:rPr>
              <w:t xml:space="preserve">in </w:t>
            </w:r>
            <w:r>
              <w:rPr>
                <w:rFonts w:cs="Arial"/>
              </w:rPr>
              <w:t>animals</w:t>
            </w:r>
            <w:r w:rsidR="00001771">
              <w:rPr>
                <w:rFonts w:cs="Arial"/>
              </w:rPr>
              <w:t>.</w:t>
            </w:r>
          </w:p>
        </w:tc>
      </w:tr>
      <w:tr w:rsidR="00223EB8" w:rsidRPr="004C23F4" w14:paraId="19110AB5" w14:textId="77777777" w:rsidTr="00E608B7">
        <w:trPr>
          <w:cantSplit/>
        </w:trPr>
        <w:tc>
          <w:tcPr>
            <w:tcW w:w="1488" w:type="dxa"/>
          </w:tcPr>
          <w:p w14:paraId="0FCC02C5" w14:textId="77777777" w:rsidR="004966BF" w:rsidRPr="004C23F4" w:rsidRDefault="004966BF" w:rsidP="00224EE2">
            <w:pPr>
              <w:pStyle w:val="Tablefont"/>
            </w:pPr>
            <w:r>
              <w:t>US EPA</w:t>
            </w:r>
          </w:p>
        </w:tc>
        <w:tc>
          <w:tcPr>
            <w:tcW w:w="421" w:type="dxa"/>
          </w:tcPr>
          <w:p w14:paraId="2092F00C" w14:textId="6DEA44E0" w:rsidR="004966BF" w:rsidRPr="00CE617F" w:rsidRDefault="00DB0D98" w:rsidP="00AB43C4">
            <w:pPr>
              <w:spacing w:before="40"/>
              <w:jc w:val="center"/>
              <w:rPr>
                <w:rStyle w:val="checkbox"/>
              </w:rPr>
            </w:pPr>
            <w:sdt>
              <w:sdtPr>
                <w:rPr>
                  <w:rStyle w:val="checkbox"/>
                </w:rPr>
                <w:id w:val="1015498594"/>
                <w:placeholder>
                  <w:docPart w:val="CFFDE270CB50461B826B0194984892C5"/>
                </w:placeholder>
                <w:dropDownList>
                  <w:listItem w:displayText="" w:value=""/>
                  <w:listItem w:displayText="" w:value=""/>
                  <w:listItem w:displayText="" w:value=""/>
                </w:dropDownList>
              </w:sdtPr>
              <w:sdtEndPr>
                <w:rPr>
                  <w:rStyle w:val="checkbox"/>
                </w:rPr>
              </w:sdtEndPr>
              <w:sdtContent>
                <w:r w:rsidR="00223EB8">
                  <w:rPr>
                    <w:rStyle w:val="checkbox"/>
                  </w:rPr>
                  <w:t></w:t>
                </w:r>
              </w:sdtContent>
            </w:sdt>
          </w:p>
        </w:tc>
        <w:tc>
          <w:tcPr>
            <w:tcW w:w="661" w:type="dxa"/>
          </w:tcPr>
          <w:p w14:paraId="400FC3D7" w14:textId="01B06A7D" w:rsidR="004966BF" w:rsidRPr="004C23F4" w:rsidRDefault="005863CE" w:rsidP="00717D45">
            <w:pPr>
              <w:pStyle w:val="Tablefont"/>
              <w:rPr>
                <w:rStyle w:val="checkbox"/>
                <w:rFonts w:ascii="Arial" w:hAnsi="Arial" w:cs="Arial"/>
              </w:rPr>
            </w:pPr>
            <w:r>
              <w:rPr>
                <w:rStyle w:val="checkbox"/>
                <w:rFonts w:ascii="Arial" w:hAnsi="Arial" w:cs="Arial"/>
              </w:rPr>
              <w:t>1998</w:t>
            </w:r>
          </w:p>
        </w:tc>
        <w:tc>
          <w:tcPr>
            <w:tcW w:w="6456" w:type="dxa"/>
          </w:tcPr>
          <w:p w14:paraId="3B292E38" w14:textId="373F6BAF" w:rsidR="00223EB8" w:rsidRDefault="00223EB8" w:rsidP="00223EB8">
            <w:pPr>
              <w:pStyle w:val="Tablefont"/>
              <w:numPr>
                <w:ilvl w:val="0"/>
                <w:numId w:val="1"/>
              </w:numPr>
              <w:rPr>
                <w:rFonts w:cs="Arial"/>
              </w:rPr>
            </w:pPr>
            <w:r>
              <w:rPr>
                <w:rFonts w:cs="Arial"/>
              </w:rPr>
              <w:t>Chronic inhalation study with treatment range 25–400 ppm (rats, 6</w:t>
            </w:r>
            <w:r w:rsidR="00001771">
              <w:rPr>
                <w:rFonts w:cs="Arial"/>
              </w:rPr>
              <w:t xml:space="preserve"> </w:t>
            </w:r>
            <w:r>
              <w:rPr>
                <w:rFonts w:cs="Arial"/>
              </w:rPr>
              <w:t>h/d, 5 d/wk, 2 yr, also cited in ACGIH, 2018) used principally to derive inhalational reference concentration;</w:t>
            </w:r>
          </w:p>
          <w:p w14:paraId="525FD08F" w14:textId="06C7FC0B" w:rsidR="00223EB8" w:rsidRDefault="00223EB8" w:rsidP="00E608B7">
            <w:pPr>
              <w:pStyle w:val="Tabletextprimarysource"/>
              <w:numPr>
                <w:ilvl w:val="1"/>
                <w:numId w:val="1"/>
              </w:numPr>
              <w:ind w:left="1156" w:hanging="425"/>
              <w:rPr>
                <w:rFonts w:cs="Arial"/>
              </w:rPr>
            </w:pPr>
            <w:r>
              <w:rPr>
                <w:rFonts w:cs="Arial"/>
              </w:rPr>
              <w:t>hyperplasia in mucosal membranes and nasal cavity at 400 ppm</w:t>
            </w:r>
          </w:p>
          <w:p w14:paraId="411CE1E0" w14:textId="745C2609" w:rsidR="00223EB8" w:rsidRDefault="00223EB8" w:rsidP="00E608B7">
            <w:pPr>
              <w:pStyle w:val="Tabletextprimarysource"/>
              <w:numPr>
                <w:ilvl w:val="1"/>
                <w:numId w:val="1"/>
              </w:numPr>
              <w:ind w:left="1156" w:hanging="425"/>
              <w:rPr>
                <w:rFonts w:cs="Arial"/>
              </w:rPr>
            </w:pPr>
            <w:r w:rsidRPr="00001771">
              <w:t>concentration</w:t>
            </w:r>
            <w:r>
              <w:rPr>
                <w:rFonts w:cs="Arial"/>
              </w:rPr>
              <w:t>-dependent histopathological changes to nasal cavity between 100–400 ppm</w:t>
            </w:r>
          </w:p>
          <w:p w14:paraId="37D8F3E3" w14:textId="634F95D6" w:rsidR="005863CE" w:rsidRPr="00223EB8" w:rsidRDefault="00223EB8" w:rsidP="00900F7C">
            <w:pPr>
              <w:pStyle w:val="Tabletextprimarysource"/>
              <w:numPr>
                <w:ilvl w:val="1"/>
                <w:numId w:val="1"/>
              </w:numPr>
              <w:ind w:left="1156" w:hanging="425"/>
              <w:rPr>
                <w:rStyle w:val="checkbox"/>
                <w:rFonts w:ascii="Arial" w:hAnsi="Arial" w:cs="Arial"/>
              </w:rPr>
            </w:pPr>
            <w:r>
              <w:rPr>
                <w:rFonts w:cs="Arial"/>
              </w:rPr>
              <w:t>NOAE</w:t>
            </w:r>
            <w:r w:rsidR="00474849">
              <w:rPr>
                <w:rFonts w:cs="Arial"/>
              </w:rPr>
              <w:t>C</w:t>
            </w:r>
            <w:r>
              <w:rPr>
                <w:rFonts w:cs="Arial"/>
              </w:rPr>
              <w:t xml:space="preserve">: </w:t>
            </w:r>
            <w:r w:rsidRPr="00001771">
              <w:t>25</w:t>
            </w:r>
            <w:r>
              <w:rPr>
                <w:rFonts w:cs="Arial"/>
              </w:rPr>
              <w:t xml:space="preserve"> ppm</w:t>
            </w:r>
            <w:r w:rsidR="00001771">
              <w:rPr>
                <w:rFonts w:cs="Arial"/>
              </w:rPr>
              <w:t>.</w:t>
            </w:r>
          </w:p>
        </w:tc>
      </w:tr>
      <w:tr w:rsidR="00223EB8" w:rsidRPr="004C23F4" w14:paraId="011D5C39" w14:textId="77777777" w:rsidTr="00E608B7">
        <w:trPr>
          <w:cantSplit/>
        </w:trPr>
        <w:tc>
          <w:tcPr>
            <w:tcW w:w="1488" w:type="dxa"/>
          </w:tcPr>
          <w:p w14:paraId="688E961A" w14:textId="77777777" w:rsidR="004966BF" w:rsidRPr="004C23F4" w:rsidRDefault="004966BF" w:rsidP="00224EE2">
            <w:pPr>
              <w:pStyle w:val="Tablefont"/>
            </w:pPr>
            <w:r>
              <w:t>OECD</w:t>
            </w:r>
          </w:p>
        </w:tc>
        <w:tc>
          <w:tcPr>
            <w:tcW w:w="421" w:type="dxa"/>
          </w:tcPr>
          <w:p w14:paraId="4121630C" w14:textId="2CCC97D2" w:rsidR="004966BF" w:rsidRPr="00CE617F" w:rsidRDefault="00DB0D98" w:rsidP="00AB43C4">
            <w:pPr>
              <w:spacing w:before="40"/>
              <w:jc w:val="center"/>
              <w:rPr>
                <w:rStyle w:val="checkbox"/>
              </w:rPr>
            </w:pPr>
            <w:sdt>
              <w:sdtPr>
                <w:rPr>
                  <w:rStyle w:val="checkbox"/>
                </w:rPr>
                <w:id w:val="-491947220"/>
                <w:placeholder>
                  <w:docPart w:val="320A77D155374054996F168A20882C28"/>
                </w:placeholder>
                <w:dropDownList>
                  <w:listItem w:displayText="" w:value=""/>
                  <w:listItem w:displayText="" w:value=""/>
                  <w:listItem w:displayText="" w:value=""/>
                </w:dropDownList>
              </w:sdtPr>
              <w:sdtEndPr>
                <w:rPr>
                  <w:rStyle w:val="checkbox"/>
                </w:rPr>
              </w:sdtEndPr>
              <w:sdtContent>
                <w:r w:rsidR="00223EB8">
                  <w:rPr>
                    <w:rStyle w:val="checkbox"/>
                  </w:rPr>
                  <w:t></w:t>
                </w:r>
              </w:sdtContent>
            </w:sdt>
          </w:p>
        </w:tc>
        <w:tc>
          <w:tcPr>
            <w:tcW w:w="661" w:type="dxa"/>
          </w:tcPr>
          <w:p w14:paraId="38E1AA03" w14:textId="2C733D7E" w:rsidR="004966BF" w:rsidRPr="004C23F4" w:rsidRDefault="005863CE" w:rsidP="00717D45">
            <w:pPr>
              <w:pStyle w:val="Tablefont"/>
              <w:rPr>
                <w:rStyle w:val="checkbox"/>
                <w:rFonts w:ascii="Arial" w:hAnsi="Arial" w:cs="Arial"/>
              </w:rPr>
            </w:pPr>
            <w:r>
              <w:rPr>
                <w:rStyle w:val="checkbox"/>
                <w:rFonts w:ascii="Arial" w:hAnsi="Arial" w:cs="Arial"/>
              </w:rPr>
              <w:t>2001</w:t>
            </w:r>
          </w:p>
        </w:tc>
        <w:tc>
          <w:tcPr>
            <w:tcW w:w="6456" w:type="dxa"/>
          </w:tcPr>
          <w:p w14:paraId="44440916" w14:textId="23259804" w:rsidR="004966BF" w:rsidRPr="004C23F4" w:rsidRDefault="00223EB8" w:rsidP="00223EB8">
            <w:pPr>
              <w:pStyle w:val="Tablefont"/>
              <w:numPr>
                <w:ilvl w:val="0"/>
                <w:numId w:val="1"/>
              </w:numPr>
              <w:rPr>
                <w:rStyle w:val="checkbox"/>
                <w:rFonts w:ascii="Arial" w:hAnsi="Arial" w:cs="Arial"/>
              </w:rPr>
            </w:pPr>
            <w:r>
              <w:rPr>
                <w:rFonts w:cs="Arial"/>
              </w:rPr>
              <w:t>S</w:t>
            </w:r>
            <w:r w:rsidR="005863CE" w:rsidRPr="005863CE">
              <w:rPr>
                <w:rFonts w:cs="Arial"/>
              </w:rPr>
              <w:t xml:space="preserve">ystemic toxic effects </w:t>
            </w:r>
            <w:r>
              <w:rPr>
                <w:rFonts w:cs="Arial"/>
              </w:rPr>
              <w:t>reported</w:t>
            </w:r>
            <w:r w:rsidR="005863CE" w:rsidRPr="005863CE">
              <w:rPr>
                <w:rFonts w:cs="Arial"/>
              </w:rPr>
              <w:t xml:space="preserve"> &gt;1</w:t>
            </w:r>
            <w:r w:rsidR="00001771">
              <w:rPr>
                <w:rFonts w:cs="Arial"/>
              </w:rPr>
              <w:t>,</w:t>
            </w:r>
            <w:r w:rsidR="005863CE" w:rsidRPr="005863CE">
              <w:rPr>
                <w:rFonts w:cs="Arial"/>
              </w:rPr>
              <w:t>000 ppm</w:t>
            </w:r>
            <w:r>
              <w:rPr>
                <w:rFonts w:cs="Arial"/>
              </w:rPr>
              <w:t xml:space="preserve"> (rats) and</w:t>
            </w:r>
            <w:r w:rsidR="005863CE" w:rsidRPr="005863CE">
              <w:rPr>
                <w:rFonts w:cs="Arial"/>
              </w:rPr>
              <w:t xml:space="preserve"> &gt;500</w:t>
            </w:r>
            <w:r w:rsidR="00D83246">
              <w:rPr>
                <w:rFonts w:cs="Arial"/>
              </w:rPr>
              <w:t> </w:t>
            </w:r>
            <w:r w:rsidR="005863CE" w:rsidRPr="005863CE">
              <w:rPr>
                <w:rFonts w:cs="Arial"/>
              </w:rPr>
              <w:t>ppm</w:t>
            </w:r>
            <w:r>
              <w:rPr>
                <w:rFonts w:cs="Arial"/>
              </w:rPr>
              <w:t xml:space="preserve"> (mice); effects included</w:t>
            </w:r>
            <w:r w:rsidR="005863CE" w:rsidRPr="005863CE">
              <w:rPr>
                <w:rFonts w:cs="Arial"/>
              </w:rPr>
              <w:t xml:space="preserve"> degenerative and necrotic lesions in liver, kidney, brain, and atrophic cha</w:t>
            </w:r>
            <w:r>
              <w:rPr>
                <w:rFonts w:cs="Arial"/>
              </w:rPr>
              <w:t>nges in spleen and bone marrow, but were not observed in chronic studies up to 1</w:t>
            </w:r>
            <w:r w:rsidR="00001771">
              <w:rPr>
                <w:rFonts w:cs="Arial"/>
              </w:rPr>
              <w:t>,</w:t>
            </w:r>
            <w:r>
              <w:rPr>
                <w:rFonts w:cs="Arial"/>
              </w:rPr>
              <w:t>000 ppm</w:t>
            </w:r>
            <w:r w:rsidR="00001771">
              <w:rPr>
                <w:rFonts w:cs="Arial"/>
              </w:rPr>
              <w:t>.</w:t>
            </w:r>
          </w:p>
        </w:tc>
      </w:tr>
      <w:tr w:rsidR="00223EB8" w:rsidRPr="004C23F4" w14:paraId="74029AB5" w14:textId="77777777" w:rsidTr="00E608B7">
        <w:trPr>
          <w:cantSplit/>
        </w:trPr>
        <w:tc>
          <w:tcPr>
            <w:tcW w:w="1488" w:type="dxa"/>
          </w:tcPr>
          <w:p w14:paraId="5E67B845" w14:textId="77777777" w:rsidR="004966BF" w:rsidRDefault="004966BF" w:rsidP="00224EE2">
            <w:pPr>
              <w:pStyle w:val="Tablefont"/>
            </w:pPr>
            <w:r>
              <w:t>US NIOSH</w:t>
            </w:r>
          </w:p>
        </w:tc>
        <w:tc>
          <w:tcPr>
            <w:tcW w:w="421" w:type="dxa"/>
          </w:tcPr>
          <w:p w14:paraId="4C15066F" w14:textId="022D7971" w:rsidR="004966BF" w:rsidRDefault="00DB0D98"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223EB8">
                  <w:rPr>
                    <w:rStyle w:val="checkbox"/>
                  </w:rPr>
                  <w:t></w:t>
                </w:r>
              </w:sdtContent>
            </w:sdt>
          </w:p>
        </w:tc>
        <w:tc>
          <w:tcPr>
            <w:tcW w:w="661" w:type="dxa"/>
          </w:tcPr>
          <w:p w14:paraId="5DA4ADAF" w14:textId="415CC4F7" w:rsidR="004966BF" w:rsidRPr="004C23F4" w:rsidRDefault="005863CE" w:rsidP="00717D45">
            <w:pPr>
              <w:pStyle w:val="Tablefont"/>
              <w:rPr>
                <w:rStyle w:val="checkbox"/>
                <w:rFonts w:ascii="Arial" w:hAnsi="Arial" w:cs="Arial"/>
              </w:rPr>
            </w:pPr>
            <w:r>
              <w:rPr>
                <w:rStyle w:val="checkbox"/>
                <w:rFonts w:ascii="Arial" w:hAnsi="Arial" w:cs="Arial"/>
              </w:rPr>
              <w:t>1994</w:t>
            </w:r>
          </w:p>
        </w:tc>
        <w:tc>
          <w:tcPr>
            <w:tcW w:w="6456" w:type="dxa"/>
          </w:tcPr>
          <w:p w14:paraId="11A7F8DB" w14:textId="3ED3F619" w:rsidR="004966BF" w:rsidRPr="004C23F4" w:rsidRDefault="005863CE" w:rsidP="00957DC8">
            <w:pPr>
              <w:pStyle w:val="Tablefont"/>
              <w:numPr>
                <w:ilvl w:val="0"/>
                <w:numId w:val="1"/>
              </w:numPr>
              <w:rPr>
                <w:rStyle w:val="checkbox"/>
                <w:rFonts w:ascii="Arial" w:hAnsi="Arial" w:cs="Arial"/>
              </w:rPr>
            </w:pPr>
            <w:r w:rsidRPr="005863CE">
              <w:rPr>
                <w:rFonts w:cs="Arial"/>
              </w:rPr>
              <w:t>IDLH based on acute inhalation toxicity data in humans</w:t>
            </w:r>
            <w:r w:rsidR="00001771">
              <w:rPr>
                <w:rFonts w:cs="Arial"/>
              </w:rPr>
              <w:t>.</w:t>
            </w:r>
          </w:p>
        </w:tc>
      </w:tr>
    </w:tbl>
    <w:bookmarkEnd w:id="0"/>
    <w:p w14:paraId="5601AB67"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73222870" w14:textId="77777777" w:rsidTr="005863CE">
        <w:trPr>
          <w:trHeight w:val="454"/>
          <w:tblHeader/>
        </w:trPr>
        <w:tc>
          <w:tcPr>
            <w:tcW w:w="6603" w:type="dxa"/>
            <w:vAlign w:val="center"/>
          </w:tcPr>
          <w:p w14:paraId="19197E5D"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02117780" w14:textId="4ED3115A" w:rsidR="002E0D61" w:rsidRDefault="005863CE" w:rsidP="00C3091E">
                <w:pPr>
                  <w:pStyle w:val="Tablefont"/>
                  <w:keepNext/>
                  <w:keepLines/>
                  <w:spacing w:before="40" w:after="40"/>
                </w:pPr>
                <w:r>
                  <w:t>No</w:t>
                </w:r>
              </w:p>
            </w:tc>
          </w:sdtContent>
        </w:sdt>
      </w:tr>
      <w:tr w:rsidR="008A36CF" w14:paraId="51F363D8" w14:textId="77777777" w:rsidTr="005863CE">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19A84C28" w14:textId="29F28B5C" w:rsidR="008A36CF" w:rsidRPr="006901A2" w:rsidRDefault="005863CE" w:rsidP="008A36CF">
                <w:pPr>
                  <w:pStyle w:val="Tablefont"/>
                  <w:keepNext/>
                  <w:keepLines/>
                  <w:spacing w:before="40" w:after="40"/>
                  <w:rPr>
                    <w:b/>
                  </w:rPr>
                </w:pPr>
                <w:r>
                  <w:rPr>
                    <w:b/>
                  </w:rPr>
                  <w:t>The chemical is not a non-threshold based genotoxic carcinogen.</w:t>
                </w:r>
              </w:p>
            </w:tc>
          </w:sdtContent>
        </w:sdt>
        <w:tc>
          <w:tcPr>
            <w:tcW w:w="2423" w:type="dxa"/>
            <w:vAlign w:val="center"/>
          </w:tcPr>
          <w:p w14:paraId="687E5798" w14:textId="77777777" w:rsidR="008A36CF" w:rsidRDefault="008A36CF" w:rsidP="008A36CF">
            <w:pPr>
              <w:pStyle w:val="Tablefont"/>
              <w:keepNext/>
              <w:keepLines/>
              <w:spacing w:before="40" w:after="40"/>
            </w:pPr>
          </w:p>
        </w:tc>
      </w:tr>
    </w:tbl>
    <w:bookmarkEnd w:id="1"/>
    <w:p w14:paraId="15831FAF"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14:paraId="07E5B178" w14:textId="77777777" w:rsidTr="009531ED">
        <w:trPr>
          <w:cantSplit/>
          <w:tblHeader/>
        </w:trPr>
        <w:tc>
          <w:tcPr>
            <w:tcW w:w="3153" w:type="dxa"/>
            <w:shd w:val="clear" w:color="auto" w:fill="BFBFBF" w:themeFill="background1" w:themeFillShade="BF"/>
            <w:vAlign w:val="center"/>
          </w:tcPr>
          <w:p w14:paraId="62634507" w14:textId="77777777" w:rsidR="00687890" w:rsidRPr="004C23F4" w:rsidRDefault="00687890" w:rsidP="00263255">
            <w:pPr>
              <w:pStyle w:val="Tableheader"/>
            </w:pPr>
            <w:bookmarkStart w:id="2" w:name="Notations"/>
            <w:r w:rsidRPr="004C23F4">
              <w:t>Source</w:t>
            </w:r>
          </w:p>
        </w:tc>
        <w:tc>
          <w:tcPr>
            <w:tcW w:w="5873" w:type="dxa"/>
            <w:shd w:val="clear" w:color="auto" w:fill="BFBFBF" w:themeFill="background1" w:themeFillShade="BF"/>
            <w:vAlign w:val="center"/>
          </w:tcPr>
          <w:p w14:paraId="155C1030" w14:textId="77777777" w:rsidR="00687890" w:rsidRPr="004C23F4" w:rsidRDefault="00687890" w:rsidP="00F4402E">
            <w:pPr>
              <w:pStyle w:val="Tableheader"/>
              <w:tabs>
                <w:tab w:val="right" w:pos="5272"/>
              </w:tabs>
            </w:pPr>
            <w:r w:rsidRPr="004C23F4">
              <w:t>Notations</w:t>
            </w:r>
            <w:r w:rsidR="003A2B94">
              <w:tab/>
            </w:r>
          </w:p>
        </w:tc>
      </w:tr>
      <w:tr w:rsidR="00687890" w:rsidRPr="004C23F4" w14:paraId="70282AD7" w14:textId="77777777" w:rsidTr="009531ED">
        <w:trPr>
          <w:cantSplit/>
        </w:trPr>
        <w:tc>
          <w:tcPr>
            <w:tcW w:w="3153" w:type="dxa"/>
          </w:tcPr>
          <w:p w14:paraId="11D60CA2" w14:textId="77777777" w:rsidR="004079B4" w:rsidRPr="004C23F4" w:rsidRDefault="00084513" w:rsidP="00F4402E">
            <w:pPr>
              <w:pStyle w:val="Tablefont"/>
            </w:pPr>
            <w:r w:rsidRPr="004C23F4">
              <w:t>SWA</w:t>
            </w:r>
          </w:p>
        </w:tc>
        <w:tc>
          <w:tcPr>
            <w:tcW w:w="5873" w:type="dxa"/>
          </w:tcPr>
          <w:p w14:paraId="5BAF53A1" w14:textId="77777777" w:rsidR="00687890" w:rsidRPr="00DD2F9B" w:rsidRDefault="003106B1" w:rsidP="00DD2F9B">
            <w:pPr>
              <w:pStyle w:val="Tablefont"/>
            </w:pPr>
            <w:r>
              <w:t>NA</w:t>
            </w:r>
          </w:p>
        </w:tc>
      </w:tr>
      <w:tr w:rsidR="007925F0" w:rsidRPr="004C23F4" w14:paraId="6C1A2BDC" w14:textId="77777777" w:rsidTr="009531ED">
        <w:trPr>
          <w:cantSplit/>
        </w:trPr>
        <w:tc>
          <w:tcPr>
            <w:tcW w:w="3153" w:type="dxa"/>
          </w:tcPr>
          <w:p w14:paraId="500074C3" w14:textId="77777777" w:rsidR="004079B4" w:rsidRPr="004C23F4" w:rsidRDefault="007925F0" w:rsidP="00F4402E">
            <w:pPr>
              <w:pStyle w:val="Tablefont"/>
            </w:pPr>
            <w:r>
              <w:t>HCIS</w:t>
            </w:r>
          </w:p>
        </w:tc>
        <w:tc>
          <w:tcPr>
            <w:tcW w:w="5873" w:type="dxa"/>
          </w:tcPr>
          <w:p w14:paraId="3C8C4404" w14:textId="77777777" w:rsidR="007925F0" w:rsidRPr="00DD2F9B" w:rsidRDefault="009000CC" w:rsidP="00DD2F9B">
            <w:pPr>
              <w:pStyle w:val="Tablefont"/>
            </w:pPr>
            <w:r w:rsidRPr="009000CC">
              <w:t>Skin sensitisation – category 1</w:t>
            </w:r>
          </w:p>
        </w:tc>
      </w:tr>
      <w:tr w:rsidR="009531ED" w:rsidRPr="004C23F4" w14:paraId="1165944F" w14:textId="77777777" w:rsidTr="009531ED">
        <w:trPr>
          <w:cantSplit/>
        </w:trPr>
        <w:tc>
          <w:tcPr>
            <w:tcW w:w="3153" w:type="dxa"/>
          </w:tcPr>
          <w:p w14:paraId="43119207" w14:textId="77777777" w:rsidR="009531ED" w:rsidRPr="004C23F4" w:rsidRDefault="009531ED" w:rsidP="009531ED">
            <w:pPr>
              <w:pStyle w:val="Tablefont"/>
            </w:pPr>
            <w:r>
              <w:t>NICNAS</w:t>
            </w:r>
          </w:p>
        </w:tc>
        <w:tc>
          <w:tcPr>
            <w:tcW w:w="5873" w:type="dxa"/>
          </w:tcPr>
          <w:p w14:paraId="141C012B" w14:textId="5493220D" w:rsidR="009531ED" w:rsidRPr="00DD2F9B" w:rsidRDefault="009531ED" w:rsidP="009531ED">
            <w:pPr>
              <w:pStyle w:val="Tablefont"/>
            </w:pPr>
            <w:r w:rsidRPr="00FE0C94">
              <w:t>Skin sensitisation – category 1</w:t>
            </w:r>
          </w:p>
        </w:tc>
      </w:tr>
      <w:tr w:rsidR="009531ED" w:rsidRPr="004C23F4" w14:paraId="02D76F5E" w14:textId="77777777" w:rsidTr="009531ED">
        <w:trPr>
          <w:cantSplit/>
        </w:trPr>
        <w:tc>
          <w:tcPr>
            <w:tcW w:w="3153" w:type="dxa"/>
          </w:tcPr>
          <w:p w14:paraId="00F74B55" w14:textId="77777777" w:rsidR="009531ED" w:rsidRPr="004C23F4" w:rsidRDefault="009531ED" w:rsidP="009531ED">
            <w:pPr>
              <w:pStyle w:val="Tablefont"/>
            </w:pPr>
            <w:r w:rsidRPr="004C23F4">
              <w:t>EU Annex</w:t>
            </w:r>
          </w:p>
        </w:tc>
        <w:tc>
          <w:tcPr>
            <w:tcW w:w="5873" w:type="dxa"/>
          </w:tcPr>
          <w:p w14:paraId="2A11AAEF" w14:textId="67564101" w:rsidR="009531ED" w:rsidRPr="00DD2F9B" w:rsidRDefault="009531ED" w:rsidP="009531ED">
            <w:pPr>
              <w:pStyle w:val="Tablefont"/>
            </w:pPr>
            <w:r w:rsidRPr="00FE0C94">
              <w:t>Skin sensitisation – category 1</w:t>
            </w:r>
          </w:p>
        </w:tc>
      </w:tr>
      <w:tr w:rsidR="009531ED" w:rsidRPr="004C23F4" w14:paraId="4F590770" w14:textId="77777777" w:rsidTr="009531ED">
        <w:trPr>
          <w:cantSplit/>
        </w:trPr>
        <w:tc>
          <w:tcPr>
            <w:tcW w:w="3153" w:type="dxa"/>
          </w:tcPr>
          <w:p w14:paraId="1DD80E47" w14:textId="77777777" w:rsidR="009531ED" w:rsidRDefault="009531ED" w:rsidP="009531ED">
            <w:pPr>
              <w:pStyle w:val="Tablefont"/>
            </w:pPr>
            <w:r>
              <w:t>ECHA</w:t>
            </w:r>
          </w:p>
        </w:tc>
        <w:tc>
          <w:tcPr>
            <w:tcW w:w="5873" w:type="dxa"/>
          </w:tcPr>
          <w:p w14:paraId="04A88092" w14:textId="6AEB823E" w:rsidR="009531ED" w:rsidRPr="00DD2F9B" w:rsidRDefault="009531ED" w:rsidP="009531ED">
            <w:pPr>
              <w:pStyle w:val="Tablefont"/>
            </w:pPr>
            <w:r>
              <w:t>NA</w:t>
            </w:r>
          </w:p>
        </w:tc>
      </w:tr>
      <w:tr w:rsidR="009531ED" w:rsidRPr="004C23F4" w14:paraId="1437A6DD" w14:textId="77777777" w:rsidTr="009531ED">
        <w:trPr>
          <w:cantSplit/>
        </w:trPr>
        <w:tc>
          <w:tcPr>
            <w:tcW w:w="3153" w:type="dxa"/>
          </w:tcPr>
          <w:p w14:paraId="257F4432" w14:textId="77777777" w:rsidR="009531ED" w:rsidRPr="004C23F4" w:rsidRDefault="009531ED" w:rsidP="009531ED">
            <w:pPr>
              <w:pStyle w:val="Tablefont"/>
            </w:pPr>
            <w:r>
              <w:t>ACGIH</w:t>
            </w:r>
          </w:p>
        </w:tc>
        <w:tc>
          <w:tcPr>
            <w:tcW w:w="5873" w:type="dxa"/>
          </w:tcPr>
          <w:p w14:paraId="1E67EE8F" w14:textId="5D1EB79A" w:rsidR="009531ED" w:rsidRPr="00DD2F9B" w:rsidRDefault="009531ED" w:rsidP="009531ED">
            <w:pPr>
              <w:pStyle w:val="Tablefont"/>
            </w:pPr>
            <w:r w:rsidRPr="00FE0C94">
              <w:t>Carcinogenicity – A4</w:t>
            </w:r>
            <w:r>
              <w:t>, DSEN</w:t>
            </w:r>
          </w:p>
        </w:tc>
      </w:tr>
      <w:tr w:rsidR="009531ED" w:rsidRPr="004C23F4" w14:paraId="3BCFE280" w14:textId="77777777" w:rsidTr="009531ED">
        <w:trPr>
          <w:cantSplit/>
        </w:trPr>
        <w:tc>
          <w:tcPr>
            <w:tcW w:w="3153" w:type="dxa"/>
          </w:tcPr>
          <w:p w14:paraId="360927A1" w14:textId="77777777" w:rsidR="009531ED" w:rsidRPr="004C23F4" w:rsidRDefault="009531ED" w:rsidP="009531ED">
            <w:pPr>
              <w:pStyle w:val="Tablefont"/>
            </w:pPr>
            <w:r>
              <w:lastRenderedPageBreak/>
              <w:t>DFG</w:t>
            </w:r>
          </w:p>
        </w:tc>
        <w:tc>
          <w:tcPr>
            <w:tcW w:w="5873" w:type="dxa"/>
          </w:tcPr>
          <w:p w14:paraId="18421FEF" w14:textId="4799E7FE" w:rsidR="009531ED" w:rsidRPr="00DD2F9B" w:rsidRDefault="009531ED" w:rsidP="009531ED">
            <w:pPr>
              <w:pStyle w:val="Tablefont"/>
            </w:pPr>
            <w:r w:rsidRPr="00FE0C94">
              <w:t>Sh (dermal sensitiser)</w:t>
            </w:r>
          </w:p>
        </w:tc>
      </w:tr>
      <w:tr w:rsidR="009531ED" w:rsidRPr="004C23F4" w14:paraId="629D01B5" w14:textId="77777777" w:rsidTr="009531ED">
        <w:trPr>
          <w:cantSplit/>
        </w:trPr>
        <w:tc>
          <w:tcPr>
            <w:tcW w:w="3153" w:type="dxa"/>
          </w:tcPr>
          <w:p w14:paraId="313117B3" w14:textId="77777777" w:rsidR="009531ED" w:rsidRPr="004C23F4" w:rsidRDefault="009531ED" w:rsidP="009531ED">
            <w:pPr>
              <w:pStyle w:val="Tablefont"/>
            </w:pPr>
            <w:r>
              <w:t>SCOEL</w:t>
            </w:r>
          </w:p>
        </w:tc>
        <w:tc>
          <w:tcPr>
            <w:tcW w:w="5873" w:type="dxa"/>
          </w:tcPr>
          <w:p w14:paraId="436707A4" w14:textId="77777777" w:rsidR="009531ED" w:rsidRPr="00DD2F9B" w:rsidRDefault="009531ED" w:rsidP="009531ED">
            <w:pPr>
              <w:pStyle w:val="Tablefont"/>
            </w:pPr>
            <w:r>
              <w:t>NA</w:t>
            </w:r>
          </w:p>
        </w:tc>
      </w:tr>
      <w:tr w:rsidR="009531ED" w:rsidRPr="004C23F4" w14:paraId="427986D5" w14:textId="77777777" w:rsidTr="009531ED">
        <w:trPr>
          <w:cantSplit/>
        </w:trPr>
        <w:tc>
          <w:tcPr>
            <w:tcW w:w="3153" w:type="dxa"/>
          </w:tcPr>
          <w:p w14:paraId="3C576282" w14:textId="77777777" w:rsidR="009531ED" w:rsidRDefault="009531ED" w:rsidP="009531ED">
            <w:pPr>
              <w:pStyle w:val="Tablefont"/>
            </w:pPr>
            <w:r>
              <w:t>HCOTN</w:t>
            </w:r>
          </w:p>
        </w:tc>
        <w:tc>
          <w:tcPr>
            <w:tcW w:w="5873" w:type="dxa"/>
          </w:tcPr>
          <w:p w14:paraId="7F6AE253" w14:textId="77777777" w:rsidR="009531ED" w:rsidRPr="00DD2F9B" w:rsidRDefault="009531ED" w:rsidP="009531ED">
            <w:pPr>
              <w:pStyle w:val="Tablefont"/>
            </w:pPr>
            <w:r>
              <w:t>NA</w:t>
            </w:r>
          </w:p>
        </w:tc>
      </w:tr>
      <w:tr w:rsidR="009531ED" w:rsidRPr="004C23F4" w14:paraId="48A24DD9" w14:textId="77777777" w:rsidTr="009531ED">
        <w:trPr>
          <w:cantSplit/>
        </w:trPr>
        <w:tc>
          <w:tcPr>
            <w:tcW w:w="3153" w:type="dxa"/>
          </w:tcPr>
          <w:p w14:paraId="4B367CCF" w14:textId="77777777" w:rsidR="009531ED" w:rsidRDefault="009531ED" w:rsidP="009531ED">
            <w:pPr>
              <w:pStyle w:val="Tablefont"/>
            </w:pPr>
            <w:r>
              <w:t>IARC</w:t>
            </w:r>
          </w:p>
        </w:tc>
        <w:tc>
          <w:tcPr>
            <w:tcW w:w="5873" w:type="dxa"/>
          </w:tcPr>
          <w:p w14:paraId="045EEC77" w14:textId="6B59D63F" w:rsidR="009531ED" w:rsidRPr="00DD2F9B" w:rsidRDefault="009531ED" w:rsidP="009531ED">
            <w:pPr>
              <w:pStyle w:val="Tablefont"/>
            </w:pPr>
            <w:r w:rsidRPr="00FE0C94">
              <w:t>Carcinogenicity – Group 3</w:t>
            </w:r>
          </w:p>
        </w:tc>
      </w:tr>
      <w:tr w:rsidR="009531ED" w:rsidRPr="004C23F4" w14:paraId="369333E0" w14:textId="77777777" w:rsidTr="009531ED">
        <w:trPr>
          <w:cantSplit/>
        </w:trPr>
        <w:tc>
          <w:tcPr>
            <w:tcW w:w="3153" w:type="dxa"/>
          </w:tcPr>
          <w:p w14:paraId="159155A7" w14:textId="77777777" w:rsidR="009531ED" w:rsidRDefault="009531ED" w:rsidP="009531ED">
            <w:pPr>
              <w:pStyle w:val="Tablefont"/>
              <w:keepNext/>
            </w:pPr>
            <w:r>
              <w:t>US NIOSH</w:t>
            </w:r>
          </w:p>
        </w:tc>
        <w:tc>
          <w:tcPr>
            <w:tcW w:w="5873" w:type="dxa"/>
          </w:tcPr>
          <w:p w14:paraId="038F96A7" w14:textId="3B069037" w:rsidR="009531ED" w:rsidRPr="00DD2F9B" w:rsidRDefault="009531ED" w:rsidP="009531ED">
            <w:pPr>
              <w:pStyle w:val="Tablefont"/>
              <w:keepNext/>
            </w:pPr>
            <w:r>
              <w:t>NA</w:t>
            </w:r>
          </w:p>
        </w:tc>
      </w:tr>
    </w:tbl>
    <w:bookmarkEnd w:id="2"/>
    <w:p w14:paraId="4839DC7C"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6ECC5F27"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7F6C13F2" w14:textId="77777777" w:rsidTr="00EA6243">
        <w:trPr>
          <w:cantSplit/>
          <w:tblHeader/>
        </w:trPr>
        <w:tc>
          <w:tcPr>
            <w:tcW w:w="5000" w:type="pct"/>
            <w:shd w:val="clear" w:color="auto" w:fill="BFBFBF" w:themeFill="background1" w:themeFillShade="BF"/>
            <w:vAlign w:val="center"/>
          </w:tcPr>
          <w:p w14:paraId="316B60C4" w14:textId="77777777" w:rsidR="00932DCE" w:rsidRPr="004C23F4" w:rsidRDefault="00932DCE" w:rsidP="00F4402E">
            <w:pPr>
              <w:pStyle w:val="Tableheader"/>
              <w:keepNext/>
              <w:tabs>
                <w:tab w:val="right" w:pos="8800"/>
              </w:tabs>
            </w:pPr>
            <w:bookmarkStart w:id="3" w:name="SkinNot"/>
            <w:r>
              <w:t>Calculation</w:t>
            </w:r>
            <w:r w:rsidR="00177CA1">
              <w:tab/>
            </w:r>
          </w:p>
        </w:tc>
      </w:tr>
      <w:tr w:rsidR="00932DCE" w:rsidRPr="004C23F4" w14:paraId="4BB23518" w14:textId="77777777" w:rsidTr="00EA6243">
        <w:trPr>
          <w:cantSplit/>
          <w:tblHeader/>
        </w:trPr>
        <w:tc>
          <w:tcPr>
            <w:tcW w:w="5000" w:type="pct"/>
            <w:vAlign w:val="center"/>
          </w:tcPr>
          <w:tbl>
            <w:tblPr>
              <w:tblW w:w="9435" w:type="dxa"/>
              <w:tblLook w:val="04A0" w:firstRow="1" w:lastRow="0" w:firstColumn="1" w:lastColumn="0" w:noHBand="0" w:noVBand="1"/>
            </w:tblPr>
            <w:tblGrid>
              <w:gridCol w:w="3656"/>
              <w:gridCol w:w="1087"/>
              <w:gridCol w:w="1087"/>
              <w:gridCol w:w="2980"/>
            </w:tblGrid>
            <w:tr w:rsidR="00957DC8" w:rsidRPr="00957DC8" w14:paraId="601E77FC" w14:textId="77777777" w:rsidTr="00957DC8">
              <w:trPr>
                <w:trHeight w:val="231"/>
              </w:trPr>
              <w:tc>
                <w:tcPr>
                  <w:tcW w:w="3926" w:type="dxa"/>
                  <w:tcBorders>
                    <w:top w:val="nil"/>
                    <w:left w:val="nil"/>
                    <w:bottom w:val="nil"/>
                    <w:right w:val="nil"/>
                  </w:tcBorders>
                  <w:shd w:val="clear" w:color="000000" w:fill="C5D9F1"/>
                  <w:noWrap/>
                  <w:vAlign w:val="center"/>
                  <w:hideMark/>
                </w:tcPr>
                <w:p w14:paraId="73399933" w14:textId="77777777" w:rsidR="00957DC8" w:rsidRPr="00957DC8" w:rsidRDefault="00957DC8" w:rsidP="00957DC8">
                  <w:pPr>
                    <w:spacing w:after="0" w:line="240" w:lineRule="auto"/>
                    <w:jc w:val="right"/>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Adverse effects in human case study:</w:t>
                  </w:r>
                </w:p>
              </w:tc>
              <w:tc>
                <w:tcPr>
                  <w:tcW w:w="1156" w:type="dxa"/>
                  <w:tcBorders>
                    <w:top w:val="nil"/>
                    <w:left w:val="nil"/>
                    <w:bottom w:val="nil"/>
                    <w:right w:val="nil"/>
                  </w:tcBorders>
                  <w:shd w:val="clear" w:color="000000" w:fill="C5D9F1"/>
                  <w:noWrap/>
                  <w:vAlign w:val="center"/>
                  <w:hideMark/>
                </w:tcPr>
                <w:p w14:paraId="03B71FCF" w14:textId="77777777" w:rsidR="00957DC8" w:rsidRPr="00957DC8" w:rsidRDefault="00957DC8" w:rsidP="00957DC8">
                  <w:pPr>
                    <w:spacing w:after="0" w:line="240" w:lineRule="auto"/>
                    <w:jc w:val="center"/>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no</w:t>
                  </w:r>
                </w:p>
              </w:tc>
              <w:tc>
                <w:tcPr>
                  <w:tcW w:w="1156" w:type="dxa"/>
                  <w:tcBorders>
                    <w:top w:val="nil"/>
                    <w:left w:val="nil"/>
                    <w:bottom w:val="nil"/>
                    <w:right w:val="nil"/>
                  </w:tcBorders>
                  <w:shd w:val="clear" w:color="000000" w:fill="C5D9F1"/>
                  <w:noWrap/>
                  <w:vAlign w:val="center"/>
                  <w:hideMark/>
                </w:tcPr>
                <w:p w14:paraId="234BF96E" w14:textId="77777777" w:rsidR="00957DC8" w:rsidRPr="00957DC8" w:rsidRDefault="00957DC8" w:rsidP="00957DC8">
                  <w:pPr>
                    <w:spacing w:after="0" w:line="240" w:lineRule="auto"/>
                    <w:rPr>
                      <w:rFonts w:ascii="Segoe UI" w:eastAsia="Times New Roman" w:hAnsi="Segoe UI" w:cs="Segoe UI"/>
                      <w:color w:val="C5D9F1"/>
                      <w:sz w:val="18"/>
                      <w:szCs w:val="18"/>
                      <w:lang w:eastAsia="en-AU"/>
                    </w:rPr>
                  </w:pPr>
                  <w:r w:rsidRPr="00957DC8">
                    <w:rPr>
                      <w:rFonts w:ascii="Segoe UI" w:eastAsia="Times New Roman" w:hAnsi="Segoe UI" w:cs="Segoe UI"/>
                      <w:color w:val="C5D9F1"/>
                      <w:sz w:val="18"/>
                      <w:szCs w:val="18"/>
                      <w:lang w:eastAsia="en-AU"/>
                    </w:rPr>
                    <w:t> </w:t>
                  </w:r>
                </w:p>
              </w:tc>
              <w:tc>
                <w:tcPr>
                  <w:tcW w:w="3197" w:type="dxa"/>
                  <w:tcBorders>
                    <w:top w:val="nil"/>
                    <w:left w:val="nil"/>
                    <w:bottom w:val="nil"/>
                    <w:right w:val="nil"/>
                  </w:tcBorders>
                  <w:shd w:val="clear" w:color="000000" w:fill="C5D9F1"/>
                  <w:noWrap/>
                  <w:vAlign w:val="center"/>
                  <w:hideMark/>
                </w:tcPr>
                <w:p w14:paraId="34ACB166" w14:textId="77777777" w:rsidR="00957DC8" w:rsidRPr="00957DC8" w:rsidRDefault="00957DC8" w:rsidP="00957DC8">
                  <w:pPr>
                    <w:spacing w:after="0" w:line="240" w:lineRule="auto"/>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 </w:t>
                  </w:r>
                </w:p>
              </w:tc>
            </w:tr>
            <w:tr w:rsidR="00957DC8" w:rsidRPr="00957DC8" w14:paraId="717FF1E7" w14:textId="77777777" w:rsidTr="00957DC8">
              <w:trPr>
                <w:trHeight w:val="231"/>
              </w:trPr>
              <w:tc>
                <w:tcPr>
                  <w:tcW w:w="3926" w:type="dxa"/>
                  <w:tcBorders>
                    <w:top w:val="nil"/>
                    <w:left w:val="nil"/>
                    <w:bottom w:val="nil"/>
                    <w:right w:val="nil"/>
                  </w:tcBorders>
                  <w:shd w:val="clear" w:color="000000" w:fill="C5D9F1"/>
                  <w:noWrap/>
                  <w:vAlign w:val="center"/>
                  <w:hideMark/>
                </w:tcPr>
                <w:p w14:paraId="0BEDE7E6" w14:textId="77777777" w:rsidR="00957DC8" w:rsidRPr="00957DC8" w:rsidRDefault="00957DC8" w:rsidP="00957DC8">
                  <w:pPr>
                    <w:spacing w:after="0" w:line="240" w:lineRule="auto"/>
                    <w:jc w:val="right"/>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Dermal LD</w:t>
                  </w:r>
                  <w:r w:rsidRPr="00957DC8">
                    <w:rPr>
                      <w:rFonts w:ascii="Segoe UI" w:eastAsia="Times New Roman" w:hAnsi="Segoe UI" w:cs="Segoe UI"/>
                      <w:color w:val="000000"/>
                      <w:sz w:val="18"/>
                      <w:szCs w:val="18"/>
                      <w:vertAlign w:val="subscript"/>
                      <w:lang w:eastAsia="en-AU"/>
                    </w:rPr>
                    <w:t>50</w:t>
                  </w:r>
                  <w:r w:rsidRPr="00957DC8">
                    <w:rPr>
                      <w:rFonts w:ascii="Segoe UI" w:eastAsia="Times New Roman" w:hAnsi="Segoe UI" w:cs="Segoe UI"/>
                      <w:color w:val="000000"/>
                      <w:sz w:val="18"/>
                      <w:szCs w:val="18"/>
                      <w:lang w:eastAsia="en-AU"/>
                    </w:rPr>
                    <w:t xml:space="preserve"> ≤1000 mg/kg:</w:t>
                  </w:r>
                </w:p>
              </w:tc>
              <w:tc>
                <w:tcPr>
                  <w:tcW w:w="1156" w:type="dxa"/>
                  <w:tcBorders>
                    <w:top w:val="nil"/>
                    <w:left w:val="nil"/>
                    <w:bottom w:val="nil"/>
                    <w:right w:val="nil"/>
                  </w:tcBorders>
                  <w:shd w:val="clear" w:color="000000" w:fill="C5D9F1"/>
                  <w:noWrap/>
                  <w:vAlign w:val="center"/>
                  <w:hideMark/>
                </w:tcPr>
                <w:p w14:paraId="40E624DE" w14:textId="77777777" w:rsidR="00957DC8" w:rsidRPr="00957DC8" w:rsidRDefault="00957DC8" w:rsidP="00957DC8">
                  <w:pPr>
                    <w:spacing w:after="0" w:line="240" w:lineRule="auto"/>
                    <w:jc w:val="center"/>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no</w:t>
                  </w:r>
                </w:p>
              </w:tc>
              <w:tc>
                <w:tcPr>
                  <w:tcW w:w="1156" w:type="dxa"/>
                  <w:tcBorders>
                    <w:top w:val="nil"/>
                    <w:left w:val="nil"/>
                    <w:bottom w:val="nil"/>
                    <w:right w:val="nil"/>
                  </w:tcBorders>
                  <w:shd w:val="clear" w:color="000000" w:fill="C5D9F1"/>
                  <w:noWrap/>
                  <w:vAlign w:val="center"/>
                  <w:hideMark/>
                </w:tcPr>
                <w:p w14:paraId="582128F8" w14:textId="77777777" w:rsidR="00957DC8" w:rsidRPr="00957DC8" w:rsidRDefault="00957DC8" w:rsidP="00957DC8">
                  <w:pPr>
                    <w:spacing w:after="0" w:line="240" w:lineRule="auto"/>
                    <w:rPr>
                      <w:rFonts w:ascii="Segoe UI" w:eastAsia="Times New Roman" w:hAnsi="Segoe UI" w:cs="Segoe UI"/>
                      <w:color w:val="C5D9F1"/>
                      <w:sz w:val="18"/>
                      <w:szCs w:val="18"/>
                      <w:lang w:eastAsia="en-AU"/>
                    </w:rPr>
                  </w:pPr>
                  <w:r w:rsidRPr="00957DC8">
                    <w:rPr>
                      <w:rFonts w:ascii="Segoe UI" w:eastAsia="Times New Roman" w:hAnsi="Segoe UI" w:cs="Segoe UI"/>
                      <w:color w:val="C5D9F1"/>
                      <w:sz w:val="18"/>
                      <w:szCs w:val="18"/>
                      <w:lang w:eastAsia="en-AU"/>
                    </w:rPr>
                    <w:t> </w:t>
                  </w:r>
                </w:p>
              </w:tc>
              <w:tc>
                <w:tcPr>
                  <w:tcW w:w="3197" w:type="dxa"/>
                  <w:tcBorders>
                    <w:top w:val="nil"/>
                    <w:left w:val="nil"/>
                    <w:bottom w:val="nil"/>
                    <w:right w:val="nil"/>
                  </w:tcBorders>
                  <w:shd w:val="clear" w:color="000000" w:fill="C5D9F1"/>
                  <w:noWrap/>
                  <w:vAlign w:val="center"/>
                  <w:hideMark/>
                </w:tcPr>
                <w:p w14:paraId="0B2DA783" w14:textId="77777777" w:rsidR="00957DC8" w:rsidRPr="00957DC8" w:rsidRDefault="00957DC8" w:rsidP="00957DC8">
                  <w:pPr>
                    <w:spacing w:after="0" w:line="240" w:lineRule="auto"/>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 </w:t>
                  </w:r>
                </w:p>
              </w:tc>
            </w:tr>
            <w:tr w:rsidR="00957DC8" w:rsidRPr="00957DC8" w14:paraId="5D436BB4" w14:textId="77777777" w:rsidTr="00957DC8">
              <w:trPr>
                <w:trHeight w:val="231"/>
              </w:trPr>
              <w:tc>
                <w:tcPr>
                  <w:tcW w:w="3926" w:type="dxa"/>
                  <w:tcBorders>
                    <w:top w:val="nil"/>
                    <w:left w:val="nil"/>
                    <w:bottom w:val="nil"/>
                    <w:right w:val="nil"/>
                  </w:tcBorders>
                  <w:shd w:val="clear" w:color="000000" w:fill="C5D9F1"/>
                  <w:noWrap/>
                  <w:vAlign w:val="center"/>
                  <w:hideMark/>
                </w:tcPr>
                <w:p w14:paraId="5470164A" w14:textId="77777777" w:rsidR="00957DC8" w:rsidRPr="00957DC8" w:rsidRDefault="00957DC8" w:rsidP="00957DC8">
                  <w:pPr>
                    <w:spacing w:after="0" w:line="240" w:lineRule="auto"/>
                    <w:jc w:val="right"/>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Dermal repeat-dose NOAEL ≤200 mg/kg:</w:t>
                  </w:r>
                </w:p>
              </w:tc>
              <w:tc>
                <w:tcPr>
                  <w:tcW w:w="1156" w:type="dxa"/>
                  <w:tcBorders>
                    <w:top w:val="nil"/>
                    <w:left w:val="nil"/>
                    <w:bottom w:val="nil"/>
                    <w:right w:val="nil"/>
                  </w:tcBorders>
                  <w:shd w:val="clear" w:color="000000" w:fill="C5D9F1"/>
                  <w:noWrap/>
                  <w:vAlign w:val="center"/>
                  <w:hideMark/>
                </w:tcPr>
                <w:p w14:paraId="6B13F9F5" w14:textId="77777777" w:rsidR="00957DC8" w:rsidRPr="00957DC8" w:rsidRDefault="00957DC8" w:rsidP="00957DC8">
                  <w:pPr>
                    <w:spacing w:after="0" w:line="240" w:lineRule="auto"/>
                    <w:jc w:val="center"/>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 </w:t>
                  </w:r>
                </w:p>
              </w:tc>
              <w:tc>
                <w:tcPr>
                  <w:tcW w:w="1156" w:type="dxa"/>
                  <w:tcBorders>
                    <w:top w:val="nil"/>
                    <w:left w:val="nil"/>
                    <w:bottom w:val="nil"/>
                    <w:right w:val="nil"/>
                  </w:tcBorders>
                  <w:shd w:val="clear" w:color="000000" w:fill="C5D9F1"/>
                  <w:noWrap/>
                  <w:vAlign w:val="center"/>
                  <w:hideMark/>
                </w:tcPr>
                <w:p w14:paraId="78692D7A" w14:textId="77777777" w:rsidR="00957DC8" w:rsidRPr="00957DC8" w:rsidRDefault="00957DC8" w:rsidP="00957DC8">
                  <w:pPr>
                    <w:spacing w:after="0" w:line="240" w:lineRule="auto"/>
                    <w:rPr>
                      <w:rFonts w:ascii="Segoe UI" w:eastAsia="Times New Roman" w:hAnsi="Segoe UI" w:cs="Segoe UI"/>
                      <w:color w:val="C5D9F1"/>
                      <w:sz w:val="18"/>
                      <w:szCs w:val="18"/>
                      <w:lang w:eastAsia="en-AU"/>
                    </w:rPr>
                  </w:pPr>
                  <w:r w:rsidRPr="00957DC8">
                    <w:rPr>
                      <w:rFonts w:ascii="Segoe UI" w:eastAsia="Times New Roman" w:hAnsi="Segoe UI" w:cs="Segoe UI"/>
                      <w:color w:val="C5D9F1"/>
                      <w:sz w:val="18"/>
                      <w:szCs w:val="18"/>
                      <w:lang w:eastAsia="en-AU"/>
                    </w:rPr>
                    <w:t> </w:t>
                  </w:r>
                </w:p>
              </w:tc>
              <w:tc>
                <w:tcPr>
                  <w:tcW w:w="3197" w:type="dxa"/>
                  <w:tcBorders>
                    <w:top w:val="nil"/>
                    <w:left w:val="nil"/>
                    <w:bottom w:val="nil"/>
                    <w:right w:val="nil"/>
                  </w:tcBorders>
                  <w:shd w:val="clear" w:color="000000" w:fill="C5D9F1"/>
                  <w:noWrap/>
                  <w:vAlign w:val="center"/>
                  <w:hideMark/>
                </w:tcPr>
                <w:p w14:paraId="76029CB9" w14:textId="77777777" w:rsidR="00957DC8" w:rsidRPr="00957DC8" w:rsidRDefault="00957DC8" w:rsidP="00957DC8">
                  <w:pPr>
                    <w:spacing w:after="0" w:line="240" w:lineRule="auto"/>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 </w:t>
                  </w:r>
                </w:p>
              </w:tc>
            </w:tr>
            <w:tr w:rsidR="00957DC8" w:rsidRPr="00957DC8" w14:paraId="6E539280" w14:textId="77777777" w:rsidTr="00957DC8">
              <w:trPr>
                <w:trHeight w:val="231"/>
              </w:trPr>
              <w:tc>
                <w:tcPr>
                  <w:tcW w:w="3926" w:type="dxa"/>
                  <w:tcBorders>
                    <w:top w:val="nil"/>
                    <w:left w:val="nil"/>
                    <w:bottom w:val="nil"/>
                    <w:right w:val="nil"/>
                  </w:tcBorders>
                  <w:shd w:val="clear" w:color="000000" w:fill="C5D9F1"/>
                  <w:noWrap/>
                  <w:vAlign w:val="center"/>
                  <w:hideMark/>
                </w:tcPr>
                <w:p w14:paraId="7E87B406" w14:textId="77777777" w:rsidR="00957DC8" w:rsidRPr="00957DC8" w:rsidRDefault="00957DC8" w:rsidP="00957DC8">
                  <w:pPr>
                    <w:spacing w:after="0" w:line="240" w:lineRule="auto"/>
                    <w:jc w:val="right"/>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Dermal LD</w:t>
                  </w:r>
                  <w:r w:rsidRPr="00957DC8">
                    <w:rPr>
                      <w:rFonts w:ascii="Segoe UI" w:eastAsia="Times New Roman" w:hAnsi="Segoe UI" w:cs="Segoe UI"/>
                      <w:color w:val="000000"/>
                      <w:sz w:val="18"/>
                      <w:szCs w:val="18"/>
                      <w:vertAlign w:val="subscript"/>
                      <w:lang w:eastAsia="en-AU"/>
                    </w:rPr>
                    <w:t>50</w:t>
                  </w:r>
                  <w:r w:rsidRPr="00957DC8">
                    <w:rPr>
                      <w:rFonts w:ascii="Segoe UI" w:eastAsia="Times New Roman" w:hAnsi="Segoe UI" w:cs="Segoe UI"/>
                      <w:color w:val="000000"/>
                      <w:sz w:val="18"/>
                      <w:szCs w:val="18"/>
                      <w:lang w:eastAsia="en-AU"/>
                    </w:rPr>
                    <w:t>/Inhalation LD</w:t>
                  </w:r>
                  <w:r w:rsidRPr="00957DC8">
                    <w:rPr>
                      <w:rFonts w:ascii="Segoe UI" w:eastAsia="Times New Roman" w:hAnsi="Segoe UI" w:cs="Segoe UI"/>
                      <w:color w:val="000000"/>
                      <w:sz w:val="18"/>
                      <w:szCs w:val="18"/>
                      <w:vertAlign w:val="subscript"/>
                      <w:lang w:eastAsia="en-AU"/>
                    </w:rPr>
                    <w:t>50</w:t>
                  </w:r>
                  <w:r w:rsidRPr="00957DC8">
                    <w:rPr>
                      <w:rFonts w:ascii="Segoe UI" w:eastAsia="Times New Roman" w:hAnsi="Segoe UI" w:cs="Segoe UI"/>
                      <w:color w:val="000000"/>
                      <w:sz w:val="18"/>
                      <w:szCs w:val="18"/>
                      <w:lang w:eastAsia="en-AU"/>
                    </w:rPr>
                    <w:t xml:space="preserve"> &lt;10:</w:t>
                  </w:r>
                </w:p>
              </w:tc>
              <w:tc>
                <w:tcPr>
                  <w:tcW w:w="1156" w:type="dxa"/>
                  <w:tcBorders>
                    <w:top w:val="nil"/>
                    <w:left w:val="nil"/>
                    <w:bottom w:val="nil"/>
                    <w:right w:val="nil"/>
                  </w:tcBorders>
                  <w:shd w:val="clear" w:color="000000" w:fill="C5D9F1"/>
                  <w:noWrap/>
                  <w:vAlign w:val="center"/>
                  <w:hideMark/>
                </w:tcPr>
                <w:p w14:paraId="37125001" w14:textId="77777777" w:rsidR="00957DC8" w:rsidRPr="00957DC8" w:rsidRDefault="00957DC8" w:rsidP="00957DC8">
                  <w:pPr>
                    <w:spacing w:after="0" w:line="240" w:lineRule="auto"/>
                    <w:jc w:val="center"/>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 </w:t>
                  </w:r>
                </w:p>
              </w:tc>
              <w:tc>
                <w:tcPr>
                  <w:tcW w:w="1156" w:type="dxa"/>
                  <w:tcBorders>
                    <w:top w:val="nil"/>
                    <w:left w:val="nil"/>
                    <w:bottom w:val="nil"/>
                    <w:right w:val="nil"/>
                  </w:tcBorders>
                  <w:shd w:val="clear" w:color="000000" w:fill="C5D9F1"/>
                  <w:noWrap/>
                  <w:vAlign w:val="center"/>
                  <w:hideMark/>
                </w:tcPr>
                <w:p w14:paraId="5493F9B9" w14:textId="77777777" w:rsidR="00957DC8" w:rsidRPr="00957DC8" w:rsidRDefault="00957DC8" w:rsidP="00957DC8">
                  <w:pPr>
                    <w:spacing w:after="0" w:line="240" w:lineRule="auto"/>
                    <w:rPr>
                      <w:rFonts w:ascii="Segoe UI" w:eastAsia="Times New Roman" w:hAnsi="Segoe UI" w:cs="Segoe UI"/>
                      <w:color w:val="C5D9F1"/>
                      <w:sz w:val="18"/>
                      <w:szCs w:val="18"/>
                      <w:lang w:eastAsia="en-AU"/>
                    </w:rPr>
                  </w:pPr>
                  <w:r w:rsidRPr="00957DC8">
                    <w:rPr>
                      <w:rFonts w:ascii="Segoe UI" w:eastAsia="Times New Roman" w:hAnsi="Segoe UI" w:cs="Segoe UI"/>
                      <w:color w:val="C5D9F1"/>
                      <w:sz w:val="18"/>
                      <w:szCs w:val="18"/>
                      <w:lang w:eastAsia="en-AU"/>
                    </w:rPr>
                    <w:t> </w:t>
                  </w:r>
                </w:p>
              </w:tc>
              <w:tc>
                <w:tcPr>
                  <w:tcW w:w="3197" w:type="dxa"/>
                  <w:tcBorders>
                    <w:top w:val="nil"/>
                    <w:left w:val="nil"/>
                    <w:bottom w:val="nil"/>
                    <w:right w:val="nil"/>
                  </w:tcBorders>
                  <w:shd w:val="clear" w:color="000000" w:fill="C5D9F1"/>
                  <w:noWrap/>
                  <w:vAlign w:val="center"/>
                  <w:hideMark/>
                </w:tcPr>
                <w:p w14:paraId="4BE0135C" w14:textId="77777777" w:rsidR="00957DC8" w:rsidRPr="00957DC8" w:rsidRDefault="00957DC8" w:rsidP="00957DC8">
                  <w:pPr>
                    <w:spacing w:after="0" w:line="240" w:lineRule="auto"/>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 </w:t>
                  </w:r>
                </w:p>
              </w:tc>
            </w:tr>
            <w:tr w:rsidR="00957DC8" w:rsidRPr="00957DC8" w14:paraId="72BCA87B" w14:textId="77777777" w:rsidTr="00957DC8">
              <w:trPr>
                <w:trHeight w:val="231"/>
              </w:trPr>
              <w:tc>
                <w:tcPr>
                  <w:tcW w:w="3926" w:type="dxa"/>
                  <w:tcBorders>
                    <w:top w:val="nil"/>
                    <w:left w:val="nil"/>
                    <w:bottom w:val="nil"/>
                    <w:right w:val="nil"/>
                  </w:tcBorders>
                  <w:shd w:val="clear" w:color="000000" w:fill="C5D9F1"/>
                  <w:noWrap/>
                  <w:vAlign w:val="center"/>
                  <w:hideMark/>
                </w:tcPr>
                <w:p w14:paraId="17282FCA" w14:textId="77777777" w:rsidR="00957DC8" w:rsidRPr="00957DC8" w:rsidRDefault="00957DC8" w:rsidP="00957DC8">
                  <w:pPr>
                    <w:spacing w:after="0" w:line="240" w:lineRule="auto"/>
                    <w:jc w:val="right"/>
                    <w:rPr>
                      <w:rFonts w:ascii="Segoe UI" w:eastAsia="Times New Roman" w:hAnsi="Segoe UI" w:cs="Segoe UI"/>
                      <w:i/>
                      <w:iCs/>
                      <w:color w:val="000000"/>
                      <w:sz w:val="18"/>
                      <w:szCs w:val="18"/>
                      <w:lang w:eastAsia="en-AU"/>
                    </w:rPr>
                  </w:pPr>
                  <w:r w:rsidRPr="00957DC8">
                    <w:rPr>
                      <w:rFonts w:ascii="Segoe UI" w:eastAsia="Times New Roman" w:hAnsi="Segoe UI" w:cs="Segoe UI"/>
                      <w:i/>
                      <w:iCs/>
                      <w:color w:val="000000"/>
                      <w:sz w:val="18"/>
                      <w:szCs w:val="18"/>
                      <w:lang w:eastAsia="en-AU"/>
                    </w:rPr>
                    <w:t>In vivo</w:t>
                  </w:r>
                  <w:r w:rsidRPr="00957DC8">
                    <w:rPr>
                      <w:rFonts w:ascii="Segoe UI" w:eastAsia="Times New Roman" w:hAnsi="Segoe UI" w:cs="Segoe UI"/>
                      <w:color w:val="000000"/>
                      <w:sz w:val="18"/>
                      <w:szCs w:val="18"/>
                      <w:lang w:eastAsia="en-AU"/>
                    </w:rPr>
                    <w:t xml:space="preserve"> dermal absorption rate &gt;10%:</w:t>
                  </w:r>
                </w:p>
              </w:tc>
              <w:tc>
                <w:tcPr>
                  <w:tcW w:w="1156" w:type="dxa"/>
                  <w:tcBorders>
                    <w:top w:val="nil"/>
                    <w:left w:val="nil"/>
                    <w:bottom w:val="nil"/>
                    <w:right w:val="nil"/>
                  </w:tcBorders>
                  <w:shd w:val="clear" w:color="000000" w:fill="C5D9F1"/>
                  <w:noWrap/>
                  <w:vAlign w:val="center"/>
                  <w:hideMark/>
                </w:tcPr>
                <w:p w14:paraId="7BBE1273" w14:textId="77777777" w:rsidR="00957DC8" w:rsidRPr="00957DC8" w:rsidRDefault="00957DC8" w:rsidP="00957DC8">
                  <w:pPr>
                    <w:spacing w:after="0" w:line="240" w:lineRule="auto"/>
                    <w:jc w:val="center"/>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 </w:t>
                  </w:r>
                </w:p>
              </w:tc>
              <w:tc>
                <w:tcPr>
                  <w:tcW w:w="1156" w:type="dxa"/>
                  <w:tcBorders>
                    <w:top w:val="nil"/>
                    <w:left w:val="nil"/>
                    <w:bottom w:val="nil"/>
                    <w:right w:val="nil"/>
                  </w:tcBorders>
                  <w:shd w:val="clear" w:color="000000" w:fill="C5D9F1"/>
                  <w:noWrap/>
                  <w:vAlign w:val="center"/>
                  <w:hideMark/>
                </w:tcPr>
                <w:p w14:paraId="45D6BD37" w14:textId="77777777" w:rsidR="00957DC8" w:rsidRPr="00957DC8" w:rsidRDefault="00957DC8" w:rsidP="00957DC8">
                  <w:pPr>
                    <w:spacing w:after="0" w:line="240" w:lineRule="auto"/>
                    <w:rPr>
                      <w:rFonts w:ascii="Segoe UI" w:eastAsia="Times New Roman" w:hAnsi="Segoe UI" w:cs="Segoe UI"/>
                      <w:color w:val="C5D9F1"/>
                      <w:sz w:val="18"/>
                      <w:szCs w:val="18"/>
                      <w:lang w:eastAsia="en-AU"/>
                    </w:rPr>
                  </w:pPr>
                  <w:r w:rsidRPr="00957DC8">
                    <w:rPr>
                      <w:rFonts w:ascii="Segoe UI" w:eastAsia="Times New Roman" w:hAnsi="Segoe UI" w:cs="Segoe UI"/>
                      <w:color w:val="C5D9F1"/>
                      <w:sz w:val="18"/>
                      <w:szCs w:val="18"/>
                      <w:lang w:eastAsia="en-AU"/>
                    </w:rPr>
                    <w:t> </w:t>
                  </w:r>
                </w:p>
              </w:tc>
              <w:tc>
                <w:tcPr>
                  <w:tcW w:w="3197" w:type="dxa"/>
                  <w:tcBorders>
                    <w:top w:val="nil"/>
                    <w:left w:val="nil"/>
                    <w:bottom w:val="nil"/>
                    <w:right w:val="nil"/>
                  </w:tcBorders>
                  <w:shd w:val="clear" w:color="000000" w:fill="C5D9F1"/>
                  <w:noWrap/>
                  <w:vAlign w:val="center"/>
                  <w:hideMark/>
                </w:tcPr>
                <w:p w14:paraId="5A25AF23" w14:textId="77777777" w:rsidR="00957DC8" w:rsidRPr="00957DC8" w:rsidRDefault="00957DC8" w:rsidP="00957DC8">
                  <w:pPr>
                    <w:spacing w:after="0" w:line="240" w:lineRule="auto"/>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 </w:t>
                  </w:r>
                </w:p>
              </w:tc>
            </w:tr>
            <w:tr w:rsidR="00957DC8" w:rsidRPr="00957DC8" w14:paraId="3772A882" w14:textId="77777777" w:rsidTr="00957DC8">
              <w:trPr>
                <w:trHeight w:val="231"/>
              </w:trPr>
              <w:tc>
                <w:tcPr>
                  <w:tcW w:w="3926" w:type="dxa"/>
                  <w:tcBorders>
                    <w:top w:val="nil"/>
                    <w:left w:val="nil"/>
                    <w:bottom w:val="nil"/>
                    <w:right w:val="nil"/>
                  </w:tcBorders>
                  <w:shd w:val="clear" w:color="000000" w:fill="C5D9F1"/>
                  <w:noWrap/>
                  <w:vAlign w:val="center"/>
                  <w:hideMark/>
                </w:tcPr>
                <w:p w14:paraId="4A985D8F" w14:textId="77777777" w:rsidR="00957DC8" w:rsidRPr="00957DC8" w:rsidRDefault="00957DC8" w:rsidP="00957DC8">
                  <w:pPr>
                    <w:spacing w:after="0" w:line="240" w:lineRule="auto"/>
                    <w:jc w:val="right"/>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Estimated dermal exposure at WES &gt;10%:</w:t>
                  </w:r>
                </w:p>
              </w:tc>
              <w:tc>
                <w:tcPr>
                  <w:tcW w:w="1156" w:type="dxa"/>
                  <w:tcBorders>
                    <w:top w:val="nil"/>
                    <w:left w:val="nil"/>
                    <w:bottom w:val="nil"/>
                    <w:right w:val="nil"/>
                  </w:tcBorders>
                  <w:shd w:val="clear" w:color="000000" w:fill="C5D9F1"/>
                  <w:noWrap/>
                  <w:vAlign w:val="center"/>
                  <w:hideMark/>
                </w:tcPr>
                <w:p w14:paraId="524A1FEC" w14:textId="77777777" w:rsidR="00957DC8" w:rsidRPr="00957DC8" w:rsidRDefault="00957DC8" w:rsidP="00957DC8">
                  <w:pPr>
                    <w:spacing w:after="0" w:line="240" w:lineRule="auto"/>
                    <w:jc w:val="center"/>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 </w:t>
                  </w:r>
                </w:p>
              </w:tc>
              <w:tc>
                <w:tcPr>
                  <w:tcW w:w="1156" w:type="dxa"/>
                  <w:tcBorders>
                    <w:top w:val="nil"/>
                    <w:left w:val="nil"/>
                    <w:bottom w:val="nil"/>
                    <w:right w:val="nil"/>
                  </w:tcBorders>
                  <w:shd w:val="clear" w:color="000000" w:fill="C5D9F1"/>
                  <w:noWrap/>
                  <w:vAlign w:val="center"/>
                  <w:hideMark/>
                </w:tcPr>
                <w:p w14:paraId="00B78CEF" w14:textId="77777777" w:rsidR="00957DC8" w:rsidRPr="00957DC8" w:rsidRDefault="00957DC8" w:rsidP="00957DC8">
                  <w:pPr>
                    <w:spacing w:after="0" w:line="240" w:lineRule="auto"/>
                    <w:rPr>
                      <w:rFonts w:ascii="Segoe UI" w:eastAsia="Times New Roman" w:hAnsi="Segoe UI" w:cs="Segoe UI"/>
                      <w:color w:val="C5D9F1"/>
                      <w:sz w:val="18"/>
                      <w:szCs w:val="18"/>
                      <w:lang w:eastAsia="en-AU"/>
                    </w:rPr>
                  </w:pPr>
                  <w:r w:rsidRPr="00957DC8">
                    <w:rPr>
                      <w:rFonts w:ascii="Segoe UI" w:eastAsia="Times New Roman" w:hAnsi="Segoe UI" w:cs="Segoe UI"/>
                      <w:color w:val="C5D9F1"/>
                      <w:sz w:val="18"/>
                      <w:szCs w:val="18"/>
                      <w:lang w:eastAsia="en-AU"/>
                    </w:rPr>
                    <w:t> </w:t>
                  </w:r>
                </w:p>
              </w:tc>
              <w:tc>
                <w:tcPr>
                  <w:tcW w:w="3197" w:type="dxa"/>
                  <w:tcBorders>
                    <w:top w:val="nil"/>
                    <w:left w:val="nil"/>
                    <w:bottom w:val="nil"/>
                    <w:right w:val="nil"/>
                  </w:tcBorders>
                  <w:shd w:val="clear" w:color="000000" w:fill="C5D9F1"/>
                  <w:noWrap/>
                  <w:vAlign w:val="center"/>
                  <w:hideMark/>
                </w:tcPr>
                <w:p w14:paraId="1CA66B64" w14:textId="77777777" w:rsidR="00957DC8" w:rsidRPr="00957DC8" w:rsidRDefault="00957DC8" w:rsidP="00957DC8">
                  <w:pPr>
                    <w:spacing w:after="0" w:line="240" w:lineRule="auto"/>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 </w:t>
                  </w:r>
                </w:p>
              </w:tc>
            </w:tr>
            <w:tr w:rsidR="00957DC8" w:rsidRPr="00957DC8" w14:paraId="6D6861DD" w14:textId="77777777" w:rsidTr="00957DC8">
              <w:trPr>
                <w:trHeight w:val="231"/>
              </w:trPr>
              <w:tc>
                <w:tcPr>
                  <w:tcW w:w="3926" w:type="dxa"/>
                  <w:tcBorders>
                    <w:top w:val="nil"/>
                    <w:left w:val="nil"/>
                    <w:bottom w:val="nil"/>
                    <w:right w:val="nil"/>
                  </w:tcBorders>
                  <w:shd w:val="clear" w:color="000000" w:fill="C5D9F1"/>
                  <w:noWrap/>
                  <w:vAlign w:val="center"/>
                  <w:hideMark/>
                </w:tcPr>
                <w:p w14:paraId="44B745A7" w14:textId="77777777" w:rsidR="00957DC8" w:rsidRPr="00957DC8" w:rsidRDefault="00957DC8" w:rsidP="00957DC8">
                  <w:pPr>
                    <w:spacing w:after="0" w:line="240" w:lineRule="auto"/>
                    <w:jc w:val="right"/>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 </w:t>
                  </w:r>
                </w:p>
              </w:tc>
              <w:tc>
                <w:tcPr>
                  <w:tcW w:w="1156" w:type="dxa"/>
                  <w:tcBorders>
                    <w:top w:val="nil"/>
                    <w:left w:val="nil"/>
                    <w:bottom w:val="nil"/>
                    <w:right w:val="nil"/>
                  </w:tcBorders>
                  <w:shd w:val="clear" w:color="000000" w:fill="C5D9F1"/>
                  <w:noWrap/>
                  <w:vAlign w:val="center"/>
                  <w:hideMark/>
                </w:tcPr>
                <w:p w14:paraId="45F7DF4D" w14:textId="77777777" w:rsidR="00957DC8" w:rsidRPr="00957DC8" w:rsidRDefault="00957DC8" w:rsidP="00957DC8">
                  <w:pPr>
                    <w:spacing w:after="0" w:line="240" w:lineRule="auto"/>
                    <w:jc w:val="center"/>
                    <w:rPr>
                      <w:rFonts w:ascii="Segoe UI" w:eastAsia="Times New Roman" w:hAnsi="Segoe UI" w:cs="Segoe UI"/>
                      <w:color w:val="000000"/>
                      <w:sz w:val="18"/>
                      <w:szCs w:val="18"/>
                      <w:lang w:eastAsia="en-AU"/>
                    </w:rPr>
                  </w:pPr>
                  <w:r w:rsidRPr="00957DC8">
                    <w:rPr>
                      <w:rFonts w:ascii="Segoe UI" w:eastAsia="Times New Roman" w:hAnsi="Segoe UI" w:cs="Segoe UI"/>
                      <w:color w:val="000000"/>
                      <w:sz w:val="18"/>
                      <w:szCs w:val="18"/>
                      <w:lang w:eastAsia="en-AU"/>
                    </w:rPr>
                    <w:t> </w:t>
                  </w:r>
                </w:p>
              </w:tc>
              <w:tc>
                <w:tcPr>
                  <w:tcW w:w="1156" w:type="dxa"/>
                  <w:tcBorders>
                    <w:top w:val="nil"/>
                    <w:left w:val="nil"/>
                    <w:bottom w:val="nil"/>
                    <w:right w:val="nil"/>
                  </w:tcBorders>
                  <w:shd w:val="clear" w:color="000000" w:fill="C5D9F1"/>
                  <w:noWrap/>
                  <w:vAlign w:val="center"/>
                  <w:hideMark/>
                </w:tcPr>
                <w:p w14:paraId="513E5953" w14:textId="77777777" w:rsidR="00957DC8" w:rsidRPr="00957DC8" w:rsidRDefault="00957DC8" w:rsidP="00957DC8">
                  <w:pPr>
                    <w:spacing w:after="0" w:line="240" w:lineRule="auto"/>
                    <w:rPr>
                      <w:rFonts w:ascii="Segoe UI" w:eastAsia="Times New Roman" w:hAnsi="Segoe UI" w:cs="Segoe UI"/>
                      <w:color w:val="C5D9F1"/>
                      <w:sz w:val="18"/>
                      <w:szCs w:val="18"/>
                      <w:lang w:eastAsia="en-AU"/>
                    </w:rPr>
                  </w:pPr>
                  <w:r w:rsidRPr="00957DC8">
                    <w:rPr>
                      <w:rFonts w:ascii="Segoe UI" w:eastAsia="Times New Roman" w:hAnsi="Segoe UI" w:cs="Segoe UI"/>
                      <w:color w:val="C5D9F1"/>
                      <w:sz w:val="18"/>
                      <w:szCs w:val="18"/>
                      <w:lang w:eastAsia="en-AU"/>
                    </w:rPr>
                    <w:t> </w:t>
                  </w:r>
                </w:p>
              </w:tc>
              <w:tc>
                <w:tcPr>
                  <w:tcW w:w="3197" w:type="dxa"/>
                  <w:tcBorders>
                    <w:top w:val="nil"/>
                    <w:left w:val="nil"/>
                    <w:bottom w:val="nil"/>
                    <w:right w:val="nil"/>
                  </w:tcBorders>
                  <w:shd w:val="clear" w:color="000000" w:fill="C5D9F1"/>
                  <w:noWrap/>
                  <w:vAlign w:val="center"/>
                  <w:hideMark/>
                </w:tcPr>
                <w:p w14:paraId="5FF5A283" w14:textId="77777777" w:rsidR="00957DC8" w:rsidRPr="00957DC8" w:rsidRDefault="00957DC8" w:rsidP="00957DC8">
                  <w:pPr>
                    <w:spacing w:after="0" w:line="240" w:lineRule="auto"/>
                    <w:rPr>
                      <w:rFonts w:ascii="Segoe UI" w:eastAsia="Times New Roman" w:hAnsi="Segoe UI" w:cs="Segoe UI"/>
                      <w:b/>
                      <w:bCs/>
                      <w:color w:val="000000"/>
                      <w:sz w:val="18"/>
                      <w:szCs w:val="18"/>
                      <w:lang w:eastAsia="en-AU"/>
                    </w:rPr>
                  </w:pPr>
                  <w:r w:rsidRPr="00957DC8">
                    <w:rPr>
                      <w:rFonts w:ascii="Segoe UI" w:eastAsia="Times New Roman" w:hAnsi="Segoe UI" w:cs="Segoe UI"/>
                      <w:b/>
                      <w:bCs/>
                      <w:color w:val="000000"/>
                      <w:sz w:val="18"/>
                      <w:szCs w:val="18"/>
                      <w:lang w:eastAsia="en-AU"/>
                    </w:rPr>
                    <w:t>a skin notation is not warranted</w:t>
                  </w:r>
                </w:p>
              </w:tc>
            </w:tr>
          </w:tbl>
          <w:p w14:paraId="70461576" w14:textId="77777777" w:rsidR="00932DCE" w:rsidRPr="004C23F4" w:rsidRDefault="00932DCE" w:rsidP="00F9496B">
            <w:pPr>
              <w:pStyle w:val="Tablefont"/>
            </w:pPr>
          </w:p>
        </w:tc>
      </w:tr>
    </w:tbl>
    <w:bookmarkEnd w:id="3"/>
    <w:p w14:paraId="0EABC2D9"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177C5ED6" w14:textId="77777777" w:rsidTr="00610F2E">
        <w:trPr>
          <w:trHeight w:val="454"/>
          <w:tblHeader/>
        </w:trPr>
        <w:tc>
          <w:tcPr>
            <w:tcW w:w="4361" w:type="dxa"/>
            <w:vAlign w:val="center"/>
          </w:tcPr>
          <w:p w14:paraId="6E5EAC3C"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41027CD9" w14:textId="7E276838" w:rsidR="00EB3D1B" w:rsidRDefault="00F54531" w:rsidP="00EB3D1B">
                <w:pPr>
                  <w:pStyle w:val="Tablefont"/>
                </w:pPr>
                <w:r>
                  <w:t>Yes</w:t>
                </w:r>
              </w:p>
            </w:tc>
          </w:sdtContent>
        </w:sdt>
      </w:tr>
    </w:tbl>
    <w:p w14:paraId="194EEE98"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100DACD2" w14:textId="77777777" w:rsidTr="00EA6243">
        <w:trPr>
          <w:cantSplit/>
          <w:tblHeader/>
        </w:trPr>
        <w:tc>
          <w:tcPr>
            <w:tcW w:w="4077" w:type="dxa"/>
            <w:vAlign w:val="center"/>
          </w:tcPr>
          <w:p w14:paraId="0423EF33"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719C30EB" w14:textId="77777777" w:rsidR="001B79E5" w:rsidRDefault="008C6004" w:rsidP="001B79E5">
                <w:pPr>
                  <w:pStyle w:val="Tablefont"/>
                </w:pPr>
                <w:r>
                  <w:t>100.13</w:t>
                </w:r>
              </w:p>
            </w:tc>
          </w:sdtContent>
        </w:sdt>
      </w:tr>
      <w:tr w:rsidR="00A31D99" w:rsidRPr="004C23F4" w14:paraId="28A9B18F" w14:textId="77777777" w:rsidTr="00EA6243">
        <w:trPr>
          <w:cantSplit/>
          <w:tblHeader/>
        </w:trPr>
        <w:tc>
          <w:tcPr>
            <w:tcW w:w="4077" w:type="dxa"/>
            <w:vAlign w:val="center"/>
          </w:tcPr>
          <w:p w14:paraId="77ABBB18"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12357A83" w14:textId="77777777"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78C1A351" w14:textId="77777777" w:rsidTr="00EA6243">
        <w:trPr>
          <w:cantSplit/>
          <w:tblHeader/>
        </w:trPr>
        <w:tc>
          <w:tcPr>
            <w:tcW w:w="4077" w:type="dxa"/>
            <w:vAlign w:val="center"/>
          </w:tcPr>
          <w:p w14:paraId="110D76BF"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4C912EEA"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23531E67" w14:textId="77777777" w:rsidTr="00EA6243">
        <w:trPr>
          <w:cantSplit/>
        </w:trPr>
        <w:tc>
          <w:tcPr>
            <w:tcW w:w="4077" w:type="dxa"/>
            <w:vAlign w:val="center"/>
          </w:tcPr>
          <w:p w14:paraId="37A3523D"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0F96B2B9"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2A76A9E8" w14:textId="77777777" w:rsidTr="00EA6243">
        <w:trPr>
          <w:cantSplit/>
        </w:trPr>
        <w:tc>
          <w:tcPr>
            <w:tcW w:w="4077" w:type="dxa"/>
            <w:vAlign w:val="center"/>
          </w:tcPr>
          <w:p w14:paraId="46C21BED"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1FB62A04"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63A2BF3E" w14:textId="77777777" w:rsidTr="00EA6243">
        <w:trPr>
          <w:cantSplit/>
        </w:trPr>
        <w:tc>
          <w:tcPr>
            <w:tcW w:w="4077" w:type="dxa"/>
            <w:vAlign w:val="center"/>
          </w:tcPr>
          <w:p w14:paraId="2560E394"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11076462" w14:textId="77777777" w:rsidR="00E06F40" w:rsidRPr="00A006A0" w:rsidRDefault="00DB0D98"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758F9DD7"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0ED644FE" w14:textId="77777777" w:rsidTr="00F053FA">
        <w:trPr>
          <w:tblHeader/>
        </w:trPr>
        <w:tc>
          <w:tcPr>
            <w:tcW w:w="4077" w:type="dxa"/>
            <w:shd w:val="clear" w:color="auto" w:fill="BFBFBF" w:themeFill="background1" w:themeFillShade="BF"/>
            <w:vAlign w:val="center"/>
          </w:tcPr>
          <w:p w14:paraId="21A725A9" w14:textId="77777777" w:rsidR="00224EE2" w:rsidRPr="004C23F4" w:rsidRDefault="00224EE2" w:rsidP="00EB3D1B">
            <w:pPr>
              <w:pStyle w:val="Tableheader"/>
              <w:keepNext/>
              <w:keepLines/>
            </w:pPr>
            <w:bookmarkStart w:id="4" w:name="History" w:colFirst="0" w:colLast="1"/>
            <w:r>
              <w:t>Year</w:t>
            </w:r>
          </w:p>
        </w:tc>
        <w:tc>
          <w:tcPr>
            <w:tcW w:w="5165" w:type="dxa"/>
            <w:shd w:val="clear" w:color="auto" w:fill="BFBFBF" w:themeFill="background1" w:themeFillShade="BF"/>
            <w:vAlign w:val="center"/>
          </w:tcPr>
          <w:p w14:paraId="245C953F" w14:textId="77777777" w:rsidR="00224EE2" w:rsidRPr="004C23F4" w:rsidRDefault="00224EE2" w:rsidP="00EB3D1B">
            <w:pPr>
              <w:pStyle w:val="Tableheader"/>
              <w:keepNext/>
              <w:keepLines/>
            </w:pPr>
            <w:r>
              <w:t>Standard</w:t>
            </w:r>
          </w:p>
        </w:tc>
      </w:tr>
      <w:tr w:rsidR="007F1005" w:rsidRPr="004C23F4" w14:paraId="7DB6AD66" w14:textId="77777777" w:rsidTr="00F053FA">
        <w:trPr>
          <w:tblHeader/>
        </w:trPr>
        <w:sdt>
          <w:sdtPr>
            <w:id w:val="-25557549"/>
            <w:placeholder>
              <w:docPart w:val="2BF891C0AB704CDAB9BC6E80D556473F"/>
            </w:placeholder>
            <w:showingPlcHdr/>
            <w:text/>
          </w:sdtPr>
          <w:sdtEndPr/>
          <w:sdtContent>
            <w:tc>
              <w:tcPr>
                <w:tcW w:w="4077" w:type="dxa"/>
                <w:vAlign w:val="center"/>
              </w:tcPr>
              <w:p w14:paraId="4D21731A"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17499A71" w14:textId="77777777" w:rsidR="007F1005" w:rsidRPr="004C23F4" w:rsidRDefault="007F1005" w:rsidP="00EB3D1B">
            <w:pPr>
              <w:pStyle w:val="Tablefont"/>
              <w:keepLines/>
            </w:pPr>
          </w:p>
        </w:tc>
      </w:tr>
    </w:tbl>
    <w:bookmarkEnd w:id="4"/>
    <w:p w14:paraId="642725C7" w14:textId="77777777" w:rsidR="00F87D92" w:rsidRDefault="00F87D92" w:rsidP="00EF7F78">
      <w:pPr>
        <w:pStyle w:val="Heading2"/>
        <w:tabs>
          <w:tab w:val="right" w:pos="8505"/>
        </w:tabs>
      </w:pPr>
      <w:r>
        <w:t>References</w:t>
      </w:r>
      <w:r w:rsidR="00EF7F78">
        <w:tab/>
      </w:r>
    </w:p>
    <w:p w14:paraId="4CE129B8" w14:textId="7ACF801A"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23A6CE2D" w14:textId="249F7861" w:rsidR="00805A83" w:rsidRDefault="00805A83" w:rsidP="00805A83">
      <w:pPr>
        <w:rPr>
          <w:b/>
        </w:rPr>
      </w:pPr>
      <w:r w:rsidRPr="002022B6">
        <w:lastRenderedPageBreak/>
        <w:t>Deutsche Forschungsgemeinschaft (DFG)</w:t>
      </w:r>
      <w:r>
        <w:t xml:space="preserve"> (2010) </w:t>
      </w:r>
      <w:r w:rsidRPr="00805A83">
        <w:t>Methyl methacrylate</w:t>
      </w:r>
      <w:r>
        <w:t xml:space="preserve"> – MAK value documentation.</w:t>
      </w:r>
    </w:p>
    <w:p w14:paraId="004AB3DC" w14:textId="527ADE65" w:rsidR="00805A83" w:rsidRDefault="00805A83" w:rsidP="00805A83">
      <w:pPr>
        <w:rPr>
          <w:b/>
        </w:rPr>
      </w:pPr>
      <w:r w:rsidRPr="002022B6">
        <w:t>EU Scientific Committee on Occupational Exposure Limits (SCOEL)</w:t>
      </w:r>
      <w:r>
        <w:t xml:space="preserve"> (</w:t>
      </w:r>
      <w:r w:rsidR="00B83110">
        <w:t>2006</w:t>
      </w:r>
      <w:r>
        <w:t xml:space="preserve">) Recommendation from the Scientific Committee on Occupational Exposure Limits for </w:t>
      </w:r>
      <w:r w:rsidR="00B83110" w:rsidRPr="00B83110">
        <w:t>methyl methacrylate</w:t>
      </w:r>
      <w:r>
        <w:t>. SCOEL/</w:t>
      </w:r>
      <w:r w:rsidR="00B83110">
        <w:t>SUM/126</w:t>
      </w:r>
      <w:r>
        <w:t>.</w:t>
      </w:r>
    </w:p>
    <w:p w14:paraId="3DC9815A" w14:textId="23EE9277" w:rsidR="00FD5011" w:rsidRPr="00BB7426" w:rsidRDefault="00FD5011" w:rsidP="00805A83">
      <w:r w:rsidRPr="00BB7426">
        <w:t xml:space="preserve">International Agency for Research on Cancer (IARC) </w:t>
      </w:r>
      <w:r w:rsidRPr="00FD5011">
        <w:t xml:space="preserve">Some industrial chemicals. IARC Monographs – </w:t>
      </w:r>
      <w:r w:rsidR="00223EB8">
        <w:t xml:space="preserve">volume </w:t>
      </w:r>
      <w:r w:rsidRPr="00FD5011">
        <w:t>6</w:t>
      </w:r>
      <w:r w:rsidRPr="00BB7426">
        <w:t>0.</w:t>
      </w:r>
    </w:p>
    <w:p w14:paraId="0AD3A96A" w14:textId="0D43418D" w:rsidR="002D3E90" w:rsidRDefault="002D3E90" w:rsidP="00805A83">
      <w:r w:rsidRPr="002D3E90">
        <w:t>National Industrial Chemicals Notification and Assessment Scheme (NICNAS) (201</w:t>
      </w:r>
      <w:r>
        <w:t>4</w:t>
      </w:r>
      <w:r w:rsidRPr="002D3E90">
        <w:t>) 2-Propenoic acid, 2-methyl-, methyl ester: Human health tier II assessment – IMAP report.</w:t>
      </w:r>
    </w:p>
    <w:p w14:paraId="6A9FE051" w14:textId="2B3C4BD4" w:rsidR="00A27312" w:rsidRDefault="0048732E" w:rsidP="00805A83">
      <w:r w:rsidRPr="0048732E">
        <w:t>Organisation for Economic Cooperation and Development (OECD) (200</w:t>
      </w:r>
      <w:r>
        <w:t>1</w:t>
      </w:r>
      <w:r w:rsidRPr="0048732E">
        <w:t>) SIDS initial assessment profile – 2-Methyl-2-propenoic acid, methyl ester (Methyl methacrylate).</w:t>
      </w:r>
    </w:p>
    <w:p w14:paraId="67D67878" w14:textId="77777777" w:rsidR="00001771" w:rsidRDefault="00001771" w:rsidP="00001771">
      <w:r w:rsidRPr="00805A83">
        <w:t>Tenth Adaptation to Technical Progress Commission Regulation (EU) No 2017/776 amending, for the purposes of its adaptation to technical and scientific progress, Regulation (EC) No 1272/2008 of the European Parliament and of the Council on classification, labelling and packaging of substances and mixtures (the CLP Regulation).</w:t>
      </w:r>
    </w:p>
    <w:p w14:paraId="041B0E90" w14:textId="7375D81E" w:rsidR="00A27312" w:rsidRDefault="00A27312" w:rsidP="00805A83">
      <w:r w:rsidRPr="00A27312">
        <w:t>US Environmental Protection Authority (US EPA) (1998) Integrated Risk Information System (IRIS) Chemical Assessment Summary – Methyl methacrylate.</w:t>
      </w:r>
    </w:p>
    <w:p w14:paraId="3B6FF79B" w14:textId="77777777" w:rsidR="00001771" w:rsidRDefault="00001771" w:rsidP="00001771">
      <w:r w:rsidRPr="00D86E03">
        <w:t>US National Institute for Occupational Safety and Health (NIOSH)</w:t>
      </w:r>
      <w:r>
        <w:t xml:space="preserve"> (</w:t>
      </w:r>
      <w:sdt>
        <w:sdtPr>
          <w:id w:val="-1194999823"/>
          <w:placeholder>
            <w:docPart w:val="4DA9EEB51FD74BF381F2D77A38421468"/>
          </w:placeholder>
          <w:temporary/>
          <w:showingPlcHdr/>
        </w:sdtPr>
        <w:sdtEndPr/>
        <w:sdtContent>
          <w:r w:rsidRPr="00FE0C94">
            <w:t>1994</w:t>
          </w:r>
        </w:sdtContent>
      </w:sdt>
      <w:r>
        <w:t>) Immediately dangerous to life or health concentrations – m</w:t>
      </w:r>
      <w:r w:rsidRPr="00FE0C94">
        <w:t>ethyl methacrylate</w:t>
      </w:r>
      <w:r>
        <w:t>.</w:t>
      </w:r>
    </w:p>
    <w:p w14:paraId="7F56DAD5" w14:textId="77777777" w:rsidR="00805A83" w:rsidRPr="00351FE0" w:rsidRDefault="00805A83" w:rsidP="00084859"/>
    <w:sectPr w:rsidR="00805A83" w:rsidRPr="00351FE0" w:rsidSect="00B87D4C">
      <w:headerReference w:type="default" r:id="rId18"/>
      <w:pgSz w:w="11906" w:h="16838"/>
      <w:pgMar w:top="1440" w:right="1440"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F17FA" w16cid:durableId="21B8543E"/>
  <w16cid:commentId w16cid:paraId="3E7F3112" w16cid:durableId="21B85570"/>
  <w16cid:commentId w16cid:paraId="5F62097F" w16cid:durableId="21B854A7"/>
  <w16cid:commentId w16cid:paraId="70192D91" w16cid:durableId="21B854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E9BFF" w14:textId="77777777" w:rsidR="001F64A4" w:rsidRDefault="001F64A4" w:rsidP="00F43AD5">
      <w:pPr>
        <w:spacing w:after="0" w:line="240" w:lineRule="auto"/>
      </w:pPr>
      <w:r>
        <w:separator/>
      </w:r>
    </w:p>
  </w:endnote>
  <w:endnote w:type="continuationSeparator" w:id="0">
    <w:p w14:paraId="1FEC7BD5" w14:textId="77777777" w:rsidR="001F64A4" w:rsidRDefault="001F64A4"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FB7A" w14:textId="77777777" w:rsidR="00DB0D98" w:rsidRDefault="00DB0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14:paraId="7CC03B08" w14:textId="77777777" w:rsidR="00957DC8" w:rsidRDefault="00957DC8" w:rsidP="0034744C">
        <w:pPr>
          <w:pStyle w:val="Footer"/>
          <w:rPr>
            <w:sz w:val="18"/>
            <w:szCs w:val="18"/>
          </w:rPr>
        </w:pPr>
        <w:r>
          <w:rPr>
            <w:b/>
            <w:sz w:val="18"/>
            <w:szCs w:val="18"/>
          </w:rPr>
          <w:t>Methyl methacrylate (80-62-6)</w:t>
        </w:r>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201</w:t>
        </w:r>
        <w:r>
          <w:rPr>
            <w:sz w:val="18"/>
            <w:szCs w:val="18"/>
          </w:rPr>
          <w:t>9</w:t>
        </w:r>
      </w:p>
      <w:p w14:paraId="75A5AA6C" w14:textId="3FE03CBC" w:rsidR="00957DC8" w:rsidRPr="00F43AD5" w:rsidRDefault="00957DC8"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DB0D98">
          <w:rPr>
            <w:noProof/>
            <w:sz w:val="18"/>
            <w:szCs w:val="18"/>
          </w:rPr>
          <w:t>3</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018A1" w14:textId="77777777" w:rsidR="00DB0D98" w:rsidRDefault="00DB0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41950" w14:textId="77777777" w:rsidR="001F64A4" w:rsidRDefault="001F64A4" w:rsidP="00F43AD5">
      <w:pPr>
        <w:spacing w:after="0" w:line="240" w:lineRule="auto"/>
      </w:pPr>
      <w:r>
        <w:separator/>
      </w:r>
    </w:p>
  </w:footnote>
  <w:footnote w:type="continuationSeparator" w:id="0">
    <w:p w14:paraId="4D2E5965" w14:textId="77777777" w:rsidR="001F64A4" w:rsidRDefault="001F64A4"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FE81" w14:textId="77777777" w:rsidR="00DB0D98" w:rsidRDefault="00DB0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F4F66" w14:textId="023729BE" w:rsidR="00DB0D98" w:rsidRDefault="00DB0D98" w:rsidP="00DB0D98">
    <w:pPr>
      <w:pStyle w:val="Header"/>
      <w:jc w:val="right"/>
    </w:pPr>
    <w:sdt>
      <w:sdtPr>
        <w:id w:val="-1909068766"/>
        <w:docPartObj>
          <w:docPartGallery w:val="Watermarks"/>
          <w:docPartUnique/>
        </w:docPartObj>
      </w:sdtPr>
      <w:sdtContent>
        <w:r>
          <w:pict w14:anchorId="2C172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0E644031" wp14:editId="5EF899F5">
          <wp:extent cx="2941955" cy="588645"/>
          <wp:effectExtent l="0" t="0" r="0" b="1905"/>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2" name="Picture 2"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108E1A3C" w14:textId="79D99ADE" w:rsidR="00957DC8" w:rsidRPr="00DB0D98" w:rsidRDefault="00957DC8" w:rsidP="00DB0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70FA6" w14:textId="77777777" w:rsidR="00DB0D98" w:rsidRDefault="00DB0D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21832" w14:textId="0385ECAF" w:rsidR="00DB0D98" w:rsidRDefault="00DB0D98" w:rsidP="00DB0D98">
    <w:pPr>
      <w:pStyle w:val="Header"/>
      <w:jc w:val="right"/>
    </w:pPr>
    <w:sdt>
      <w:sdtPr>
        <w:id w:val="1203673565"/>
        <w:docPartObj>
          <w:docPartGallery w:val="Watermarks"/>
          <w:docPartUnique/>
        </w:docPartObj>
      </w:sdtPr>
      <w:sdtContent>
        <w:r>
          <w:pict w14:anchorId="62C72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2"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0DB147A5" wp14:editId="6C9AA3AC">
          <wp:extent cx="2941955" cy="588645"/>
          <wp:effectExtent l="0" t="0" r="0" b="1905"/>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2" name="Picture 2"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4D012A8A" w14:textId="77777777" w:rsidR="00957DC8" w:rsidRDefault="00957DC8" w:rsidP="00F43AD5">
    <w:pPr>
      <w:pStyle w:val="Header"/>
      <w:jc w:val="right"/>
    </w:pP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959"/>
    <w:multiLevelType w:val="hybridMultilevel"/>
    <w:tmpl w:val="E90028EE"/>
    <w:lvl w:ilvl="0" w:tplc="E0B8A5D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1771"/>
    <w:rsid w:val="00007B80"/>
    <w:rsid w:val="0001313A"/>
    <w:rsid w:val="00013A22"/>
    <w:rsid w:val="00014C3F"/>
    <w:rsid w:val="00017C82"/>
    <w:rsid w:val="00032B88"/>
    <w:rsid w:val="00037B3B"/>
    <w:rsid w:val="0004072D"/>
    <w:rsid w:val="00045470"/>
    <w:rsid w:val="00046DF5"/>
    <w:rsid w:val="00052060"/>
    <w:rsid w:val="0005574A"/>
    <w:rsid w:val="00055FE1"/>
    <w:rsid w:val="00056EC2"/>
    <w:rsid w:val="00060B48"/>
    <w:rsid w:val="00062067"/>
    <w:rsid w:val="00067F32"/>
    <w:rsid w:val="00071807"/>
    <w:rsid w:val="000803E1"/>
    <w:rsid w:val="00084513"/>
    <w:rsid w:val="00084859"/>
    <w:rsid w:val="00092D94"/>
    <w:rsid w:val="000B0868"/>
    <w:rsid w:val="000B3E12"/>
    <w:rsid w:val="000B3E78"/>
    <w:rsid w:val="000B7B48"/>
    <w:rsid w:val="000C096D"/>
    <w:rsid w:val="000C139A"/>
    <w:rsid w:val="000C2053"/>
    <w:rsid w:val="000C248C"/>
    <w:rsid w:val="000D291C"/>
    <w:rsid w:val="000E5A54"/>
    <w:rsid w:val="000E63D3"/>
    <w:rsid w:val="000E67CF"/>
    <w:rsid w:val="0010461E"/>
    <w:rsid w:val="00106FAA"/>
    <w:rsid w:val="00113443"/>
    <w:rsid w:val="001269A7"/>
    <w:rsid w:val="00131092"/>
    <w:rsid w:val="00137359"/>
    <w:rsid w:val="00140E6A"/>
    <w:rsid w:val="00146545"/>
    <w:rsid w:val="00146B75"/>
    <w:rsid w:val="0015266D"/>
    <w:rsid w:val="0015288A"/>
    <w:rsid w:val="00160F47"/>
    <w:rsid w:val="0016183A"/>
    <w:rsid w:val="00175A73"/>
    <w:rsid w:val="00177CA1"/>
    <w:rsid w:val="00183823"/>
    <w:rsid w:val="00183942"/>
    <w:rsid w:val="001A009E"/>
    <w:rsid w:val="001A1287"/>
    <w:rsid w:val="001A3859"/>
    <w:rsid w:val="001A3C9D"/>
    <w:rsid w:val="001A43F8"/>
    <w:rsid w:val="001B26EC"/>
    <w:rsid w:val="001B412D"/>
    <w:rsid w:val="001B79E5"/>
    <w:rsid w:val="001D56F0"/>
    <w:rsid w:val="001D663B"/>
    <w:rsid w:val="001D7B41"/>
    <w:rsid w:val="001E46DA"/>
    <w:rsid w:val="001E7D80"/>
    <w:rsid w:val="001F4B6C"/>
    <w:rsid w:val="001F62CB"/>
    <w:rsid w:val="001F64A4"/>
    <w:rsid w:val="001F6ED0"/>
    <w:rsid w:val="001F72E6"/>
    <w:rsid w:val="001F73C5"/>
    <w:rsid w:val="002046A6"/>
    <w:rsid w:val="00204956"/>
    <w:rsid w:val="00213640"/>
    <w:rsid w:val="00221547"/>
    <w:rsid w:val="002216FC"/>
    <w:rsid w:val="00222533"/>
    <w:rsid w:val="00222F30"/>
    <w:rsid w:val="00223EB8"/>
    <w:rsid w:val="00224EE2"/>
    <w:rsid w:val="00227EC7"/>
    <w:rsid w:val="00233485"/>
    <w:rsid w:val="00244AD1"/>
    <w:rsid w:val="002463BC"/>
    <w:rsid w:val="002465CE"/>
    <w:rsid w:val="0025734A"/>
    <w:rsid w:val="00263255"/>
    <w:rsid w:val="00264606"/>
    <w:rsid w:val="0027456B"/>
    <w:rsid w:val="00276494"/>
    <w:rsid w:val="0027677B"/>
    <w:rsid w:val="00277B0C"/>
    <w:rsid w:val="00291AC9"/>
    <w:rsid w:val="002B1A2C"/>
    <w:rsid w:val="002C2392"/>
    <w:rsid w:val="002C34F2"/>
    <w:rsid w:val="002C58FF"/>
    <w:rsid w:val="002C7AFE"/>
    <w:rsid w:val="002D05D2"/>
    <w:rsid w:val="002D10C1"/>
    <w:rsid w:val="002D3E90"/>
    <w:rsid w:val="002E0D61"/>
    <w:rsid w:val="002E4C7B"/>
    <w:rsid w:val="0030740C"/>
    <w:rsid w:val="003106B1"/>
    <w:rsid w:val="00315833"/>
    <w:rsid w:val="003215EE"/>
    <w:rsid w:val="003224BF"/>
    <w:rsid w:val="003241A8"/>
    <w:rsid w:val="003253F0"/>
    <w:rsid w:val="003337DA"/>
    <w:rsid w:val="00334698"/>
    <w:rsid w:val="00334EFB"/>
    <w:rsid w:val="00335CDE"/>
    <w:rsid w:val="003365A5"/>
    <w:rsid w:val="00347192"/>
    <w:rsid w:val="0034744C"/>
    <w:rsid w:val="00350ABF"/>
    <w:rsid w:val="00351FE0"/>
    <w:rsid w:val="00352615"/>
    <w:rsid w:val="0035412B"/>
    <w:rsid w:val="003567A8"/>
    <w:rsid w:val="00362895"/>
    <w:rsid w:val="00364573"/>
    <w:rsid w:val="0036479B"/>
    <w:rsid w:val="00370DBF"/>
    <w:rsid w:val="00381D14"/>
    <w:rsid w:val="00386093"/>
    <w:rsid w:val="003904A4"/>
    <w:rsid w:val="00391841"/>
    <w:rsid w:val="00391B6D"/>
    <w:rsid w:val="00394922"/>
    <w:rsid w:val="003A0E32"/>
    <w:rsid w:val="003A2B94"/>
    <w:rsid w:val="003B387D"/>
    <w:rsid w:val="003C0D58"/>
    <w:rsid w:val="003C4878"/>
    <w:rsid w:val="003D4FA3"/>
    <w:rsid w:val="003E0807"/>
    <w:rsid w:val="003E51FB"/>
    <w:rsid w:val="003E6765"/>
    <w:rsid w:val="003E6B39"/>
    <w:rsid w:val="003F07E1"/>
    <w:rsid w:val="0040060F"/>
    <w:rsid w:val="004030BC"/>
    <w:rsid w:val="00403F7D"/>
    <w:rsid w:val="00406785"/>
    <w:rsid w:val="004079B4"/>
    <w:rsid w:val="00410DFD"/>
    <w:rsid w:val="00417A56"/>
    <w:rsid w:val="00420957"/>
    <w:rsid w:val="00422A10"/>
    <w:rsid w:val="00430179"/>
    <w:rsid w:val="004414B5"/>
    <w:rsid w:val="00444482"/>
    <w:rsid w:val="00444B42"/>
    <w:rsid w:val="00445E44"/>
    <w:rsid w:val="004509E2"/>
    <w:rsid w:val="004515EE"/>
    <w:rsid w:val="004529F0"/>
    <w:rsid w:val="00460A03"/>
    <w:rsid w:val="00467048"/>
    <w:rsid w:val="00472A11"/>
    <w:rsid w:val="00472AAD"/>
    <w:rsid w:val="00474849"/>
    <w:rsid w:val="00474E33"/>
    <w:rsid w:val="0047653D"/>
    <w:rsid w:val="00476803"/>
    <w:rsid w:val="00484A0D"/>
    <w:rsid w:val="00485BFD"/>
    <w:rsid w:val="004867A2"/>
    <w:rsid w:val="0048732E"/>
    <w:rsid w:val="004873F2"/>
    <w:rsid w:val="00490D4C"/>
    <w:rsid w:val="00493A35"/>
    <w:rsid w:val="00494A8F"/>
    <w:rsid w:val="0049527A"/>
    <w:rsid w:val="004966BF"/>
    <w:rsid w:val="00497984"/>
    <w:rsid w:val="004A5088"/>
    <w:rsid w:val="004A7DD0"/>
    <w:rsid w:val="004C1E3F"/>
    <w:rsid w:val="004C23F4"/>
    <w:rsid w:val="004C3475"/>
    <w:rsid w:val="004C58B6"/>
    <w:rsid w:val="004D16A3"/>
    <w:rsid w:val="004D4AA1"/>
    <w:rsid w:val="004D6D68"/>
    <w:rsid w:val="004E36CA"/>
    <w:rsid w:val="004E5EDD"/>
    <w:rsid w:val="004F448A"/>
    <w:rsid w:val="004F493D"/>
    <w:rsid w:val="004F65E8"/>
    <w:rsid w:val="0050005E"/>
    <w:rsid w:val="00502B88"/>
    <w:rsid w:val="005130DD"/>
    <w:rsid w:val="005142C4"/>
    <w:rsid w:val="0051509C"/>
    <w:rsid w:val="005272E2"/>
    <w:rsid w:val="0053108F"/>
    <w:rsid w:val="00532B56"/>
    <w:rsid w:val="00534B10"/>
    <w:rsid w:val="005446A2"/>
    <w:rsid w:val="00544D2F"/>
    <w:rsid w:val="00544E00"/>
    <w:rsid w:val="00551BD8"/>
    <w:rsid w:val="00553766"/>
    <w:rsid w:val="00581055"/>
    <w:rsid w:val="005863CE"/>
    <w:rsid w:val="00591E38"/>
    <w:rsid w:val="005A19C5"/>
    <w:rsid w:val="005A3034"/>
    <w:rsid w:val="005A462D"/>
    <w:rsid w:val="005B253B"/>
    <w:rsid w:val="005B771D"/>
    <w:rsid w:val="005C5D16"/>
    <w:rsid w:val="005D3193"/>
    <w:rsid w:val="005D4A6E"/>
    <w:rsid w:val="005E1413"/>
    <w:rsid w:val="005E6979"/>
    <w:rsid w:val="005E75CB"/>
    <w:rsid w:val="006013C1"/>
    <w:rsid w:val="0060578D"/>
    <w:rsid w:val="0060669E"/>
    <w:rsid w:val="00610F2E"/>
    <w:rsid w:val="00611399"/>
    <w:rsid w:val="00624C4E"/>
    <w:rsid w:val="00625200"/>
    <w:rsid w:val="006363A8"/>
    <w:rsid w:val="00636DB7"/>
    <w:rsid w:val="00650905"/>
    <w:rsid w:val="006532ED"/>
    <w:rsid w:val="006549F2"/>
    <w:rsid w:val="006552BA"/>
    <w:rsid w:val="006567B7"/>
    <w:rsid w:val="00657BFB"/>
    <w:rsid w:val="0066333C"/>
    <w:rsid w:val="006639B4"/>
    <w:rsid w:val="006650FE"/>
    <w:rsid w:val="0067305D"/>
    <w:rsid w:val="00677D9B"/>
    <w:rsid w:val="006867F3"/>
    <w:rsid w:val="00687890"/>
    <w:rsid w:val="006901A2"/>
    <w:rsid w:val="00690368"/>
    <w:rsid w:val="0069079C"/>
    <w:rsid w:val="00690B53"/>
    <w:rsid w:val="00695B72"/>
    <w:rsid w:val="006A5322"/>
    <w:rsid w:val="006B160A"/>
    <w:rsid w:val="006B4E6C"/>
    <w:rsid w:val="006B50B6"/>
    <w:rsid w:val="006D79EA"/>
    <w:rsid w:val="006E5D05"/>
    <w:rsid w:val="006E5EEA"/>
    <w:rsid w:val="00701053"/>
    <w:rsid w:val="00701507"/>
    <w:rsid w:val="00703D65"/>
    <w:rsid w:val="00714021"/>
    <w:rsid w:val="0071625E"/>
    <w:rsid w:val="00716A0F"/>
    <w:rsid w:val="00717D45"/>
    <w:rsid w:val="007208F7"/>
    <w:rsid w:val="007218AF"/>
    <w:rsid w:val="007236A2"/>
    <w:rsid w:val="00724F1A"/>
    <w:rsid w:val="007365D1"/>
    <w:rsid w:val="00740E0E"/>
    <w:rsid w:val="0074604B"/>
    <w:rsid w:val="00750212"/>
    <w:rsid w:val="00754779"/>
    <w:rsid w:val="0075716D"/>
    <w:rsid w:val="00765F14"/>
    <w:rsid w:val="00770E31"/>
    <w:rsid w:val="007770F1"/>
    <w:rsid w:val="00783FB1"/>
    <w:rsid w:val="00785CDD"/>
    <w:rsid w:val="00791847"/>
    <w:rsid w:val="007925F0"/>
    <w:rsid w:val="007939B3"/>
    <w:rsid w:val="007941AB"/>
    <w:rsid w:val="0079509C"/>
    <w:rsid w:val="00796708"/>
    <w:rsid w:val="007B1B42"/>
    <w:rsid w:val="007B469A"/>
    <w:rsid w:val="007C30EB"/>
    <w:rsid w:val="007D4005"/>
    <w:rsid w:val="007E063C"/>
    <w:rsid w:val="007E2A4B"/>
    <w:rsid w:val="007E307D"/>
    <w:rsid w:val="007E6A4E"/>
    <w:rsid w:val="007E6C94"/>
    <w:rsid w:val="007F1005"/>
    <w:rsid w:val="007F25E0"/>
    <w:rsid w:val="007F5328"/>
    <w:rsid w:val="00804F5A"/>
    <w:rsid w:val="00805A83"/>
    <w:rsid w:val="00810C6D"/>
    <w:rsid w:val="00812887"/>
    <w:rsid w:val="0081421F"/>
    <w:rsid w:val="00814AA3"/>
    <w:rsid w:val="00826F21"/>
    <w:rsid w:val="00834CC8"/>
    <w:rsid w:val="00835E00"/>
    <w:rsid w:val="00837113"/>
    <w:rsid w:val="008414E4"/>
    <w:rsid w:val="00843E21"/>
    <w:rsid w:val="0084508E"/>
    <w:rsid w:val="00857A8A"/>
    <w:rsid w:val="008630EE"/>
    <w:rsid w:val="00864D13"/>
    <w:rsid w:val="008710C4"/>
    <w:rsid w:val="00871CD5"/>
    <w:rsid w:val="00873934"/>
    <w:rsid w:val="008745A2"/>
    <w:rsid w:val="008768A8"/>
    <w:rsid w:val="0088798F"/>
    <w:rsid w:val="00887E4B"/>
    <w:rsid w:val="008915C8"/>
    <w:rsid w:val="008A0128"/>
    <w:rsid w:val="008A36CF"/>
    <w:rsid w:val="008A3BC4"/>
    <w:rsid w:val="008B403C"/>
    <w:rsid w:val="008B7983"/>
    <w:rsid w:val="008C2511"/>
    <w:rsid w:val="008C6004"/>
    <w:rsid w:val="008D026D"/>
    <w:rsid w:val="008D23AB"/>
    <w:rsid w:val="008D4B8B"/>
    <w:rsid w:val="008D5A78"/>
    <w:rsid w:val="008E3AB2"/>
    <w:rsid w:val="008E762D"/>
    <w:rsid w:val="008E7B64"/>
    <w:rsid w:val="008F5DCD"/>
    <w:rsid w:val="009000CC"/>
    <w:rsid w:val="00900951"/>
    <w:rsid w:val="00900F7C"/>
    <w:rsid w:val="009118A6"/>
    <w:rsid w:val="00916909"/>
    <w:rsid w:val="00916EC0"/>
    <w:rsid w:val="00920467"/>
    <w:rsid w:val="00921DE7"/>
    <w:rsid w:val="00925D79"/>
    <w:rsid w:val="0093041A"/>
    <w:rsid w:val="00930714"/>
    <w:rsid w:val="00931B03"/>
    <w:rsid w:val="009323B9"/>
    <w:rsid w:val="00932DCE"/>
    <w:rsid w:val="0093327E"/>
    <w:rsid w:val="00934028"/>
    <w:rsid w:val="0093760E"/>
    <w:rsid w:val="00946044"/>
    <w:rsid w:val="0094660B"/>
    <w:rsid w:val="00946A33"/>
    <w:rsid w:val="0095260E"/>
    <w:rsid w:val="009531ED"/>
    <w:rsid w:val="009578DD"/>
    <w:rsid w:val="00957DC8"/>
    <w:rsid w:val="00961124"/>
    <w:rsid w:val="009621B6"/>
    <w:rsid w:val="00974F2D"/>
    <w:rsid w:val="00977524"/>
    <w:rsid w:val="00977E88"/>
    <w:rsid w:val="00984920"/>
    <w:rsid w:val="0099303A"/>
    <w:rsid w:val="009971C2"/>
    <w:rsid w:val="009A1254"/>
    <w:rsid w:val="009A17F2"/>
    <w:rsid w:val="009A1CCC"/>
    <w:rsid w:val="009B2FF2"/>
    <w:rsid w:val="009B380C"/>
    <w:rsid w:val="009B4843"/>
    <w:rsid w:val="009B6543"/>
    <w:rsid w:val="009C199D"/>
    <w:rsid w:val="009C278F"/>
    <w:rsid w:val="009C2B94"/>
    <w:rsid w:val="009C4A0D"/>
    <w:rsid w:val="009C5874"/>
    <w:rsid w:val="009D3B5A"/>
    <w:rsid w:val="009E0C05"/>
    <w:rsid w:val="009E0D1C"/>
    <w:rsid w:val="009E2214"/>
    <w:rsid w:val="009E355A"/>
    <w:rsid w:val="009E63E2"/>
    <w:rsid w:val="009F04D2"/>
    <w:rsid w:val="009F05CF"/>
    <w:rsid w:val="009F0F3A"/>
    <w:rsid w:val="009F21DA"/>
    <w:rsid w:val="00A01D0C"/>
    <w:rsid w:val="00A0643F"/>
    <w:rsid w:val="00A067EE"/>
    <w:rsid w:val="00A10FCE"/>
    <w:rsid w:val="00A16D91"/>
    <w:rsid w:val="00A174CC"/>
    <w:rsid w:val="00A2073D"/>
    <w:rsid w:val="00A20751"/>
    <w:rsid w:val="00A27312"/>
    <w:rsid w:val="00A27E2D"/>
    <w:rsid w:val="00A31D99"/>
    <w:rsid w:val="00A357BA"/>
    <w:rsid w:val="00A35ADC"/>
    <w:rsid w:val="00A402A3"/>
    <w:rsid w:val="00A53681"/>
    <w:rsid w:val="00A633D4"/>
    <w:rsid w:val="00A6461A"/>
    <w:rsid w:val="00A84504"/>
    <w:rsid w:val="00A8672F"/>
    <w:rsid w:val="00A93057"/>
    <w:rsid w:val="00A968B0"/>
    <w:rsid w:val="00AB2672"/>
    <w:rsid w:val="00AB2817"/>
    <w:rsid w:val="00AB43C4"/>
    <w:rsid w:val="00AB5C9F"/>
    <w:rsid w:val="00AC32E7"/>
    <w:rsid w:val="00AC3A9F"/>
    <w:rsid w:val="00AC682E"/>
    <w:rsid w:val="00AC6D2F"/>
    <w:rsid w:val="00AE2745"/>
    <w:rsid w:val="00AE2F64"/>
    <w:rsid w:val="00AF42CB"/>
    <w:rsid w:val="00AF483F"/>
    <w:rsid w:val="00AF5E07"/>
    <w:rsid w:val="00AF5F06"/>
    <w:rsid w:val="00B00A25"/>
    <w:rsid w:val="00B05164"/>
    <w:rsid w:val="00B13DCB"/>
    <w:rsid w:val="00B1422A"/>
    <w:rsid w:val="00B1765C"/>
    <w:rsid w:val="00B20FA1"/>
    <w:rsid w:val="00B213C4"/>
    <w:rsid w:val="00B26D59"/>
    <w:rsid w:val="00B40C60"/>
    <w:rsid w:val="00B479A9"/>
    <w:rsid w:val="00B52EDF"/>
    <w:rsid w:val="00B57532"/>
    <w:rsid w:val="00B71188"/>
    <w:rsid w:val="00B76A41"/>
    <w:rsid w:val="00B83110"/>
    <w:rsid w:val="00B87D4C"/>
    <w:rsid w:val="00B93646"/>
    <w:rsid w:val="00BA0B38"/>
    <w:rsid w:val="00BA1DBB"/>
    <w:rsid w:val="00BA4510"/>
    <w:rsid w:val="00BA529A"/>
    <w:rsid w:val="00BB612A"/>
    <w:rsid w:val="00BB7426"/>
    <w:rsid w:val="00BD499F"/>
    <w:rsid w:val="00BD56DE"/>
    <w:rsid w:val="00BE06BE"/>
    <w:rsid w:val="00BF2406"/>
    <w:rsid w:val="00C06E43"/>
    <w:rsid w:val="00C10622"/>
    <w:rsid w:val="00C16315"/>
    <w:rsid w:val="00C3091E"/>
    <w:rsid w:val="00C40FF1"/>
    <w:rsid w:val="00C419E2"/>
    <w:rsid w:val="00C5020E"/>
    <w:rsid w:val="00C57452"/>
    <w:rsid w:val="00C61EDF"/>
    <w:rsid w:val="00C6239D"/>
    <w:rsid w:val="00C6594B"/>
    <w:rsid w:val="00C67FFB"/>
    <w:rsid w:val="00C7155E"/>
    <w:rsid w:val="00C71D1E"/>
    <w:rsid w:val="00C71D7D"/>
    <w:rsid w:val="00C74833"/>
    <w:rsid w:val="00C850A0"/>
    <w:rsid w:val="00C85A86"/>
    <w:rsid w:val="00C978F0"/>
    <w:rsid w:val="00CA428B"/>
    <w:rsid w:val="00CA58FE"/>
    <w:rsid w:val="00CB1CB1"/>
    <w:rsid w:val="00CB6BC1"/>
    <w:rsid w:val="00CB6CB8"/>
    <w:rsid w:val="00CC1A68"/>
    <w:rsid w:val="00CC2123"/>
    <w:rsid w:val="00CD1534"/>
    <w:rsid w:val="00CD2BFD"/>
    <w:rsid w:val="00CD54F8"/>
    <w:rsid w:val="00CE4F54"/>
    <w:rsid w:val="00CE5AD6"/>
    <w:rsid w:val="00CE617F"/>
    <w:rsid w:val="00CE78EF"/>
    <w:rsid w:val="00D048F7"/>
    <w:rsid w:val="00D0517E"/>
    <w:rsid w:val="00D12446"/>
    <w:rsid w:val="00D140FC"/>
    <w:rsid w:val="00D21D8C"/>
    <w:rsid w:val="00D3051A"/>
    <w:rsid w:val="00D31357"/>
    <w:rsid w:val="00D33220"/>
    <w:rsid w:val="00D334D1"/>
    <w:rsid w:val="00D35AC2"/>
    <w:rsid w:val="00D44C89"/>
    <w:rsid w:val="00D516CD"/>
    <w:rsid w:val="00D668E6"/>
    <w:rsid w:val="00D70670"/>
    <w:rsid w:val="00D74D80"/>
    <w:rsid w:val="00D76624"/>
    <w:rsid w:val="00D776F8"/>
    <w:rsid w:val="00D83246"/>
    <w:rsid w:val="00D87570"/>
    <w:rsid w:val="00D91CB9"/>
    <w:rsid w:val="00D97989"/>
    <w:rsid w:val="00D97D8D"/>
    <w:rsid w:val="00DA352E"/>
    <w:rsid w:val="00DB0D98"/>
    <w:rsid w:val="00DB72FB"/>
    <w:rsid w:val="00DC7106"/>
    <w:rsid w:val="00DC7694"/>
    <w:rsid w:val="00DD1BF6"/>
    <w:rsid w:val="00DD2F9B"/>
    <w:rsid w:val="00DE1D63"/>
    <w:rsid w:val="00DE2513"/>
    <w:rsid w:val="00DE26E8"/>
    <w:rsid w:val="00DF6F36"/>
    <w:rsid w:val="00E0084C"/>
    <w:rsid w:val="00E025AB"/>
    <w:rsid w:val="00E02B23"/>
    <w:rsid w:val="00E02CA6"/>
    <w:rsid w:val="00E06F40"/>
    <w:rsid w:val="00E07CE8"/>
    <w:rsid w:val="00E13018"/>
    <w:rsid w:val="00E20930"/>
    <w:rsid w:val="00E26A07"/>
    <w:rsid w:val="00E32595"/>
    <w:rsid w:val="00E37CFD"/>
    <w:rsid w:val="00E41A26"/>
    <w:rsid w:val="00E46BCB"/>
    <w:rsid w:val="00E51CAF"/>
    <w:rsid w:val="00E608B7"/>
    <w:rsid w:val="00E60F04"/>
    <w:rsid w:val="00E62AAC"/>
    <w:rsid w:val="00E632CF"/>
    <w:rsid w:val="00E67C2F"/>
    <w:rsid w:val="00E67EF5"/>
    <w:rsid w:val="00E804EA"/>
    <w:rsid w:val="00E80A71"/>
    <w:rsid w:val="00E82337"/>
    <w:rsid w:val="00E92499"/>
    <w:rsid w:val="00E92DCA"/>
    <w:rsid w:val="00E949AF"/>
    <w:rsid w:val="00E96077"/>
    <w:rsid w:val="00EA0A06"/>
    <w:rsid w:val="00EA6243"/>
    <w:rsid w:val="00EA74AB"/>
    <w:rsid w:val="00EB3D1B"/>
    <w:rsid w:val="00EB6FE1"/>
    <w:rsid w:val="00ED1D89"/>
    <w:rsid w:val="00ED66BC"/>
    <w:rsid w:val="00EF233A"/>
    <w:rsid w:val="00EF303E"/>
    <w:rsid w:val="00EF3A40"/>
    <w:rsid w:val="00EF7F78"/>
    <w:rsid w:val="00F01B08"/>
    <w:rsid w:val="00F01C4D"/>
    <w:rsid w:val="00F03B7E"/>
    <w:rsid w:val="00F053FA"/>
    <w:rsid w:val="00F10C97"/>
    <w:rsid w:val="00F11C71"/>
    <w:rsid w:val="00F16019"/>
    <w:rsid w:val="00F20E68"/>
    <w:rsid w:val="00F22093"/>
    <w:rsid w:val="00F236DF"/>
    <w:rsid w:val="00F2401A"/>
    <w:rsid w:val="00F43AD5"/>
    <w:rsid w:val="00F4402E"/>
    <w:rsid w:val="00F54531"/>
    <w:rsid w:val="00F56DD0"/>
    <w:rsid w:val="00F637D9"/>
    <w:rsid w:val="00F6491C"/>
    <w:rsid w:val="00F67BBB"/>
    <w:rsid w:val="00F87D92"/>
    <w:rsid w:val="00F90AA7"/>
    <w:rsid w:val="00F92498"/>
    <w:rsid w:val="00F9496B"/>
    <w:rsid w:val="00F970C9"/>
    <w:rsid w:val="00FA06A8"/>
    <w:rsid w:val="00FA3DF5"/>
    <w:rsid w:val="00FA741F"/>
    <w:rsid w:val="00FB4E07"/>
    <w:rsid w:val="00FB755A"/>
    <w:rsid w:val="00FC60A2"/>
    <w:rsid w:val="00FD1871"/>
    <w:rsid w:val="00FD3110"/>
    <w:rsid w:val="00FD5011"/>
    <w:rsid w:val="00FE0C94"/>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559B5880"/>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character" w:styleId="CommentReference">
    <w:name w:val="annotation reference"/>
    <w:basedOn w:val="DefaultParagraphFont"/>
    <w:uiPriority w:val="99"/>
    <w:semiHidden/>
    <w:unhideWhenUsed/>
    <w:rsid w:val="002D10C1"/>
    <w:rPr>
      <w:sz w:val="16"/>
      <w:szCs w:val="16"/>
    </w:rPr>
  </w:style>
  <w:style w:type="paragraph" w:styleId="CommentText">
    <w:name w:val="annotation text"/>
    <w:basedOn w:val="Normal"/>
    <w:link w:val="CommentTextChar"/>
    <w:uiPriority w:val="99"/>
    <w:semiHidden/>
    <w:unhideWhenUsed/>
    <w:rsid w:val="002D10C1"/>
    <w:pPr>
      <w:spacing w:line="240" w:lineRule="auto"/>
    </w:pPr>
    <w:rPr>
      <w:szCs w:val="20"/>
    </w:rPr>
  </w:style>
  <w:style w:type="character" w:customStyle="1" w:styleId="CommentTextChar">
    <w:name w:val="Comment Text Char"/>
    <w:basedOn w:val="DefaultParagraphFont"/>
    <w:link w:val="CommentText"/>
    <w:uiPriority w:val="99"/>
    <w:semiHidden/>
    <w:rsid w:val="002D10C1"/>
    <w:rPr>
      <w:szCs w:val="20"/>
    </w:rPr>
  </w:style>
  <w:style w:type="paragraph" w:styleId="CommentSubject">
    <w:name w:val="annotation subject"/>
    <w:basedOn w:val="CommentText"/>
    <w:next w:val="CommentText"/>
    <w:link w:val="CommentSubjectChar"/>
    <w:uiPriority w:val="99"/>
    <w:semiHidden/>
    <w:unhideWhenUsed/>
    <w:rsid w:val="002D10C1"/>
    <w:rPr>
      <w:b/>
      <w:bCs/>
    </w:rPr>
  </w:style>
  <w:style w:type="character" w:customStyle="1" w:styleId="CommentSubjectChar">
    <w:name w:val="Comment Subject Char"/>
    <w:basedOn w:val="CommentTextChar"/>
    <w:link w:val="CommentSubject"/>
    <w:uiPriority w:val="99"/>
    <w:semiHidden/>
    <w:rsid w:val="002D10C1"/>
    <w:rPr>
      <w:b/>
      <w:bCs/>
      <w:szCs w:val="20"/>
    </w:rPr>
  </w:style>
  <w:style w:type="table" w:styleId="LightShading-Accent2">
    <w:name w:val="Light Shading Accent 2"/>
    <w:aliases w:val="SWA Table Style"/>
    <w:basedOn w:val="TableNormal"/>
    <w:uiPriority w:val="60"/>
    <w:rsid w:val="00805A83"/>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styleId="Revision">
    <w:name w:val="Revision"/>
    <w:hidden/>
    <w:uiPriority w:val="99"/>
    <w:semiHidden/>
    <w:rsid w:val="00E608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60353">
      <w:bodyDiv w:val="1"/>
      <w:marLeft w:val="0"/>
      <w:marRight w:val="0"/>
      <w:marTop w:val="0"/>
      <w:marBottom w:val="0"/>
      <w:divBdr>
        <w:top w:val="none" w:sz="0" w:space="0" w:color="auto"/>
        <w:left w:val="none" w:sz="0" w:space="0" w:color="auto"/>
        <w:bottom w:val="none" w:sz="0" w:space="0" w:color="auto"/>
        <w:right w:val="none" w:sz="0" w:space="0" w:color="auto"/>
      </w:divBdr>
    </w:div>
    <w:div w:id="653073850">
      <w:bodyDiv w:val="1"/>
      <w:marLeft w:val="0"/>
      <w:marRight w:val="0"/>
      <w:marTop w:val="0"/>
      <w:marBottom w:val="0"/>
      <w:divBdr>
        <w:top w:val="none" w:sz="0" w:space="0" w:color="auto"/>
        <w:left w:val="none" w:sz="0" w:space="0" w:color="auto"/>
        <w:bottom w:val="none" w:sz="0" w:space="0" w:color="auto"/>
        <w:right w:val="none" w:sz="0" w:space="0" w:color="auto"/>
      </w:divBdr>
    </w:div>
    <w:div w:id="1576011271">
      <w:bodyDiv w:val="1"/>
      <w:marLeft w:val="0"/>
      <w:marRight w:val="0"/>
      <w:marTop w:val="0"/>
      <w:marBottom w:val="0"/>
      <w:divBdr>
        <w:top w:val="none" w:sz="0" w:space="0" w:color="auto"/>
        <w:left w:val="none" w:sz="0" w:space="0" w:color="auto"/>
        <w:bottom w:val="none" w:sz="0" w:space="0" w:color="auto"/>
        <w:right w:val="none" w:sz="0" w:space="0" w:color="auto"/>
      </w:divBdr>
    </w:div>
    <w:div w:id="17151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20BC8D26515A4C11AC6304FB75A7CBAD"/>
        <w:category>
          <w:name w:val="General"/>
          <w:gallery w:val="placeholder"/>
        </w:category>
        <w:types>
          <w:type w:val="bbPlcHdr"/>
        </w:types>
        <w:behaviors>
          <w:behavior w:val="content"/>
        </w:behaviors>
        <w:guid w:val="{95AF72BE-1073-48D1-A613-18F5D94AD94A}"/>
      </w:docPartPr>
      <w:docPartBody>
        <w:p w:rsidR="00D21A9F" w:rsidRDefault="00D21A9F">
          <w:pPr>
            <w:pStyle w:val="20BC8D26515A4C11AC6304FB75A7CBAD"/>
          </w:pPr>
          <w:r w:rsidRPr="00724F1C">
            <w:rPr>
              <w:rStyle w:val="PlaceholderText"/>
            </w:rPr>
            <w:t>Choose an item.</w:t>
          </w:r>
        </w:p>
      </w:docPartBody>
    </w:docPart>
    <w:docPart>
      <w:docPartPr>
        <w:name w:val="CFFDE270CB50461B826B0194984892C5"/>
        <w:category>
          <w:name w:val="General"/>
          <w:gallery w:val="placeholder"/>
        </w:category>
        <w:types>
          <w:type w:val="bbPlcHdr"/>
        </w:types>
        <w:behaviors>
          <w:behavior w:val="content"/>
        </w:behaviors>
        <w:guid w:val="{FD5D30F8-F751-45C7-BEFB-A7D3397CEB99}"/>
      </w:docPartPr>
      <w:docPartBody>
        <w:p w:rsidR="00D21A9F" w:rsidRDefault="00D21A9F">
          <w:pPr>
            <w:pStyle w:val="CFFDE270CB50461B826B0194984892C5"/>
          </w:pPr>
          <w:r w:rsidRPr="00724F1C">
            <w:rPr>
              <w:rStyle w:val="PlaceholderText"/>
            </w:rPr>
            <w:t>Choose an item.</w:t>
          </w:r>
        </w:p>
      </w:docPartBody>
    </w:docPart>
    <w:docPart>
      <w:docPartPr>
        <w:name w:val="320A77D155374054996F168A20882C28"/>
        <w:category>
          <w:name w:val="General"/>
          <w:gallery w:val="placeholder"/>
        </w:category>
        <w:types>
          <w:type w:val="bbPlcHdr"/>
        </w:types>
        <w:behaviors>
          <w:behavior w:val="content"/>
        </w:behaviors>
        <w:guid w:val="{F4DC0181-19B2-490D-83F0-D85D1689E2A9}"/>
      </w:docPartPr>
      <w:docPartBody>
        <w:p w:rsidR="00D21A9F" w:rsidRDefault="00D21A9F">
          <w:pPr>
            <w:pStyle w:val="320A77D155374054996F168A20882C28"/>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92D92918874B4153B5924383E5927905"/>
        <w:category>
          <w:name w:val="General"/>
          <w:gallery w:val="placeholder"/>
        </w:category>
        <w:types>
          <w:type w:val="bbPlcHdr"/>
        </w:types>
        <w:behaviors>
          <w:behavior w:val="content"/>
        </w:behaviors>
        <w:guid w:val="{82AD9F2C-12C8-4FD9-99BB-7B31594E34F9}"/>
      </w:docPartPr>
      <w:docPartBody>
        <w:p w:rsidR="008E61CF" w:rsidRDefault="000B6BDB" w:rsidP="000B6BDB">
          <w:pPr>
            <w:pStyle w:val="92D92918874B4153B5924383E5927905"/>
          </w:pPr>
          <w:r>
            <w:rPr>
              <w:rStyle w:val="PlaceholderText"/>
            </w:rPr>
            <w:t>Has this value changed?</w:t>
          </w:r>
        </w:p>
      </w:docPartBody>
    </w:docPart>
    <w:docPart>
      <w:docPartPr>
        <w:name w:val="4DA9EEB51FD74BF381F2D77A38421468"/>
        <w:category>
          <w:name w:val="General"/>
          <w:gallery w:val="placeholder"/>
        </w:category>
        <w:types>
          <w:type w:val="bbPlcHdr"/>
        </w:types>
        <w:behaviors>
          <w:behavior w:val="content"/>
        </w:behaviors>
        <w:guid w:val="{EB4C2243-3CC5-47DE-918A-0BEF772A785E}"/>
      </w:docPartPr>
      <w:docPartBody>
        <w:p w:rsidR="009842CF" w:rsidRDefault="008E61CF" w:rsidP="008E61CF">
          <w:pPr>
            <w:pStyle w:val="4DA9EEB51FD74BF381F2D77A38421468"/>
          </w:pPr>
          <w:r w:rsidRPr="00262278">
            <w:rPr>
              <w:color w:val="00B050"/>
            </w:rPr>
            <w:t>1994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0B6BDB"/>
    <w:rsid w:val="002F55BE"/>
    <w:rsid w:val="00726746"/>
    <w:rsid w:val="008E61CF"/>
    <w:rsid w:val="009842CF"/>
    <w:rsid w:val="00D21A9F"/>
    <w:rsid w:val="00F54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BDB"/>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E4DBA8CB9C6492F95A3D8BAE2F99023">
    <w:name w:val="BE4DBA8CB9C6492F95A3D8BAE2F99023"/>
    <w:rsid w:val="00F54CE5"/>
    <w:rPr>
      <w:lang w:val="en-US" w:eastAsia="en-US"/>
    </w:rPr>
  </w:style>
  <w:style w:type="paragraph" w:customStyle="1" w:styleId="23AF4CE339F144069E304D2506584D8C">
    <w:name w:val="23AF4CE339F144069E304D2506584D8C"/>
    <w:rsid w:val="00F54CE5"/>
    <w:rPr>
      <w:lang w:val="en-US" w:eastAsia="en-US"/>
    </w:rPr>
  </w:style>
  <w:style w:type="paragraph" w:customStyle="1" w:styleId="159213AA9C9E41828247ED7E78EE26BB">
    <w:name w:val="159213AA9C9E41828247ED7E78EE26BB"/>
    <w:rsid w:val="00F54CE5"/>
    <w:rPr>
      <w:lang w:val="en-US" w:eastAsia="en-US"/>
    </w:rPr>
  </w:style>
  <w:style w:type="paragraph" w:customStyle="1" w:styleId="78061E81DD0546AC9A4F708F5D9EB55B">
    <w:name w:val="78061E81DD0546AC9A4F708F5D9EB55B"/>
    <w:rsid w:val="00F54CE5"/>
    <w:rPr>
      <w:lang w:val="en-US" w:eastAsia="en-US"/>
    </w:rPr>
  </w:style>
  <w:style w:type="paragraph" w:customStyle="1" w:styleId="F687160E51A8481F8F64C1AB014B72CB">
    <w:name w:val="F687160E51A8481F8F64C1AB014B72CB"/>
    <w:rsid w:val="00F54CE5"/>
    <w:rPr>
      <w:lang w:val="en-US" w:eastAsia="en-US"/>
    </w:rPr>
  </w:style>
  <w:style w:type="paragraph" w:customStyle="1" w:styleId="91D336C14958431E869374B79DB24EBE">
    <w:name w:val="91D336C14958431E869374B79DB24EBE"/>
    <w:rsid w:val="00F54CE5"/>
    <w:rPr>
      <w:lang w:val="en-US" w:eastAsia="en-US"/>
    </w:rPr>
  </w:style>
  <w:style w:type="paragraph" w:customStyle="1" w:styleId="A4557FF2C03546199FBE0AD666CD3185">
    <w:name w:val="A4557FF2C03546199FBE0AD666CD3185"/>
    <w:rsid w:val="00F54CE5"/>
    <w:rPr>
      <w:lang w:val="en-US" w:eastAsia="en-US"/>
    </w:rPr>
  </w:style>
  <w:style w:type="paragraph" w:customStyle="1" w:styleId="2F2954439AF640FE9AB7CEEB019A94E9">
    <w:name w:val="2F2954439AF640FE9AB7CEEB019A94E9"/>
    <w:rsid w:val="00F54CE5"/>
    <w:rPr>
      <w:lang w:val="en-US" w:eastAsia="en-US"/>
    </w:rPr>
  </w:style>
  <w:style w:type="paragraph" w:customStyle="1" w:styleId="DEFEE7BDA09A4D0CA5D5EC51E0C5AD15">
    <w:name w:val="DEFEE7BDA09A4D0CA5D5EC51E0C5AD15"/>
    <w:rsid w:val="00F54CE5"/>
    <w:rPr>
      <w:lang w:val="en-US" w:eastAsia="en-US"/>
    </w:rPr>
  </w:style>
  <w:style w:type="paragraph" w:customStyle="1" w:styleId="4CD7C6A1EEEC4A1E8EA79FD84726634C">
    <w:name w:val="4CD7C6A1EEEC4A1E8EA79FD84726634C"/>
    <w:rsid w:val="00F54CE5"/>
    <w:rPr>
      <w:lang w:val="en-US" w:eastAsia="en-US"/>
    </w:rPr>
  </w:style>
  <w:style w:type="paragraph" w:customStyle="1" w:styleId="3913BD4B2D734DBEA87A5A828B2714E8">
    <w:name w:val="3913BD4B2D734DBEA87A5A828B2714E8"/>
    <w:rsid w:val="00F54CE5"/>
    <w:rPr>
      <w:lang w:val="en-US" w:eastAsia="en-US"/>
    </w:rPr>
  </w:style>
  <w:style w:type="paragraph" w:customStyle="1" w:styleId="BC38D596535B427CA1F5FDACDFC13855">
    <w:name w:val="BC38D596535B427CA1F5FDACDFC13855"/>
    <w:rsid w:val="00F54CE5"/>
    <w:rPr>
      <w:lang w:val="en-US" w:eastAsia="en-US"/>
    </w:rPr>
  </w:style>
  <w:style w:type="paragraph" w:customStyle="1" w:styleId="7A064A95D3844F319D05CEEA61215AB3">
    <w:name w:val="7A064A95D3844F319D05CEEA61215AB3"/>
    <w:rsid w:val="00F54CE5"/>
    <w:rPr>
      <w:lang w:val="en-US" w:eastAsia="en-US"/>
    </w:rPr>
  </w:style>
  <w:style w:type="paragraph" w:customStyle="1" w:styleId="5224DF243BCA419D8ACF20FB13696266">
    <w:name w:val="5224DF243BCA419D8ACF20FB13696266"/>
    <w:rsid w:val="00F54CE5"/>
    <w:rPr>
      <w:lang w:val="en-US" w:eastAsia="en-US"/>
    </w:rPr>
  </w:style>
  <w:style w:type="paragraph" w:customStyle="1" w:styleId="04C3043B8AD74DE797B4AE42994BD249">
    <w:name w:val="04C3043B8AD74DE797B4AE42994BD249"/>
    <w:rsid w:val="00F54CE5"/>
    <w:rPr>
      <w:lang w:val="en-US" w:eastAsia="en-US"/>
    </w:rPr>
  </w:style>
  <w:style w:type="paragraph" w:customStyle="1" w:styleId="19261663F3C84A0293FDE7B2376026BA">
    <w:name w:val="19261663F3C84A0293FDE7B2376026BA"/>
    <w:rsid w:val="00F54CE5"/>
    <w:rPr>
      <w:lang w:val="en-US" w:eastAsia="en-US"/>
    </w:rPr>
  </w:style>
  <w:style w:type="paragraph" w:customStyle="1" w:styleId="75084719C7C64C07BFA11CA80499C27E">
    <w:name w:val="75084719C7C64C07BFA11CA80499C27E"/>
    <w:rsid w:val="00F54CE5"/>
    <w:rPr>
      <w:lang w:val="en-US" w:eastAsia="en-US"/>
    </w:rPr>
  </w:style>
  <w:style w:type="paragraph" w:customStyle="1" w:styleId="05288CDDE05D4EB7A56249FE69F267AD">
    <w:name w:val="05288CDDE05D4EB7A56249FE69F267AD"/>
    <w:rsid w:val="00F54CE5"/>
    <w:rPr>
      <w:lang w:val="en-US" w:eastAsia="en-US"/>
    </w:rPr>
  </w:style>
  <w:style w:type="paragraph" w:customStyle="1" w:styleId="92D92918874B4153B5924383E5927905">
    <w:name w:val="92D92918874B4153B5924383E5927905"/>
    <w:rsid w:val="000B6BDB"/>
  </w:style>
  <w:style w:type="paragraph" w:customStyle="1" w:styleId="4DA9EEB51FD74BF381F2D77A38421468">
    <w:name w:val="4DA9EEB51FD74BF381F2D77A38421468"/>
    <w:rsid w:val="008E6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2" ma:contentTypeDescription="Create a new document." ma:contentTypeScope="" ma:versionID="3f0239daee0f58ef4204c8121a58097c">
  <xsd:schema xmlns:xsd="http://www.w3.org/2001/XMLSchema" xmlns:xs="http://www.w3.org/2001/XMLSchema" xmlns:p="http://schemas.microsoft.com/office/2006/metadata/properties" xmlns:ns2="bf54d604-3e62-4e70-ba33-9e9084b96a66" targetNamespace="http://schemas.microsoft.com/office/2006/metadata/properties" ma:root="true" ma:fieldsID="84d0abafb20839a02dba80eb6ea31e1c" ns2:_="">
    <xsd:import namespace="bf54d604-3e62-4e70-ba33-9e9084b9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2.xml><?xml version="1.0" encoding="utf-8"?>
<ds:datastoreItem xmlns:ds="http://schemas.openxmlformats.org/officeDocument/2006/customXml" ds:itemID="{79443822-3C39-4683-938D-93A553E0C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FD3B4-E5FF-44D0-A85D-1656AEB7AF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5859FC-6777-4620-9298-B81508F4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832B0D.dotm</Template>
  <TotalTime>173</TotalTime>
  <Pages>8</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WARING,Owen</cp:lastModifiedBy>
  <cp:revision>12</cp:revision>
  <cp:lastPrinted>2018-10-22T22:41:00Z</cp:lastPrinted>
  <dcterms:created xsi:type="dcterms:W3CDTF">2019-11-21T23:37:00Z</dcterms:created>
  <dcterms:modified xsi:type="dcterms:W3CDTF">2020-01-30T01:49:00Z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