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2501FE4" w14:textId="71FB736C" w:rsidR="00BD499F" w:rsidRPr="004C23F4" w:rsidRDefault="0064338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Methyl parathion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4B460565" w14:textId="77777777" w:rsidTr="00FB3A83">
        <w:trPr>
          <w:cantSplit/>
          <w:tblHeader/>
        </w:trPr>
        <w:tc>
          <w:tcPr>
            <w:tcW w:w="3979" w:type="dxa"/>
          </w:tcPr>
          <w:p w14:paraId="56E4157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7" w:type="dxa"/>
          </w:tcPr>
          <w:p w14:paraId="07185373" w14:textId="08DD3B07" w:rsidR="00F43AD5" w:rsidRPr="00717D45" w:rsidRDefault="00EE5DC5" w:rsidP="00B76A41">
            <w:pPr>
              <w:pStyle w:val="Tablefont"/>
            </w:pPr>
            <w:r w:rsidRPr="00EE5DC5">
              <w:t>298-00-0</w:t>
            </w:r>
          </w:p>
        </w:tc>
      </w:tr>
      <w:tr w:rsidR="00F43AD5" w:rsidRPr="004C23F4" w14:paraId="0D6EF540" w14:textId="77777777" w:rsidTr="00FB3A83">
        <w:trPr>
          <w:cantSplit/>
        </w:trPr>
        <w:tc>
          <w:tcPr>
            <w:tcW w:w="3979" w:type="dxa"/>
          </w:tcPr>
          <w:p w14:paraId="5849CA6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7" w:type="dxa"/>
          </w:tcPr>
          <w:p w14:paraId="21E5F183" w14:textId="1AF46A7B" w:rsidR="00F43AD5" w:rsidRPr="00717D45" w:rsidRDefault="00EE5DC5" w:rsidP="00B76A41">
            <w:pPr>
              <w:pStyle w:val="Tablefont"/>
            </w:pPr>
            <w:proofErr w:type="spellStart"/>
            <w:r>
              <w:t>Azophos</w:t>
            </w:r>
            <w:proofErr w:type="spellEnd"/>
            <w:r>
              <w:t xml:space="preserve">, </w:t>
            </w:r>
            <w:proofErr w:type="spellStart"/>
            <w:r>
              <w:t>Bladan</w:t>
            </w:r>
            <w:proofErr w:type="spellEnd"/>
            <w:r>
              <w:t xml:space="preserve"> M, O,O-dimethyl O-(p-</w:t>
            </w:r>
            <w:proofErr w:type="spellStart"/>
            <w:r>
              <w:t>nitrophenyl</w:t>
            </w:r>
            <w:proofErr w:type="spellEnd"/>
            <w:r>
              <w:t xml:space="preserve">) </w:t>
            </w:r>
            <w:proofErr w:type="spellStart"/>
            <w:r>
              <w:t>phosphorothioate</w:t>
            </w:r>
            <w:proofErr w:type="spellEnd"/>
            <w:r>
              <w:t xml:space="preserve">, </w:t>
            </w:r>
            <w:proofErr w:type="spellStart"/>
            <w:r>
              <w:t>Metron</w:t>
            </w:r>
            <w:proofErr w:type="spellEnd"/>
            <w:r>
              <w:t xml:space="preserve">, Nitrox, </w:t>
            </w:r>
            <w:proofErr w:type="spellStart"/>
            <w:r>
              <w:t>Dalf</w:t>
            </w:r>
            <w:proofErr w:type="spellEnd"/>
            <w:r>
              <w:t xml:space="preserve">, </w:t>
            </w:r>
            <w:proofErr w:type="spellStart"/>
            <w:r>
              <w:t>Foidol</w:t>
            </w:r>
            <w:proofErr w:type="spellEnd"/>
            <w:r>
              <w:t xml:space="preserve">-M, </w:t>
            </w:r>
            <w:proofErr w:type="spellStart"/>
            <w:r>
              <w:t>Metacide</w:t>
            </w:r>
            <w:proofErr w:type="spellEnd"/>
          </w:p>
        </w:tc>
      </w:tr>
      <w:tr w:rsidR="00F43AD5" w:rsidRPr="004C23F4" w14:paraId="264821EB" w14:textId="77777777" w:rsidTr="00FB3A83">
        <w:trPr>
          <w:cantSplit/>
        </w:trPr>
        <w:tc>
          <w:tcPr>
            <w:tcW w:w="3979" w:type="dxa"/>
          </w:tcPr>
          <w:p w14:paraId="74C356B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7" w:type="dxa"/>
          </w:tcPr>
          <w:p w14:paraId="04E37D3C" w14:textId="3A4AD245" w:rsidR="00F43AD5" w:rsidRPr="00717D45" w:rsidRDefault="00EE5DC5" w:rsidP="00B76A41">
            <w:pPr>
              <w:pStyle w:val="Tablefont"/>
            </w:pPr>
            <w:r>
              <w:t>C</w:t>
            </w:r>
            <w:r w:rsidRPr="00EE5DC5">
              <w:rPr>
                <w:vertAlign w:val="subscript"/>
              </w:rPr>
              <w:t>8</w:t>
            </w:r>
            <w:r>
              <w:t>H</w:t>
            </w:r>
            <w:r w:rsidRPr="00EE5DC5">
              <w:rPr>
                <w:vertAlign w:val="subscript"/>
              </w:rPr>
              <w:t>10</w:t>
            </w:r>
            <w:r>
              <w:t>NO</w:t>
            </w:r>
            <w:r w:rsidRPr="00EE5DC5">
              <w:rPr>
                <w:vertAlign w:val="subscript"/>
              </w:rPr>
              <w:t>5</w:t>
            </w:r>
            <w:r>
              <w:t>PS</w:t>
            </w:r>
          </w:p>
        </w:tc>
      </w:tr>
    </w:tbl>
    <w:p w14:paraId="0399BB7D" w14:textId="48AD1E2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8643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F34D54D" w14:textId="77777777" w:rsidTr="00B86436">
        <w:trPr>
          <w:cantSplit/>
          <w:tblHeader/>
        </w:trPr>
        <w:tc>
          <w:tcPr>
            <w:tcW w:w="4005" w:type="dxa"/>
            <w:vAlign w:val="center"/>
          </w:tcPr>
          <w:p w14:paraId="3BBA584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6D908D5" w14:textId="7734F22E" w:rsidR="002C7AFE" w:rsidRPr="00B86436" w:rsidRDefault="00B8643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0.02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1FBBADD4" w14:textId="77777777" w:rsidTr="00B86436">
        <w:trPr>
          <w:cantSplit/>
        </w:trPr>
        <w:tc>
          <w:tcPr>
            <w:tcW w:w="4005" w:type="dxa"/>
            <w:vAlign w:val="center"/>
          </w:tcPr>
          <w:p w14:paraId="28E7E9F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407F129" w14:textId="3300B28D" w:rsidR="002C7AFE" w:rsidRPr="00EB3D1B" w:rsidRDefault="00B8643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2986288" w14:textId="77777777" w:rsidTr="00B86436">
        <w:trPr>
          <w:cantSplit/>
        </w:trPr>
        <w:tc>
          <w:tcPr>
            <w:tcW w:w="4005" w:type="dxa"/>
            <w:vAlign w:val="center"/>
          </w:tcPr>
          <w:p w14:paraId="7E08621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2A943BD" w14:textId="4C33A4E2" w:rsidR="002C7AFE" w:rsidRPr="00EB3D1B" w:rsidRDefault="00B8643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139F3E2" w14:textId="77777777" w:rsidTr="00B86436">
        <w:trPr>
          <w:cantSplit/>
        </w:trPr>
        <w:tc>
          <w:tcPr>
            <w:tcW w:w="4005" w:type="dxa"/>
          </w:tcPr>
          <w:p w14:paraId="3B08D013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C234C7B" w14:textId="2CCC092F" w:rsidR="002C7AFE" w:rsidRPr="00EB3D1B" w:rsidRDefault="00B8643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6D659BC8" w14:textId="77777777" w:rsidTr="00B86436">
        <w:trPr>
          <w:cantSplit/>
        </w:trPr>
        <w:tc>
          <w:tcPr>
            <w:tcW w:w="4005" w:type="dxa"/>
            <w:vAlign w:val="center"/>
          </w:tcPr>
          <w:p w14:paraId="374DFFD7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65CB3AC" w14:textId="26BFBB2B" w:rsidR="002C7AFE" w:rsidRPr="001B11ED" w:rsidRDefault="00EE5DC5" w:rsidP="00017C82">
            <w:pPr>
              <w:pStyle w:val="Tablefont"/>
              <w:rPr>
                <w:b/>
              </w:rPr>
            </w:pPr>
            <w:r w:rsidRPr="00925B44">
              <w:rPr>
                <w:b/>
              </w:rPr>
              <w:t>—</w:t>
            </w:r>
          </w:p>
        </w:tc>
      </w:tr>
      <w:tr w:rsidR="00B86436" w:rsidRPr="004C23F4" w14:paraId="35631912" w14:textId="77777777" w:rsidTr="003007EF">
        <w:trPr>
          <w:cantSplit/>
        </w:trPr>
        <w:tc>
          <w:tcPr>
            <w:tcW w:w="9026" w:type="dxa"/>
            <w:gridSpan w:val="2"/>
            <w:vAlign w:val="center"/>
          </w:tcPr>
          <w:p w14:paraId="66BE80E1" w14:textId="34854902" w:rsidR="00B86436" w:rsidRPr="00EB3D1B" w:rsidRDefault="00B86436" w:rsidP="00B86436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AF1E4D28CE54BCB9507D7E904C13DB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5C59F8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984FB24" w14:textId="71B025A5" w:rsidR="006639B4" w:rsidRPr="004C23F4" w:rsidRDefault="005E2BD0" w:rsidP="000C139A">
      <w:pPr>
        <w:rPr>
          <w:rFonts w:cs="Arial"/>
        </w:rPr>
      </w:pPr>
      <w:r w:rsidRPr="005E2BD0">
        <w:rPr>
          <w:rFonts w:cs="Arial"/>
        </w:rPr>
        <w:t xml:space="preserve">A TWA of </w:t>
      </w:r>
      <w:r>
        <w:rPr>
          <w:rFonts w:cs="Arial"/>
        </w:rPr>
        <w:t>0.02</w:t>
      </w:r>
      <w:r w:rsidRPr="005E2BD0">
        <w:rPr>
          <w:rFonts w:cs="Arial"/>
        </w:rPr>
        <w:t xml:space="preserve"> mg/m</w:t>
      </w:r>
      <w:r w:rsidRPr="005E2BD0">
        <w:rPr>
          <w:rFonts w:cs="Arial"/>
          <w:vertAlign w:val="superscript"/>
        </w:rPr>
        <w:t>3</w:t>
      </w:r>
      <w:r w:rsidRPr="005E2BD0">
        <w:rPr>
          <w:rFonts w:cs="Arial"/>
        </w:rPr>
        <w:t xml:space="preserve"> is </w:t>
      </w:r>
      <w:r>
        <w:rPr>
          <w:rFonts w:cs="Arial"/>
        </w:rPr>
        <w:t xml:space="preserve">recommended </w:t>
      </w:r>
      <w:r w:rsidRPr="005E2BD0">
        <w:rPr>
          <w:rFonts w:cs="Arial"/>
        </w:rPr>
        <w:t xml:space="preserve">to protect for </w:t>
      </w:r>
      <w:r>
        <w:rPr>
          <w:rFonts w:cs="Arial"/>
        </w:rPr>
        <w:t xml:space="preserve">cholinergic effects </w:t>
      </w:r>
      <w:r w:rsidRPr="005E2BD0">
        <w:rPr>
          <w:rFonts w:cs="Arial"/>
        </w:rPr>
        <w:t>in exposed workers</w:t>
      </w:r>
      <w:r>
        <w:rPr>
          <w:rFonts w:cs="Arial"/>
        </w:rPr>
        <w:t>.</w:t>
      </w:r>
    </w:p>
    <w:p w14:paraId="7DA387C4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380EF88" w14:textId="77777777" w:rsidR="00BA12FC" w:rsidRDefault="00223745" w:rsidP="006639B4">
      <w:pPr>
        <w:rPr>
          <w:rFonts w:cs="Arial"/>
        </w:rPr>
      </w:pPr>
      <w:r>
        <w:rPr>
          <w:rFonts w:cs="Arial"/>
        </w:rPr>
        <w:t xml:space="preserve">Methyl parathion is used as a broad-spectrum insecticide. </w:t>
      </w:r>
    </w:p>
    <w:p w14:paraId="0A34EDF7" w14:textId="7EDC4198" w:rsidR="00616BB8" w:rsidRDefault="00616BB8" w:rsidP="006639B4">
      <w:pPr>
        <w:rPr>
          <w:rFonts w:cs="Arial"/>
        </w:rPr>
      </w:pPr>
      <w:r>
        <w:rPr>
          <w:rFonts w:cs="Arial"/>
        </w:rPr>
        <w:t>The c</w:t>
      </w:r>
      <w:r w:rsidR="00223745">
        <w:rPr>
          <w:rFonts w:cs="Arial"/>
        </w:rPr>
        <w:t>ritical effec</w:t>
      </w:r>
      <w:r>
        <w:rPr>
          <w:rFonts w:cs="Arial"/>
        </w:rPr>
        <w:t>t</w:t>
      </w:r>
      <w:r w:rsidR="00BA12FC">
        <w:rPr>
          <w:rFonts w:cs="Arial"/>
        </w:rPr>
        <w:t xml:space="preserve"> of exposure</w:t>
      </w:r>
      <w:r>
        <w:rPr>
          <w:rFonts w:cs="Arial"/>
        </w:rPr>
        <w:t xml:space="preserve"> is cholinesterase</w:t>
      </w:r>
      <w:r w:rsidR="00BA12FC">
        <w:rPr>
          <w:rFonts w:cs="Arial"/>
        </w:rPr>
        <w:t xml:space="preserve"> (</w:t>
      </w:r>
      <w:proofErr w:type="spellStart"/>
      <w:r w:rsidR="00BA12FC">
        <w:rPr>
          <w:rFonts w:cs="Arial"/>
        </w:rPr>
        <w:t>ChE</w:t>
      </w:r>
      <w:proofErr w:type="spellEnd"/>
      <w:r w:rsidR="00BA12FC">
        <w:rPr>
          <w:rFonts w:cs="Arial"/>
        </w:rPr>
        <w:t>)</w:t>
      </w:r>
      <w:r>
        <w:rPr>
          <w:rFonts w:cs="Arial"/>
        </w:rPr>
        <w:t xml:space="preserve"> inhibition, which leads to typical cholinergic symptoms</w:t>
      </w:r>
      <w:r w:rsidRPr="00616BB8">
        <w:rPr>
          <w:rFonts w:cs="Arial"/>
        </w:rPr>
        <w:t xml:space="preserve"> </w:t>
      </w:r>
      <w:r>
        <w:rPr>
          <w:rFonts w:cs="Arial"/>
        </w:rPr>
        <w:t>at high concentrations</w:t>
      </w:r>
      <w:r w:rsidR="00BA12FC">
        <w:rPr>
          <w:rFonts w:cs="Arial"/>
        </w:rPr>
        <w:t xml:space="preserve"> including</w:t>
      </w:r>
      <w:r>
        <w:rPr>
          <w:rFonts w:cs="Arial"/>
        </w:rPr>
        <w:t xml:space="preserve"> headaches, nausea, psychosis, paralysis, convulsions and coma (ACGIH, 2018)</w:t>
      </w:r>
      <w:r w:rsidR="00925B44">
        <w:rPr>
          <w:rFonts w:cs="Arial"/>
        </w:rPr>
        <w:t>.</w:t>
      </w:r>
      <w:r w:rsidR="00BA12FC">
        <w:rPr>
          <w:rFonts w:cs="Arial"/>
        </w:rPr>
        <w:t xml:space="preserve"> </w:t>
      </w:r>
      <w:r w:rsidR="00023324">
        <w:rPr>
          <w:rFonts w:cs="Arial"/>
        </w:rPr>
        <w:t>Inhalational exposure data are limited, but s</w:t>
      </w:r>
      <w:r>
        <w:rPr>
          <w:rFonts w:cs="Arial"/>
        </w:rPr>
        <w:t>everal we</w:t>
      </w:r>
      <w:r w:rsidR="00023324">
        <w:rPr>
          <w:rFonts w:cs="Arial"/>
        </w:rPr>
        <w:t xml:space="preserve">ll-documented oral dose studies </w:t>
      </w:r>
      <w:r>
        <w:rPr>
          <w:rFonts w:cs="Arial"/>
        </w:rPr>
        <w:t xml:space="preserve">exist. A NOAEL </w:t>
      </w:r>
      <w:r w:rsidR="00F154B6">
        <w:rPr>
          <w:rFonts w:cs="Arial"/>
        </w:rPr>
        <w:t xml:space="preserve">of </w:t>
      </w:r>
      <w:r w:rsidR="00E80561">
        <w:rPr>
          <w:rFonts w:cs="Arial"/>
        </w:rPr>
        <w:t>0.3 mg/kg</w:t>
      </w:r>
      <w:r w:rsidR="00BA12FC">
        <w:rPr>
          <w:rFonts w:cs="Arial"/>
        </w:rPr>
        <w:t>/day</w:t>
      </w:r>
      <w:r w:rsidR="00E80561">
        <w:rPr>
          <w:rFonts w:cs="Arial"/>
        </w:rPr>
        <w:t xml:space="preserve"> and LOAEL of 0.4 mg/kg</w:t>
      </w:r>
      <w:r w:rsidR="00BA12FC">
        <w:rPr>
          <w:rFonts w:cs="Arial"/>
        </w:rPr>
        <w:t>/day</w:t>
      </w:r>
      <w:r w:rsidR="00E80561">
        <w:rPr>
          <w:rFonts w:cs="Arial"/>
        </w:rPr>
        <w:t xml:space="preserve"> </w:t>
      </w:r>
      <w:r>
        <w:rPr>
          <w:rFonts w:cs="Arial"/>
        </w:rPr>
        <w:t xml:space="preserve">for red blood cell (RBC) </w:t>
      </w:r>
      <w:proofErr w:type="spellStart"/>
      <w:r w:rsidR="00BA12FC">
        <w:rPr>
          <w:rFonts w:cs="Arial"/>
        </w:rPr>
        <w:t>ChE</w:t>
      </w:r>
      <w:proofErr w:type="spellEnd"/>
      <w:r w:rsidR="00BA12FC">
        <w:rPr>
          <w:rFonts w:cs="Arial"/>
        </w:rPr>
        <w:t xml:space="preserve"> </w:t>
      </w:r>
      <w:r>
        <w:rPr>
          <w:rFonts w:cs="Arial"/>
        </w:rPr>
        <w:t>inhibition</w:t>
      </w:r>
      <w:r w:rsidR="00E80561">
        <w:rPr>
          <w:rFonts w:cs="Arial"/>
        </w:rPr>
        <w:t xml:space="preserve"> without clinical cholinergic symptoms</w:t>
      </w:r>
      <w:r>
        <w:rPr>
          <w:rFonts w:cs="Arial"/>
        </w:rPr>
        <w:t xml:space="preserve"> in volunteers </w:t>
      </w:r>
      <w:r w:rsidR="00E80561">
        <w:rPr>
          <w:rFonts w:cs="Arial"/>
        </w:rPr>
        <w:t xml:space="preserve">are reported. These effect levels </w:t>
      </w:r>
      <w:r w:rsidR="00B86436">
        <w:rPr>
          <w:rFonts w:cs="Arial"/>
        </w:rPr>
        <w:t xml:space="preserve">in humans </w:t>
      </w:r>
      <w:r w:rsidR="00E80561">
        <w:rPr>
          <w:rFonts w:cs="Arial"/>
        </w:rPr>
        <w:t xml:space="preserve">are consistent with those determined in </w:t>
      </w:r>
      <w:proofErr w:type="spellStart"/>
      <w:r w:rsidR="00E80561">
        <w:rPr>
          <w:rFonts w:cs="Arial"/>
        </w:rPr>
        <w:t>subchronic</w:t>
      </w:r>
      <w:proofErr w:type="spellEnd"/>
      <w:r w:rsidR="00E80561">
        <w:rPr>
          <w:rFonts w:cs="Arial"/>
        </w:rPr>
        <w:t xml:space="preserve"> and chronic animal feeding studies, which report NOAEL between 0.1</w:t>
      </w:r>
      <w:r w:rsidR="00FB3A83">
        <w:rPr>
          <w:rFonts w:cs="Arial"/>
        </w:rPr>
        <w:t xml:space="preserve"> and </w:t>
      </w:r>
      <w:r w:rsidR="00E80561">
        <w:rPr>
          <w:rFonts w:cs="Arial"/>
        </w:rPr>
        <w:t>0.3 mg/kg</w:t>
      </w:r>
      <w:r w:rsidR="00BA12FC">
        <w:rPr>
          <w:rFonts w:cs="Arial"/>
        </w:rPr>
        <w:t>/day</w:t>
      </w:r>
      <w:r w:rsidR="00E80561">
        <w:rPr>
          <w:rFonts w:cs="Arial"/>
        </w:rPr>
        <w:t xml:space="preserve"> and LOAEL between 1</w:t>
      </w:r>
      <w:r w:rsidR="00FB3A83">
        <w:rPr>
          <w:rFonts w:cs="Arial"/>
        </w:rPr>
        <w:t xml:space="preserve"> and </w:t>
      </w:r>
      <w:r w:rsidR="00E80561">
        <w:rPr>
          <w:rFonts w:cs="Arial"/>
        </w:rPr>
        <w:t>3 mg/kg</w:t>
      </w:r>
      <w:r w:rsidR="00BA12FC">
        <w:rPr>
          <w:rFonts w:cs="Arial"/>
        </w:rPr>
        <w:t>/day.</w:t>
      </w:r>
      <w:r w:rsidR="00E80561">
        <w:rPr>
          <w:rFonts w:cs="Arial"/>
        </w:rPr>
        <w:t xml:space="preserve"> </w:t>
      </w:r>
      <w:r w:rsidR="00BA12FC">
        <w:rPr>
          <w:rFonts w:cs="Arial"/>
        </w:rPr>
        <w:t>T</w:t>
      </w:r>
      <w:r w:rsidR="00E80561">
        <w:rPr>
          <w:rFonts w:cs="Arial"/>
        </w:rPr>
        <w:t>he dose-response relationship is steep with increased mortality reported at 2.5 mg/kg</w:t>
      </w:r>
      <w:r w:rsidR="00BA12FC">
        <w:rPr>
          <w:rFonts w:cs="Arial"/>
        </w:rPr>
        <w:t>/day</w:t>
      </w:r>
      <w:r w:rsidR="00E80561">
        <w:rPr>
          <w:rFonts w:cs="Arial"/>
        </w:rPr>
        <w:t xml:space="preserve"> in one study</w:t>
      </w:r>
      <w:r w:rsidR="006E116A">
        <w:rPr>
          <w:rFonts w:cs="Arial"/>
        </w:rPr>
        <w:t xml:space="preserve"> (ACGIH, 2018)</w:t>
      </w:r>
      <w:r w:rsidR="00E80561">
        <w:rPr>
          <w:rFonts w:cs="Arial"/>
        </w:rPr>
        <w:t>.</w:t>
      </w:r>
    </w:p>
    <w:p w14:paraId="2AF8D997" w14:textId="7BF80E85" w:rsidR="00E80561" w:rsidRPr="005E2BD0" w:rsidRDefault="00B86436" w:rsidP="006639B4">
      <w:pPr>
        <w:rPr>
          <w:rFonts w:cs="Arial"/>
        </w:rPr>
      </w:pPr>
      <w:r>
        <w:rPr>
          <w:rFonts w:cs="Arial"/>
        </w:rPr>
        <w:t>In the absence of suitable inhalational exposure data, t</w:t>
      </w:r>
      <w:r w:rsidR="006E116A">
        <w:rPr>
          <w:rFonts w:cs="Arial"/>
        </w:rPr>
        <w:t>he recommended TWA is based on the oral NOAEL of 0.3 mg/kg</w:t>
      </w:r>
      <w:r w:rsidR="00BA12FC">
        <w:rPr>
          <w:rFonts w:cs="Arial"/>
        </w:rPr>
        <w:t>/day</w:t>
      </w:r>
      <w:r w:rsidR="006E116A">
        <w:rPr>
          <w:rFonts w:cs="Arial"/>
        </w:rPr>
        <w:t xml:space="preserve"> in humans</w:t>
      </w:r>
      <w:r w:rsidR="00BA12FC">
        <w:rPr>
          <w:rFonts w:cs="Arial"/>
        </w:rPr>
        <w:t xml:space="preserve"> and</w:t>
      </w:r>
      <w:r w:rsidR="006E116A">
        <w:rPr>
          <w:rFonts w:cs="Arial"/>
        </w:rPr>
        <w:t xml:space="preserve"> is supported by the results of </w:t>
      </w:r>
      <w:proofErr w:type="spellStart"/>
      <w:r w:rsidR="006E116A">
        <w:rPr>
          <w:rFonts w:cs="Arial"/>
        </w:rPr>
        <w:t>subchronic</w:t>
      </w:r>
      <w:proofErr w:type="spellEnd"/>
      <w:r w:rsidR="006E116A">
        <w:rPr>
          <w:rFonts w:cs="Arial"/>
        </w:rPr>
        <w:t xml:space="preserve"> and chronic animal feeding studies. </w:t>
      </w:r>
      <w:r w:rsidR="00BA12FC">
        <w:rPr>
          <w:rFonts w:cs="Arial"/>
        </w:rPr>
        <w:t xml:space="preserve">Applying generic conversion factors, </w:t>
      </w:r>
      <w:r w:rsidR="003C226A">
        <w:rPr>
          <w:rFonts w:cs="Arial"/>
        </w:rPr>
        <w:t xml:space="preserve">a corresponding NOAEC </w:t>
      </w:r>
      <w:r w:rsidR="005E2BD0">
        <w:rPr>
          <w:rFonts w:cs="Arial"/>
        </w:rPr>
        <w:t>is approximately 0.04</w:t>
      </w:r>
      <w:r w:rsidR="003C226A">
        <w:rPr>
          <w:rFonts w:cs="Arial"/>
        </w:rPr>
        <w:t> </w:t>
      </w:r>
      <w:r w:rsidR="005E2BD0">
        <w:rPr>
          <w:rFonts w:cs="Arial"/>
        </w:rPr>
        <w:t>mg/m</w:t>
      </w:r>
      <w:r w:rsidR="005E2BD0">
        <w:rPr>
          <w:rFonts w:cs="Arial"/>
          <w:vertAlign w:val="superscript"/>
        </w:rPr>
        <w:t>3</w:t>
      </w:r>
      <w:r w:rsidR="005E2BD0">
        <w:rPr>
          <w:rFonts w:cs="Arial"/>
        </w:rPr>
        <w:t>. The TWA of 0.02 mg/m</w:t>
      </w:r>
      <w:r w:rsidR="005E2BD0">
        <w:rPr>
          <w:rFonts w:cs="Arial"/>
          <w:vertAlign w:val="superscript"/>
        </w:rPr>
        <w:t>3</w:t>
      </w:r>
      <w:r w:rsidR="005E2BD0">
        <w:rPr>
          <w:rFonts w:cs="Arial"/>
        </w:rPr>
        <w:t xml:space="preserve"> </w:t>
      </w:r>
      <w:r w:rsidR="003C226A">
        <w:rPr>
          <w:rFonts w:cs="Arial"/>
        </w:rPr>
        <w:t xml:space="preserve">derived by ACGIH (2018) </w:t>
      </w:r>
      <w:r w:rsidR="005E2BD0">
        <w:rPr>
          <w:rFonts w:cs="Arial"/>
        </w:rPr>
        <w:t xml:space="preserve">is </w:t>
      </w:r>
      <w:r w:rsidR="003C226A">
        <w:rPr>
          <w:rFonts w:cs="Arial"/>
        </w:rPr>
        <w:t xml:space="preserve">recommended to be adopted, </w:t>
      </w:r>
      <w:r w:rsidR="00F4607B">
        <w:rPr>
          <w:rFonts w:cs="Arial"/>
        </w:rPr>
        <w:t>and p</w:t>
      </w:r>
      <w:r w:rsidR="003C226A">
        <w:rPr>
          <w:rFonts w:cs="Arial"/>
        </w:rPr>
        <w:t xml:space="preserve">resumably based on the NOAEL </w:t>
      </w:r>
      <w:r w:rsidR="00F4607B">
        <w:rPr>
          <w:rFonts w:cs="Arial"/>
        </w:rPr>
        <w:t>of 0.3 mg/kg/day</w:t>
      </w:r>
      <w:r w:rsidR="00FB3A83">
        <w:rPr>
          <w:rFonts w:cs="Arial"/>
        </w:rPr>
        <w:t xml:space="preserve"> </w:t>
      </w:r>
      <w:r w:rsidR="003C226A">
        <w:rPr>
          <w:rFonts w:cs="Arial"/>
        </w:rPr>
        <w:t xml:space="preserve">in humans </w:t>
      </w:r>
      <w:r w:rsidR="00F4607B">
        <w:rPr>
          <w:rFonts w:cs="Arial"/>
        </w:rPr>
        <w:t xml:space="preserve">divided by an uncertainty factor of </w:t>
      </w:r>
      <w:r w:rsidR="00FB3A83">
        <w:rPr>
          <w:rFonts w:cs="Arial"/>
        </w:rPr>
        <w:t>two</w:t>
      </w:r>
      <w:r w:rsidR="00F4607B">
        <w:rPr>
          <w:rFonts w:cs="Arial"/>
        </w:rPr>
        <w:t xml:space="preserve">. This TWA </w:t>
      </w:r>
      <w:r w:rsidR="003C226A">
        <w:rPr>
          <w:rFonts w:cs="Arial"/>
        </w:rPr>
        <w:t xml:space="preserve">is </w:t>
      </w:r>
      <w:r w:rsidR="005E2BD0">
        <w:rPr>
          <w:rFonts w:cs="Arial"/>
        </w:rPr>
        <w:t xml:space="preserve">expected to be protective of </w:t>
      </w:r>
      <w:proofErr w:type="spellStart"/>
      <w:r w:rsidR="00BA12FC">
        <w:rPr>
          <w:rFonts w:cs="Arial"/>
        </w:rPr>
        <w:t>ChE</w:t>
      </w:r>
      <w:proofErr w:type="spellEnd"/>
      <w:r w:rsidR="00BA12FC">
        <w:rPr>
          <w:rFonts w:cs="Arial"/>
        </w:rPr>
        <w:t xml:space="preserve"> </w:t>
      </w:r>
      <w:r w:rsidR="005E2BD0">
        <w:rPr>
          <w:rFonts w:cs="Arial"/>
        </w:rPr>
        <w:t>inhibition.</w:t>
      </w:r>
    </w:p>
    <w:p w14:paraId="59860DBD" w14:textId="77777777" w:rsidR="004529F0" w:rsidRPr="004C23F4" w:rsidRDefault="004529F0" w:rsidP="00FB3A83">
      <w:pPr>
        <w:pStyle w:val="Heading2"/>
        <w:keepNext w:val="0"/>
      </w:pPr>
      <w:r>
        <w:t>Recommendation for notations</w:t>
      </w:r>
    </w:p>
    <w:p w14:paraId="6489E8E0" w14:textId="540D4049" w:rsidR="00EE5DC5" w:rsidRDefault="00EE5DC5" w:rsidP="00FB3A83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1B11ED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19B7BFBB" w14:textId="7634EDE6" w:rsidR="00EE5DC5" w:rsidRDefault="00EE5DC5" w:rsidP="00FB3A83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1B11ED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442966AD" w14:textId="360A7C58" w:rsidR="005E2BD0" w:rsidRPr="005E2BD0" w:rsidRDefault="005E2BD0" w:rsidP="00FB3A83">
      <w:pPr>
        <w:rPr>
          <w:rFonts w:cs="Arial"/>
        </w:rPr>
      </w:pPr>
      <w:r w:rsidRPr="005E2BD0">
        <w:rPr>
          <w:rFonts w:cs="Arial"/>
        </w:rPr>
        <w:t xml:space="preserve">A skin notation </w:t>
      </w:r>
      <w:r w:rsidR="00BA12FC">
        <w:rPr>
          <w:rFonts w:cs="Arial"/>
        </w:rPr>
        <w:t xml:space="preserve">is </w:t>
      </w:r>
      <w:r w:rsidRPr="005E2BD0">
        <w:rPr>
          <w:rFonts w:cs="Arial"/>
        </w:rPr>
        <w:t xml:space="preserve">recommended based on evidence </w:t>
      </w:r>
      <w:r w:rsidR="00B86436">
        <w:rPr>
          <w:rFonts w:cs="Arial"/>
        </w:rPr>
        <w:t>for</w:t>
      </w:r>
      <w:r w:rsidRPr="005E2BD0">
        <w:rPr>
          <w:rFonts w:cs="Arial"/>
        </w:rPr>
        <w:t xml:space="preserve"> dermal absorption and adverse systemic effects in animals.</w:t>
      </w:r>
    </w:p>
    <w:p w14:paraId="0BE340C0" w14:textId="77777777" w:rsidR="0025734A" w:rsidRPr="004C23F4" w:rsidRDefault="0025734A">
      <w:pPr>
        <w:rPr>
          <w:rFonts w:cs="Arial"/>
        </w:rPr>
      </w:pPr>
    </w:p>
    <w:p w14:paraId="0FA61DED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2D6BAA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2C3834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370F65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1909A02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63FDBC3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FA69F73" w14:textId="6F0F75D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4338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E5DC5">
                  <w:t>TWA: 0.2 mg/m</w:t>
                </w:r>
                <w:r w:rsidR="00EE5DC5" w:rsidRPr="00EE5DC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C51A65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DEB1A4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3BF0F5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670F35" w14:textId="4CAF72D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4338D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913645">
                  <w:t>TLV-TWA: 0.02 mg/m</w:t>
                </w:r>
                <w:r w:rsidR="00913645" w:rsidRPr="00913645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6819EA17" w14:textId="77777777" w:rsidTr="00925B44">
        <w:trPr>
          <w:gridAfter w:val="1"/>
          <w:wAfter w:w="8" w:type="pct"/>
        </w:trPr>
        <w:tc>
          <w:tcPr>
            <w:tcW w:w="0" w:type="pct"/>
          </w:tcPr>
          <w:p w14:paraId="55BF5F1B" w14:textId="06250EE0" w:rsidR="00BA12FC" w:rsidRDefault="00A5130A" w:rsidP="003365A5">
            <w:pPr>
              <w:pStyle w:val="Tabletextprimarysource"/>
            </w:pPr>
            <w:r>
              <w:t>TLV-TWA intended to protect for RBC</w:t>
            </w:r>
            <w:r w:rsidR="00BA12FC">
              <w:t xml:space="preserve"> </w:t>
            </w:r>
            <w:proofErr w:type="spellStart"/>
            <w:r w:rsidR="00BA12FC">
              <w:t>ChE</w:t>
            </w:r>
            <w:proofErr w:type="spellEnd"/>
            <w:r>
              <w:t xml:space="preserve"> inhibition</w:t>
            </w:r>
            <w:r w:rsidR="00C33FEC">
              <w:t xml:space="preserve"> and cholinergic nervous system effects at higher concentrations</w:t>
            </w:r>
            <w:r>
              <w:t>.</w:t>
            </w:r>
            <w:r w:rsidR="008D3633">
              <w:t xml:space="preserve"> </w:t>
            </w:r>
          </w:p>
          <w:p w14:paraId="4FB850B4" w14:textId="3F980EE5" w:rsidR="00BA12FC" w:rsidRDefault="00F4607B" w:rsidP="003365A5">
            <w:pPr>
              <w:pStyle w:val="Tabletextprimarysource"/>
            </w:pPr>
            <w:r>
              <w:t>E</w:t>
            </w:r>
            <w:r w:rsidR="008D3633">
              <w:t>quivocal results from mutagenicity assays</w:t>
            </w:r>
            <w:r>
              <w:t xml:space="preserve"> and</w:t>
            </w:r>
            <w:r w:rsidR="008D3633">
              <w:t xml:space="preserve"> not classifiable as a human carcinogen based on negative results </w:t>
            </w:r>
            <w:r w:rsidR="00C33FEC">
              <w:t xml:space="preserve">in </w:t>
            </w:r>
            <w:r w:rsidR="008D3633">
              <w:t xml:space="preserve">chronic animal feeding studies. </w:t>
            </w:r>
          </w:p>
          <w:p w14:paraId="42C2025B" w14:textId="6686780C" w:rsidR="00C978F0" w:rsidRDefault="008D3633" w:rsidP="003365A5">
            <w:pPr>
              <w:pStyle w:val="Tabletextprimarysource"/>
            </w:pPr>
            <w:r>
              <w:t xml:space="preserve">Skin notation is warranted based on dermal application studies with rabbits. </w:t>
            </w:r>
          </w:p>
          <w:p w14:paraId="1603B011" w14:textId="77777777" w:rsidR="008D3633" w:rsidRDefault="008D3633" w:rsidP="003365A5">
            <w:pPr>
              <w:pStyle w:val="Tabletextprimarysource"/>
            </w:pPr>
            <w:r>
              <w:t>Summary of data:</w:t>
            </w:r>
          </w:p>
          <w:p w14:paraId="1EC48909" w14:textId="47EAA936" w:rsidR="00BA12FC" w:rsidRDefault="00C33FEC" w:rsidP="003365A5">
            <w:pPr>
              <w:pStyle w:val="Tabletextprimarysource"/>
            </w:pPr>
            <w:r>
              <w:t xml:space="preserve">TLV-TWA </w:t>
            </w:r>
            <w:r w:rsidR="006E116A">
              <w:t xml:space="preserve">based on </w:t>
            </w:r>
            <w:r>
              <w:t>several oral dose studies in humans and animals. A NOAEL of 0.3 mg/kg</w:t>
            </w:r>
            <w:r w:rsidR="00BA12FC">
              <w:t>/d</w:t>
            </w:r>
            <w:r>
              <w:t xml:space="preserve"> for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 xml:space="preserve">inhibition is </w:t>
            </w:r>
            <w:r w:rsidR="006E116A">
              <w:t>determined</w:t>
            </w:r>
            <w:r>
              <w:t xml:space="preserve"> in humans, supported by NOAELs of 0.1 mg/kg</w:t>
            </w:r>
            <w:r w:rsidR="00BA12FC">
              <w:t>/d</w:t>
            </w:r>
            <w:r>
              <w:t xml:space="preserve"> in rats with corresponding LOAELs of 0.5 mg/kg</w:t>
            </w:r>
            <w:r w:rsidR="00BA12FC">
              <w:t>/d</w:t>
            </w:r>
            <w:r>
              <w:t xml:space="preserve"> in both </w:t>
            </w:r>
            <w:proofErr w:type="spellStart"/>
            <w:r>
              <w:t>subchronic</w:t>
            </w:r>
            <w:proofErr w:type="spellEnd"/>
            <w:r>
              <w:t xml:space="preserve"> and chronic feeding studies. </w:t>
            </w:r>
          </w:p>
          <w:p w14:paraId="4E010D5E" w14:textId="77777777" w:rsidR="00FB3A83" w:rsidRDefault="00C33FEC" w:rsidP="003365A5">
            <w:pPr>
              <w:pStyle w:val="Tabletextprimarysource"/>
            </w:pPr>
            <w:r>
              <w:t xml:space="preserve">Target organ is the liver; excretion occurs </w:t>
            </w:r>
            <w:r w:rsidRPr="00BA12FC">
              <w:rPr>
                <w:i/>
              </w:rPr>
              <w:t>via</w:t>
            </w:r>
            <w:r>
              <w:t xml:space="preserve"> urine.</w:t>
            </w:r>
            <w:r w:rsidR="006E116A">
              <w:t xml:space="preserve"> </w:t>
            </w:r>
          </w:p>
          <w:p w14:paraId="4DA53C78" w14:textId="2F7F9EEF" w:rsidR="008D3633" w:rsidRDefault="006E116A" w:rsidP="003365A5">
            <w:pPr>
              <w:pStyle w:val="Tabletextprimarysource"/>
            </w:pPr>
            <w:r>
              <w:t>TLV-TWA derivation not discussed.</w:t>
            </w:r>
          </w:p>
          <w:p w14:paraId="57B8B429" w14:textId="77777777" w:rsidR="00C33FEC" w:rsidRDefault="00C33FEC" w:rsidP="003365A5">
            <w:pPr>
              <w:pStyle w:val="Tabletextprimarysource"/>
            </w:pPr>
            <w:r>
              <w:t>Human data:</w:t>
            </w:r>
          </w:p>
          <w:p w14:paraId="770FC299" w14:textId="77777777" w:rsidR="00BA12FC" w:rsidRDefault="00C33FEC" w:rsidP="004A5C6A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Cholinergic symptoms occur within minutes of toxic exposures</w:t>
            </w:r>
            <w:r w:rsidR="009E0BCA">
              <w:t xml:space="preserve"> and may last several days; </w:t>
            </w:r>
          </w:p>
          <w:p w14:paraId="048172DC" w14:textId="1A959206" w:rsidR="003C49F2" w:rsidRDefault="009E0BCA" w:rsidP="00BA12FC">
            <w:pPr>
              <w:pStyle w:val="Tabletextprimarysource"/>
              <w:numPr>
                <w:ilvl w:val="0"/>
                <w:numId w:val="2"/>
              </w:numPr>
            </w:pPr>
            <w:r>
              <w:t>no evidence for delayed neuropathy in available data</w:t>
            </w:r>
          </w:p>
          <w:p w14:paraId="6A246E55" w14:textId="106A5E8D" w:rsidR="00BA12FC" w:rsidRDefault="004A5C6A" w:rsidP="003C49F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Effects of poisoning occur at 1–31% RBC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>inhibition</w:t>
            </w:r>
          </w:p>
          <w:p w14:paraId="77145F00" w14:textId="0B267BEF" w:rsidR="003B53E4" w:rsidRDefault="004A5C6A" w:rsidP="00BA12FC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headache, malaise, insomnia and anorexia in exposed worker with 13% RBC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>inhibition</w:t>
            </w:r>
          </w:p>
          <w:p w14:paraId="45C30047" w14:textId="5E6D29C8" w:rsidR="004A5C6A" w:rsidRDefault="004A5C6A" w:rsidP="003C49F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 cholinergic effects or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>inhibition at 0.03 and 0.06 mg/kg</w:t>
            </w:r>
            <w:r w:rsidR="00082F26">
              <w:t>/d</w:t>
            </w:r>
            <w:r>
              <w:t xml:space="preserve"> in volunteer oral dose study (n=2, 5 d)</w:t>
            </w:r>
          </w:p>
          <w:p w14:paraId="437C392E" w14:textId="1CE8D312" w:rsidR="00BA12FC" w:rsidRDefault="00F621C2" w:rsidP="003C49F2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 xml:space="preserve">NOAEL: 0.3 mg/kg/d for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>inhibition in volunteer oral dose study (n=5, 30 d)</w:t>
            </w:r>
          </w:p>
          <w:p w14:paraId="00792F50" w14:textId="3FFE9A5A" w:rsidR="004A5C6A" w:rsidRDefault="00F621C2" w:rsidP="00BA12FC">
            <w:pPr>
              <w:pStyle w:val="Tabletextprimarysource"/>
              <w:numPr>
                <w:ilvl w:val="0"/>
                <w:numId w:val="2"/>
              </w:numPr>
            </w:pPr>
            <w:r>
              <w:t>55% RBC cholinesterase inhibition, but no clinical signs of cholinergic toxicity at 0.</w:t>
            </w:r>
            <w:r w:rsidR="00BA12FC">
              <w:t>4 </w:t>
            </w:r>
            <w:r>
              <w:t>mg/kg</w:t>
            </w:r>
            <w:r w:rsidR="00BA12FC">
              <w:t>/d</w:t>
            </w:r>
            <w:r>
              <w:t xml:space="preserve"> reported in 1/5 volunteers</w:t>
            </w:r>
            <w:r w:rsidR="001B11ED">
              <w:t>.</w:t>
            </w:r>
            <w:r>
              <w:t xml:space="preserve"> </w:t>
            </w:r>
          </w:p>
          <w:p w14:paraId="487A91E8" w14:textId="33F5C4AD" w:rsidR="008007D9" w:rsidRDefault="008007D9" w:rsidP="008007D9">
            <w:pPr>
              <w:pStyle w:val="Tabletextprimarysource"/>
            </w:pPr>
            <w:r>
              <w:t>Animal data:</w:t>
            </w:r>
          </w:p>
          <w:p w14:paraId="5552DC4A" w14:textId="204CA8FA" w:rsidR="00925B44" w:rsidRDefault="00BB6B01" w:rsidP="00E80561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 w:rsidRPr="00E80561">
              <w:rPr>
                <w:vertAlign w:val="subscript"/>
              </w:rPr>
              <w:t>50</w:t>
            </w:r>
            <w:r>
              <w:t>: 67 mg/kg (rats</w:t>
            </w:r>
            <w:r w:rsidR="00925B44">
              <w:t>, dermal</w:t>
            </w:r>
            <w:r>
              <w:t>)</w:t>
            </w:r>
          </w:p>
          <w:p w14:paraId="36891475" w14:textId="37FB38D1" w:rsidR="00E80561" w:rsidRDefault="00E80561" w:rsidP="00E80561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 w:rsidRPr="00E80561">
              <w:rPr>
                <w:vertAlign w:val="subscript"/>
              </w:rPr>
              <w:t>50</w:t>
            </w:r>
            <w:r>
              <w:t>: 14–24 mg/kg (rats</w:t>
            </w:r>
            <w:r w:rsidR="00925B44">
              <w:t>, oral</w:t>
            </w:r>
            <w:r>
              <w:t>)</w:t>
            </w:r>
          </w:p>
          <w:p w14:paraId="46E7073D" w14:textId="63971838" w:rsidR="00BB6B01" w:rsidRDefault="00BB6B01" w:rsidP="00E80561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 w:rsidRPr="00E80561">
              <w:rPr>
                <w:vertAlign w:val="subscript"/>
              </w:rPr>
              <w:t>50</w:t>
            </w:r>
            <w:r>
              <w:t>: 200 mg/m</w:t>
            </w:r>
            <w:r w:rsidRPr="00E80561">
              <w:rPr>
                <w:vertAlign w:val="superscript"/>
              </w:rPr>
              <w:t>3</w:t>
            </w:r>
            <w:r>
              <w:t xml:space="preserve"> (rats, 1 h), 120 mg/m</w:t>
            </w:r>
            <w:r w:rsidRPr="00E80561">
              <w:rPr>
                <w:vertAlign w:val="superscript"/>
              </w:rPr>
              <w:t>3</w:t>
            </w:r>
            <w:r>
              <w:t xml:space="preserve"> (rats, 4 h)</w:t>
            </w:r>
          </w:p>
          <w:p w14:paraId="31B55BD5" w14:textId="3BC67AEC" w:rsidR="004575EA" w:rsidRDefault="00536F6F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Detoxification in the liver was blocked by pre-treatment with </w:t>
            </w:r>
            <w:proofErr w:type="spellStart"/>
            <w:r>
              <w:t>chlorpyrifos</w:t>
            </w:r>
            <w:proofErr w:type="spellEnd"/>
            <w:r>
              <w:t xml:space="preserve"> (rats)</w:t>
            </w:r>
          </w:p>
          <w:p w14:paraId="3423987B" w14:textId="77777777" w:rsidR="00CC723B" w:rsidRDefault="00CC723B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Habituation observed in repeat subcutaneous injection study at 3 mg/kg (rats, &gt;9 doses)</w:t>
            </w:r>
          </w:p>
          <w:p w14:paraId="7C5060DA" w14:textId="67FD5027" w:rsidR="00CC723B" w:rsidRDefault="00CC723B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No change to immune function parameters at 0.2–0.9 mg/kg/d in repeat oral dose study (rats, 28 d); increase</w:t>
            </w:r>
            <w:r w:rsidR="003151D9">
              <w:t>d liver weights at &gt;0.4 mg/kg/d</w:t>
            </w:r>
          </w:p>
          <w:p w14:paraId="28F9CD2F" w14:textId="257453B3" w:rsidR="003151D9" w:rsidRDefault="003151D9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Several </w:t>
            </w:r>
            <w:proofErr w:type="spellStart"/>
            <w:r>
              <w:t>subchronic</w:t>
            </w:r>
            <w:proofErr w:type="spellEnd"/>
            <w:r>
              <w:t xml:space="preserve"> and chronic feeding studies report NOAELs of 0.1 mg/kg/d for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 xml:space="preserve">inhibition with corresponding LOAELs 1–3 mg/kg/d (rats, 90 d or 2 </w:t>
            </w:r>
            <w:proofErr w:type="spellStart"/>
            <w:r>
              <w:t>yr</w:t>
            </w:r>
            <w:proofErr w:type="spellEnd"/>
            <w:r>
              <w:t>);</w:t>
            </w:r>
          </w:p>
          <w:p w14:paraId="1D75E445" w14:textId="7ABBCE2B" w:rsidR="003151D9" w:rsidRDefault="003151D9" w:rsidP="00925B44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>similar results obtained in dogs with NOAEL: 0.3 mg/kg/d and LOAEL: 0.7 mg/kg/d; cholinergic effects, haematological changes and mortality at 2.5 mg/kg/d</w:t>
            </w:r>
          </w:p>
          <w:p w14:paraId="3F213233" w14:textId="11E14727" w:rsidR="003151D9" w:rsidRDefault="003151D9" w:rsidP="00925B44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 xml:space="preserve">no adverse effects, but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 xml:space="preserve">inhibition reported at 0.03–3 mg/kg/d in another study (dogs, 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14:paraId="3FB8EFB9" w14:textId="50D78044" w:rsidR="003151D9" w:rsidRDefault="003151D9" w:rsidP="00925B44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 xml:space="preserve">no carcinogenic activity reported in any chronic feeding studies </w:t>
            </w:r>
            <w:r w:rsidR="00F621C2">
              <w:t>up to 50 mg/kg/d</w:t>
            </w:r>
          </w:p>
          <w:p w14:paraId="6298FEF7" w14:textId="0A735CA4" w:rsidR="00BA12FC" w:rsidRDefault="00524CA8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RBC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>inhibition at 10 and 100 mg/kg in repeat dermal dose study (rabbits, 21 d)</w:t>
            </w:r>
          </w:p>
          <w:p w14:paraId="348A0F86" w14:textId="06B5BF45" w:rsidR="00CC723B" w:rsidRDefault="00524CA8" w:rsidP="00BA12FC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lastRenderedPageBreak/>
              <w:t>no effects noted at 1.5 mg/kg</w:t>
            </w:r>
          </w:p>
          <w:p w14:paraId="4623FA0D" w14:textId="68789D60" w:rsidR="00524CA8" w:rsidRDefault="00524CA8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Cholinergic effects, RBC and brain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 xml:space="preserve">inhibition and severe liver/kidney damage at </w:t>
            </w:r>
            <w:r w:rsidR="00BA12FC">
              <w:t>2 </w:t>
            </w:r>
            <w:r>
              <w:t>mg/kg</w:t>
            </w:r>
            <w:r w:rsidR="00BA12FC">
              <w:t>/d</w:t>
            </w:r>
            <w:r>
              <w:t xml:space="preserve"> in repeat dermal dose study (rats, 30 d)</w:t>
            </w:r>
            <w:r w:rsidR="00F621C2">
              <w:t>; effects at 1.5 mg/kg</w:t>
            </w:r>
            <w:r w:rsidR="00F4607B">
              <w:t>/d</w:t>
            </w:r>
            <w:r w:rsidR="00F621C2">
              <w:t xml:space="preserve"> (rabbits)</w:t>
            </w:r>
          </w:p>
          <w:p w14:paraId="6FBDAABC" w14:textId="77777777" w:rsidR="00BA12FC" w:rsidRDefault="00ED03BA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Results of several mutagenicity assays are equivocal; </w:t>
            </w:r>
          </w:p>
          <w:p w14:paraId="2A6B6789" w14:textId="77777777" w:rsidR="00BA12FC" w:rsidRDefault="00ED03BA" w:rsidP="00BA12FC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 xml:space="preserve">positive and negative results </w:t>
            </w:r>
            <w:r>
              <w:rPr>
                <w:i/>
              </w:rPr>
              <w:t xml:space="preserve">in vitro </w:t>
            </w:r>
            <w:r>
              <w:t>in bacterial systems with or without metabolic activation</w:t>
            </w:r>
          </w:p>
          <w:p w14:paraId="0ED0DB39" w14:textId="01893DCB" w:rsidR="00ED03BA" w:rsidRDefault="00ED03BA" w:rsidP="00BA12FC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 xml:space="preserve">negative results for dominant lethal mutations at 10–60 ppm </w:t>
            </w:r>
            <w:r w:rsidR="00BA12FC">
              <w:t>in</w:t>
            </w:r>
            <w:r>
              <w:t xml:space="preserve"> diet or 0.03</w:t>
            </w:r>
            <w:r w:rsidR="003C49F2">
              <w:t> </w:t>
            </w:r>
            <w:r>
              <w:t>mg/kg</w:t>
            </w:r>
            <w:r w:rsidR="00BA12FC">
              <w:t>/d</w:t>
            </w:r>
            <w:r>
              <w:t xml:space="preserve"> in drinking water (mice, 7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27AA2F34" w14:textId="09144A06" w:rsidR="00BA12FC" w:rsidRDefault="00B37B92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Foetal malformations observed at 60 mg/kg</w:t>
            </w:r>
            <w:r w:rsidR="00BA12FC">
              <w:t>/d</w:t>
            </w:r>
            <w:r>
              <w:t xml:space="preserve"> (rats, </w:t>
            </w:r>
            <w:r w:rsidR="00BA12FC">
              <w:t>GD</w:t>
            </w:r>
            <w:r>
              <w:t xml:space="preserve"> 6–15); </w:t>
            </w:r>
          </w:p>
          <w:p w14:paraId="37F5374F" w14:textId="45B764FE" w:rsidR="00B37B92" w:rsidRDefault="00B37B92" w:rsidP="00BA12FC">
            <w:pPr>
              <w:pStyle w:val="Tabletextprimarysource"/>
              <w:numPr>
                <w:ilvl w:val="1"/>
                <w:numId w:val="1"/>
              </w:numPr>
              <w:ind w:left="1298" w:hanging="425"/>
            </w:pPr>
            <w:r>
              <w:t>no foetal toxicity at maternally non-toxic doses in several developmental studies</w:t>
            </w:r>
          </w:p>
          <w:p w14:paraId="7DFC0321" w14:textId="0074E815" w:rsidR="003151D9" w:rsidRDefault="003C49F2" w:rsidP="003C49F2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>No evidence for long-term accumulation from single oral dose at 3 mg/kg</w:t>
            </w:r>
            <w:r w:rsidR="00BA12FC">
              <w:t>/d</w:t>
            </w:r>
            <w:r>
              <w:t xml:space="preserve"> (rats), substance detected in adipose tissue and liver, respective organ half-lives: 15 and 13 d</w:t>
            </w:r>
            <w:r w:rsidR="001B11ED">
              <w:t>.</w:t>
            </w:r>
          </w:p>
          <w:p w14:paraId="12EF012D" w14:textId="77777777" w:rsidR="00BA12FC" w:rsidRDefault="00BA12FC" w:rsidP="009E0BCA">
            <w:pPr>
              <w:pStyle w:val="Tabletextprimarysource"/>
            </w:pPr>
          </w:p>
          <w:p w14:paraId="3859C677" w14:textId="77777777" w:rsidR="009E0BCA" w:rsidRDefault="009E0BCA" w:rsidP="009E0BCA">
            <w:pPr>
              <w:pStyle w:val="Tabletextprimarysource"/>
            </w:pPr>
            <w:r>
              <w:t>Insufficient data to assign a TLV-STEL or sensitisation notation.</w:t>
            </w:r>
          </w:p>
          <w:p w14:paraId="03BC4118" w14:textId="2575EEE0" w:rsidR="00BA12FC" w:rsidRPr="00DA352E" w:rsidRDefault="00BA12FC" w:rsidP="009E0BCA">
            <w:pPr>
              <w:pStyle w:val="Tabletextprimarysource"/>
            </w:pPr>
          </w:p>
        </w:tc>
      </w:tr>
      <w:tr w:rsidR="00C978F0" w:rsidRPr="00DA352E" w14:paraId="54F185D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367349" w14:textId="3C477F4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4338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913645">
                  <w:t>NA</w:t>
                </w:r>
                <w:proofErr w:type="spellEnd"/>
              </w:sdtContent>
            </w:sdt>
          </w:p>
        </w:tc>
      </w:tr>
      <w:tr w:rsidR="00C978F0" w:rsidRPr="00DA352E" w14:paraId="4918E6F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0A79C02" w14:textId="5576A6BC" w:rsidR="00C978F0" w:rsidRPr="00DA352E" w:rsidRDefault="00913645" w:rsidP="003365A5">
            <w:pPr>
              <w:pStyle w:val="Tabletextprimarysource"/>
            </w:pPr>
            <w:r>
              <w:t>No report</w:t>
            </w:r>
            <w:r w:rsidR="001B11ED">
              <w:t>.</w:t>
            </w:r>
          </w:p>
        </w:tc>
      </w:tr>
      <w:tr w:rsidR="00C978F0" w:rsidRPr="00DA352E" w14:paraId="27C66FF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60B32B" w14:textId="04EE3D8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4338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13645">
                  <w:t>NA</w:t>
                </w:r>
                <w:proofErr w:type="spellEnd"/>
              </w:sdtContent>
            </w:sdt>
          </w:p>
        </w:tc>
      </w:tr>
      <w:tr w:rsidR="00C978F0" w:rsidRPr="00DA352E" w14:paraId="07D5627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2C2D797" w14:textId="18462142" w:rsidR="00C978F0" w:rsidRPr="00DA352E" w:rsidRDefault="00913645" w:rsidP="003365A5">
            <w:pPr>
              <w:pStyle w:val="Tabletextprimarysource"/>
            </w:pPr>
            <w:r>
              <w:t>No report</w:t>
            </w:r>
            <w:r w:rsidR="001B11ED">
              <w:t>.</w:t>
            </w:r>
          </w:p>
        </w:tc>
      </w:tr>
      <w:tr w:rsidR="00DA352E" w:rsidRPr="00DA352E" w14:paraId="31B6A96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2E77CD" w14:textId="765B94F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4338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13645">
                  <w:t>NA</w:t>
                </w:r>
                <w:proofErr w:type="spellEnd"/>
              </w:sdtContent>
            </w:sdt>
          </w:p>
        </w:tc>
      </w:tr>
      <w:tr w:rsidR="00DA352E" w:rsidRPr="00DA352E" w14:paraId="2F173D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8E09B5" w14:textId="43E75842" w:rsidR="00DA352E" w:rsidRPr="00DA352E" w:rsidRDefault="00913645" w:rsidP="003365A5">
            <w:pPr>
              <w:pStyle w:val="Tabletextprimarysource"/>
            </w:pPr>
            <w:r>
              <w:t>No report</w:t>
            </w:r>
            <w:r w:rsidR="001B11ED">
              <w:t>.</w:t>
            </w:r>
          </w:p>
        </w:tc>
      </w:tr>
      <w:tr w:rsidR="00DA352E" w:rsidRPr="00DA352E" w14:paraId="1DD1024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AAF04A" w14:textId="5F8AA81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4338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13645">
                  <w:t>NA</w:t>
                </w:r>
                <w:proofErr w:type="spellEnd"/>
              </w:sdtContent>
            </w:sdt>
          </w:p>
        </w:tc>
      </w:tr>
      <w:tr w:rsidR="00DA352E" w:rsidRPr="00DA352E" w14:paraId="478AE3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6521F62" w14:textId="1D31AD47" w:rsidR="00DA352E" w:rsidRPr="00DA352E" w:rsidRDefault="00913645" w:rsidP="003365A5">
            <w:pPr>
              <w:pStyle w:val="Tabletextprimarysource"/>
            </w:pPr>
            <w:r>
              <w:t>No report</w:t>
            </w:r>
            <w:r w:rsidR="001B11ED">
              <w:t>.</w:t>
            </w:r>
          </w:p>
        </w:tc>
      </w:tr>
    </w:tbl>
    <w:p w14:paraId="364734F7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14:paraId="0E8F41C3" w14:textId="77777777" w:rsidTr="00925B44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64C7C4CA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5ED56A2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C561BC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14:paraId="4E758C2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4F11D4D" w14:textId="77777777" w:rsidTr="00925B44">
        <w:trPr>
          <w:cantSplit/>
        </w:trPr>
        <w:tc>
          <w:tcPr>
            <w:tcW w:w="1492" w:type="dxa"/>
          </w:tcPr>
          <w:p w14:paraId="57DE6AAC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0AAF2D6B" w14:textId="625CF35E" w:rsidR="004966BF" w:rsidRPr="00CE617F" w:rsidRDefault="005E08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D5B70">
                  <w:rPr>
                    <w:rStyle w:val="checkbox"/>
                  </w:rPr>
                  <w:t></w:t>
                </w:r>
              </w:sdtContent>
            </w:sdt>
          </w:p>
        </w:tc>
        <w:tc>
          <w:tcPr>
            <w:tcW w:w="661" w:type="dxa"/>
          </w:tcPr>
          <w:p w14:paraId="7D6E08AE" w14:textId="23A17680" w:rsidR="004966BF" w:rsidRPr="004C23F4" w:rsidRDefault="005D5B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1" w:type="dxa"/>
          </w:tcPr>
          <w:p w14:paraId="014FFEDD" w14:textId="6D785990" w:rsidR="004966BF" w:rsidRPr="004C23F4" w:rsidRDefault="005D5B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Tier I: agricultural use</w:t>
            </w:r>
            <w:r w:rsidR="00407792">
              <w:rPr>
                <w:rStyle w:val="checkbox"/>
                <w:rFonts w:ascii="Arial" w:hAnsi="Arial" w:cs="Arial"/>
              </w:rPr>
              <w:t>s</w:t>
            </w:r>
            <w:r>
              <w:rPr>
                <w:rStyle w:val="checkbox"/>
                <w:rFonts w:ascii="Arial" w:hAnsi="Arial" w:cs="Arial"/>
              </w:rPr>
              <w:t xml:space="preserve"> not assessed</w:t>
            </w:r>
            <w:r w:rsidR="001B11ED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37D7C8E0" w14:textId="77777777" w:rsidTr="00925B44">
        <w:trPr>
          <w:cantSplit/>
        </w:trPr>
        <w:tc>
          <w:tcPr>
            <w:tcW w:w="1492" w:type="dxa"/>
          </w:tcPr>
          <w:p w14:paraId="47BCE4B2" w14:textId="77777777" w:rsidR="004966BF" w:rsidRPr="004C23F4" w:rsidRDefault="004966BF" w:rsidP="00224EE2">
            <w:pPr>
              <w:pStyle w:val="Tablefont"/>
            </w:pPr>
            <w:r>
              <w:t>IARC</w:t>
            </w:r>
          </w:p>
        </w:tc>
        <w:tc>
          <w:tcPr>
            <w:tcW w:w="422" w:type="dxa"/>
          </w:tcPr>
          <w:p w14:paraId="349E490C" w14:textId="47D28E6D" w:rsidR="004966BF" w:rsidRPr="00CE617F" w:rsidRDefault="005E08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25B4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76516AB" w14:textId="6DF3B95D" w:rsidR="004966BF" w:rsidRPr="004C23F4" w:rsidRDefault="005D5B7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1983</w:t>
            </w:r>
          </w:p>
        </w:tc>
        <w:tc>
          <w:tcPr>
            <w:tcW w:w="6451" w:type="dxa"/>
          </w:tcPr>
          <w:p w14:paraId="43FA902A" w14:textId="77777777" w:rsidR="00223745" w:rsidRDefault="00223745" w:rsidP="00925B44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Fonts w:cs="Arial"/>
              </w:rPr>
            </w:pPr>
            <w:r>
              <w:rPr>
                <w:rFonts w:cs="Arial"/>
              </w:rPr>
              <w:t>Insufficient</w:t>
            </w:r>
            <w:r w:rsidR="005D5B70" w:rsidRPr="005D5B70">
              <w:rPr>
                <w:rFonts w:cs="Arial"/>
              </w:rPr>
              <w:t xml:space="preserve"> evidence </w:t>
            </w:r>
            <w:r>
              <w:rPr>
                <w:rFonts w:cs="Arial"/>
              </w:rPr>
              <w:t>for</w:t>
            </w:r>
            <w:r w:rsidR="005D5B70" w:rsidRPr="005D5B70">
              <w:rPr>
                <w:rFonts w:cs="Arial"/>
              </w:rPr>
              <w:t xml:space="preserve"> carcinogenic</w:t>
            </w:r>
            <w:r>
              <w:rPr>
                <w:rFonts w:cs="Arial"/>
              </w:rPr>
              <w:t xml:space="preserve"> activity in</w:t>
            </w:r>
            <w:r w:rsidR="005D5B70" w:rsidRPr="005D5B70">
              <w:rPr>
                <w:rFonts w:cs="Arial"/>
              </w:rPr>
              <w:t xml:space="preserve"> experimental anima</w:t>
            </w:r>
            <w:r>
              <w:rPr>
                <w:rFonts w:cs="Arial"/>
              </w:rPr>
              <w:t>ls; n</w:t>
            </w:r>
            <w:r w:rsidR="005D5B70" w:rsidRPr="005D5B70">
              <w:rPr>
                <w:rFonts w:cs="Arial"/>
              </w:rPr>
              <w:t xml:space="preserve">o </w:t>
            </w:r>
            <w:r w:rsidR="005D5B70" w:rsidRPr="001B11ED">
              <w:t>data</w:t>
            </w:r>
            <w:r w:rsidR="005D5B70" w:rsidRPr="005D5B70">
              <w:rPr>
                <w:rFonts w:cs="Arial"/>
              </w:rPr>
              <w:t xml:space="preserve"> </w:t>
            </w:r>
            <w:r w:rsidRPr="005D5B70">
              <w:rPr>
                <w:rFonts w:cs="Arial"/>
              </w:rPr>
              <w:t xml:space="preserve">available </w:t>
            </w:r>
            <w:r>
              <w:rPr>
                <w:rFonts w:cs="Arial"/>
              </w:rPr>
              <w:t>for humans</w:t>
            </w:r>
          </w:p>
          <w:p w14:paraId="3C2378A3" w14:textId="15AB7370" w:rsidR="004966BF" w:rsidRPr="004C23F4" w:rsidRDefault="00223745" w:rsidP="00925B44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No</w:t>
            </w:r>
            <w:r w:rsidR="005D5B70" w:rsidRPr="005D5B70">
              <w:rPr>
                <w:rFonts w:cs="Arial"/>
              </w:rPr>
              <w:t xml:space="preserve"> evidence </w:t>
            </w:r>
            <w:r w:rsidRPr="001B11ED">
              <w:t>for</w:t>
            </w:r>
            <w:r w:rsidR="005D5B70" w:rsidRPr="005D5B70">
              <w:rPr>
                <w:rFonts w:cs="Arial"/>
              </w:rPr>
              <w:t xml:space="preserve"> a carcinogenic</w:t>
            </w:r>
            <w:r>
              <w:rPr>
                <w:rFonts w:cs="Arial"/>
              </w:rPr>
              <w:t xml:space="preserve"> risk to humans in available database</w:t>
            </w:r>
            <w:r w:rsidR="001B11ED">
              <w:rPr>
                <w:rFonts w:cs="Arial"/>
              </w:rPr>
              <w:t>.</w:t>
            </w:r>
          </w:p>
        </w:tc>
      </w:tr>
      <w:tr w:rsidR="004966BF" w:rsidRPr="004C23F4" w14:paraId="0C20D5DC" w14:textId="77777777" w:rsidTr="00925B44">
        <w:trPr>
          <w:cantSplit/>
        </w:trPr>
        <w:tc>
          <w:tcPr>
            <w:tcW w:w="1492" w:type="dxa"/>
          </w:tcPr>
          <w:p w14:paraId="0A75C901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63ACD014" w14:textId="09E2DD9D" w:rsidR="004966BF" w:rsidRPr="00CE617F" w:rsidRDefault="005E08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25B4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7B76940" w14:textId="314D164C" w:rsidR="004966BF" w:rsidRPr="004C23F4" w:rsidRDefault="006646E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1" w:type="dxa"/>
          </w:tcPr>
          <w:p w14:paraId="728AF30C" w14:textId="0084FC8B" w:rsidR="00385123" w:rsidRDefault="00385123" w:rsidP="00925B44">
            <w:pPr>
              <w:pStyle w:val="Tabletextprimarysource"/>
              <w:numPr>
                <w:ilvl w:val="0"/>
                <w:numId w:val="1"/>
              </w:numPr>
              <w:ind w:hanging="357"/>
            </w:pPr>
            <w:r>
              <w:t xml:space="preserve">NOAEL: 0.025 mg/kg/d for </w:t>
            </w:r>
            <w:proofErr w:type="spellStart"/>
            <w:r w:rsidR="00BA12FC">
              <w:t>ChE</w:t>
            </w:r>
            <w:proofErr w:type="spellEnd"/>
            <w:r w:rsidR="00BA12FC">
              <w:t xml:space="preserve"> </w:t>
            </w:r>
            <w:r>
              <w:t xml:space="preserve">inhibition and haematological changes with LOAEL: 0.25 mg/kg/d in chronic feeding study (rats, 2 </w:t>
            </w:r>
            <w:proofErr w:type="spellStart"/>
            <w:r>
              <w:t>yr</w:t>
            </w:r>
            <w:proofErr w:type="spellEnd"/>
            <w:r>
              <w:t xml:space="preserve">, also cited in ACGIH, 2018) </w:t>
            </w:r>
            <w:r w:rsidR="006646EF">
              <w:t xml:space="preserve">used principally to derive oral </w:t>
            </w:r>
            <w:proofErr w:type="spellStart"/>
            <w:r w:rsidR="00BA12FC">
              <w:t>RfD</w:t>
            </w:r>
            <w:proofErr w:type="spellEnd"/>
          </w:p>
          <w:p w14:paraId="524DC239" w14:textId="08D907FD" w:rsidR="004966BF" w:rsidRPr="006646EF" w:rsidRDefault="006646EF" w:rsidP="00BA12FC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Style w:val="checkbox"/>
                <w:rFonts w:ascii="Arial" w:hAnsi="Arial"/>
              </w:rPr>
            </w:pPr>
            <w:r>
              <w:t xml:space="preserve">Inhalation </w:t>
            </w:r>
            <w:proofErr w:type="spellStart"/>
            <w:proofErr w:type="gramStart"/>
            <w:r w:rsidR="00BA12FC">
              <w:t>RfD</w:t>
            </w:r>
            <w:proofErr w:type="spellEnd"/>
            <w:proofErr w:type="gramEnd"/>
            <w:r>
              <w:t xml:space="preserve"> and carcinogenicity not yet evaluated</w:t>
            </w:r>
            <w:r w:rsidR="001B11ED">
              <w:t>.</w:t>
            </w:r>
          </w:p>
        </w:tc>
      </w:tr>
      <w:tr w:rsidR="004966BF" w:rsidRPr="004C23F4" w14:paraId="4565E29C" w14:textId="77777777" w:rsidTr="00BA12FC">
        <w:tc>
          <w:tcPr>
            <w:tcW w:w="1492" w:type="dxa"/>
          </w:tcPr>
          <w:p w14:paraId="2B33AEBE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78C383EA" w14:textId="63777FEA" w:rsidR="004966BF" w:rsidRDefault="005E086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2374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FA8A07D" w14:textId="0B09326F" w:rsidR="004966BF" w:rsidRPr="004C23F4" w:rsidRDefault="0022374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51" w:type="dxa"/>
          </w:tcPr>
          <w:p w14:paraId="4F3AB33C" w14:textId="09141DD3" w:rsidR="005E2BD0" w:rsidRDefault="006646EF" w:rsidP="00925B44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  <w:proofErr w:type="spellStart"/>
            <w:r w:rsidR="00BA12FC">
              <w:rPr>
                <w:rFonts w:cs="Arial"/>
              </w:rPr>
              <w:t>ChE</w:t>
            </w:r>
            <w:proofErr w:type="spellEnd"/>
            <w:r w:rsidR="00BA12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inhibition reported in wine growers exposed by </w:t>
            </w:r>
            <w:r w:rsidRPr="001B11ED">
              <w:t>dermal</w:t>
            </w:r>
            <w:r>
              <w:rPr>
                <w:rFonts w:cs="Arial"/>
              </w:rPr>
              <w:t xml:space="preserve"> contact and inhalation to 0.002–12 mg and 0.022 mg, respectively (n=23, 50 min)</w:t>
            </w:r>
          </w:p>
          <w:p w14:paraId="46385A44" w14:textId="29203BB7" w:rsidR="005E2BD0" w:rsidRPr="005E2BD0" w:rsidRDefault="005E2BD0" w:rsidP="00925B44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Calculated </w:t>
            </w:r>
            <w:r>
              <w:t xml:space="preserve">24–48 h </w:t>
            </w:r>
            <w:r>
              <w:rPr>
                <w:rFonts w:cs="Arial"/>
              </w:rPr>
              <w:t xml:space="preserve">dermal absorption: </w:t>
            </w:r>
            <w:r>
              <w:t xml:space="preserve">5.20–8.99% in acetone or </w:t>
            </w:r>
            <w:r w:rsidR="00B86436">
              <w:t>1.35–3.58% as commercial formulation</w:t>
            </w:r>
          </w:p>
          <w:p w14:paraId="1B31E821" w14:textId="65C53C69" w:rsidR="006646EF" w:rsidRDefault="006646EF" w:rsidP="00925B44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Fonts w:cs="Arial"/>
              </w:rPr>
            </w:pPr>
            <w:r>
              <w:rPr>
                <w:rFonts w:cs="Arial"/>
              </w:rPr>
              <w:t xml:space="preserve">Positive </w:t>
            </w:r>
            <w:r w:rsidRPr="001B11ED">
              <w:t>dermal</w:t>
            </w:r>
            <w:r>
              <w:rPr>
                <w:rFonts w:cs="Arial"/>
              </w:rPr>
              <w:t xml:space="preserve"> sensitisation reported in 1/294 volunteers insufficient to classify as dermal sensitiser</w:t>
            </w:r>
          </w:p>
          <w:p w14:paraId="0321DE9D" w14:textId="63C8ED5F" w:rsidR="00B4721E" w:rsidRPr="006646EF" w:rsidRDefault="006646EF" w:rsidP="00BA12FC">
            <w:pPr>
              <w:pStyle w:val="Tabletextprimarysource"/>
              <w:numPr>
                <w:ilvl w:val="0"/>
                <w:numId w:val="1"/>
              </w:numPr>
              <w:ind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lastRenderedPageBreak/>
              <w:t xml:space="preserve">NOAEL: 0.1 </w:t>
            </w:r>
            <w:r w:rsidRPr="001B11ED">
              <w:t>mg</w:t>
            </w:r>
            <w:r>
              <w:rPr>
                <w:rFonts w:cs="Arial"/>
              </w:rPr>
              <w:t>/kg</w:t>
            </w:r>
            <w:r w:rsidR="00BA12FC">
              <w:rPr>
                <w:rFonts w:cs="Arial"/>
              </w:rPr>
              <w:t>/d</w:t>
            </w:r>
            <w:r>
              <w:rPr>
                <w:rFonts w:cs="Arial"/>
              </w:rPr>
              <w:t xml:space="preserve"> for </w:t>
            </w:r>
            <w:proofErr w:type="spellStart"/>
            <w:r w:rsidR="00BA12FC">
              <w:rPr>
                <w:rFonts w:cs="Arial"/>
              </w:rPr>
              <w:t>ChE</w:t>
            </w:r>
            <w:proofErr w:type="spellEnd"/>
            <w:r w:rsidR="00BA12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inhibition and memory/motor function impairment with LOAEL of 1 mg/kg</w:t>
            </w:r>
            <w:r w:rsidR="00BA12FC">
              <w:rPr>
                <w:rFonts w:cs="Arial"/>
              </w:rPr>
              <w:t>/d</w:t>
            </w:r>
            <w:r>
              <w:rPr>
                <w:rFonts w:cs="Arial"/>
              </w:rPr>
              <w:t xml:space="preserve"> in repeat dermal application study (rabbits, 28 d)</w:t>
            </w:r>
            <w:r w:rsidR="001B11ED">
              <w:rPr>
                <w:rFonts w:cs="Arial"/>
              </w:rPr>
              <w:t>.</w:t>
            </w:r>
          </w:p>
        </w:tc>
      </w:tr>
    </w:tbl>
    <w:bookmarkEnd w:id="0"/>
    <w:p w14:paraId="2A0336AC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94A81EA" w14:textId="77777777" w:rsidTr="005D5B70">
        <w:trPr>
          <w:trHeight w:val="454"/>
          <w:tblHeader/>
        </w:trPr>
        <w:tc>
          <w:tcPr>
            <w:tcW w:w="6597" w:type="dxa"/>
            <w:vAlign w:val="center"/>
          </w:tcPr>
          <w:p w14:paraId="5855342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7BDD969" w14:textId="78F303BB" w:rsidR="002E0D61" w:rsidRDefault="005D5B7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7221092" w14:textId="77777777" w:rsidTr="005D5B70">
        <w:trPr>
          <w:trHeight w:val="454"/>
        </w:trPr>
        <w:tc>
          <w:tcPr>
            <w:tcW w:w="6597" w:type="dxa"/>
            <w:vAlign w:val="center"/>
          </w:tcPr>
          <w:p w14:paraId="2A66AFA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06D2B47" w14:textId="47CE71CD" w:rsidR="008A36CF" w:rsidRDefault="005D5B7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BA12FC" w14:paraId="2EBDEA1F" w14:textId="77777777" w:rsidTr="00D85C01">
        <w:trPr>
          <w:trHeight w:val="454"/>
        </w:trPr>
        <w:sdt>
          <w:sdtPr>
            <w:rPr>
              <w:b/>
            </w:rPr>
            <w:id w:val="1830936485"/>
            <w:placeholder>
              <w:docPart w:val="1325EF66EF344F88869A2393C4009034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B5609AB" w14:textId="31F6718E" w:rsidR="00BA12FC" w:rsidRDefault="00BA12FC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</w:tr>
    </w:tbl>
    <w:bookmarkEnd w:id="1"/>
    <w:p w14:paraId="3ED1E6F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023BDD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5974B75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8368F4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96DAF9E" w14:textId="77777777" w:rsidTr="00812887">
        <w:trPr>
          <w:cantSplit/>
        </w:trPr>
        <w:tc>
          <w:tcPr>
            <w:tcW w:w="3227" w:type="dxa"/>
          </w:tcPr>
          <w:p w14:paraId="4635835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DFBA175" w14:textId="4C05AFAB" w:rsidR="00687890" w:rsidRPr="00DD2F9B" w:rsidRDefault="00913645" w:rsidP="00DD2F9B">
            <w:pPr>
              <w:pStyle w:val="Tablefont"/>
            </w:pPr>
            <w:r w:rsidRPr="00913645">
              <w:t>Skin</w:t>
            </w:r>
          </w:p>
        </w:tc>
      </w:tr>
      <w:tr w:rsidR="007925F0" w:rsidRPr="004C23F4" w14:paraId="5C73C728" w14:textId="77777777" w:rsidTr="00812887">
        <w:trPr>
          <w:cantSplit/>
        </w:trPr>
        <w:tc>
          <w:tcPr>
            <w:tcW w:w="3227" w:type="dxa"/>
          </w:tcPr>
          <w:p w14:paraId="4FF6F70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06F649D" w14:textId="7F56C115" w:rsidR="007925F0" w:rsidRPr="00DD2F9B" w:rsidRDefault="00913645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31B3573" w14:textId="77777777" w:rsidTr="00812887">
        <w:trPr>
          <w:cantSplit/>
        </w:trPr>
        <w:tc>
          <w:tcPr>
            <w:tcW w:w="3227" w:type="dxa"/>
          </w:tcPr>
          <w:p w14:paraId="60AC277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773DE12" w14:textId="3254B7A9" w:rsidR="00AF483F" w:rsidRPr="00DD2F9B" w:rsidRDefault="0091364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E3CD7CE" w14:textId="77777777" w:rsidTr="00812887">
        <w:trPr>
          <w:cantSplit/>
        </w:trPr>
        <w:tc>
          <w:tcPr>
            <w:tcW w:w="3227" w:type="dxa"/>
          </w:tcPr>
          <w:p w14:paraId="05DE5F9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F06AD8D" w14:textId="7AF778AA" w:rsidR="00687890" w:rsidRPr="00DD2F9B" w:rsidRDefault="0091364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1218A21" w14:textId="77777777" w:rsidTr="00812887">
        <w:trPr>
          <w:cantSplit/>
        </w:trPr>
        <w:tc>
          <w:tcPr>
            <w:tcW w:w="3227" w:type="dxa"/>
          </w:tcPr>
          <w:p w14:paraId="7F2FF50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DD78BF8" w14:textId="6BDE102A" w:rsidR="00E41A26" w:rsidRPr="00DD2F9B" w:rsidRDefault="0091364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4010B2A" w14:textId="77777777" w:rsidTr="00812887">
        <w:trPr>
          <w:cantSplit/>
        </w:trPr>
        <w:tc>
          <w:tcPr>
            <w:tcW w:w="3227" w:type="dxa"/>
          </w:tcPr>
          <w:p w14:paraId="7EBCD027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C8A62E7" w14:textId="0B173C3B" w:rsidR="002E0D61" w:rsidRPr="00DD2F9B" w:rsidRDefault="00913645" w:rsidP="00DD2F9B">
            <w:pPr>
              <w:pStyle w:val="Tablefont"/>
            </w:pPr>
            <w:r w:rsidRPr="00913645">
              <w:t>Carcinogenicity – A4</w:t>
            </w:r>
            <w:r>
              <w:t xml:space="preserve">, </w:t>
            </w:r>
            <w:r w:rsidRPr="00913645">
              <w:t>Skin</w:t>
            </w:r>
          </w:p>
        </w:tc>
      </w:tr>
      <w:tr w:rsidR="002E0D61" w:rsidRPr="004C23F4" w14:paraId="68BC928B" w14:textId="77777777" w:rsidTr="00812887">
        <w:trPr>
          <w:cantSplit/>
        </w:trPr>
        <w:tc>
          <w:tcPr>
            <w:tcW w:w="3227" w:type="dxa"/>
          </w:tcPr>
          <w:p w14:paraId="47161C87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65151D1" w14:textId="34669B6D" w:rsidR="002E0D61" w:rsidRPr="00DD2F9B" w:rsidRDefault="009136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1035699" w14:textId="77777777" w:rsidTr="00812887">
        <w:trPr>
          <w:cantSplit/>
        </w:trPr>
        <w:tc>
          <w:tcPr>
            <w:tcW w:w="3227" w:type="dxa"/>
          </w:tcPr>
          <w:p w14:paraId="254ED39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C18DDD7" w14:textId="1D0BFFD5" w:rsidR="002E0D61" w:rsidRPr="00DD2F9B" w:rsidRDefault="0091364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876E691" w14:textId="77777777" w:rsidTr="00812887">
        <w:trPr>
          <w:cantSplit/>
        </w:trPr>
        <w:tc>
          <w:tcPr>
            <w:tcW w:w="3227" w:type="dxa"/>
          </w:tcPr>
          <w:p w14:paraId="381E0F1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435A138" w14:textId="4530AF1C" w:rsidR="002E0D61" w:rsidRPr="00DD2F9B" w:rsidRDefault="0091364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09ED4B3" w14:textId="77777777" w:rsidTr="00812887">
        <w:trPr>
          <w:cantSplit/>
        </w:trPr>
        <w:tc>
          <w:tcPr>
            <w:tcW w:w="3227" w:type="dxa"/>
          </w:tcPr>
          <w:p w14:paraId="1478210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F977636" w14:textId="12B46D0C" w:rsidR="00386093" w:rsidRPr="00DD2F9B" w:rsidRDefault="00913645" w:rsidP="00DD2F9B">
            <w:pPr>
              <w:pStyle w:val="Tablefont"/>
            </w:pPr>
            <w:r w:rsidRPr="00913645">
              <w:t>Carcinogenicity – Group 3</w:t>
            </w:r>
          </w:p>
        </w:tc>
      </w:tr>
      <w:tr w:rsidR="00386093" w:rsidRPr="004C23F4" w14:paraId="5BA79F27" w14:textId="77777777" w:rsidTr="00812887">
        <w:trPr>
          <w:cantSplit/>
        </w:trPr>
        <w:tc>
          <w:tcPr>
            <w:tcW w:w="3227" w:type="dxa"/>
          </w:tcPr>
          <w:p w14:paraId="7852C41F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3AC516" w14:textId="4DB50CBB" w:rsidR="00386093" w:rsidRPr="00DD2F9B" w:rsidRDefault="00913645" w:rsidP="00D87570">
            <w:pPr>
              <w:pStyle w:val="Tablefont"/>
              <w:keepNext/>
            </w:pPr>
            <w:r w:rsidRPr="00913645">
              <w:t>SK:SYS</w:t>
            </w:r>
          </w:p>
        </w:tc>
      </w:tr>
    </w:tbl>
    <w:bookmarkEnd w:id="2"/>
    <w:p w14:paraId="489183E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17EA5A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D666CF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2A635B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ECCC26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93" w:type="dxa"/>
              <w:tblLook w:val="04A0" w:firstRow="1" w:lastRow="0" w:firstColumn="1" w:lastColumn="0" w:noHBand="0" w:noVBand="1"/>
            </w:tblPr>
            <w:tblGrid>
              <w:gridCol w:w="3825"/>
              <w:gridCol w:w="1130"/>
              <w:gridCol w:w="1130"/>
              <w:gridCol w:w="2725"/>
            </w:tblGrid>
            <w:tr w:rsidR="00223745" w:rsidRPr="00223745" w14:paraId="596465C3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048E9A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3DF9D69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A69B8A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A9C12B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12205382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A0CD31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2ECCB75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462EAE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79A79E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610EF916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30667C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4D88F18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F662DC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3B7548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7A654113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76A819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11B839F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9561F8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DC66EC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37C0441D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7E71D6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E1E301" w14:textId="77EDE581" w:rsidR="00223745" w:rsidRPr="00223745" w:rsidRDefault="00B86436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  <w:r w:rsidR="00223745"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E630C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BA9A59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16332C3B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01E912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573DE3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EE3251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0D02DA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223745" w:rsidRPr="00223745" w14:paraId="31F252D2" w14:textId="77777777" w:rsidTr="00223745">
              <w:trPr>
                <w:trHeight w:val="231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348E67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47DD63" w14:textId="77777777" w:rsidR="00223745" w:rsidRPr="00223745" w:rsidRDefault="00223745" w:rsidP="002237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04DBE1" w14:textId="77777777" w:rsidR="00223745" w:rsidRPr="00223745" w:rsidRDefault="00223745" w:rsidP="0022374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743A6E" w14:textId="77777777" w:rsidR="00223745" w:rsidRPr="00223745" w:rsidRDefault="00223745" w:rsidP="0022374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22374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D700DC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04A33E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251566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9B6A40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EC04CDC" w14:textId="068397C9" w:rsidR="00EB3D1B" w:rsidRDefault="0064338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56BCBDD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5D1E4C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78A41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63BF926" w14:textId="3689965F" w:rsidR="001B79E5" w:rsidRDefault="00913645" w:rsidP="001B79E5">
                <w:pPr>
                  <w:pStyle w:val="Tablefont"/>
                </w:pPr>
                <w:r w:rsidRPr="00913645">
                  <w:t>291.3</w:t>
                </w:r>
                <w:r>
                  <w:t>0</w:t>
                </w:r>
              </w:p>
            </w:tc>
          </w:sdtContent>
        </w:sdt>
      </w:tr>
      <w:tr w:rsidR="00A31D99" w:rsidRPr="004C23F4" w14:paraId="6CE29B6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423BB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7FA001A" w14:textId="63CA81E1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913645">
                  <w:t>10.8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913645">
                  <w:t>0.09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56FCEC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C70432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9CC80A4" w14:textId="7C246CBD" w:rsidR="00687890" w:rsidRPr="004C23F4" w:rsidRDefault="005D5B70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11D53C2" w14:textId="77777777" w:rsidTr="00EA6243">
        <w:trPr>
          <w:cantSplit/>
        </w:trPr>
        <w:tc>
          <w:tcPr>
            <w:tcW w:w="4077" w:type="dxa"/>
            <w:vAlign w:val="center"/>
          </w:tcPr>
          <w:p w14:paraId="2D5C487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853C79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D182899" w14:textId="77777777" w:rsidTr="00EA6243">
        <w:trPr>
          <w:cantSplit/>
        </w:trPr>
        <w:tc>
          <w:tcPr>
            <w:tcW w:w="4077" w:type="dxa"/>
            <w:vAlign w:val="center"/>
          </w:tcPr>
          <w:p w14:paraId="6D231A2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6AE705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8FED593" w14:textId="77777777" w:rsidTr="00EA6243">
        <w:trPr>
          <w:cantSplit/>
        </w:trPr>
        <w:tc>
          <w:tcPr>
            <w:tcW w:w="4077" w:type="dxa"/>
            <w:vAlign w:val="center"/>
          </w:tcPr>
          <w:p w14:paraId="42DA469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AD2832B" w14:textId="34C62A24" w:rsidR="00E06F40" w:rsidRPr="00A006A0" w:rsidRDefault="005E086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C49F2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35430C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B37F79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FE0545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C0FF50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132FC4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D21505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213EB3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C065B6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AED9699" w14:textId="44A06F49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43C116C" w14:textId="663023AB" w:rsidR="007641E3" w:rsidRDefault="00BE6928" w:rsidP="00084859">
      <w:r w:rsidRPr="00BE692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5E36BBAF" w14:textId="64FE2977" w:rsidR="00895122" w:rsidRDefault="00895122" w:rsidP="00084859">
      <w:r w:rsidRPr="00DB0A36">
        <w:t xml:space="preserve">International Agency for Research on Cancer (IARC) </w:t>
      </w:r>
      <w:r w:rsidR="00CB6152">
        <w:t>Miscellaneous p</w:t>
      </w:r>
      <w:r w:rsidR="00CB6152" w:rsidRPr="00CB6152">
        <w:t>esticides</w:t>
      </w:r>
      <w:r w:rsidR="000B6D5A">
        <w:t xml:space="preserve">. IARC Monographs – </w:t>
      </w:r>
      <w:r w:rsidR="005D5B70">
        <w:t xml:space="preserve">volume </w:t>
      </w:r>
      <w:r w:rsidR="000B6D5A">
        <w:t>30</w:t>
      </w:r>
      <w:r w:rsidRPr="00DB0A36">
        <w:t>.</w:t>
      </w:r>
    </w:p>
    <w:p w14:paraId="2368F731" w14:textId="08825AD0" w:rsidR="005D5B70" w:rsidRDefault="00223745" w:rsidP="00084859">
      <w:r w:rsidRPr="002022B6">
        <w:t>National Industrial Chemicals Notification and Assessment Scheme (NICNAS)</w:t>
      </w:r>
      <w:r>
        <w:t xml:space="preserve"> (2018) </w:t>
      </w:r>
      <w:proofErr w:type="spellStart"/>
      <w:r w:rsidRPr="005D5B70">
        <w:t>Phosphorothioic</w:t>
      </w:r>
      <w:proofErr w:type="spellEnd"/>
      <w:r w:rsidRPr="005D5B70">
        <w:t xml:space="preserve"> acid, O</w:t>
      </w:r>
      <w:proofErr w:type="gramStart"/>
      <w:r w:rsidRPr="005D5B70">
        <w:t>,O</w:t>
      </w:r>
      <w:proofErr w:type="gramEnd"/>
      <w:r w:rsidRPr="005D5B70">
        <w:t>-dimethyl O-(4-nitrophenyl) ester</w:t>
      </w:r>
      <w:r w:rsidRPr="0071660C">
        <w:t xml:space="preserve">: Human health </w:t>
      </w:r>
      <w:r>
        <w:t xml:space="preserve">tier I </w:t>
      </w:r>
      <w:r w:rsidRPr="0071660C">
        <w:t>assessment</w:t>
      </w:r>
      <w:r>
        <w:t xml:space="preserve"> – IMAP report.</w:t>
      </w:r>
    </w:p>
    <w:p w14:paraId="0749C4B2" w14:textId="77777777" w:rsidR="00925B44" w:rsidRPr="00351FE0" w:rsidRDefault="00925B44" w:rsidP="00925B44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Methyl parathion.</w:t>
      </w:r>
    </w:p>
    <w:p w14:paraId="0D316289" w14:textId="1F974D94" w:rsidR="00362189" w:rsidRDefault="00362189" w:rsidP="00084859">
      <w:r w:rsidRPr="00D86E03">
        <w:t>US National Institute for Occupational Safety and Health (NIOSH)</w:t>
      </w:r>
      <w:r>
        <w:t xml:space="preserve"> (</w:t>
      </w:r>
      <w:r w:rsidRPr="00362189">
        <w:t>2015</w:t>
      </w:r>
      <w:r>
        <w:t xml:space="preserve">) </w:t>
      </w:r>
      <w:r w:rsidRPr="006B0272">
        <w:t xml:space="preserve">NIOSH Skin Notation Profiles: </w:t>
      </w:r>
      <w:r w:rsidRPr="00362189">
        <w:t>Methyl Parathion</w:t>
      </w:r>
      <w:r>
        <w:t>.</w:t>
      </w:r>
    </w:p>
    <w:p w14:paraId="0A87D753" w14:textId="728A85FD" w:rsidR="00407792" w:rsidRPr="00351FE0" w:rsidRDefault="00407792" w:rsidP="00084859"/>
    <w:sectPr w:rsidR="0040779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48B88" w16cid:durableId="2188F1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6F0C" w14:textId="77777777" w:rsidR="00C35D0D" w:rsidRDefault="00C35D0D" w:rsidP="00F43AD5">
      <w:pPr>
        <w:spacing w:after="0" w:line="240" w:lineRule="auto"/>
      </w:pPr>
      <w:r>
        <w:separator/>
      </w:r>
    </w:p>
  </w:endnote>
  <w:endnote w:type="continuationSeparator" w:id="0">
    <w:p w14:paraId="3A7730B0" w14:textId="77777777" w:rsidR="00C35D0D" w:rsidRDefault="00C35D0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246A" w14:textId="77777777" w:rsidR="005E0868" w:rsidRDefault="005E0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8A9DC6" w14:textId="37BCE125" w:rsidR="005E2BD0" w:rsidRDefault="005E2BD0" w:rsidP="0034744C">
        <w:pPr>
          <w:pStyle w:val="Footer"/>
          <w:rPr>
            <w:sz w:val="18"/>
            <w:szCs w:val="18"/>
          </w:rPr>
        </w:pPr>
        <w:r w:rsidRPr="0009442C">
          <w:rPr>
            <w:b/>
            <w:sz w:val="18"/>
            <w:szCs w:val="18"/>
          </w:rPr>
          <w:t xml:space="preserve">Methyl parathion </w:t>
        </w:r>
        <w:r>
          <w:rPr>
            <w:b/>
            <w:sz w:val="18"/>
            <w:szCs w:val="18"/>
          </w:rPr>
          <w:t>(298-00-0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2AD3851B" w14:textId="75FCFD52" w:rsidR="005E2BD0" w:rsidRPr="00F43AD5" w:rsidRDefault="005E2BD0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E0868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30201" w14:textId="77777777" w:rsidR="005E0868" w:rsidRDefault="005E0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1EFF1" w14:textId="77777777" w:rsidR="00C35D0D" w:rsidRDefault="00C35D0D" w:rsidP="00F43AD5">
      <w:pPr>
        <w:spacing w:after="0" w:line="240" w:lineRule="auto"/>
      </w:pPr>
      <w:r>
        <w:separator/>
      </w:r>
    </w:p>
  </w:footnote>
  <w:footnote w:type="continuationSeparator" w:id="0">
    <w:p w14:paraId="617A6510" w14:textId="77777777" w:rsidR="00C35D0D" w:rsidRDefault="00C35D0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CAFE" w14:textId="77777777" w:rsidR="005E0868" w:rsidRDefault="005E0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82631" w14:textId="7D8364D3" w:rsidR="005E0868" w:rsidRDefault="005E0868" w:rsidP="005E0868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230601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8864C41" wp14:editId="64251429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680D9" w14:textId="7A68D6D1" w:rsidR="005E2BD0" w:rsidRPr="005E0868" w:rsidRDefault="005E2BD0" w:rsidP="005E0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AEA2" w14:textId="77777777" w:rsidR="005E0868" w:rsidRDefault="005E08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457CF" w14:textId="12E894A9" w:rsidR="005E0868" w:rsidRDefault="005E0868" w:rsidP="005E0868">
    <w:pPr>
      <w:pStyle w:val="Header"/>
      <w:jc w:val="right"/>
    </w:pPr>
    <w:sdt>
      <w:sdtPr>
        <w:id w:val="-1778776264"/>
        <w:docPartObj>
          <w:docPartGallery w:val="Watermarks"/>
          <w:docPartUnique/>
        </w:docPartObj>
      </w:sdtPr>
      <w:sdtContent>
        <w:r>
          <w:pict w14:anchorId="20FD3B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DEB04CE" wp14:editId="0E23EA84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DB7BA" w14:textId="77777777" w:rsidR="005E2BD0" w:rsidRDefault="005E2BD0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E6E"/>
    <w:multiLevelType w:val="hybridMultilevel"/>
    <w:tmpl w:val="01685A1C"/>
    <w:lvl w:ilvl="0" w:tplc="12EEB714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F7C10"/>
    <w:multiLevelType w:val="hybridMultilevel"/>
    <w:tmpl w:val="8D80FC6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3D90"/>
    <w:rsid w:val="00014C3F"/>
    <w:rsid w:val="00017C82"/>
    <w:rsid w:val="00023324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2F26"/>
    <w:rsid w:val="00084513"/>
    <w:rsid w:val="00084859"/>
    <w:rsid w:val="00092D94"/>
    <w:rsid w:val="0009442C"/>
    <w:rsid w:val="000B0868"/>
    <w:rsid w:val="000B3E12"/>
    <w:rsid w:val="000B3E78"/>
    <w:rsid w:val="000B6D5A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6F4B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11ED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745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E76EC"/>
    <w:rsid w:val="0030740C"/>
    <w:rsid w:val="003151D9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189"/>
    <w:rsid w:val="00362895"/>
    <w:rsid w:val="00370DBF"/>
    <w:rsid w:val="00385123"/>
    <w:rsid w:val="00386093"/>
    <w:rsid w:val="003904A4"/>
    <w:rsid w:val="00391841"/>
    <w:rsid w:val="00391B6D"/>
    <w:rsid w:val="00394922"/>
    <w:rsid w:val="003A0E32"/>
    <w:rsid w:val="003A2B94"/>
    <w:rsid w:val="003B387D"/>
    <w:rsid w:val="003B4C16"/>
    <w:rsid w:val="003B53E4"/>
    <w:rsid w:val="003C0D58"/>
    <w:rsid w:val="003C226A"/>
    <w:rsid w:val="003C49F2"/>
    <w:rsid w:val="003D4FA3"/>
    <w:rsid w:val="003E0807"/>
    <w:rsid w:val="003E51FB"/>
    <w:rsid w:val="003E6B39"/>
    <w:rsid w:val="003F07E1"/>
    <w:rsid w:val="004030BC"/>
    <w:rsid w:val="00403F7D"/>
    <w:rsid w:val="00406785"/>
    <w:rsid w:val="00407792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5EA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C6A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4CA8"/>
    <w:rsid w:val="005272E2"/>
    <w:rsid w:val="0053108F"/>
    <w:rsid w:val="00532B56"/>
    <w:rsid w:val="00534B10"/>
    <w:rsid w:val="00536F6F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B70"/>
    <w:rsid w:val="005E0868"/>
    <w:rsid w:val="005E2BD0"/>
    <w:rsid w:val="005E6979"/>
    <w:rsid w:val="005E75CB"/>
    <w:rsid w:val="006013C1"/>
    <w:rsid w:val="0060669E"/>
    <w:rsid w:val="00610F2E"/>
    <w:rsid w:val="00611399"/>
    <w:rsid w:val="00616BB8"/>
    <w:rsid w:val="00624C4E"/>
    <w:rsid w:val="00625200"/>
    <w:rsid w:val="006363A8"/>
    <w:rsid w:val="00636DB7"/>
    <w:rsid w:val="0064338D"/>
    <w:rsid w:val="00650905"/>
    <w:rsid w:val="006532ED"/>
    <w:rsid w:val="006549F2"/>
    <w:rsid w:val="006567B7"/>
    <w:rsid w:val="00657BFB"/>
    <w:rsid w:val="0066333C"/>
    <w:rsid w:val="006639B4"/>
    <w:rsid w:val="006646EF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116A"/>
    <w:rsid w:val="006E5D05"/>
    <w:rsid w:val="00701053"/>
    <w:rsid w:val="00701507"/>
    <w:rsid w:val="00710D30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41E3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7D9"/>
    <w:rsid w:val="00804F5A"/>
    <w:rsid w:val="00810C6D"/>
    <w:rsid w:val="00812887"/>
    <w:rsid w:val="00814F90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5122"/>
    <w:rsid w:val="008A36CF"/>
    <w:rsid w:val="008A3BC4"/>
    <w:rsid w:val="008B403C"/>
    <w:rsid w:val="008B7983"/>
    <w:rsid w:val="008C2511"/>
    <w:rsid w:val="008D026D"/>
    <w:rsid w:val="008D23AB"/>
    <w:rsid w:val="008D3633"/>
    <w:rsid w:val="008D4B8B"/>
    <w:rsid w:val="008D5A78"/>
    <w:rsid w:val="008E7B64"/>
    <w:rsid w:val="008F5DCD"/>
    <w:rsid w:val="00900951"/>
    <w:rsid w:val="009067B4"/>
    <w:rsid w:val="009118A6"/>
    <w:rsid w:val="00913645"/>
    <w:rsid w:val="00916909"/>
    <w:rsid w:val="00916EC0"/>
    <w:rsid w:val="00920467"/>
    <w:rsid w:val="00921DE7"/>
    <w:rsid w:val="00925B44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6974"/>
    <w:rsid w:val="009C199D"/>
    <w:rsid w:val="009C278F"/>
    <w:rsid w:val="009C2B94"/>
    <w:rsid w:val="009C5874"/>
    <w:rsid w:val="009D3B5A"/>
    <w:rsid w:val="009E0BCA"/>
    <w:rsid w:val="009E0C05"/>
    <w:rsid w:val="009E0D1C"/>
    <w:rsid w:val="009E1B3D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130A"/>
    <w:rsid w:val="00A53681"/>
    <w:rsid w:val="00A633D4"/>
    <w:rsid w:val="00A6461A"/>
    <w:rsid w:val="00A82231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7487"/>
    <w:rsid w:val="00B1422A"/>
    <w:rsid w:val="00B1765C"/>
    <w:rsid w:val="00B213C4"/>
    <w:rsid w:val="00B37B92"/>
    <w:rsid w:val="00B40C60"/>
    <w:rsid w:val="00B4721E"/>
    <w:rsid w:val="00B479A9"/>
    <w:rsid w:val="00B52EDF"/>
    <w:rsid w:val="00B71188"/>
    <w:rsid w:val="00B76A41"/>
    <w:rsid w:val="00B86436"/>
    <w:rsid w:val="00B87D4C"/>
    <w:rsid w:val="00B93646"/>
    <w:rsid w:val="00BA0B38"/>
    <w:rsid w:val="00BA12FC"/>
    <w:rsid w:val="00BA1DBB"/>
    <w:rsid w:val="00BA4510"/>
    <w:rsid w:val="00BA529A"/>
    <w:rsid w:val="00BB612A"/>
    <w:rsid w:val="00BB6B01"/>
    <w:rsid w:val="00BD499F"/>
    <w:rsid w:val="00BD56DE"/>
    <w:rsid w:val="00BE6928"/>
    <w:rsid w:val="00BF2406"/>
    <w:rsid w:val="00C06E43"/>
    <w:rsid w:val="00C16315"/>
    <w:rsid w:val="00C17F41"/>
    <w:rsid w:val="00C3091E"/>
    <w:rsid w:val="00C33FEC"/>
    <w:rsid w:val="00C35D0D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152"/>
    <w:rsid w:val="00CB6BC1"/>
    <w:rsid w:val="00CB6CB8"/>
    <w:rsid w:val="00CC1A68"/>
    <w:rsid w:val="00CC2123"/>
    <w:rsid w:val="00CC723B"/>
    <w:rsid w:val="00CD2BFD"/>
    <w:rsid w:val="00CE5AD6"/>
    <w:rsid w:val="00CE617F"/>
    <w:rsid w:val="00CE78EF"/>
    <w:rsid w:val="00CF05D7"/>
    <w:rsid w:val="00D048F7"/>
    <w:rsid w:val="00D0517E"/>
    <w:rsid w:val="00D140FC"/>
    <w:rsid w:val="00D21505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561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03BA"/>
    <w:rsid w:val="00ED1D89"/>
    <w:rsid w:val="00ED66BC"/>
    <w:rsid w:val="00EE5DC5"/>
    <w:rsid w:val="00EE60C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54B6"/>
    <w:rsid w:val="00F16019"/>
    <w:rsid w:val="00F20E68"/>
    <w:rsid w:val="00F22093"/>
    <w:rsid w:val="00F236DF"/>
    <w:rsid w:val="00F43AD5"/>
    <w:rsid w:val="00F4402E"/>
    <w:rsid w:val="00F4607B"/>
    <w:rsid w:val="00F555BE"/>
    <w:rsid w:val="00F56DD0"/>
    <w:rsid w:val="00F621C2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3A83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025DDB3F-B445-405E-BC41-C48A2E5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5E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B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B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D0"/>
    <w:rPr>
      <w:b/>
      <w:bCs/>
      <w:szCs w:val="20"/>
    </w:rPr>
  </w:style>
  <w:style w:type="paragraph" w:styleId="Revision">
    <w:name w:val="Revision"/>
    <w:hidden/>
    <w:uiPriority w:val="99"/>
    <w:semiHidden/>
    <w:rsid w:val="00925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AF1E4D28CE54BCB9507D7E904C13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7752-C421-4989-BFEA-278A97176347}"/>
      </w:docPartPr>
      <w:docPartBody>
        <w:p w:rsidR="00AF34EE" w:rsidRDefault="000D122E" w:rsidP="000D122E">
          <w:pPr>
            <w:pStyle w:val="9AF1E4D28CE54BCB9507D7E904C13DB9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325EF66EF344F88869A2393C400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46BF-D087-4A57-9209-4CDF16077951}"/>
      </w:docPartPr>
      <w:docPartBody>
        <w:p w:rsidR="00152565" w:rsidRDefault="00FB7116" w:rsidP="00FB7116">
          <w:pPr>
            <w:pStyle w:val="1325EF66EF344F88869A2393C4009034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D122E"/>
    <w:rsid w:val="00152565"/>
    <w:rsid w:val="00977074"/>
    <w:rsid w:val="00AF34EE"/>
    <w:rsid w:val="00B41AE8"/>
    <w:rsid w:val="00B47457"/>
    <w:rsid w:val="00D21A9F"/>
    <w:rsid w:val="00FB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11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93CD08E60D8D4CB7B90BC2EAAD269098">
    <w:name w:val="93CD08E60D8D4CB7B90BC2EAAD269098"/>
    <w:rsid w:val="00B47457"/>
  </w:style>
  <w:style w:type="paragraph" w:customStyle="1" w:styleId="F7AA1BEF8DE6456D91240A14D24AD3CE">
    <w:name w:val="F7AA1BEF8DE6456D91240A14D24AD3CE"/>
    <w:rsid w:val="00B47457"/>
  </w:style>
  <w:style w:type="paragraph" w:customStyle="1" w:styleId="942D5653305E4C15BFDA9F424749DE9F">
    <w:name w:val="942D5653305E4C15BFDA9F424749DE9F"/>
    <w:rsid w:val="00B47457"/>
  </w:style>
  <w:style w:type="paragraph" w:customStyle="1" w:styleId="5329F8D2371C4D7A8CC6AD4DAA0C358C">
    <w:name w:val="5329F8D2371C4D7A8CC6AD4DAA0C358C"/>
    <w:rsid w:val="00B47457"/>
  </w:style>
  <w:style w:type="paragraph" w:customStyle="1" w:styleId="B41992E1183D4599B4DE0796E9C06638">
    <w:name w:val="B41992E1183D4599B4DE0796E9C06638"/>
    <w:rsid w:val="00B47457"/>
  </w:style>
  <w:style w:type="paragraph" w:customStyle="1" w:styleId="CD9A1B2A30EF42A98D389586591D39D4">
    <w:name w:val="CD9A1B2A30EF42A98D389586591D39D4"/>
    <w:rsid w:val="00B47457"/>
  </w:style>
  <w:style w:type="paragraph" w:customStyle="1" w:styleId="5D99F0004F204601998487A99D04F4A9">
    <w:name w:val="5D99F0004F204601998487A99D04F4A9"/>
    <w:rsid w:val="000D122E"/>
  </w:style>
  <w:style w:type="paragraph" w:customStyle="1" w:styleId="DB82AD3C60C8404F84E652907F2B89B2">
    <w:name w:val="DB82AD3C60C8404F84E652907F2B89B2"/>
    <w:rsid w:val="000D122E"/>
  </w:style>
  <w:style w:type="paragraph" w:customStyle="1" w:styleId="62A153E0B196446C82A9467A359CF78D">
    <w:name w:val="62A153E0B196446C82A9467A359CF78D"/>
    <w:rsid w:val="000D122E"/>
  </w:style>
  <w:style w:type="paragraph" w:customStyle="1" w:styleId="D5354A01E49843FE8C00DC9E10E558EA">
    <w:name w:val="D5354A01E49843FE8C00DC9E10E558EA"/>
    <w:rsid w:val="000D122E"/>
  </w:style>
  <w:style w:type="paragraph" w:customStyle="1" w:styleId="9AF1E4D28CE54BCB9507D7E904C13DB9">
    <w:name w:val="9AF1E4D28CE54BCB9507D7E904C13DB9"/>
    <w:rsid w:val="000D122E"/>
  </w:style>
  <w:style w:type="paragraph" w:customStyle="1" w:styleId="1325EF66EF344F88869A2393C4009034">
    <w:name w:val="1325EF66EF344F88869A2393C4009034"/>
    <w:rsid w:val="00FB7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9D54-587A-4294-8CBF-5B42AC02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F8BC3-BA21-4650-A9F3-CB4B8C39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69A6D37A.dotm</Template>
  <TotalTime>593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16</cp:revision>
  <cp:lastPrinted>2018-10-22T22:41:00Z</cp:lastPrinted>
  <dcterms:created xsi:type="dcterms:W3CDTF">2019-09-10T05:18:00Z</dcterms:created>
  <dcterms:modified xsi:type="dcterms:W3CDTF">2020-01-30T01:49:00Z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