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A6C1DEC" w14:textId="4E572E2F" w:rsidR="00BD499F" w:rsidRPr="004C23F4" w:rsidRDefault="00492DB3" w:rsidP="00B40C60">
          <w:pPr>
            <w:pStyle w:val="Heading1"/>
            <w:jc w:val="center"/>
            <w:rPr>
              <w:rFonts w:ascii="Arial" w:hAnsi="Arial" w:cs="Arial"/>
            </w:rPr>
          </w:pPr>
          <w:r w:rsidRPr="00492DB3">
            <w:rPr>
              <w:rFonts w:ascii="Arial" w:hAnsi="Arial" w:cs="Arial"/>
            </w:rPr>
            <w:t>Methylacrylonitrile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3C21A33E" w14:textId="77777777" w:rsidTr="00B76A41">
        <w:trPr>
          <w:cantSplit/>
          <w:tblHeader/>
        </w:trPr>
        <w:tc>
          <w:tcPr>
            <w:tcW w:w="4077" w:type="dxa"/>
          </w:tcPr>
          <w:p w14:paraId="30C4B9C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61704D9" w14:textId="366B210A" w:rsidR="00F43AD5" w:rsidRPr="00717D45" w:rsidRDefault="00F23AB8" w:rsidP="00B76A41">
            <w:pPr>
              <w:pStyle w:val="Tablefont"/>
            </w:pPr>
            <w:bookmarkStart w:id="0" w:name="_Hlk19088230"/>
            <w:r w:rsidRPr="00F23AB8">
              <w:t>126-98-7</w:t>
            </w:r>
            <w:bookmarkEnd w:id="0"/>
          </w:p>
        </w:tc>
      </w:tr>
      <w:tr w:rsidR="00F43AD5" w:rsidRPr="004C23F4" w14:paraId="7B7E689B" w14:textId="77777777" w:rsidTr="00B76A41">
        <w:trPr>
          <w:cantSplit/>
        </w:trPr>
        <w:tc>
          <w:tcPr>
            <w:tcW w:w="4077" w:type="dxa"/>
          </w:tcPr>
          <w:p w14:paraId="7180540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3241D21" w14:textId="4955B368" w:rsidR="00F43AD5" w:rsidRPr="00717D45" w:rsidRDefault="00F23AB8" w:rsidP="00B76A41">
            <w:pPr>
              <w:pStyle w:val="Tablefont"/>
            </w:pPr>
            <w:proofErr w:type="spellStart"/>
            <w:r>
              <w:t>Methacrylonitrile</w:t>
            </w:r>
            <w:proofErr w:type="spellEnd"/>
            <w:r>
              <w:t xml:space="preserve">, 2-methyl-2-propenenitrile, 2-cyanopropene, </w:t>
            </w:r>
            <w:proofErr w:type="spellStart"/>
            <w:r w:rsidR="00103575">
              <w:t>i</w:t>
            </w:r>
            <w:r>
              <w:t>sopropene</w:t>
            </w:r>
            <w:proofErr w:type="spellEnd"/>
            <w:r>
              <w:t xml:space="preserve"> cyanide, </w:t>
            </w:r>
            <w:proofErr w:type="spellStart"/>
            <w:r w:rsidR="00103575">
              <w:t>i</w:t>
            </w:r>
            <w:r>
              <w:t>sopropenylnitrile</w:t>
            </w:r>
            <w:proofErr w:type="spellEnd"/>
            <w:r>
              <w:t>, 2-methylpropenenitrile</w:t>
            </w:r>
          </w:p>
        </w:tc>
      </w:tr>
      <w:tr w:rsidR="00F43AD5" w:rsidRPr="004C23F4" w14:paraId="335EF903" w14:textId="77777777" w:rsidTr="00B76A41">
        <w:trPr>
          <w:cantSplit/>
        </w:trPr>
        <w:tc>
          <w:tcPr>
            <w:tcW w:w="4077" w:type="dxa"/>
          </w:tcPr>
          <w:p w14:paraId="3B7FF88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76EDE9D" w14:textId="782E9F26" w:rsidR="00F43AD5" w:rsidRPr="00717D45" w:rsidRDefault="00F23AB8" w:rsidP="00B76A41">
            <w:pPr>
              <w:pStyle w:val="Tablefont"/>
            </w:pPr>
            <w:r>
              <w:t>C</w:t>
            </w:r>
            <w:r w:rsidRPr="00F23AB8">
              <w:rPr>
                <w:vertAlign w:val="subscript"/>
              </w:rPr>
              <w:t>4</w:t>
            </w:r>
            <w:r>
              <w:t>H</w:t>
            </w:r>
            <w:r w:rsidRPr="00F23AB8">
              <w:rPr>
                <w:vertAlign w:val="subscript"/>
              </w:rPr>
              <w:t>5</w:t>
            </w:r>
            <w:r>
              <w:t>N</w:t>
            </w:r>
          </w:p>
        </w:tc>
      </w:tr>
      <w:tr w:rsidR="00F43AD5" w:rsidRPr="004C23F4" w14:paraId="5CE16876" w14:textId="77777777" w:rsidTr="00B76A41">
        <w:trPr>
          <w:cantSplit/>
        </w:trPr>
        <w:tc>
          <w:tcPr>
            <w:tcW w:w="4077" w:type="dxa"/>
          </w:tcPr>
          <w:p w14:paraId="5D83C8F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3C1CCFA" w14:textId="1B982017" w:rsidR="00F43AD5" w:rsidRPr="00B40C60" w:rsidRDefault="00F23AB8" w:rsidP="00B76A41">
            <w:pPr>
              <w:pStyle w:val="Tablerowheading"/>
              <w:rPr>
                <w:b w:val="0"/>
              </w:rPr>
            </w:pPr>
            <w:r w:rsidRPr="00F23AB8">
              <w:rPr>
                <w:b w:val="0"/>
              </w:rPr>
              <w:t>—</w:t>
            </w:r>
          </w:p>
        </w:tc>
      </w:tr>
    </w:tbl>
    <w:p w14:paraId="4E71684F" w14:textId="11BA9D0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F6F3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586E701" w14:textId="77777777" w:rsidTr="00B96F7C">
        <w:trPr>
          <w:cantSplit/>
          <w:tblHeader/>
        </w:trPr>
        <w:tc>
          <w:tcPr>
            <w:tcW w:w="4005" w:type="dxa"/>
            <w:vAlign w:val="center"/>
          </w:tcPr>
          <w:p w14:paraId="6FBB78A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611D78D" w14:textId="7DEE6507" w:rsidR="002C7AFE" w:rsidRPr="00B96F7C" w:rsidRDefault="00F06A60" w:rsidP="00017C82">
            <w:pPr>
              <w:pStyle w:val="Tablefont"/>
              <w:rPr>
                <w:b/>
              </w:rPr>
            </w:pPr>
            <w:r w:rsidRPr="006F6F36">
              <w:rPr>
                <w:b/>
              </w:rPr>
              <w:t>1</w:t>
            </w:r>
            <w:r w:rsidR="00B96F7C" w:rsidRPr="006F6F36">
              <w:rPr>
                <w:b/>
              </w:rPr>
              <w:t xml:space="preserve"> ppm (</w:t>
            </w:r>
            <w:r w:rsidR="006F6F36" w:rsidRPr="006F6F36">
              <w:rPr>
                <w:b/>
              </w:rPr>
              <w:t>2.7</w:t>
            </w:r>
            <w:r w:rsidR="00B96F7C" w:rsidRPr="006F6F36">
              <w:rPr>
                <w:b/>
              </w:rPr>
              <w:t xml:space="preserve"> mg/m</w:t>
            </w:r>
            <w:r w:rsidR="00B96F7C" w:rsidRPr="006F6F36">
              <w:rPr>
                <w:b/>
                <w:vertAlign w:val="superscript"/>
              </w:rPr>
              <w:t>3</w:t>
            </w:r>
            <w:r w:rsidR="00B96F7C" w:rsidRPr="006F6F36">
              <w:rPr>
                <w:b/>
              </w:rPr>
              <w:t>)</w:t>
            </w:r>
          </w:p>
        </w:tc>
      </w:tr>
      <w:tr w:rsidR="002C7AFE" w:rsidRPr="004C23F4" w14:paraId="030E2A52" w14:textId="77777777" w:rsidTr="00B96F7C">
        <w:trPr>
          <w:cantSplit/>
        </w:trPr>
        <w:tc>
          <w:tcPr>
            <w:tcW w:w="4005" w:type="dxa"/>
            <w:vAlign w:val="center"/>
          </w:tcPr>
          <w:p w14:paraId="535906B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962EC41" w14:textId="04D2785F" w:rsidR="002C7AFE" w:rsidRPr="00EB3D1B" w:rsidRDefault="00B96F7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C9B948D" w14:textId="77777777" w:rsidTr="00B96F7C">
        <w:trPr>
          <w:cantSplit/>
        </w:trPr>
        <w:tc>
          <w:tcPr>
            <w:tcW w:w="4005" w:type="dxa"/>
            <w:vAlign w:val="center"/>
          </w:tcPr>
          <w:p w14:paraId="517A41D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A3BA0FB" w14:textId="4CCC73ED" w:rsidR="002C7AFE" w:rsidRPr="00EB3D1B" w:rsidRDefault="00B96F7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84F8806" w14:textId="77777777" w:rsidTr="00B96F7C">
        <w:trPr>
          <w:cantSplit/>
        </w:trPr>
        <w:tc>
          <w:tcPr>
            <w:tcW w:w="4005" w:type="dxa"/>
          </w:tcPr>
          <w:p w14:paraId="379EB71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EE3E831" w14:textId="691A1D2A" w:rsidR="002C7AFE" w:rsidRPr="00EB3D1B" w:rsidRDefault="00B274D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Sk., DSEN</w:t>
            </w:r>
          </w:p>
        </w:tc>
      </w:tr>
      <w:tr w:rsidR="002C7AFE" w:rsidRPr="004C23F4" w14:paraId="622AE2BC" w14:textId="77777777" w:rsidTr="00B96F7C">
        <w:trPr>
          <w:cantSplit/>
        </w:trPr>
        <w:tc>
          <w:tcPr>
            <w:tcW w:w="4005" w:type="dxa"/>
            <w:vAlign w:val="center"/>
          </w:tcPr>
          <w:p w14:paraId="4E22416B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3348DA6" w14:textId="1E207D0F" w:rsidR="002C7AFE" w:rsidRPr="00EB3D1B" w:rsidRDefault="00F23AB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4 ppm</w:t>
            </w:r>
          </w:p>
        </w:tc>
      </w:tr>
      <w:tr w:rsidR="00B96F7C" w:rsidRPr="004C23F4" w14:paraId="202F46EB" w14:textId="77777777" w:rsidTr="00083207">
        <w:trPr>
          <w:cantSplit/>
        </w:trPr>
        <w:tc>
          <w:tcPr>
            <w:tcW w:w="9026" w:type="dxa"/>
            <w:gridSpan w:val="2"/>
            <w:vAlign w:val="center"/>
          </w:tcPr>
          <w:p w14:paraId="6A6E2FDE" w14:textId="7A2B7C43" w:rsidR="00B96F7C" w:rsidRPr="00B96F7C" w:rsidRDefault="00B96F7C" w:rsidP="00017C82">
            <w:pPr>
              <w:pStyle w:val="Tablefont"/>
              <w:rPr>
                <w:b/>
              </w:rPr>
            </w:pPr>
            <w:r w:rsidRPr="00B96F7C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44233AFE16D463699D83696DE79EFE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B274D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0C0751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258FDC1" w14:textId="17BF01F3" w:rsidR="006639B4" w:rsidRPr="00E07B97" w:rsidRDefault="00E07B97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F06A60">
        <w:rPr>
          <w:rFonts w:cs="Arial"/>
        </w:rPr>
        <w:t>1</w:t>
      </w:r>
      <w:r>
        <w:rPr>
          <w:rFonts w:cs="Arial"/>
        </w:rPr>
        <w:t xml:space="preserve"> ppm (</w:t>
      </w:r>
      <w:r w:rsidR="006F6F36">
        <w:rPr>
          <w:rFonts w:cs="Arial"/>
        </w:rPr>
        <w:t>2.7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40051F">
        <w:t xml:space="preserve">ocular and dermal irritation and </w:t>
      </w:r>
      <w:r w:rsidR="00B274D4">
        <w:t>central nervous system (</w:t>
      </w:r>
      <w:r w:rsidR="0040051F">
        <w:t>CNS</w:t>
      </w:r>
      <w:r w:rsidR="00B274D4">
        <w:t>)</w:t>
      </w:r>
      <w:r w:rsidR="0040051F">
        <w:t xml:space="preserve"> effects in exposed workers.</w:t>
      </w:r>
    </w:p>
    <w:p w14:paraId="2B0B750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38B2640" w14:textId="6D63C8AB" w:rsidR="00B274D4" w:rsidRDefault="0040051F" w:rsidP="006639B4">
      <w:pPr>
        <w:rPr>
          <w:rFonts w:cs="Arial"/>
        </w:rPr>
      </w:pPr>
      <w:proofErr w:type="spellStart"/>
      <w:r>
        <w:rPr>
          <w:rFonts w:cs="Arial"/>
        </w:rPr>
        <w:t>Methylacrylonitrile</w:t>
      </w:r>
      <w:proofErr w:type="spellEnd"/>
      <w:r>
        <w:rPr>
          <w:rFonts w:cs="Arial"/>
        </w:rPr>
        <w:t xml:space="preserve"> is used in the production of plastic elastomers and coatings</w:t>
      </w:r>
      <w:r w:rsidR="00B95566">
        <w:rPr>
          <w:rFonts w:cs="Arial"/>
        </w:rPr>
        <w:t>, including microcapsules</w:t>
      </w:r>
      <w:r>
        <w:rPr>
          <w:rFonts w:cs="Arial"/>
        </w:rPr>
        <w:t xml:space="preserve">, and as an intermediate in preparation of </w:t>
      </w:r>
      <w:r w:rsidR="00B95566">
        <w:rPr>
          <w:rFonts w:cs="Arial"/>
        </w:rPr>
        <w:t>bulk chemicals</w:t>
      </w:r>
      <w:r>
        <w:rPr>
          <w:rFonts w:cs="Arial"/>
        </w:rPr>
        <w:t xml:space="preserve">. </w:t>
      </w:r>
      <w:r w:rsidR="00B274D4">
        <w:rPr>
          <w:rFonts w:cs="Arial"/>
        </w:rPr>
        <w:t>Critical effects include eye and skin irritation and CNS impairment.</w:t>
      </w:r>
    </w:p>
    <w:p w14:paraId="71959C48" w14:textId="7BEF5C0A" w:rsidR="006639B4" w:rsidRDefault="003901FE" w:rsidP="006639B4">
      <w:pPr>
        <w:rPr>
          <w:rFonts w:cs="Arial"/>
        </w:rPr>
      </w:pPr>
      <w:r>
        <w:rPr>
          <w:rFonts w:cs="Arial"/>
        </w:rPr>
        <w:t>Human toxicological data is limited to one a</w:t>
      </w:r>
      <w:r w:rsidR="0040051F">
        <w:rPr>
          <w:rFonts w:cs="Arial"/>
        </w:rPr>
        <w:t>cute inhala</w:t>
      </w:r>
      <w:r w:rsidR="005732E3">
        <w:rPr>
          <w:rFonts w:cs="Arial"/>
        </w:rPr>
        <w:t xml:space="preserve">tion </w:t>
      </w:r>
      <w:r>
        <w:rPr>
          <w:rFonts w:cs="Arial"/>
        </w:rPr>
        <w:t>study with volunteers exposed to</w:t>
      </w:r>
      <w:r w:rsidRPr="003901FE">
        <w:rPr>
          <w:rFonts w:cs="Arial"/>
        </w:rPr>
        <w:t xml:space="preserve"> </w:t>
      </w:r>
      <w:r>
        <w:rPr>
          <w:rFonts w:cs="Arial"/>
        </w:rPr>
        <w:t xml:space="preserve">varying concentrations of 2 to 24 ppm. This study reported irritation of </w:t>
      </w:r>
      <w:r w:rsidR="0040051F">
        <w:rPr>
          <w:rFonts w:cs="Arial"/>
        </w:rPr>
        <w:t xml:space="preserve">ear, nose and throat </w:t>
      </w:r>
      <w:r w:rsidR="00B95528">
        <w:rPr>
          <w:rFonts w:cs="Arial"/>
        </w:rPr>
        <w:t xml:space="preserve">at 24 ppm </w:t>
      </w:r>
      <w:r w:rsidR="00FF12C3">
        <w:rPr>
          <w:rFonts w:cs="Arial"/>
        </w:rPr>
        <w:t>(</w:t>
      </w:r>
      <w:r w:rsidR="007C3202">
        <w:rPr>
          <w:rFonts w:cs="Arial"/>
        </w:rPr>
        <w:t>one</w:t>
      </w:r>
      <w:r w:rsidR="007C3202">
        <w:rPr>
          <w:rFonts w:cs="Arial"/>
        </w:rPr>
        <w:noBreakHyphen/>
      </w:r>
      <w:r w:rsidR="00FF12C3">
        <w:rPr>
          <w:rFonts w:cs="Arial"/>
        </w:rPr>
        <w:t xml:space="preserve">minute duration) </w:t>
      </w:r>
      <w:r w:rsidR="00B95528">
        <w:rPr>
          <w:rFonts w:cs="Arial"/>
        </w:rPr>
        <w:t xml:space="preserve">and </w:t>
      </w:r>
      <w:r>
        <w:rPr>
          <w:rFonts w:cs="Arial"/>
        </w:rPr>
        <w:t>transient</w:t>
      </w:r>
      <w:r w:rsidR="00B95528">
        <w:rPr>
          <w:rFonts w:cs="Arial"/>
        </w:rPr>
        <w:t xml:space="preserve"> </w:t>
      </w:r>
      <w:r w:rsidR="00FF12C3">
        <w:rPr>
          <w:rFonts w:cs="Arial"/>
        </w:rPr>
        <w:t xml:space="preserve">irritant </w:t>
      </w:r>
      <w:r w:rsidR="00B95528">
        <w:rPr>
          <w:rFonts w:cs="Arial"/>
        </w:rPr>
        <w:t xml:space="preserve">effects </w:t>
      </w:r>
      <w:r w:rsidR="00FF12C3">
        <w:rPr>
          <w:rFonts w:cs="Arial"/>
        </w:rPr>
        <w:t xml:space="preserve">(ear, nose and throat) </w:t>
      </w:r>
      <w:r w:rsidR="00B95528">
        <w:rPr>
          <w:rFonts w:cs="Arial"/>
        </w:rPr>
        <w:t xml:space="preserve">at 2 </w:t>
      </w:r>
      <w:r w:rsidR="0080232E">
        <w:rPr>
          <w:rFonts w:cs="Arial"/>
        </w:rPr>
        <w:t>to</w:t>
      </w:r>
      <w:r w:rsidR="00B95528">
        <w:rPr>
          <w:rFonts w:cs="Arial"/>
        </w:rPr>
        <w:t xml:space="preserve"> 14 ppm </w:t>
      </w:r>
      <w:r w:rsidR="00B274D4">
        <w:rPr>
          <w:rFonts w:cs="Arial"/>
        </w:rPr>
        <w:t>for ten-minute</w:t>
      </w:r>
      <w:r w:rsidR="00FF12C3">
        <w:rPr>
          <w:rFonts w:cs="Arial"/>
        </w:rPr>
        <w:t xml:space="preserve"> duration </w:t>
      </w:r>
      <w:r w:rsidR="0040051F">
        <w:rPr>
          <w:rFonts w:cs="Arial"/>
        </w:rPr>
        <w:t>(ECHA, 2019).</w:t>
      </w:r>
    </w:p>
    <w:p w14:paraId="74BE3EB3" w14:textId="0842D2D7" w:rsidR="00196A03" w:rsidRDefault="007C3202" w:rsidP="006639B4">
      <w:r>
        <w:rPr>
          <w:rFonts w:cs="Arial"/>
        </w:rPr>
        <w:t>C</w:t>
      </w:r>
      <w:r w:rsidR="00D3493F">
        <w:rPr>
          <w:rFonts w:cs="Arial"/>
        </w:rPr>
        <w:t xml:space="preserve">ritical </w:t>
      </w:r>
      <w:r w:rsidR="00D3493F" w:rsidRPr="005732E3">
        <w:rPr>
          <w:rFonts w:cs="Arial"/>
        </w:rPr>
        <w:t>effects were generally concentration related</w:t>
      </w:r>
      <w:r>
        <w:rPr>
          <w:rFonts w:cs="Arial"/>
        </w:rPr>
        <w:t xml:space="preserve"> in acute toxicity studies in animals</w:t>
      </w:r>
      <w:r w:rsidR="00D2552D">
        <w:rPr>
          <w:rFonts w:cs="Arial"/>
        </w:rPr>
        <w:t xml:space="preserve"> and followed</w:t>
      </w:r>
      <w:r w:rsidR="00D3493F" w:rsidRPr="005732E3">
        <w:rPr>
          <w:rFonts w:cs="Arial"/>
        </w:rPr>
        <w:t xml:space="preserve"> a pattern of </w:t>
      </w:r>
      <w:r w:rsidR="00D3493F" w:rsidRPr="005732E3">
        <w:t>loss of consciousness, tonic-</w:t>
      </w:r>
      <w:proofErr w:type="spellStart"/>
      <w:r w:rsidR="00D3493F" w:rsidRPr="005732E3">
        <w:t>clonic</w:t>
      </w:r>
      <w:proofErr w:type="spellEnd"/>
      <w:r w:rsidR="00D3493F" w:rsidRPr="005732E3">
        <w:t xml:space="preserve"> convulsions</w:t>
      </w:r>
      <w:r w:rsidR="0080232E">
        <w:t xml:space="preserve"> and</w:t>
      </w:r>
      <w:r w:rsidR="00D3493F" w:rsidRPr="005732E3">
        <w:t xml:space="preserve"> then death across </w:t>
      </w:r>
      <w:r w:rsidR="002E0110">
        <w:t xml:space="preserve">all </w:t>
      </w:r>
      <w:r w:rsidR="00D3493F" w:rsidRPr="005732E3">
        <w:t xml:space="preserve">the </w:t>
      </w:r>
      <w:r w:rsidR="002E0110">
        <w:t xml:space="preserve">tested </w:t>
      </w:r>
      <w:r w:rsidR="00D3493F" w:rsidRPr="005732E3">
        <w:t xml:space="preserve">species. </w:t>
      </w:r>
      <w:r w:rsidR="002E0110">
        <w:t xml:space="preserve">Acute toxicity is caused by metabolic conversion to cyanide. </w:t>
      </w:r>
      <w:r w:rsidRPr="005732E3">
        <w:t>NOAE</w:t>
      </w:r>
      <w:r>
        <w:t>C</w:t>
      </w:r>
      <w:r w:rsidRPr="005732E3">
        <w:t xml:space="preserve"> </w:t>
      </w:r>
      <w:r w:rsidR="00D3493F" w:rsidRPr="005732E3">
        <w:t>of 19.3</w:t>
      </w:r>
      <w:r w:rsidR="0080232E">
        <w:t xml:space="preserve"> to </w:t>
      </w:r>
      <w:r w:rsidR="00B07CFE" w:rsidRPr="005732E3">
        <w:t>52.6</w:t>
      </w:r>
      <w:r w:rsidR="00D3493F" w:rsidRPr="005732E3">
        <w:t xml:space="preserve"> ppm and 3.2</w:t>
      </w:r>
      <w:r w:rsidR="0080232E">
        <w:t xml:space="preserve"> to </w:t>
      </w:r>
      <w:r w:rsidR="00B07CFE" w:rsidRPr="005732E3">
        <w:t>8.8</w:t>
      </w:r>
      <w:r w:rsidR="005732E3">
        <w:t> </w:t>
      </w:r>
      <w:r w:rsidR="00196A03">
        <w:t>ppm</w:t>
      </w:r>
      <w:r w:rsidRPr="007C3202">
        <w:t xml:space="preserve"> </w:t>
      </w:r>
      <w:r w:rsidR="00BA564A">
        <w:t xml:space="preserve">were reported </w:t>
      </w:r>
      <w:r>
        <w:t>i</w:t>
      </w:r>
      <w:r w:rsidRPr="005732E3">
        <w:t>n rats and dogs, respectively</w:t>
      </w:r>
      <w:r w:rsidR="00BA564A">
        <w:t xml:space="preserve"> in </w:t>
      </w:r>
      <w:r w:rsidRPr="005732E3">
        <w:t>sub-chronic inhalation studies</w:t>
      </w:r>
      <w:r w:rsidR="00B07CFE" w:rsidRPr="005732E3">
        <w:t xml:space="preserve"> based on liver effects</w:t>
      </w:r>
      <w:r w:rsidR="009A245E" w:rsidRPr="005732E3">
        <w:t xml:space="preserve"> (ACGIH, 201</w:t>
      </w:r>
      <w:r w:rsidR="0080232E">
        <w:t>8</w:t>
      </w:r>
      <w:r w:rsidR="009A245E" w:rsidRPr="005732E3">
        <w:t>)</w:t>
      </w:r>
      <w:r w:rsidR="00B07CFE" w:rsidRPr="005732E3">
        <w:t xml:space="preserve">. </w:t>
      </w:r>
    </w:p>
    <w:p w14:paraId="508575C7" w14:textId="3B45B44D" w:rsidR="00381084" w:rsidRPr="006F75D8" w:rsidRDefault="007659FF" w:rsidP="006639B4">
      <w:pPr>
        <w:rPr>
          <w:rFonts w:cs="Arial"/>
          <w:b/>
        </w:rPr>
      </w:pPr>
      <w:r w:rsidRPr="005732E3">
        <w:t xml:space="preserve">Based on the </w:t>
      </w:r>
      <w:r w:rsidR="007C3202" w:rsidRPr="005732E3">
        <w:t>NOAE</w:t>
      </w:r>
      <w:r w:rsidR="007C3202">
        <w:t>C</w:t>
      </w:r>
      <w:r w:rsidR="007C3202" w:rsidRPr="005732E3">
        <w:t xml:space="preserve"> </w:t>
      </w:r>
      <w:r w:rsidRPr="005732E3">
        <w:t>in dogs, t</w:t>
      </w:r>
      <w:r w:rsidR="00FF12C3" w:rsidRPr="005732E3">
        <w:t xml:space="preserve">he </w:t>
      </w:r>
      <w:r w:rsidR="002E0110">
        <w:t xml:space="preserve">current </w:t>
      </w:r>
      <w:r w:rsidR="00FF12C3" w:rsidRPr="005732E3">
        <w:t>TWA of 1 ppm</w:t>
      </w:r>
      <w:r w:rsidR="00B274D4" w:rsidRPr="005732E3">
        <w:t xml:space="preserve"> (2.7 mg/m</w:t>
      </w:r>
      <w:r w:rsidR="00B274D4" w:rsidRPr="005732E3">
        <w:rPr>
          <w:vertAlign w:val="superscript"/>
        </w:rPr>
        <w:t>3</w:t>
      </w:r>
      <w:r w:rsidR="00B274D4" w:rsidRPr="005732E3">
        <w:t>)</w:t>
      </w:r>
      <w:r w:rsidR="0080232E">
        <w:t xml:space="preserve"> is recommended</w:t>
      </w:r>
      <w:r w:rsidR="002E0110">
        <w:t xml:space="preserve"> to be retained</w:t>
      </w:r>
      <w:r w:rsidR="0080232E">
        <w:t xml:space="preserve"> </w:t>
      </w:r>
      <w:r w:rsidR="007C3202">
        <w:t>consistent with</w:t>
      </w:r>
      <w:r w:rsidR="00196A03">
        <w:t xml:space="preserve"> ACGIH (2018</w:t>
      </w:r>
      <w:r w:rsidR="00FF12C3" w:rsidRPr="005732E3">
        <w:t>).</w:t>
      </w:r>
      <w:r w:rsidR="006F75D8" w:rsidRPr="005732E3">
        <w:t xml:space="preserve"> </w:t>
      </w:r>
      <w:r w:rsidR="00FF12C3" w:rsidRPr="005732E3">
        <w:t>T</w:t>
      </w:r>
      <w:r w:rsidR="006F75D8" w:rsidRPr="005732E3">
        <w:t xml:space="preserve">his </w:t>
      </w:r>
      <w:r w:rsidR="007B4854">
        <w:t>TWA</w:t>
      </w:r>
      <w:r w:rsidR="007B4854" w:rsidRPr="005732E3">
        <w:t xml:space="preserve"> </w:t>
      </w:r>
      <w:r w:rsidR="006F75D8" w:rsidRPr="005732E3">
        <w:t xml:space="preserve">is considered </w:t>
      </w:r>
      <w:r w:rsidR="006F75D8" w:rsidRPr="00FF12C3">
        <w:t xml:space="preserve">to protect </w:t>
      </w:r>
      <w:r w:rsidR="0080232E">
        <w:t xml:space="preserve">for </w:t>
      </w:r>
      <w:r w:rsidR="00C47584">
        <w:t>irritation to the eye and skin, and CNS impairment in exposed workers.</w:t>
      </w:r>
    </w:p>
    <w:p w14:paraId="139967FA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208F913" w14:textId="19B25BEC" w:rsidR="00F23AB8" w:rsidRDefault="00F23AB8" w:rsidP="00F23AB8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3932A7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0D4839A7" w14:textId="08673730" w:rsidR="00F23AB8" w:rsidRDefault="00B274D4" w:rsidP="00F23AB8">
      <w:pPr>
        <w:rPr>
          <w:rFonts w:cs="Arial"/>
        </w:rPr>
      </w:pPr>
      <w:r>
        <w:rPr>
          <w:rFonts w:cs="Arial"/>
        </w:rPr>
        <w:t>C</w:t>
      </w:r>
      <w:r w:rsidR="00F23AB8">
        <w:rPr>
          <w:rFonts w:cs="Arial"/>
        </w:rPr>
        <w:t xml:space="preserve">lassified as a skin </w:t>
      </w:r>
      <w:r w:rsidR="003932A7">
        <w:rPr>
          <w:rFonts w:cs="Arial"/>
        </w:rPr>
        <w:t xml:space="preserve">sensitiser </w:t>
      </w:r>
      <w:r>
        <w:rPr>
          <w:rFonts w:cs="Arial"/>
        </w:rPr>
        <w:t>but not a</w:t>
      </w:r>
      <w:r w:rsidR="00F23AB8">
        <w:rPr>
          <w:rFonts w:cs="Arial"/>
        </w:rPr>
        <w:t xml:space="preserve"> respiratory sensitiser according to the GHS.</w:t>
      </w:r>
      <w:r w:rsidR="0018603E">
        <w:rPr>
          <w:rFonts w:cs="Arial"/>
        </w:rPr>
        <w:t xml:space="preserve"> A review of skin sensitisation classification is recommended as there is a lack of supportive evidence (ECHA</w:t>
      </w:r>
      <w:r w:rsidR="00C45BE4">
        <w:rPr>
          <w:rFonts w:cs="Arial"/>
        </w:rPr>
        <w:t>, 2019</w:t>
      </w:r>
      <w:r w:rsidR="0018603E">
        <w:rPr>
          <w:rFonts w:cs="Arial"/>
        </w:rPr>
        <w:t xml:space="preserve">). </w:t>
      </w:r>
    </w:p>
    <w:p w14:paraId="1D42ADA9" w14:textId="005AD5A9" w:rsidR="00B274D4" w:rsidRPr="00B274D4" w:rsidRDefault="00B274D4" w:rsidP="00B274D4">
      <w:pPr>
        <w:rPr>
          <w:rFonts w:cs="Arial"/>
        </w:rPr>
      </w:pPr>
      <w:r w:rsidRPr="00B274D4">
        <w:rPr>
          <w:rFonts w:cs="Arial"/>
        </w:rPr>
        <w:t xml:space="preserve">A skin notation is recommended based on evidence suggesting </w:t>
      </w:r>
      <w:r>
        <w:rPr>
          <w:rFonts w:cs="Arial"/>
        </w:rPr>
        <w:t>rapid</w:t>
      </w:r>
      <w:r w:rsidRPr="00B274D4">
        <w:rPr>
          <w:rFonts w:cs="Arial"/>
        </w:rPr>
        <w:t xml:space="preserve"> dermal absorption and adverse systemic effects in animals.</w:t>
      </w:r>
    </w:p>
    <w:p w14:paraId="2784D56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DFBF02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5395EF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AA16C1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4FDE0A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7F1C3B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DBBC7EE" w14:textId="7BB973C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71D3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71D34">
                  <w:t>TWA: 1 ppm (2.7 mg/m</w:t>
                </w:r>
                <w:r w:rsidR="00971D34" w:rsidRPr="00971D34">
                  <w:rPr>
                    <w:vertAlign w:val="superscript"/>
                  </w:rPr>
                  <w:t>3</w:t>
                </w:r>
                <w:r w:rsidR="00971D34">
                  <w:t>)</w:t>
                </w:r>
              </w:sdtContent>
            </w:sdt>
          </w:p>
        </w:tc>
      </w:tr>
      <w:tr w:rsidR="00C978F0" w:rsidRPr="00DA352E" w14:paraId="0F8D0C4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ED02B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BE4215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1CE0AD" w14:textId="06E788B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71D34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71D34">
                  <w:t>TLV-TWA: 1 ppm (2.7 mg/m</w:t>
                </w:r>
                <w:r w:rsidR="00971D34" w:rsidRPr="00971D34">
                  <w:rPr>
                    <w:vertAlign w:val="superscript"/>
                  </w:rPr>
                  <w:t>3</w:t>
                </w:r>
                <w:r w:rsidR="00971D34">
                  <w:t>)</w:t>
                </w:r>
              </w:sdtContent>
            </w:sdt>
          </w:p>
        </w:tc>
      </w:tr>
      <w:tr w:rsidR="00C978F0" w:rsidRPr="00DA352E" w14:paraId="044F7ED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5F4C1E" w14:textId="3EED6170" w:rsidR="00C978F0" w:rsidRDefault="0087475E" w:rsidP="0016122E">
            <w:pPr>
              <w:pStyle w:val="Tabletextprimarysource"/>
            </w:pPr>
            <w:r>
              <w:t>TLV-TWA recommended to minimise potential for ocular and dermal irritation and possible CNS effects in exposed workers.</w:t>
            </w:r>
          </w:p>
          <w:p w14:paraId="489A0CD7" w14:textId="77777777" w:rsidR="0087475E" w:rsidRDefault="0087475E" w:rsidP="0016122E">
            <w:pPr>
              <w:pStyle w:val="Tabletextprimarysource"/>
            </w:pPr>
            <w:r>
              <w:t>Summary of data:</w:t>
            </w:r>
          </w:p>
          <w:p w14:paraId="61793F22" w14:textId="235FEF74" w:rsidR="0087475E" w:rsidRDefault="00754787" w:rsidP="0016122E">
            <w:pPr>
              <w:pStyle w:val="Tabletextprimarysource"/>
            </w:pPr>
            <w:r>
              <w:rPr>
                <w:rFonts w:cs="Arial"/>
              </w:rPr>
              <w:t>No h</w:t>
            </w:r>
            <w:r w:rsidR="0087475E">
              <w:rPr>
                <w:rFonts w:cs="Arial"/>
              </w:rPr>
              <w:t>uman data</w:t>
            </w:r>
            <w:r w:rsidR="00690AFD">
              <w:t xml:space="preserve"> available</w:t>
            </w:r>
            <w:r>
              <w:t>.</w:t>
            </w:r>
          </w:p>
          <w:p w14:paraId="2BC42859" w14:textId="77777777" w:rsidR="00690AFD" w:rsidRDefault="00690AFD" w:rsidP="0016122E">
            <w:pPr>
              <w:pStyle w:val="Tabletextprimarysource"/>
            </w:pPr>
            <w:r>
              <w:t>Animal data:</w:t>
            </w:r>
          </w:p>
          <w:p w14:paraId="60E0A5F4" w14:textId="115F31B2" w:rsidR="00690AFD" w:rsidRDefault="00690AFD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690AFD">
              <w:rPr>
                <w:vertAlign w:val="subscript"/>
              </w:rPr>
              <w:t>50</w:t>
            </w:r>
            <w:r>
              <w:t>: 36</w:t>
            </w:r>
            <w:r w:rsidR="00B96F7C">
              <w:t xml:space="preserve"> </w:t>
            </w:r>
            <w:r>
              <w:t>ppm (mice</w:t>
            </w:r>
            <w:r w:rsidR="00B96F7C">
              <w:t>);</w:t>
            </w:r>
            <w:r w:rsidR="00662F35">
              <w:t xml:space="preserve"> </w:t>
            </w:r>
            <w:r w:rsidR="00B96F7C">
              <w:t>37 ppm (</w:t>
            </w:r>
            <w:r w:rsidR="00662F35">
              <w:t>rabbits</w:t>
            </w:r>
            <w:r>
              <w:t>)</w:t>
            </w:r>
            <w:r w:rsidR="00662F35">
              <w:t>;</w:t>
            </w:r>
            <w:r>
              <w:t xml:space="preserve"> </w:t>
            </w:r>
            <w:r w:rsidR="00662F35">
              <w:t>88 ppm (guinea pig); 328</w:t>
            </w:r>
            <w:r w:rsidR="0016122E">
              <w:t>–</w:t>
            </w:r>
            <w:r w:rsidR="00662F35">
              <w:t xml:space="preserve">700 ppm (male and female rat respectively); 4 h exposure. </w:t>
            </w:r>
            <w:r w:rsidR="00394B82">
              <w:t>E</w:t>
            </w:r>
            <w:r w:rsidR="00662F35">
              <w:t>ffect in all species was concentration related, generally loss of consciousness, tonic-</w:t>
            </w:r>
            <w:proofErr w:type="spellStart"/>
            <w:r w:rsidR="00662F35">
              <w:t>clonic</w:t>
            </w:r>
            <w:proofErr w:type="spellEnd"/>
            <w:r w:rsidR="00662F35">
              <w:t xml:space="preserve"> convulsions, then death</w:t>
            </w:r>
          </w:p>
          <w:p w14:paraId="165CBDF5" w14:textId="77777777" w:rsidR="00662F35" w:rsidRDefault="00205DA4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toxicity predominantly caused by metabolically formed cyanide</w:t>
            </w:r>
          </w:p>
          <w:p w14:paraId="3CC11FFA" w14:textId="171B2FEB" w:rsidR="00205DA4" w:rsidRDefault="00205DA4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205DA4">
              <w:rPr>
                <w:vertAlign w:val="subscript"/>
              </w:rPr>
              <w:t>50</w:t>
            </w:r>
            <w:r>
              <w:t xml:space="preserve">: </w:t>
            </w:r>
            <w:r w:rsidR="00F614AF">
              <w:t>250</w:t>
            </w:r>
            <w:r w:rsidR="0080232E">
              <w:t>–</w:t>
            </w:r>
            <w:r w:rsidR="00F614AF">
              <w:t>280 mg/kg (rabbit, dermal); rapidly absorbed through intact skin</w:t>
            </w:r>
            <w:r w:rsidR="00093DB0">
              <w:t>;</w:t>
            </w:r>
            <w:r w:rsidR="00F614AF">
              <w:t xml:space="preserve"> however</w:t>
            </w:r>
            <w:r w:rsidR="00093DB0">
              <w:t>,</w:t>
            </w:r>
            <w:r w:rsidR="00F614AF">
              <w:t xml:space="preserve"> skin irritation at application site negligible</w:t>
            </w:r>
          </w:p>
          <w:p w14:paraId="3F1419A1" w14:textId="05A93EBE" w:rsidR="00F614AF" w:rsidRDefault="00F614AF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205DA4">
              <w:rPr>
                <w:vertAlign w:val="subscript"/>
              </w:rPr>
              <w:t>50</w:t>
            </w:r>
            <w:r>
              <w:t>: 20</w:t>
            </w:r>
            <w:r w:rsidR="0080232E">
              <w:t>–</w:t>
            </w:r>
            <w:r>
              <w:t>25 mg/kg (mice, oral); 25</w:t>
            </w:r>
            <w:r w:rsidR="0080232E">
              <w:t>–</w:t>
            </w:r>
            <w:r>
              <w:t>50 mg/kg (rats, oral)</w:t>
            </w:r>
          </w:p>
          <w:p w14:paraId="72214194" w14:textId="06E4BFE0" w:rsidR="00F614AF" w:rsidRDefault="003932A7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NOEL: 19.3</w:t>
            </w:r>
            <w:r w:rsidR="0016122E">
              <w:t>–</w:t>
            </w:r>
            <w:r w:rsidR="00B07CFE">
              <w:t>52.6</w:t>
            </w:r>
            <w:r w:rsidR="00FF41DF">
              <w:t xml:space="preserve"> </w:t>
            </w:r>
            <w:r>
              <w:t xml:space="preserve">ppm (rats, </w:t>
            </w:r>
            <w:r w:rsidR="005E418B">
              <w:t xml:space="preserve">inhalation, </w:t>
            </w:r>
            <w:r w:rsidR="00001143">
              <w:t>91 d); 3.2</w:t>
            </w:r>
            <w:r w:rsidR="0016122E">
              <w:t>–</w:t>
            </w:r>
            <w:r w:rsidR="00B07CFE">
              <w:t>8.8</w:t>
            </w:r>
            <w:r w:rsidR="00FF41DF">
              <w:t xml:space="preserve"> </w:t>
            </w:r>
            <w:r w:rsidR="00001143">
              <w:t xml:space="preserve">ppm (dogs, </w:t>
            </w:r>
            <w:r w:rsidR="005E418B">
              <w:t xml:space="preserve">inhalation, </w:t>
            </w:r>
            <w:r w:rsidR="00001143">
              <w:t>90 d)</w:t>
            </w:r>
          </w:p>
          <w:p w14:paraId="3B04E75E" w14:textId="21DD3C5D" w:rsidR="00001143" w:rsidRDefault="00001143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NOAEL: 30 </w:t>
            </w:r>
            <w:r w:rsidR="00093DB0">
              <w:t xml:space="preserve">mg/kg/d </w:t>
            </w:r>
            <w:r>
              <w:t xml:space="preserve">(rats, oral gavage, 13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1CC216B3" w14:textId="0B971F78" w:rsidR="00001143" w:rsidRDefault="00001143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neoplasms or non</w:t>
            </w:r>
            <w:r w:rsidR="0018603E">
              <w:t>-</w:t>
            </w:r>
            <w:r>
              <w:t>neoplastic lesions observed in studies of male and female rats (</w:t>
            </w:r>
            <w:r w:rsidR="006F6F36">
              <w:t xml:space="preserve">0, 3, 10 or </w:t>
            </w:r>
            <w:r>
              <w:t xml:space="preserve">30 </w:t>
            </w:r>
            <w:r w:rsidR="00093DB0">
              <w:t>mg/kg/d</w:t>
            </w:r>
            <w:r>
              <w:t xml:space="preserve">) and </w:t>
            </w:r>
            <w:r w:rsidR="00754787">
              <w:t>mice (</w:t>
            </w:r>
            <w:r w:rsidR="006F6F36">
              <w:t>0, 1.5, 3 or</w:t>
            </w:r>
            <w:r w:rsidR="00754787">
              <w:t xml:space="preserve"> 6 </w:t>
            </w:r>
            <w:r w:rsidR="00093DB0">
              <w:t>mg/kg/d</w:t>
            </w:r>
            <w:r w:rsidR="00754787">
              <w:t xml:space="preserve">) for 105 </w:t>
            </w:r>
            <w:proofErr w:type="spellStart"/>
            <w:r w:rsidR="00754787">
              <w:t>wk</w:t>
            </w:r>
            <w:proofErr w:type="spellEnd"/>
            <w:r>
              <w:t xml:space="preserve"> by oral gavage</w:t>
            </w:r>
          </w:p>
          <w:p w14:paraId="32887322" w14:textId="372D01AC" w:rsidR="00394B82" w:rsidRDefault="00394B82" w:rsidP="00B274D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results in </w:t>
            </w:r>
            <w:proofErr w:type="spellStart"/>
            <w:r>
              <w:t>genotoxicity</w:t>
            </w:r>
            <w:proofErr w:type="spellEnd"/>
            <w:r>
              <w:t xml:space="preserve"> tests</w:t>
            </w:r>
            <w:r w:rsidR="00E07B97">
              <w:t>.</w:t>
            </w:r>
          </w:p>
          <w:p w14:paraId="0248B02D" w14:textId="77777777" w:rsidR="0080232E" w:rsidRDefault="0080232E" w:rsidP="0016122E">
            <w:pPr>
              <w:pStyle w:val="Tabletextprimarysource"/>
            </w:pPr>
          </w:p>
          <w:p w14:paraId="15AE150C" w14:textId="14FE7E87" w:rsidR="0016122E" w:rsidRDefault="00394B82" w:rsidP="0016122E">
            <w:pPr>
              <w:pStyle w:val="Tabletextprimarysource"/>
            </w:pPr>
            <w:r>
              <w:t xml:space="preserve">Skin notation warranted based on rapid dermal absorption and subsequent toxic effects. </w:t>
            </w:r>
          </w:p>
          <w:p w14:paraId="1BFD7B69" w14:textId="77777777" w:rsidR="00394B82" w:rsidRDefault="00394B82" w:rsidP="0016122E">
            <w:pPr>
              <w:pStyle w:val="Tabletextprimarysource"/>
            </w:pPr>
            <w:r>
              <w:t>Insufficient data to recommend a SEN notation or TLV-STEL.</w:t>
            </w:r>
          </w:p>
          <w:p w14:paraId="39E0E8CB" w14:textId="54C17049" w:rsidR="0080232E" w:rsidRPr="00DA352E" w:rsidRDefault="0080232E" w:rsidP="0016122E">
            <w:pPr>
              <w:pStyle w:val="Tabletextprimarysource"/>
            </w:pPr>
          </w:p>
        </w:tc>
      </w:tr>
      <w:tr w:rsidR="00C978F0" w:rsidRPr="00DA352E" w14:paraId="288CF93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8C13EA3" w14:textId="251BAC5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71D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971D34">
                  <w:t>NA</w:t>
                </w:r>
                <w:proofErr w:type="spellEnd"/>
              </w:sdtContent>
            </w:sdt>
          </w:p>
        </w:tc>
      </w:tr>
      <w:tr w:rsidR="00C978F0" w:rsidRPr="00DA352E" w14:paraId="1B3884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3407796" w14:textId="60893CE5" w:rsidR="00C978F0" w:rsidRPr="00DA352E" w:rsidRDefault="00971D34" w:rsidP="003365A5">
            <w:pPr>
              <w:pStyle w:val="Tabletextprimarysource"/>
            </w:pPr>
            <w:r>
              <w:t>No report</w:t>
            </w:r>
            <w:r w:rsidR="0016122E">
              <w:t>.</w:t>
            </w:r>
          </w:p>
        </w:tc>
      </w:tr>
      <w:tr w:rsidR="00C978F0" w:rsidRPr="00DA352E" w14:paraId="1A97DD7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3EB44D" w14:textId="62325D0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71D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71D34">
                  <w:t>NA</w:t>
                </w:r>
                <w:proofErr w:type="spellEnd"/>
              </w:sdtContent>
            </w:sdt>
          </w:p>
        </w:tc>
      </w:tr>
      <w:tr w:rsidR="00C978F0" w:rsidRPr="00DA352E" w14:paraId="6732899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1802DC" w14:textId="24FB877B" w:rsidR="00C978F0" w:rsidRPr="00DA352E" w:rsidRDefault="00971D34" w:rsidP="003365A5">
            <w:pPr>
              <w:pStyle w:val="Tabletextprimarysource"/>
            </w:pPr>
            <w:r>
              <w:t>No report</w:t>
            </w:r>
            <w:r w:rsidR="0016122E">
              <w:t>.</w:t>
            </w:r>
          </w:p>
        </w:tc>
      </w:tr>
      <w:tr w:rsidR="00DA352E" w:rsidRPr="00DA352E" w14:paraId="453641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8D52D44" w14:textId="387D0D4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71D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71D34">
                  <w:t>NA</w:t>
                </w:r>
                <w:proofErr w:type="spellEnd"/>
              </w:sdtContent>
            </w:sdt>
          </w:p>
        </w:tc>
      </w:tr>
      <w:tr w:rsidR="00DA352E" w:rsidRPr="00DA352E" w14:paraId="187B783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6E3887" w14:textId="53D81DC9" w:rsidR="00DA352E" w:rsidRPr="00DA352E" w:rsidRDefault="00971D34" w:rsidP="003365A5">
            <w:pPr>
              <w:pStyle w:val="Tabletextprimarysource"/>
            </w:pPr>
            <w:r>
              <w:t>No report</w:t>
            </w:r>
            <w:r w:rsidR="0016122E">
              <w:t>.</w:t>
            </w:r>
          </w:p>
        </w:tc>
      </w:tr>
      <w:tr w:rsidR="00DA352E" w:rsidRPr="00DA352E" w14:paraId="604659C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3BEF83F" w14:textId="1EF7F5B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71D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71D34">
                  <w:t>NA</w:t>
                </w:r>
                <w:proofErr w:type="spellEnd"/>
              </w:sdtContent>
            </w:sdt>
          </w:p>
        </w:tc>
      </w:tr>
      <w:tr w:rsidR="00DA352E" w:rsidRPr="00DA352E" w14:paraId="6C0629E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F03AA3" w14:textId="48071C5E" w:rsidR="00DA352E" w:rsidRPr="00DA352E" w:rsidRDefault="00971D34" w:rsidP="003365A5">
            <w:pPr>
              <w:pStyle w:val="Tabletextprimarysource"/>
            </w:pPr>
            <w:r>
              <w:t>No report</w:t>
            </w:r>
            <w:r w:rsidR="0016122E">
              <w:t>.</w:t>
            </w:r>
          </w:p>
        </w:tc>
      </w:tr>
    </w:tbl>
    <w:p w14:paraId="4383311B" w14:textId="251F66AC" w:rsidR="00A20751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902211" w:rsidRPr="00263255" w14:paraId="1578CBAE" w14:textId="77777777" w:rsidTr="00D94408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4957ECE5" w14:textId="77777777" w:rsidR="00902211" w:rsidRPr="00263255" w:rsidRDefault="00902211" w:rsidP="00D94408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4D27DA11" w14:textId="77777777" w:rsidR="00902211" w:rsidRPr="00263255" w:rsidRDefault="00902211" w:rsidP="00D94408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CE5A5F4" w14:textId="77777777" w:rsidR="00902211" w:rsidRPr="00263255" w:rsidRDefault="00902211" w:rsidP="00D94408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611C4B12" w14:textId="77777777" w:rsidR="00902211" w:rsidRPr="00263255" w:rsidRDefault="00902211" w:rsidP="00D94408">
            <w:pPr>
              <w:pStyle w:val="Tableheader"/>
            </w:pPr>
            <w:r>
              <w:t>Additional information</w:t>
            </w:r>
          </w:p>
        </w:tc>
      </w:tr>
      <w:tr w:rsidR="00902211" w:rsidRPr="004C23F4" w14:paraId="7212856E" w14:textId="77777777" w:rsidTr="00D94408">
        <w:trPr>
          <w:cantSplit/>
        </w:trPr>
        <w:tc>
          <w:tcPr>
            <w:tcW w:w="1497" w:type="dxa"/>
          </w:tcPr>
          <w:p w14:paraId="562A9964" w14:textId="77777777" w:rsidR="00902211" w:rsidRPr="004C23F4" w:rsidRDefault="00902211" w:rsidP="00D94408">
            <w:pPr>
              <w:pStyle w:val="Tablefont"/>
            </w:pPr>
            <w:r>
              <w:t>NTP</w:t>
            </w:r>
          </w:p>
        </w:tc>
        <w:tc>
          <w:tcPr>
            <w:tcW w:w="424" w:type="dxa"/>
          </w:tcPr>
          <w:p w14:paraId="3B4B8099" w14:textId="77777777" w:rsidR="00902211" w:rsidRPr="00CE617F" w:rsidRDefault="00EF389D" w:rsidP="00D94408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4684200"/>
                <w:placeholder>
                  <w:docPart w:val="8C2E146693D44BC7A555D662433D33EE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221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A913D4E" w14:textId="77777777" w:rsidR="00902211" w:rsidRPr="004C23F4" w:rsidRDefault="00902211" w:rsidP="00D9440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44" w:type="dxa"/>
          </w:tcPr>
          <w:p w14:paraId="10E9BD5E" w14:textId="77777777" w:rsidR="00902211" w:rsidRPr="004C23F4" w:rsidRDefault="00902211" w:rsidP="00D94408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information.</w:t>
            </w:r>
          </w:p>
        </w:tc>
      </w:tr>
      <w:tr w:rsidR="00902211" w:rsidRPr="004C23F4" w14:paraId="0CED7CDA" w14:textId="77777777" w:rsidTr="00D94408">
        <w:trPr>
          <w:cantSplit/>
        </w:trPr>
        <w:tc>
          <w:tcPr>
            <w:tcW w:w="1497" w:type="dxa"/>
          </w:tcPr>
          <w:p w14:paraId="4B95B556" w14:textId="77777777" w:rsidR="00902211" w:rsidRPr="004C23F4" w:rsidRDefault="00902211" w:rsidP="00D94408">
            <w:pPr>
              <w:pStyle w:val="Tablefont"/>
            </w:pPr>
            <w:r>
              <w:t>US EPA</w:t>
            </w:r>
          </w:p>
        </w:tc>
        <w:tc>
          <w:tcPr>
            <w:tcW w:w="424" w:type="dxa"/>
          </w:tcPr>
          <w:p w14:paraId="495A7F21" w14:textId="77777777" w:rsidR="00902211" w:rsidRPr="00CE617F" w:rsidRDefault="00EF389D" w:rsidP="00D94408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675308795"/>
                <w:placeholder>
                  <w:docPart w:val="990CB99198C6431091650D40A5EED9D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221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FCBFB7E" w14:textId="77777777" w:rsidR="00902211" w:rsidRPr="004C23F4" w:rsidRDefault="00902211" w:rsidP="00D9440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44" w:type="dxa"/>
          </w:tcPr>
          <w:p w14:paraId="3F7BD6D5" w14:textId="77777777" w:rsidR="00902211" w:rsidRPr="004C23F4" w:rsidRDefault="00902211" w:rsidP="00D94408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information.</w:t>
            </w:r>
          </w:p>
        </w:tc>
      </w:tr>
      <w:tr w:rsidR="00902211" w:rsidRPr="004C23F4" w14:paraId="216DC29D" w14:textId="77777777" w:rsidTr="00D94408">
        <w:trPr>
          <w:cantSplit/>
        </w:trPr>
        <w:tc>
          <w:tcPr>
            <w:tcW w:w="1497" w:type="dxa"/>
          </w:tcPr>
          <w:p w14:paraId="0DDB7803" w14:textId="77777777" w:rsidR="00902211" w:rsidRPr="004C23F4" w:rsidRDefault="00902211" w:rsidP="00D94408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424" w:type="dxa"/>
          </w:tcPr>
          <w:p w14:paraId="3797C323" w14:textId="77777777" w:rsidR="00902211" w:rsidRPr="00CE617F" w:rsidRDefault="00EF389D" w:rsidP="00D94408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188647697"/>
                <w:placeholder>
                  <w:docPart w:val="64B20BC9585C4265A685CEB8A872C08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221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425EA75" w14:textId="77777777" w:rsidR="00902211" w:rsidRPr="004C23F4" w:rsidRDefault="00902211" w:rsidP="00D94408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4DA0750D" w14:textId="77777777" w:rsidR="00902211" w:rsidRDefault="00902211" w:rsidP="00D9440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Acute </w:t>
            </w:r>
            <w:r w:rsidRPr="00B274D4">
              <w:t>inhalation</w:t>
            </w:r>
            <w:r>
              <w:rPr>
                <w:rStyle w:val="checkbox"/>
                <w:rFonts w:ascii="Arial" w:hAnsi="Arial" w:cs="Arial"/>
              </w:rPr>
              <w:t xml:space="preserve"> study with volunteers (1-10 min exposures):</w:t>
            </w:r>
          </w:p>
          <w:p w14:paraId="1FB758CE" w14:textId="77777777" w:rsidR="00902211" w:rsidRDefault="00902211" w:rsidP="00D9440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at 2–24 ppm for 1 min; further study of 9 volunteers exposed at 2 ppm for 10 min and 7 volunteers exposed at 14 ppm for 10 min</w:t>
            </w:r>
          </w:p>
          <w:p w14:paraId="0765AF19" w14:textId="275485C9" w:rsidR="00BC274C" w:rsidRDefault="00902211" w:rsidP="00D9440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nose, throat and eye irritation </w:t>
            </w:r>
            <w:r w:rsidR="00BC274C">
              <w:rPr>
                <w:rStyle w:val="checkbox"/>
                <w:rFonts w:ascii="Arial" w:hAnsi="Arial" w:cs="Arial"/>
              </w:rPr>
              <w:t xml:space="preserve">in workers exposed </w:t>
            </w:r>
            <w:r>
              <w:rPr>
                <w:rStyle w:val="checkbox"/>
                <w:rFonts w:ascii="Arial" w:hAnsi="Arial" w:cs="Arial"/>
              </w:rPr>
              <w:t>at 24</w:t>
            </w:r>
            <w:r w:rsidR="00BC274C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ppm</w:t>
            </w:r>
            <w:r w:rsidR="00BC274C">
              <w:rPr>
                <w:rStyle w:val="checkbox"/>
                <w:rFonts w:ascii="Arial" w:hAnsi="Arial" w:cs="Arial"/>
              </w:rPr>
              <w:t xml:space="preserve"> for 1 min</w:t>
            </w:r>
            <w:r>
              <w:rPr>
                <w:rStyle w:val="checkbox"/>
                <w:rFonts w:ascii="Arial" w:hAnsi="Arial" w:cs="Arial"/>
              </w:rPr>
              <w:t xml:space="preserve">; no irritation noted at other </w:t>
            </w:r>
            <w:r w:rsidRPr="00B274D4">
              <w:t>concentrations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57D68B96" w14:textId="63391952" w:rsidR="00902211" w:rsidRDefault="00BC274C" w:rsidP="00D9440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transitory eye, nose or throat irritant effects observed in workers </w:t>
            </w:r>
            <w:r w:rsidR="00902211">
              <w:rPr>
                <w:rStyle w:val="checkbox"/>
                <w:rFonts w:ascii="Arial" w:hAnsi="Arial" w:cs="Arial"/>
              </w:rPr>
              <w:t xml:space="preserve">at </w:t>
            </w:r>
            <w:r>
              <w:rPr>
                <w:rStyle w:val="checkbox"/>
                <w:rFonts w:ascii="Arial" w:hAnsi="Arial" w:cs="Arial"/>
              </w:rPr>
              <w:t xml:space="preserve">2 or 14 ppm for </w:t>
            </w:r>
            <w:r w:rsidR="00902211">
              <w:rPr>
                <w:rStyle w:val="checkbox"/>
                <w:rFonts w:ascii="Arial" w:hAnsi="Arial" w:cs="Arial"/>
              </w:rPr>
              <w:t xml:space="preserve">10 min exposure, </w:t>
            </w:r>
          </w:p>
          <w:p w14:paraId="5CB5CE89" w14:textId="77777777" w:rsidR="00902211" w:rsidRDefault="00902211" w:rsidP="00D94408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at dangerous concentrations, likely that odour of </w:t>
            </w:r>
            <w:proofErr w:type="spellStart"/>
            <w:r w:rsidRPr="00B274D4">
              <w:t>methylacrylonitrile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not detected</w:t>
            </w:r>
          </w:p>
          <w:p w14:paraId="45C13DD4" w14:textId="77777777" w:rsidR="00902211" w:rsidRPr="004C23F4" w:rsidRDefault="00902211" w:rsidP="00D94408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Recommended 8 h TWA of 3 ppm based on NOEL of 3.2 ppm in dogs.</w:t>
            </w:r>
          </w:p>
        </w:tc>
      </w:tr>
      <w:tr w:rsidR="00902211" w:rsidRPr="00314D6E" w14:paraId="14A6834E" w14:textId="77777777" w:rsidTr="00D94408">
        <w:trPr>
          <w:cantSplit/>
        </w:trPr>
        <w:tc>
          <w:tcPr>
            <w:tcW w:w="1497" w:type="dxa"/>
          </w:tcPr>
          <w:p w14:paraId="0ACFB749" w14:textId="77777777" w:rsidR="00902211" w:rsidRPr="00314D6E" w:rsidRDefault="00902211" w:rsidP="00D94408">
            <w:pPr>
              <w:pStyle w:val="Tablefont"/>
              <w:rPr>
                <w:rFonts w:cs="Arial"/>
                <w:szCs w:val="20"/>
              </w:rPr>
            </w:pPr>
            <w:r w:rsidRPr="00314D6E">
              <w:rPr>
                <w:rFonts w:cs="Arial"/>
                <w:szCs w:val="20"/>
              </w:rPr>
              <w:t>US NIOSH</w:t>
            </w:r>
          </w:p>
        </w:tc>
        <w:tc>
          <w:tcPr>
            <w:tcW w:w="424" w:type="dxa"/>
          </w:tcPr>
          <w:p w14:paraId="5DB7327A" w14:textId="7020341F" w:rsidR="00902211" w:rsidRPr="00D94408" w:rsidRDefault="00EF389D" w:rsidP="00D94408">
            <w:pPr>
              <w:spacing w:before="40"/>
              <w:jc w:val="center"/>
              <w:rPr>
                <w:rStyle w:val="checkbox"/>
                <w:rFonts w:ascii="Arial" w:hAnsi="Arial" w:cs="Arial"/>
                <w:szCs w:val="20"/>
              </w:rPr>
            </w:pPr>
            <w:sdt>
              <w:sdtPr>
                <w:rPr>
                  <w:rStyle w:val="checkbox"/>
                </w:rPr>
                <w:id w:val="1268815646"/>
                <w:placeholder>
                  <w:docPart w:val="78E41D1CD6044D4EBFE994B50839055E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221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8184CAF" w14:textId="77777777" w:rsidR="00902211" w:rsidRPr="00314D6E" w:rsidRDefault="00902211" w:rsidP="00D94408">
            <w:pPr>
              <w:pStyle w:val="Tablefont"/>
              <w:rPr>
                <w:rStyle w:val="checkbox"/>
                <w:rFonts w:ascii="Arial" w:hAnsi="Arial" w:cs="Arial"/>
                <w:szCs w:val="20"/>
              </w:rPr>
            </w:pPr>
            <w:r w:rsidRPr="00314D6E">
              <w:rPr>
                <w:rStyle w:val="checkbox"/>
                <w:rFonts w:ascii="Arial" w:hAnsi="Arial" w:cs="Arial"/>
                <w:szCs w:val="20"/>
              </w:rPr>
              <w:t>2017</w:t>
            </w:r>
          </w:p>
        </w:tc>
        <w:tc>
          <w:tcPr>
            <w:tcW w:w="6444" w:type="dxa"/>
          </w:tcPr>
          <w:p w14:paraId="3742B1A9" w14:textId="184ED4C4" w:rsidR="00902211" w:rsidRPr="00314D6E" w:rsidRDefault="00902211" w:rsidP="0090221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szCs w:val="20"/>
                <w:lang w:eastAsia="en-AU"/>
              </w:rPr>
            </w:pPr>
            <w:r w:rsidRPr="0042428E">
              <w:rPr>
                <w:rStyle w:val="checkbox"/>
                <w:rFonts w:ascii="Arial" w:hAnsi="Arial" w:cs="Arial"/>
                <w:szCs w:val="20"/>
              </w:rPr>
              <w:t xml:space="preserve">IDLH based on mice and rabbit study, with no clinical signs or deaths at 19.7 ppm exposure (4 h). </w:t>
            </w:r>
            <w:r w:rsidRPr="008535ED">
              <w:rPr>
                <w:rStyle w:val="checkbox"/>
                <w:rFonts w:ascii="Arial" w:hAnsi="Arial" w:cs="Arial"/>
                <w:szCs w:val="20"/>
              </w:rPr>
              <w:t>Th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 xml:space="preserve">is 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>N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OAEC was extrapolated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 xml:space="preserve"> to </w:t>
            </w:r>
            <w:r w:rsidRPr="0042428E">
              <w:rPr>
                <w:rStyle w:val="checkbox"/>
                <w:rFonts w:ascii="Arial" w:hAnsi="Arial" w:cs="Arial"/>
                <w:szCs w:val="20"/>
              </w:rPr>
              <w:t xml:space="preserve">39 ppm 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 xml:space="preserve">for </w:t>
            </w:r>
            <w:r>
              <w:rPr>
                <w:rStyle w:val="checkbox"/>
                <w:rFonts w:ascii="Arial" w:hAnsi="Arial" w:cs="Arial"/>
                <w:szCs w:val="20"/>
              </w:rPr>
              <w:t xml:space="preserve">a 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 xml:space="preserve">30 min 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duration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 xml:space="preserve">. </w:t>
            </w:r>
            <w:r w:rsidRPr="0042428E">
              <w:rPr>
                <w:rStyle w:val="checkbox"/>
                <w:rFonts w:ascii="Arial" w:hAnsi="Arial" w:cs="Arial"/>
                <w:szCs w:val="20"/>
              </w:rPr>
              <w:t>A</w:t>
            </w:r>
            <w:r w:rsidRPr="008535ED">
              <w:rPr>
                <w:rStyle w:val="checkbox"/>
                <w:rFonts w:ascii="Arial" w:hAnsi="Arial" w:cs="Arial"/>
                <w:szCs w:val="20"/>
              </w:rPr>
              <w:t>n IDLH of 4ppm i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n humans</w:t>
            </w:r>
            <w:r>
              <w:rPr>
                <w:rStyle w:val="checkbox"/>
                <w:rFonts w:ascii="Arial" w:hAnsi="Arial" w:cs="Arial"/>
                <w:szCs w:val="20"/>
              </w:rPr>
              <w:t xml:space="preserve"> </w:t>
            </w:r>
            <w:r w:rsidRPr="008535ED">
              <w:rPr>
                <w:rStyle w:val="checkbox"/>
                <w:rFonts w:ascii="Arial" w:hAnsi="Arial" w:cs="Arial"/>
                <w:szCs w:val="20"/>
              </w:rPr>
              <w:t>wa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s derived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 xml:space="preserve"> b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 xml:space="preserve">y dividing the 30 min exposure by an </w:t>
            </w:r>
            <w:r w:rsidRPr="00314D6E">
              <w:rPr>
                <w:rStyle w:val="checkbox"/>
                <w:rFonts w:ascii="Arial" w:hAnsi="Arial" w:cs="Arial"/>
                <w:szCs w:val="20"/>
              </w:rPr>
              <w:t xml:space="preserve">uncertainty factor of 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10 to account for in</w:t>
            </w:r>
            <w:r>
              <w:rPr>
                <w:rStyle w:val="checkbox"/>
                <w:rFonts w:ascii="Arial" w:hAnsi="Arial" w:cs="Arial"/>
                <w:szCs w:val="20"/>
              </w:rPr>
              <w:t>t</w:t>
            </w:r>
            <w:r w:rsidRPr="00D94408">
              <w:rPr>
                <w:rStyle w:val="checkbox"/>
                <w:rFonts w:ascii="Arial" w:hAnsi="Arial" w:cs="Arial"/>
                <w:szCs w:val="20"/>
              </w:rPr>
              <w:t>erspecies differences</w:t>
            </w:r>
            <w:r w:rsidRPr="008535ED">
              <w:rPr>
                <w:rStyle w:val="checkbox"/>
                <w:rFonts w:ascii="Arial" w:hAnsi="Arial" w:cs="Arial"/>
                <w:szCs w:val="20"/>
              </w:rPr>
              <w:t>.</w:t>
            </w:r>
          </w:p>
        </w:tc>
      </w:tr>
    </w:tbl>
    <w:p w14:paraId="40B298D2" w14:textId="0D5D3CB4" w:rsidR="00902211" w:rsidRDefault="00902211" w:rsidP="00902211">
      <w:pPr>
        <w:rPr>
          <w:lang w:eastAsia="en-AU"/>
        </w:rPr>
      </w:pPr>
    </w:p>
    <w:bookmarkEnd w:id="1"/>
    <w:p w14:paraId="3BC730E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95E4749" w14:textId="77777777" w:rsidTr="00F80EA5">
        <w:trPr>
          <w:trHeight w:val="454"/>
          <w:tblHeader/>
        </w:trPr>
        <w:tc>
          <w:tcPr>
            <w:tcW w:w="6603" w:type="dxa"/>
            <w:vAlign w:val="center"/>
          </w:tcPr>
          <w:p w14:paraId="63AAC88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9DCDEDB" w14:textId="79817877" w:rsidR="002E0D61" w:rsidRDefault="00E07B9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07EF03E" w14:textId="77777777" w:rsidTr="00F80EA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A033A3C" w14:textId="25BC5214" w:rsidR="008A36CF" w:rsidRPr="006901A2" w:rsidRDefault="00E07B9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8DDCFF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7700E9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348087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0ED4B0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A64ACD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4524CDB" w14:textId="77777777" w:rsidTr="00812887">
        <w:trPr>
          <w:cantSplit/>
        </w:trPr>
        <w:tc>
          <w:tcPr>
            <w:tcW w:w="3227" w:type="dxa"/>
          </w:tcPr>
          <w:p w14:paraId="4D791B2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A12F51E" w14:textId="30698043" w:rsidR="00687890" w:rsidRPr="00DD2F9B" w:rsidRDefault="00971D34" w:rsidP="00DD2F9B">
            <w:pPr>
              <w:pStyle w:val="Tablefont"/>
            </w:pPr>
            <w:proofErr w:type="spellStart"/>
            <w:r>
              <w:t>Skin:Sen</w:t>
            </w:r>
            <w:proofErr w:type="spellEnd"/>
          </w:p>
        </w:tc>
      </w:tr>
      <w:tr w:rsidR="007925F0" w:rsidRPr="004C23F4" w14:paraId="5D65C16A" w14:textId="77777777" w:rsidTr="00812887">
        <w:trPr>
          <w:cantSplit/>
        </w:trPr>
        <w:tc>
          <w:tcPr>
            <w:tcW w:w="3227" w:type="dxa"/>
          </w:tcPr>
          <w:p w14:paraId="645B0F9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4716614" w14:textId="0B96837A" w:rsidR="007925F0" w:rsidRPr="00DD2F9B" w:rsidRDefault="00971D34" w:rsidP="00DD2F9B">
            <w:pPr>
              <w:pStyle w:val="Tablefont"/>
            </w:pPr>
            <w:r w:rsidRPr="00971D34">
              <w:t>Skin sensitisation – category 1</w:t>
            </w:r>
          </w:p>
        </w:tc>
      </w:tr>
      <w:tr w:rsidR="00AF483F" w:rsidRPr="004C23F4" w14:paraId="0A074124" w14:textId="77777777" w:rsidTr="00812887">
        <w:trPr>
          <w:cantSplit/>
        </w:trPr>
        <w:tc>
          <w:tcPr>
            <w:tcW w:w="3227" w:type="dxa"/>
          </w:tcPr>
          <w:p w14:paraId="23B9E98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E40E112" w14:textId="0CC7D0E1" w:rsidR="00AF483F" w:rsidRPr="00DD2F9B" w:rsidRDefault="00971D3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5CDFC30" w14:textId="77777777" w:rsidTr="00812887">
        <w:trPr>
          <w:cantSplit/>
        </w:trPr>
        <w:tc>
          <w:tcPr>
            <w:tcW w:w="3227" w:type="dxa"/>
          </w:tcPr>
          <w:p w14:paraId="535AAE2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8D7470F" w14:textId="7BBB84B4" w:rsidR="00687890" w:rsidRPr="00DD2F9B" w:rsidRDefault="001037C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AA271BB" w14:textId="77777777" w:rsidTr="00812887">
        <w:trPr>
          <w:cantSplit/>
        </w:trPr>
        <w:tc>
          <w:tcPr>
            <w:tcW w:w="3227" w:type="dxa"/>
          </w:tcPr>
          <w:p w14:paraId="5A50B34C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4FB6018" w14:textId="29BFFC14" w:rsidR="00E41A26" w:rsidRPr="00DD2F9B" w:rsidRDefault="001037C7" w:rsidP="00DD2F9B">
            <w:pPr>
              <w:pStyle w:val="Tablefont"/>
            </w:pPr>
            <w:r w:rsidRPr="001037C7">
              <w:t>Skin Sens. 1</w:t>
            </w:r>
          </w:p>
        </w:tc>
      </w:tr>
      <w:tr w:rsidR="002E0D61" w:rsidRPr="004C23F4" w14:paraId="47B7E4BE" w14:textId="77777777" w:rsidTr="00812887">
        <w:trPr>
          <w:cantSplit/>
        </w:trPr>
        <w:tc>
          <w:tcPr>
            <w:tcW w:w="3227" w:type="dxa"/>
          </w:tcPr>
          <w:p w14:paraId="64F1D3D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C5804AB" w14:textId="5A512202" w:rsidR="002E0D61" w:rsidRPr="00DD2F9B" w:rsidRDefault="001037C7" w:rsidP="00DD2F9B">
            <w:pPr>
              <w:pStyle w:val="Tablefont"/>
            </w:pPr>
            <w:r w:rsidRPr="001037C7">
              <w:t>Carcinogenicity – A4</w:t>
            </w:r>
            <w:r>
              <w:t>, Skin</w:t>
            </w:r>
          </w:p>
        </w:tc>
      </w:tr>
      <w:tr w:rsidR="002E0D61" w:rsidRPr="004C23F4" w14:paraId="02C4889E" w14:textId="77777777" w:rsidTr="00812887">
        <w:trPr>
          <w:cantSplit/>
        </w:trPr>
        <w:tc>
          <w:tcPr>
            <w:tcW w:w="3227" w:type="dxa"/>
          </w:tcPr>
          <w:p w14:paraId="74CF37F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CA22078" w14:textId="38D96D92" w:rsidR="002E0D61" w:rsidRPr="00DD2F9B" w:rsidRDefault="001037C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8F89AE" w14:textId="77777777" w:rsidTr="00812887">
        <w:trPr>
          <w:cantSplit/>
        </w:trPr>
        <w:tc>
          <w:tcPr>
            <w:tcW w:w="3227" w:type="dxa"/>
          </w:tcPr>
          <w:p w14:paraId="48B9D3E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C02980A" w14:textId="606D6129" w:rsidR="002E0D61" w:rsidRPr="00DD2F9B" w:rsidRDefault="001037C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05C05E1" w14:textId="77777777" w:rsidTr="00812887">
        <w:trPr>
          <w:cantSplit/>
        </w:trPr>
        <w:tc>
          <w:tcPr>
            <w:tcW w:w="3227" w:type="dxa"/>
          </w:tcPr>
          <w:p w14:paraId="5FA1AE1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8A0153F" w14:textId="4BFA6DFD" w:rsidR="002E0D61" w:rsidRPr="00DD2F9B" w:rsidRDefault="001037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9797CFF" w14:textId="77777777" w:rsidTr="00812887">
        <w:trPr>
          <w:cantSplit/>
        </w:trPr>
        <w:tc>
          <w:tcPr>
            <w:tcW w:w="3227" w:type="dxa"/>
          </w:tcPr>
          <w:p w14:paraId="355A431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2CD4FC1" w14:textId="522D3039" w:rsidR="00386093" w:rsidRPr="00DD2F9B" w:rsidRDefault="001037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F402350" w14:textId="77777777" w:rsidTr="00812887">
        <w:trPr>
          <w:cantSplit/>
        </w:trPr>
        <w:tc>
          <w:tcPr>
            <w:tcW w:w="3227" w:type="dxa"/>
          </w:tcPr>
          <w:p w14:paraId="44BD335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966FE8D" w14:textId="4313BEE5" w:rsidR="00386093" w:rsidRPr="00DD2F9B" w:rsidRDefault="001037C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A97A7D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70E3BEA" w14:textId="77777777" w:rsidR="00474E33" w:rsidRDefault="00474E33" w:rsidP="0016122E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ECF492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81D8048" w14:textId="77777777" w:rsidR="00932DCE" w:rsidRPr="004C23F4" w:rsidRDefault="00932DC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A85D17" w:rsidRPr="004C23F4" w14:paraId="3C98EF85" w14:textId="77777777" w:rsidTr="00A85D17">
        <w:trPr>
          <w:cantSplit/>
          <w:tblHeader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192"/>
              <w:gridCol w:w="817"/>
              <w:gridCol w:w="2763"/>
              <w:gridCol w:w="817"/>
              <w:gridCol w:w="817"/>
              <w:gridCol w:w="1202"/>
              <w:gridCol w:w="1202"/>
            </w:tblGrid>
            <w:tr w:rsidR="00A85D17" w:rsidRPr="00A85D17" w14:paraId="767B1253" w14:textId="77777777" w:rsidTr="00A85D17">
              <w:trPr>
                <w:trHeight w:val="240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1AA3C6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9ADB6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59DD3B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891086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4BDAB1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119570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9EBB0F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58C3B3DF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7AFF39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9E1E54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FE3037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8C948E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2BFEFA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E18C2B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CB352C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70BC247E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D85883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C88604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C9F48F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DB7F920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DD1F1C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FF50E3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CED487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1844F786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D0F3B9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230D72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C7B764" w14:textId="263A4E49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Dermal repeat-dose NOAEL ≤200 </w:t>
                  </w:r>
                  <w:r w:rsidR="00093DB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mg/kg/d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D33D3D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E112B1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96FFB9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DD1395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66C96DD8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D89298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7C8C91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944C2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F9526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49C85F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9897C3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02F6F9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22BD94F5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87EAEF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4CA924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01AD83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6A2F90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AF9143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648B0A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36ADFD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766B50E7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0850DF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135B00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96B644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DB0914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F7F224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111BDD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66AF98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A85D17" w:rsidRPr="00A85D17" w14:paraId="3424703C" w14:textId="77777777" w:rsidTr="00A85D17">
              <w:trPr>
                <w:trHeight w:val="342"/>
              </w:trPr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0BA355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85BFA1" w14:textId="77777777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1575D3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56270C" w14:textId="77777777" w:rsidR="00A85D17" w:rsidRPr="00A85D17" w:rsidRDefault="00A85D17" w:rsidP="00A8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806BD6" w14:textId="77777777" w:rsidR="00A85D17" w:rsidRPr="00A85D17" w:rsidRDefault="00A85D17" w:rsidP="00A8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  <w:p w14:paraId="53C7D432" w14:textId="7F3CAB31" w:rsidR="00A85D17" w:rsidRPr="00A85D17" w:rsidRDefault="00A85D17" w:rsidP="00A85D1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A85D1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456B3339" w14:textId="77777777" w:rsidR="00A85D17" w:rsidRDefault="00A85D17">
            <w:pPr>
              <w:pStyle w:val="Tableheader"/>
              <w:keepNext/>
              <w:tabs>
                <w:tab w:val="right" w:pos="8800"/>
              </w:tabs>
            </w:pPr>
          </w:p>
        </w:tc>
      </w:tr>
    </w:tbl>
    <w:bookmarkEnd w:id="4"/>
    <w:p w14:paraId="35A6F60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1A8B58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139E22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4A6E4EB" w14:textId="6222CB62" w:rsidR="00EB3D1B" w:rsidRDefault="001037C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049EC8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9991B1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044FC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376A4B2" w14:textId="72E158F3" w:rsidR="001B79E5" w:rsidRDefault="00E07B97" w:rsidP="001B79E5">
                <w:pPr>
                  <w:pStyle w:val="Tablefont"/>
                </w:pPr>
                <w:r>
                  <w:t>67.09</w:t>
                </w:r>
              </w:p>
            </w:tc>
          </w:sdtContent>
        </w:sdt>
      </w:tr>
      <w:tr w:rsidR="00A31D99" w:rsidRPr="004C23F4" w14:paraId="319509B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1B1978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50DE848" w14:textId="3F61650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037C7">
                  <w:t>2.74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037C7">
                  <w:t>0.365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AFA701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A393F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7051A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1C64178" w14:textId="77777777" w:rsidTr="00EA6243">
        <w:trPr>
          <w:cantSplit/>
        </w:trPr>
        <w:tc>
          <w:tcPr>
            <w:tcW w:w="4077" w:type="dxa"/>
            <w:vAlign w:val="center"/>
          </w:tcPr>
          <w:p w14:paraId="34AA906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7175F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60610ED" w14:textId="77777777" w:rsidTr="00EA6243">
        <w:trPr>
          <w:cantSplit/>
        </w:trPr>
        <w:tc>
          <w:tcPr>
            <w:tcW w:w="4077" w:type="dxa"/>
            <w:vAlign w:val="center"/>
          </w:tcPr>
          <w:p w14:paraId="1DCA64C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89B58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9D642B0" w14:textId="77777777" w:rsidTr="00EA6243">
        <w:trPr>
          <w:cantSplit/>
        </w:trPr>
        <w:tc>
          <w:tcPr>
            <w:tcW w:w="4077" w:type="dxa"/>
            <w:vAlign w:val="center"/>
          </w:tcPr>
          <w:p w14:paraId="41C42AF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DB02709" w14:textId="77777777" w:rsidR="00E06F40" w:rsidRPr="00A006A0" w:rsidRDefault="00EF389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BC9192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FC35E7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CD7B8E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ADC480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314776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0B46E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CACFA8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336244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F1B9569" w14:textId="638F1A3D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A81F4C1" w14:textId="02215400" w:rsidR="00F022BA" w:rsidRDefault="00336AA5" w:rsidP="003D07A9">
      <w:r w:rsidRPr="00336AA5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4CADBF13" w14:textId="17E36AB9" w:rsidR="003D07A9" w:rsidRDefault="003D07A9" w:rsidP="003D07A9">
      <w:r>
        <w:t>National Toxicology Program (NTP) (2001) NTP-</w:t>
      </w:r>
      <w:proofErr w:type="spellStart"/>
      <w:r>
        <w:t>RoC</w:t>
      </w:r>
      <w:proofErr w:type="spellEnd"/>
      <w:r>
        <w:t xml:space="preserve">: </w:t>
      </w:r>
      <w:proofErr w:type="spellStart"/>
      <w:r>
        <w:t>Methylacrylonitrile</w:t>
      </w:r>
      <w:proofErr w:type="spellEnd"/>
      <w:r>
        <w:t>.</w:t>
      </w:r>
    </w:p>
    <w:p w14:paraId="056FFC42" w14:textId="64CAF84F" w:rsidR="00385FEA" w:rsidRDefault="00385FEA" w:rsidP="00385FEA">
      <w:r>
        <w:t xml:space="preserve">US Environmental Protection Authority (US EPA) (1998)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</w:t>
      </w:r>
      <w:proofErr w:type="spellStart"/>
      <w:r>
        <w:t>Methylacrylonitrile</w:t>
      </w:r>
      <w:proofErr w:type="spellEnd"/>
      <w:r>
        <w:t>.</w:t>
      </w:r>
    </w:p>
    <w:p w14:paraId="6EC5C59B" w14:textId="0F30CFD4" w:rsidR="001037C7" w:rsidRPr="00351FE0" w:rsidRDefault="001037C7" w:rsidP="00084859">
      <w:r w:rsidRPr="00D86E03">
        <w:t>US National Institute for Occupational Safety and Health (NIOSH)</w:t>
      </w:r>
      <w:r>
        <w:t xml:space="preserve"> (</w:t>
      </w:r>
      <w:r w:rsidRPr="001037C7">
        <w:t>2017-204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Pr="001037C7">
        <w:t>Methacrylonitrile</w:t>
      </w:r>
      <w:proofErr w:type="spellEnd"/>
      <w:r>
        <w:t>.</w:t>
      </w:r>
    </w:p>
    <w:sectPr w:rsidR="001037C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78AA82" w16cid:durableId="21D98A10"/>
  <w16cid:commentId w16cid:paraId="647FFEA8" w16cid:durableId="21D98472"/>
  <w16cid:commentId w16cid:paraId="1C630C10" w16cid:durableId="21D985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B265" w14:textId="77777777" w:rsidR="00055CAA" w:rsidRDefault="00055CAA" w:rsidP="00F43AD5">
      <w:pPr>
        <w:spacing w:after="0" w:line="240" w:lineRule="auto"/>
      </w:pPr>
      <w:r>
        <w:separator/>
      </w:r>
    </w:p>
  </w:endnote>
  <w:endnote w:type="continuationSeparator" w:id="0">
    <w:p w14:paraId="3D4FD3F6" w14:textId="77777777" w:rsidR="00055CAA" w:rsidRDefault="00055CA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8BE6" w14:textId="77777777" w:rsidR="00EF389D" w:rsidRDefault="00EF3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17E66A7" w14:textId="01E288C8" w:rsidR="008A36CF" w:rsidRDefault="00971D34" w:rsidP="0034744C">
        <w:pPr>
          <w:pStyle w:val="Footer"/>
          <w:rPr>
            <w:sz w:val="18"/>
            <w:szCs w:val="18"/>
          </w:rPr>
        </w:pPr>
        <w:proofErr w:type="spellStart"/>
        <w:r w:rsidRPr="00971D34">
          <w:rPr>
            <w:b/>
            <w:sz w:val="18"/>
            <w:szCs w:val="18"/>
          </w:rPr>
          <w:t>Methylacrylonitrile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971D34">
          <w:rPr>
            <w:b/>
            <w:sz w:val="18"/>
            <w:szCs w:val="18"/>
          </w:rPr>
          <w:t>126-98-7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934BEB3" w14:textId="7FDCEE7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F389D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3AD9" w14:textId="77777777" w:rsidR="00EF389D" w:rsidRDefault="00EF3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27C1" w14:textId="77777777" w:rsidR="00055CAA" w:rsidRDefault="00055CAA" w:rsidP="00F43AD5">
      <w:pPr>
        <w:spacing w:after="0" w:line="240" w:lineRule="auto"/>
      </w:pPr>
      <w:r>
        <w:separator/>
      </w:r>
    </w:p>
  </w:footnote>
  <w:footnote w:type="continuationSeparator" w:id="0">
    <w:p w14:paraId="28A05105" w14:textId="77777777" w:rsidR="00055CAA" w:rsidRDefault="00055CA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349A" w14:textId="77777777" w:rsidR="00EF389D" w:rsidRDefault="00EF3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CFC" w14:textId="68B69B39" w:rsidR="008A36CF" w:rsidRDefault="00EF389D" w:rsidP="00EF389D">
    <w:pPr>
      <w:pStyle w:val="Header"/>
      <w:jc w:val="right"/>
    </w:pPr>
    <w:r>
      <w:pict w14:anchorId="587C5F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67899AE" wp14:editId="30094F60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FABD" w14:textId="77777777" w:rsidR="00EF389D" w:rsidRDefault="00EF38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26B4" w14:textId="04366155" w:rsidR="00EF389D" w:rsidRDefault="00EF389D" w:rsidP="00EF389D">
    <w:pPr>
      <w:pStyle w:val="Header"/>
      <w:jc w:val="right"/>
    </w:pPr>
    <w:r>
      <w:pict w14:anchorId="210534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FB5CE09" wp14:editId="14C928FE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F9200" w14:textId="78FF2F6A" w:rsidR="008A36CF" w:rsidRDefault="008A36CF" w:rsidP="00EF389D">
    <w:pPr>
      <w:pStyle w:val="Header"/>
    </w:pPr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8818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C5AC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155DC3"/>
    <w:multiLevelType w:val="hybridMultilevel"/>
    <w:tmpl w:val="5C92A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13A8"/>
    <w:multiLevelType w:val="hybridMultilevel"/>
    <w:tmpl w:val="716CDF5A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143"/>
    <w:rsid w:val="00007B80"/>
    <w:rsid w:val="00013A22"/>
    <w:rsid w:val="00014C3F"/>
    <w:rsid w:val="00017C82"/>
    <w:rsid w:val="00032B88"/>
    <w:rsid w:val="00046DF5"/>
    <w:rsid w:val="00052060"/>
    <w:rsid w:val="0005574A"/>
    <w:rsid w:val="00055CAA"/>
    <w:rsid w:val="00055FE1"/>
    <w:rsid w:val="00056EC2"/>
    <w:rsid w:val="00060B48"/>
    <w:rsid w:val="00067F32"/>
    <w:rsid w:val="00071807"/>
    <w:rsid w:val="00074202"/>
    <w:rsid w:val="000803E1"/>
    <w:rsid w:val="00084513"/>
    <w:rsid w:val="00084859"/>
    <w:rsid w:val="00092D94"/>
    <w:rsid w:val="00093DB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3575"/>
    <w:rsid w:val="001037C7"/>
    <w:rsid w:val="0010461E"/>
    <w:rsid w:val="00106FAA"/>
    <w:rsid w:val="00113443"/>
    <w:rsid w:val="001150C8"/>
    <w:rsid w:val="001269A7"/>
    <w:rsid w:val="00131092"/>
    <w:rsid w:val="00140E6A"/>
    <w:rsid w:val="00146545"/>
    <w:rsid w:val="00146B75"/>
    <w:rsid w:val="0015266D"/>
    <w:rsid w:val="0015288A"/>
    <w:rsid w:val="00160F47"/>
    <w:rsid w:val="0016122E"/>
    <w:rsid w:val="00167E7F"/>
    <w:rsid w:val="00171678"/>
    <w:rsid w:val="00177CA1"/>
    <w:rsid w:val="00183823"/>
    <w:rsid w:val="00183942"/>
    <w:rsid w:val="0018603E"/>
    <w:rsid w:val="00192DBC"/>
    <w:rsid w:val="00196A03"/>
    <w:rsid w:val="001A009E"/>
    <w:rsid w:val="001A1287"/>
    <w:rsid w:val="001A3859"/>
    <w:rsid w:val="001A3C9D"/>
    <w:rsid w:val="001A43F8"/>
    <w:rsid w:val="001B691F"/>
    <w:rsid w:val="001B79E5"/>
    <w:rsid w:val="001D56F0"/>
    <w:rsid w:val="001D663B"/>
    <w:rsid w:val="001D7B41"/>
    <w:rsid w:val="001E46DA"/>
    <w:rsid w:val="001E7D80"/>
    <w:rsid w:val="001F0B52"/>
    <w:rsid w:val="001F4B6C"/>
    <w:rsid w:val="001F62CB"/>
    <w:rsid w:val="001F6ED0"/>
    <w:rsid w:val="001F72E6"/>
    <w:rsid w:val="001F73C5"/>
    <w:rsid w:val="002046A6"/>
    <w:rsid w:val="00204956"/>
    <w:rsid w:val="00205DA4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110"/>
    <w:rsid w:val="002E0D61"/>
    <w:rsid w:val="002E4C7B"/>
    <w:rsid w:val="0030740C"/>
    <w:rsid w:val="00314D6E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36AA5"/>
    <w:rsid w:val="00347192"/>
    <w:rsid w:val="0034744C"/>
    <w:rsid w:val="00351FE0"/>
    <w:rsid w:val="00352615"/>
    <w:rsid w:val="0035412B"/>
    <w:rsid w:val="003567A8"/>
    <w:rsid w:val="00362895"/>
    <w:rsid w:val="00370DBF"/>
    <w:rsid w:val="00381084"/>
    <w:rsid w:val="00385FEA"/>
    <w:rsid w:val="00386093"/>
    <w:rsid w:val="003901FE"/>
    <w:rsid w:val="003904A4"/>
    <w:rsid w:val="00391841"/>
    <w:rsid w:val="00391B6D"/>
    <w:rsid w:val="003932A7"/>
    <w:rsid w:val="00394922"/>
    <w:rsid w:val="00394B82"/>
    <w:rsid w:val="003A0E32"/>
    <w:rsid w:val="003A2B94"/>
    <w:rsid w:val="003B387D"/>
    <w:rsid w:val="003C0D58"/>
    <w:rsid w:val="003D07A9"/>
    <w:rsid w:val="003D4FA3"/>
    <w:rsid w:val="003E0807"/>
    <w:rsid w:val="003E51FB"/>
    <w:rsid w:val="003E6B39"/>
    <w:rsid w:val="003F07E1"/>
    <w:rsid w:val="0040051F"/>
    <w:rsid w:val="004030BC"/>
    <w:rsid w:val="00403F7D"/>
    <w:rsid w:val="00406785"/>
    <w:rsid w:val="004079B4"/>
    <w:rsid w:val="00417A56"/>
    <w:rsid w:val="00420957"/>
    <w:rsid w:val="00422A10"/>
    <w:rsid w:val="0042428E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2DB3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22F3"/>
    <w:rsid w:val="004E5EDD"/>
    <w:rsid w:val="004F0A13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32E3"/>
    <w:rsid w:val="00581055"/>
    <w:rsid w:val="005841FA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418B"/>
    <w:rsid w:val="005E6979"/>
    <w:rsid w:val="005E75CB"/>
    <w:rsid w:val="006013C1"/>
    <w:rsid w:val="0060669E"/>
    <w:rsid w:val="00610F2E"/>
    <w:rsid w:val="00611399"/>
    <w:rsid w:val="00624C4E"/>
    <w:rsid w:val="00625200"/>
    <w:rsid w:val="0063050E"/>
    <w:rsid w:val="006363A8"/>
    <w:rsid w:val="00636DB7"/>
    <w:rsid w:val="00650905"/>
    <w:rsid w:val="006532ED"/>
    <w:rsid w:val="006549F2"/>
    <w:rsid w:val="006567B7"/>
    <w:rsid w:val="00657BFB"/>
    <w:rsid w:val="00662F35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AFD"/>
    <w:rsid w:val="00690B53"/>
    <w:rsid w:val="00695B72"/>
    <w:rsid w:val="006B160A"/>
    <w:rsid w:val="006B4E6C"/>
    <w:rsid w:val="006B50B6"/>
    <w:rsid w:val="006C1BC9"/>
    <w:rsid w:val="006D79EA"/>
    <w:rsid w:val="006E5D05"/>
    <w:rsid w:val="006F6F36"/>
    <w:rsid w:val="006F75D8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4787"/>
    <w:rsid w:val="0075716D"/>
    <w:rsid w:val="007659FF"/>
    <w:rsid w:val="00765F14"/>
    <w:rsid w:val="00770E31"/>
    <w:rsid w:val="00773790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4854"/>
    <w:rsid w:val="007C30EB"/>
    <w:rsid w:val="007C3202"/>
    <w:rsid w:val="007E063C"/>
    <w:rsid w:val="007E2A4B"/>
    <w:rsid w:val="007E307D"/>
    <w:rsid w:val="007E6A4E"/>
    <w:rsid w:val="007E6C94"/>
    <w:rsid w:val="007F1005"/>
    <w:rsid w:val="007F25E0"/>
    <w:rsid w:val="007F5328"/>
    <w:rsid w:val="0080232E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35ED"/>
    <w:rsid w:val="00857A8A"/>
    <w:rsid w:val="008630EE"/>
    <w:rsid w:val="00864D13"/>
    <w:rsid w:val="00871CD5"/>
    <w:rsid w:val="008745A2"/>
    <w:rsid w:val="0087475E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728A"/>
    <w:rsid w:val="008D026D"/>
    <w:rsid w:val="008D23AB"/>
    <w:rsid w:val="008D4B8B"/>
    <w:rsid w:val="008D5A78"/>
    <w:rsid w:val="008E7B64"/>
    <w:rsid w:val="008F5DCD"/>
    <w:rsid w:val="00900951"/>
    <w:rsid w:val="00902211"/>
    <w:rsid w:val="00904576"/>
    <w:rsid w:val="009118A6"/>
    <w:rsid w:val="00916708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1D34"/>
    <w:rsid w:val="00974F2D"/>
    <w:rsid w:val="00977524"/>
    <w:rsid w:val="00977E88"/>
    <w:rsid w:val="00984920"/>
    <w:rsid w:val="0099303A"/>
    <w:rsid w:val="009971C2"/>
    <w:rsid w:val="009A1254"/>
    <w:rsid w:val="009A245E"/>
    <w:rsid w:val="009B2FF2"/>
    <w:rsid w:val="009B380C"/>
    <w:rsid w:val="009B4843"/>
    <w:rsid w:val="009B6543"/>
    <w:rsid w:val="009B75CD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39FF"/>
    <w:rsid w:val="00A0643F"/>
    <w:rsid w:val="00A067EE"/>
    <w:rsid w:val="00A10FCE"/>
    <w:rsid w:val="00A16D91"/>
    <w:rsid w:val="00A174CC"/>
    <w:rsid w:val="00A2073D"/>
    <w:rsid w:val="00A20751"/>
    <w:rsid w:val="00A26FC8"/>
    <w:rsid w:val="00A27E2D"/>
    <w:rsid w:val="00A31D99"/>
    <w:rsid w:val="00A357BA"/>
    <w:rsid w:val="00A35ADC"/>
    <w:rsid w:val="00A402A3"/>
    <w:rsid w:val="00A515EF"/>
    <w:rsid w:val="00A53681"/>
    <w:rsid w:val="00A633D4"/>
    <w:rsid w:val="00A6461A"/>
    <w:rsid w:val="00A84504"/>
    <w:rsid w:val="00A85D17"/>
    <w:rsid w:val="00A8672F"/>
    <w:rsid w:val="00A93057"/>
    <w:rsid w:val="00A968B0"/>
    <w:rsid w:val="00AB2672"/>
    <w:rsid w:val="00AB2817"/>
    <w:rsid w:val="00AB43C4"/>
    <w:rsid w:val="00AC044A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7CFE"/>
    <w:rsid w:val="00B1422A"/>
    <w:rsid w:val="00B1765C"/>
    <w:rsid w:val="00B213C4"/>
    <w:rsid w:val="00B274D4"/>
    <w:rsid w:val="00B40C60"/>
    <w:rsid w:val="00B479A9"/>
    <w:rsid w:val="00B52EDF"/>
    <w:rsid w:val="00B679CE"/>
    <w:rsid w:val="00B71188"/>
    <w:rsid w:val="00B76A41"/>
    <w:rsid w:val="00B84EF1"/>
    <w:rsid w:val="00B87D4C"/>
    <w:rsid w:val="00B93646"/>
    <w:rsid w:val="00B95528"/>
    <w:rsid w:val="00B95566"/>
    <w:rsid w:val="00B96F7C"/>
    <w:rsid w:val="00BA0B38"/>
    <w:rsid w:val="00BA1DBB"/>
    <w:rsid w:val="00BA4510"/>
    <w:rsid w:val="00BA529A"/>
    <w:rsid w:val="00BA564A"/>
    <w:rsid w:val="00BB612A"/>
    <w:rsid w:val="00BC274C"/>
    <w:rsid w:val="00BD499F"/>
    <w:rsid w:val="00BD56DE"/>
    <w:rsid w:val="00BF2406"/>
    <w:rsid w:val="00BF698F"/>
    <w:rsid w:val="00C06E43"/>
    <w:rsid w:val="00C16315"/>
    <w:rsid w:val="00C3091E"/>
    <w:rsid w:val="00C40FF1"/>
    <w:rsid w:val="00C419E2"/>
    <w:rsid w:val="00C45BE4"/>
    <w:rsid w:val="00C47584"/>
    <w:rsid w:val="00C5020E"/>
    <w:rsid w:val="00C57452"/>
    <w:rsid w:val="00C61EDF"/>
    <w:rsid w:val="00C6239D"/>
    <w:rsid w:val="00C62F38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2DC3"/>
    <w:rsid w:val="00D140FC"/>
    <w:rsid w:val="00D21D8C"/>
    <w:rsid w:val="00D2552D"/>
    <w:rsid w:val="00D31357"/>
    <w:rsid w:val="00D33220"/>
    <w:rsid w:val="00D334D1"/>
    <w:rsid w:val="00D3493F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B97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0AE7"/>
    <w:rsid w:val="00E82337"/>
    <w:rsid w:val="00E92499"/>
    <w:rsid w:val="00E949AF"/>
    <w:rsid w:val="00E96077"/>
    <w:rsid w:val="00EA0A06"/>
    <w:rsid w:val="00EA6243"/>
    <w:rsid w:val="00EA6E2E"/>
    <w:rsid w:val="00EA74AB"/>
    <w:rsid w:val="00EB3D1B"/>
    <w:rsid w:val="00ED1D89"/>
    <w:rsid w:val="00ED3490"/>
    <w:rsid w:val="00ED66BC"/>
    <w:rsid w:val="00EF233A"/>
    <w:rsid w:val="00EF303E"/>
    <w:rsid w:val="00EF389D"/>
    <w:rsid w:val="00EF3A40"/>
    <w:rsid w:val="00EF7F78"/>
    <w:rsid w:val="00F01B08"/>
    <w:rsid w:val="00F01C4D"/>
    <w:rsid w:val="00F022BA"/>
    <w:rsid w:val="00F053FA"/>
    <w:rsid w:val="00F06A60"/>
    <w:rsid w:val="00F10C97"/>
    <w:rsid w:val="00F11C71"/>
    <w:rsid w:val="00F16019"/>
    <w:rsid w:val="00F20E68"/>
    <w:rsid w:val="00F22093"/>
    <w:rsid w:val="00F236DF"/>
    <w:rsid w:val="00F23AB8"/>
    <w:rsid w:val="00F43AD5"/>
    <w:rsid w:val="00F4402E"/>
    <w:rsid w:val="00F56DD0"/>
    <w:rsid w:val="00F614AF"/>
    <w:rsid w:val="00F6491C"/>
    <w:rsid w:val="00F67BBB"/>
    <w:rsid w:val="00F80EA5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527F"/>
    <w:rsid w:val="00FC60A2"/>
    <w:rsid w:val="00FD1871"/>
    <w:rsid w:val="00FD3110"/>
    <w:rsid w:val="00FE03A5"/>
    <w:rsid w:val="00FE303C"/>
    <w:rsid w:val="00FF12C3"/>
    <w:rsid w:val="00FF217D"/>
    <w:rsid w:val="00FF41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7475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EA6E2E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D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D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44233AFE16D463699D83696DE7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E85C-ACB5-41B9-A17D-88D99BF981F8}"/>
      </w:docPartPr>
      <w:docPartBody>
        <w:p w:rsidR="00C84569" w:rsidRDefault="007966E7" w:rsidP="007966E7">
          <w:pPr>
            <w:pStyle w:val="E44233AFE16D463699D83696DE79EFE4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C2E146693D44BC7A555D662433D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3E9E-C2A2-459A-BB72-E76926B134D2}"/>
      </w:docPartPr>
      <w:docPartBody>
        <w:p w:rsidR="00E907FD" w:rsidRDefault="00540588" w:rsidP="00540588">
          <w:pPr>
            <w:pStyle w:val="8C2E146693D44BC7A555D662433D33EE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990CB99198C6431091650D40A5EE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395DA-5245-4699-808B-E33C9A58EEEB}"/>
      </w:docPartPr>
      <w:docPartBody>
        <w:p w:rsidR="00E907FD" w:rsidRDefault="00540588" w:rsidP="00540588">
          <w:pPr>
            <w:pStyle w:val="990CB99198C6431091650D40A5EED9D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64B20BC9585C4265A685CEB8A872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D77-50E4-4766-B3D5-929D8E2707C8}"/>
      </w:docPartPr>
      <w:docPartBody>
        <w:p w:rsidR="00E907FD" w:rsidRDefault="00540588" w:rsidP="00540588">
          <w:pPr>
            <w:pStyle w:val="64B20BC9585C4265A685CEB8A872C08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78E41D1CD6044D4EBFE994B50839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50A2-5019-4BD4-B77A-0470549A7A19}"/>
      </w:docPartPr>
      <w:docPartBody>
        <w:p w:rsidR="00E907FD" w:rsidRDefault="00540588" w:rsidP="00540588">
          <w:pPr>
            <w:pStyle w:val="78E41D1CD6044D4EBFE994B50839055E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15952"/>
    <w:rsid w:val="00540588"/>
    <w:rsid w:val="007966E7"/>
    <w:rsid w:val="00A42C20"/>
    <w:rsid w:val="00C84569"/>
    <w:rsid w:val="00D21A9F"/>
    <w:rsid w:val="00DE37DB"/>
    <w:rsid w:val="00E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58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2D603E4B0D9442D9103F9B1B1D890FF">
    <w:name w:val="C2D603E4B0D9442D9103F9B1B1D890FF"/>
    <w:rsid w:val="00515952"/>
  </w:style>
  <w:style w:type="paragraph" w:customStyle="1" w:styleId="582154317D2543888A863363145A363C">
    <w:name w:val="582154317D2543888A863363145A363C"/>
    <w:rsid w:val="00515952"/>
  </w:style>
  <w:style w:type="paragraph" w:customStyle="1" w:styleId="CCB763DA3D0649D8AC2B57EC010C938A">
    <w:name w:val="CCB763DA3D0649D8AC2B57EC010C938A"/>
    <w:rsid w:val="00515952"/>
  </w:style>
  <w:style w:type="paragraph" w:customStyle="1" w:styleId="B0E6F55A487C4140A49509EB1B5E06DC">
    <w:name w:val="B0E6F55A487C4140A49509EB1B5E06DC"/>
    <w:rsid w:val="00515952"/>
  </w:style>
  <w:style w:type="paragraph" w:customStyle="1" w:styleId="5CA9B632BA794BC3BC4AD68F46FFFBC0">
    <w:name w:val="5CA9B632BA794BC3BC4AD68F46FFFBC0"/>
    <w:rsid w:val="007966E7"/>
  </w:style>
  <w:style w:type="paragraph" w:customStyle="1" w:styleId="DD6D9952E7E34B7581F4EC1A37C276C3">
    <w:name w:val="DD6D9952E7E34B7581F4EC1A37C276C3"/>
    <w:rsid w:val="007966E7"/>
  </w:style>
  <w:style w:type="paragraph" w:customStyle="1" w:styleId="3C6930C4CE0D4724BDF2733928AFF3DF">
    <w:name w:val="3C6930C4CE0D4724BDF2733928AFF3DF"/>
    <w:rsid w:val="007966E7"/>
  </w:style>
  <w:style w:type="paragraph" w:customStyle="1" w:styleId="492975B0524E459FBFA25B598C99A442">
    <w:name w:val="492975B0524E459FBFA25B598C99A442"/>
    <w:rsid w:val="007966E7"/>
  </w:style>
  <w:style w:type="paragraph" w:customStyle="1" w:styleId="3035E13682C44CC484004F6E1B8714FE">
    <w:name w:val="3035E13682C44CC484004F6E1B8714FE"/>
    <w:rsid w:val="007966E7"/>
  </w:style>
  <w:style w:type="paragraph" w:customStyle="1" w:styleId="59FCF3CE62D847888055DFA031B5B4DA">
    <w:name w:val="59FCF3CE62D847888055DFA031B5B4DA"/>
    <w:rsid w:val="007966E7"/>
  </w:style>
  <w:style w:type="paragraph" w:customStyle="1" w:styleId="E44233AFE16D463699D83696DE79EFE4">
    <w:name w:val="E44233AFE16D463699D83696DE79EFE4"/>
    <w:rsid w:val="007966E7"/>
  </w:style>
  <w:style w:type="paragraph" w:customStyle="1" w:styleId="8494A0D6BC3B4530BB9875FA933EE22F">
    <w:name w:val="8494A0D6BC3B4530BB9875FA933EE22F"/>
    <w:rsid w:val="00540588"/>
  </w:style>
  <w:style w:type="paragraph" w:customStyle="1" w:styleId="DE3EE2DD308B492F80AC28664302B554">
    <w:name w:val="DE3EE2DD308B492F80AC28664302B554"/>
    <w:rsid w:val="00540588"/>
  </w:style>
  <w:style w:type="paragraph" w:customStyle="1" w:styleId="B1A8A32646E344F08EB662C1C7008C31">
    <w:name w:val="B1A8A32646E344F08EB662C1C7008C31"/>
    <w:rsid w:val="00540588"/>
  </w:style>
  <w:style w:type="paragraph" w:customStyle="1" w:styleId="D96D2634634D42D785C57597120BEAE3">
    <w:name w:val="D96D2634634D42D785C57597120BEAE3"/>
    <w:rsid w:val="00540588"/>
  </w:style>
  <w:style w:type="paragraph" w:customStyle="1" w:styleId="8C2E146693D44BC7A555D662433D33EE">
    <w:name w:val="8C2E146693D44BC7A555D662433D33EE"/>
    <w:rsid w:val="00540588"/>
  </w:style>
  <w:style w:type="paragraph" w:customStyle="1" w:styleId="990CB99198C6431091650D40A5EED9DD">
    <w:name w:val="990CB99198C6431091650D40A5EED9DD"/>
    <w:rsid w:val="00540588"/>
  </w:style>
  <w:style w:type="paragraph" w:customStyle="1" w:styleId="64B20BC9585C4265A685CEB8A872C086">
    <w:name w:val="64B20BC9585C4265A685CEB8A872C086"/>
    <w:rsid w:val="00540588"/>
  </w:style>
  <w:style w:type="paragraph" w:customStyle="1" w:styleId="7E89EEDCAF5C452BBD28DD22412C593E">
    <w:name w:val="7E89EEDCAF5C452BBD28DD22412C593E"/>
    <w:rsid w:val="00540588"/>
  </w:style>
  <w:style w:type="paragraph" w:customStyle="1" w:styleId="78E41D1CD6044D4EBFE994B50839055E">
    <w:name w:val="78E41D1CD6044D4EBFE994B50839055E"/>
    <w:rsid w:val="00540588"/>
  </w:style>
  <w:style w:type="paragraph" w:customStyle="1" w:styleId="21F93A64C85042719B13815FA378740B">
    <w:name w:val="21F93A64C85042719B13815FA378740B"/>
    <w:rsid w:val="00E90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FD0B5-E510-46D7-A35B-0AD84551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914E9-8350-4546-A7F9-9E22B3B4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2BF5E36F.dotm</Template>
  <TotalTime>342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27</cp:revision>
  <cp:lastPrinted>2018-10-22T22:41:00Z</cp:lastPrinted>
  <dcterms:created xsi:type="dcterms:W3CDTF">2019-12-06T04:56:00Z</dcterms:created>
  <dcterms:modified xsi:type="dcterms:W3CDTF">2020-01-30T21:25:00Z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