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99439FE" w14:textId="0AE106A2" w:rsidR="00BD499F" w:rsidRPr="004C23F4" w:rsidRDefault="009E420E" w:rsidP="00B40C60">
          <w:pPr>
            <w:pStyle w:val="Heading1"/>
            <w:jc w:val="center"/>
            <w:rPr>
              <w:rFonts w:ascii="Arial" w:hAnsi="Arial" w:cs="Arial"/>
            </w:rPr>
          </w:pPr>
          <w:r w:rsidRPr="009E420E">
            <w:rPr>
              <w:rFonts w:ascii="Arial" w:hAnsi="Arial" w:cs="Arial"/>
            </w:rPr>
            <w:t>N-Isopropylaniline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2"/>
        <w:gridCol w:w="5034"/>
      </w:tblGrid>
      <w:tr w:rsidR="00F43AD5" w:rsidRPr="004C23F4" w14:paraId="526378B0" w14:textId="77777777" w:rsidTr="00B76A41">
        <w:trPr>
          <w:cantSplit/>
          <w:tblHeader/>
        </w:trPr>
        <w:tc>
          <w:tcPr>
            <w:tcW w:w="4077" w:type="dxa"/>
          </w:tcPr>
          <w:p w14:paraId="6681803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121A27E" w14:textId="5FC70834" w:rsidR="00F43AD5" w:rsidRPr="00717D45" w:rsidRDefault="009E420E" w:rsidP="00B76A41">
            <w:pPr>
              <w:pStyle w:val="Tablefont"/>
            </w:pPr>
            <w:r w:rsidRPr="009E420E">
              <w:t>768-52-5</w:t>
            </w:r>
          </w:p>
        </w:tc>
      </w:tr>
      <w:tr w:rsidR="00F43AD5" w:rsidRPr="004C23F4" w14:paraId="7257E165" w14:textId="77777777" w:rsidTr="00B76A41">
        <w:trPr>
          <w:cantSplit/>
        </w:trPr>
        <w:tc>
          <w:tcPr>
            <w:tcW w:w="4077" w:type="dxa"/>
          </w:tcPr>
          <w:p w14:paraId="4D19EBA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76714458" w14:textId="1185BA67" w:rsidR="00F43AD5" w:rsidRPr="00717D45" w:rsidRDefault="006C382D" w:rsidP="00B76A41">
            <w:pPr>
              <w:pStyle w:val="Tablefont"/>
            </w:pPr>
            <w:r>
              <w:t>N-IPA</w:t>
            </w:r>
          </w:p>
        </w:tc>
      </w:tr>
      <w:tr w:rsidR="00F43AD5" w:rsidRPr="004C23F4" w14:paraId="3EF32C9C" w14:textId="77777777" w:rsidTr="00B76A41">
        <w:trPr>
          <w:cantSplit/>
        </w:trPr>
        <w:tc>
          <w:tcPr>
            <w:tcW w:w="4077" w:type="dxa"/>
          </w:tcPr>
          <w:p w14:paraId="306EE298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28F7A149" w14:textId="385E8414" w:rsidR="00F43AD5" w:rsidRPr="00717D45" w:rsidRDefault="006C382D" w:rsidP="00B76A41">
            <w:pPr>
              <w:pStyle w:val="Tablefont"/>
            </w:pPr>
            <w:r>
              <w:t>C</w:t>
            </w:r>
            <w:r w:rsidRPr="006C382D">
              <w:rPr>
                <w:vertAlign w:val="subscript"/>
              </w:rPr>
              <w:t>9</w:t>
            </w:r>
            <w:r>
              <w:t>H</w:t>
            </w:r>
            <w:r w:rsidRPr="006C382D">
              <w:rPr>
                <w:vertAlign w:val="subscript"/>
              </w:rPr>
              <w:t>13</w:t>
            </w:r>
            <w:r>
              <w:t>N</w:t>
            </w:r>
          </w:p>
        </w:tc>
      </w:tr>
      <w:tr w:rsidR="00F43AD5" w:rsidRPr="004C23F4" w14:paraId="2815A803" w14:textId="77777777" w:rsidTr="00B76A41">
        <w:trPr>
          <w:cantSplit/>
        </w:trPr>
        <w:tc>
          <w:tcPr>
            <w:tcW w:w="4077" w:type="dxa"/>
          </w:tcPr>
          <w:p w14:paraId="12033444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FF8D525" w14:textId="13EAF492" w:rsidR="00F43AD5" w:rsidRPr="00B40C60" w:rsidRDefault="006C382D" w:rsidP="00B76A41">
            <w:pPr>
              <w:pStyle w:val="Tablerowheading"/>
              <w:rPr>
                <w:b w:val="0"/>
              </w:rPr>
            </w:pPr>
            <w:r>
              <w:t>—</w:t>
            </w:r>
          </w:p>
        </w:tc>
      </w:tr>
    </w:tbl>
    <w:p w14:paraId="61DB3E13" w14:textId="62CAB7F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r w:rsidR="00822689">
        <w:rPr>
          <w:rStyle w:val="WESstatus"/>
        </w:rPr>
        <w:t>(interim)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540E4667" w14:textId="77777777" w:rsidTr="00487D48">
        <w:trPr>
          <w:cantSplit/>
          <w:tblHeader/>
        </w:trPr>
        <w:tc>
          <w:tcPr>
            <w:tcW w:w="4005" w:type="dxa"/>
            <w:vAlign w:val="center"/>
          </w:tcPr>
          <w:p w14:paraId="32E9479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3A6BC917" w14:textId="7E101E38" w:rsidR="002C7AFE" w:rsidRPr="00EB3D1B" w:rsidRDefault="00517DE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0.1</w:t>
            </w:r>
            <w:r w:rsidRPr="00903D1E">
              <w:rPr>
                <w:b/>
              </w:rPr>
              <w:t xml:space="preserve"> </w:t>
            </w:r>
            <w:r w:rsidR="00903D1E" w:rsidRPr="00903D1E">
              <w:rPr>
                <w:b/>
              </w:rPr>
              <w:t>ppm (</w:t>
            </w:r>
            <w:r>
              <w:rPr>
                <w:b/>
              </w:rPr>
              <w:t>0.55</w:t>
            </w:r>
            <w:r w:rsidRPr="00903D1E">
              <w:rPr>
                <w:b/>
              </w:rPr>
              <w:t xml:space="preserve"> </w:t>
            </w:r>
            <w:r w:rsidR="00903D1E" w:rsidRPr="00903D1E">
              <w:rPr>
                <w:b/>
              </w:rPr>
              <w:t>mg/m</w:t>
            </w:r>
            <w:r w:rsidR="00903D1E" w:rsidRPr="00903D1E">
              <w:rPr>
                <w:b/>
                <w:vertAlign w:val="superscript"/>
              </w:rPr>
              <w:t>3</w:t>
            </w:r>
            <w:r w:rsidR="00903D1E" w:rsidRPr="00903D1E">
              <w:rPr>
                <w:b/>
              </w:rPr>
              <w:t>)</w:t>
            </w:r>
          </w:p>
        </w:tc>
      </w:tr>
      <w:tr w:rsidR="002C7AFE" w:rsidRPr="004C23F4" w14:paraId="132CC462" w14:textId="77777777" w:rsidTr="00487D48">
        <w:trPr>
          <w:cantSplit/>
        </w:trPr>
        <w:tc>
          <w:tcPr>
            <w:tcW w:w="4005" w:type="dxa"/>
            <w:vAlign w:val="center"/>
          </w:tcPr>
          <w:p w14:paraId="42AFCF76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6DB6A6E0" w14:textId="2C85A596" w:rsidR="002C7AFE" w:rsidRPr="00EB3D1B" w:rsidRDefault="00903D1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E7F7FE3" w14:textId="77777777" w:rsidTr="00487D48">
        <w:trPr>
          <w:cantSplit/>
        </w:trPr>
        <w:tc>
          <w:tcPr>
            <w:tcW w:w="4005" w:type="dxa"/>
            <w:vAlign w:val="center"/>
          </w:tcPr>
          <w:p w14:paraId="3776916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5AB435C4" w14:textId="62C861F3" w:rsidR="002C7AFE" w:rsidRPr="00EB3D1B" w:rsidRDefault="00903D1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254A5A2" w14:textId="77777777" w:rsidTr="00487D48">
        <w:trPr>
          <w:cantSplit/>
        </w:trPr>
        <w:tc>
          <w:tcPr>
            <w:tcW w:w="4005" w:type="dxa"/>
          </w:tcPr>
          <w:p w14:paraId="0C59FF96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73AEC1FB" w14:textId="698BC5FD" w:rsidR="002C7AFE" w:rsidRPr="00EB3D1B" w:rsidRDefault="00020B69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72054325" w14:textId="77777777" w:rsidTr="00487D48">
        <w:trPr>
          <w:cantSplit/>
        </w:trPr>
        <w:tc>
          <w:tcPr>
            <w:tcW w:w="4005" w:type="dxa"/>
            <w:vAlign w:val="center"/>
          </w:tcPr>
          <w:p w14:paraId="5462FD9C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74A827A1" w14:textId="0A559C6F" w:rsidR="002C7AFE" w:rsidRPr="00903D1E" w:rsidRDefault="00903D1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487D48" w:rsidRPr="004C23F4" w14:paraId="589A90B4" w14:textId="77777777" w:rsidTr="00372650">
        <w:trPr>
          <w:cantSplit/>
        </w:trPr>
        <w:tc>
          <w:tcPr>
            <w:tcW w:w="9026" w:type="dxa"/>
            <w:gridSpan w:val="2"/>
            <w:vAlign w:val="center"/>
          </w:tcPr>
          <w:p w14:paraId="17956042" w14:textId="25066139" w:rsidR="00487D48" w:rsidRPr="00EB3D1B" w:rsidRDefault="00487D4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analy</w:t>
            </w:r>
            <w:r w:rsidRPr="00487D48">
              <w:rPr>
                <w:b/>
              </w:rPr>
              <w:t>sis:</w:t>
            </w:r>
            <w:r w:rsidRPr="00487D48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7A63B90C738F4045AAE9F6DC5595FD3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CAE233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F8A601A" w14:textId="536DFAFA" w:rsidR="006639B4" w:rsidRDefault="00EE41C3" w:rsidP="000C139A">
      <w:pPr>
        <w:rPr>
          <w:rFonts w:cs="Arial"/>
        </w:rPr>
      </w:pPr>
      <w:r w:rsidRPr="00EE41C3">
        <w:rPr>
          <w:rFonts w:cs="Arial"/>
        </w:rPr>
        <w:t>A</w:t>
      </w:r>
      <w:r w:rsidR="001E7191">
        <w:rPr>
          <w:rFonts w:cs="Arial"/>
        </w:rPr>
        <w:t>n interim</w:t>
      </w:r>
      <w:r w:rsidRPr="00EE41C3">
        <w:rPr>
          <w:rFonts w:cs="Arial"/>
        </w:rPr>
        <w:t xml:space="preserve"> TWA of </w:t>
      </w:r>
      <w:r w:rsidR="00047721">
        <w:rPr>
          <w:rFonts w:cs="Arial"/>
        </w:rPr>
        <w:t>0.1</w:t>
      </w:r>
      <w:r w:rsidR="00047721" w:rsidRPr="00EE41C3">
        <w:rPr>
          <w:rFonts w:cs="Arial"/>
        </w:rPr>
        <w:t xml:space="preserve"> </w:t>
      </w:r>
      <w:r w:rsidRPr="00EE41C3">
        <w:rPr>
          <w:rFonts w:cs="Arial"/>
        </w:rPr>
        <w:t>ppm (</w:t>
      </w:r>
      <w:r w:rsidR="00047721">
        <w:rPr>
          <w:rFonts w:cs="Arial"/>
        </w:rPr>
        <w:t>0.55</w:t>
      </w:r>
      <w:r w:rsidRPr="00EE41C3">
        <w:rPr>
          <w:rFonts w:cs="Arial"/>
        </w:rPr>
        <w:t xml:space="preserve"> mg/m</w:t>
      </w:r>
      <w:r w:rsidRPr="00EE41C3">
        <w:rPr>
          <w:rFonts w:cs="Arial"/>
          <w:vertAlign w:val="superscript"/>
        </w:rPr>
        <w:t>3</w:t>
      </w:r>
      <w:r w:rsidRPr="00EE41C3">
        <w:rPr>
          <w:rFonts w:cs="Arial"/>
        </w:rPr>
        <w:t xml:space="preserve">) is recommended to protect for </w:t>
      </w:r>
      <w:r>
        <w:rPr>
          <w:rFonts w:cs="Arial"/>
        </w:rPr>
        <w:t>elevated methaemoglobin levels</w:t>
      </w:r>
      <w:r w:rsidRPr="00EE41C3">
        <w:rPr>
          <w:rFonts w:cs="Arial"/>
        </w:rPr>
        <w:t xml:space="preserve"> in exposed workers.</w:t>
      </w:r>
    </w:p>
    <w:p w14:paraId="44E27F3D" w14:textId="506EEC76" w:rsidR="00A35794" w:rsidRPr="004C23F4" w:rsidRDefault="00A35794" w:rsidP="000C139A">
      <w:pPr>
        <w:rPr>
          <w:rFonts w:cs="Arial"/>
        </w:rPr>
      </w:pPr>
      <w:r w:rsidRPr="00A35794"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7A95C53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C00EC4E" w14:textId="77777777" w:rsidR="001E7191" w:rsidRDefault="00020B69" w:rsidP="006639B4">
      <w:pPr>
        <w:rPr>
          <w:rFonts w:cs="Arial"/>
        </w:rPr>
      </w:pPr>
      <w:r>
        <w:rPr>
          <w:rFonts w:cs="Arial"/>
        </w:rPr>
        <w:t>N-i</w:t>
      </w:r>
      <w:r w:rsidR="00A372AA">
        <w:rPr>
          <w:rFonts w:cs="Arial"/>
        </w:rPr>
        <w:t xml:space="preserve">sopropylaniline is used as a dye </w:t>
      </w:r>
      <w:r w:rsidR="00903D1E">
        <w:rPr>
          <w:rFonts w:cs="Arial"/>
        </w:rPr>
        <w:t>and in</w:t>
      </w:r>
      <w:r w:rsidR="00A372AA">
        <w:rPr>
          <w:rFonts w:cs="Arial"/>
        </w:rPr>
        <w:t xml:space="preserve"> chemical synthesis. </w:t>
      </w:r>
    </w:p>
    <w:p w14:paraId="31622810" w14:textId="10AE90C9" w:rsidR="00822689" w:rsidRDefault="00A372AA" w:rsidP="006639B4">
      <w:pPr>
        <w:rPr>
          <w:rFonts w:cs="Arial"/>
        </w:rPr>
      </w:pPr>
      <w:r>
        <w:rPr>
          <w:rFonts w:cs="Arial"/>
        </w:rPr>
        <w:t>The critical effect of exposure is metha</w:t>
      </w:r>
      <w:r w:rsidR="008B569E">
        <w:rPr>
          <w:rFonts w:cs="Arial"/>
        </w:rPr>
        <w:t xml:space="preserve">emoglobin formation based on evidence from inhalational </w:t>
      </w:r>
      <w:r w:rsidR="00903D1E">
        <w:rPr>
          <w:rFonts w:cs="Arial"/>
        </w:rPr>
        <w:t>and dermal studies with animals.</w:t>
      </w:r>
      <w:r w:rsidR="001E7191">
        <w:rPr>
          <w:rFonts w:cs="Arial"/>
        </w:rPr>
        <w:t xml:space="preserve"> </w:t>
      </w:r>
      <w:r w:rsidR="00822689">
        <w:rPr>
          <w:rFonts w:cs="Arial"/>
        </w:rPr>
        <w:t xml:space="preserve">The </w:t>
      </w:r>
      <w:r w:rsidR="00A35794">
        <w:rPr>
          <w:rFonts w:cs="Arial"/>
        </w:rPr>
        <w:t>available human and animal exposure data are limited</w:t>
      </w:r>
      <w:r w:rsidR="00AD302D">
        <w:rPr>
          <w:rFonts w:cs="Arial"/>
        </w:rPr>
        <w:t>. Methaemoglobin formation is observed above NOAE</w:t>
      </w:r>
      <w:r w:rsidR="001E7191">
        <w:rPr>
          <w:rFonts w:cs="Arial"/>
        </w:rPr>
        <w:t>C</w:t>
      </w:r>
      <w:r w:rsidR="00AD302D">
        <w:rPr>
          <w:rFonts w:cs="Arial"/>
        </w:rPr>
        <w:t xml:space="preserve"> of 0.06 and 0.9 ppm in separate sub</w:t>
      </w:r>
      <w:r w:rsidR="000665AB">
        <w:rPr>
          <w:rFonts w:cs="Arial"/>
        </w:rPr>
        <w:t>-</w:t>
      </w:r>
      <w:r w:rsidR="00AD302D">
        <w:rPr>
          <w:rFonts w:cs="Arial"/>
        </w:rPr>
        <w:t>chronic inhalation studies with rats (ACGIH,</w:t>
      </w:r>
      <w:r w:rsidR="00DA678A">
        <w:rPr>
          <w:rFonts w:cs="Arial"/>
        </w:rPr>
        <w:t> </w:t>
      </w:r>
      <w:r w:rsidR="00AD302D">
        <w:rPr>
          <w:rFonts w:cs="Arial"/>
        </w:rPr>
        <w:t>2018; HCOTN, 2003).</w:t>
      </w:r>
    </w:p>
    <w:p w14:paraId="221376D5" w14:textId="77E005FD" w:rsidR="00517DE4" w:rsidRDefault="0088291B" w:rsidP="006639B4">
      <w:pPr>
        <w:rPr>
          <w:rFonts w:cs="Arial"/>
        </w:rPr>
      </w:pPr>
      <w:r>
        <w:rPr>
          <w:rFonts w:cs="Arial"/>
        </w:rPr>
        <w:t xml:space="preserve">The current </w:t>
      </w:r>
      <w:r w:rsidR="0033644E">
        <w:rPr>
          <w:rFonts w:cs="Arial"/>
        </w:rPr>
        <w:t>recommended</w:t>
      </w:r>
      <w:r>
        <w:rPr>
          <w:rFonts w:cs="Arial"/>
        </w:rPr>
        <w:t xml:space="preserve"> </w:t>
      </w:r>
      <w:r w:rsidR="0033644E">
        <w:rPr>
          <w:rFonts w:cs="Arial"/>
        </w:rPr>
        <w:t>occupational exposure levels</w:t>
      </w:r>
      <w:r>
        <w:rPr>
          <w:rFonts w:cs="Arial"/>
        </w:rPr>
        <w:t xml:space="preserve"> in the available </w:t>
      </w:r>
      <w:r w:rsidR="00665A45">
        <w:rPr>
          <w:rFonts w:cs="Arial"/>
        </w:rPr>
        <w:t xml:space="preserve">primary </w:t>
      </w:r>
      <w:r>
        <w:rPr>
          <w:rFonts w:cs="Arial"/>
        </w:rPr>
        <w:t>source</w:t>
      </w:r>
      <w:r w:rsidR="00665A45">
        <w:rPr>
          <w:rFonts w:cs="Arial"/>
        </w:rPr>
        <w:t>s</w:t>
      </w:r>
      <w:r>
        <w:rPr>
          <w:rFonts w:cs="Arial"/>
        </w:rPr>
        <w:t xml:space="preserve"> documentation are in agreement</w:t>
      </w:r>
      <w:r w:rsidR="00903D1E">
        <w:rPr>
          <w:rFonts w:cs="Arial"/>
        </w:rPr>
        <w:t xml:space="preserve"> </w:t>
      </w:r>
      <w:r w:rsidR="00A35794">
        <w:rPr>
          <w:rFonts w:cs="Arial"/>
        </w:rPr>
        <w:t>and appear to be based on analogy to the structurally similar aniline and N,N</w:t>
      </w:r>
      <w:r w:rsidR="00A35794">
        <w:rPr>
          <w:rFonts w:cs="Arial"/>
        </w:rPr>
        <w:noBreakHyphen/>
        <w:t>dimethylaniline</w:t>
      </w:r>
      <w:r w:rsidR="00A35794" w:rsidDel="00AD302D">
        <w:rPr>
          <w:rFonts w:cs="Arial"/>
        </w:rPr>
        <w:t xml:space="preserve"> </w:t>
      </w:r>
      <w:r>
        <w:rPr>
          <w:rFonts w:cs="Arial"/>
        </w:rPr>
        <w:t>(ACGIH, 2018; HCOTN, 2003)</w:t>
      </w:r>
      <w:r w:rsidR="00AD302D">
        <w:rPr>
          <w:rFonts w:cs="Arial"/>
        </w:rPr>
        <w:t>.</w:t>
      </w:r>
      <w:r w:rsidR="0033644E">
        <w:rPr>
          <w:rFonts w:cs="Arial"/>
        </w:rPr>
        <w:t xml:space="preserve"> </w:t>
      </w:r>
      <w:r w:rsidR="00903D1E">
        <w:rPr>
          <w:rFonts w:cs="Arial"/>
        </w:rPr>
        <w:t>However, a NOAE</w:t>
      </w:r>
      <w:r w:rsidR="001E7191">
        <w:rPr>
          <w:rFonts w:cs="Arial"/>
        </w:rPr>
        <w:t>C</w:t>
      </w:r>
      <w:r w:rsidR="00903D1E">
        <w:rPr>
          <w:rFonts w:cs="Arial"/>
        </w:rPr>
        <w:t xml:space="preserve"> of 0.9 ppm for elevated methaemoglobin levels in a sub</w:t>
      </w:r>
      <w:r w:rsidR="000665AB">
        <w:rPr>
          <w:rFonts w:cs="Arial"/>
        </w:rPr>
        <w:t>-</w:t>
      </w:r>
      <w:r w:rsidR="00903D1E">
        <w:rPr>
          <w:rFonts w:cs="Arial"/>
        </w:rPr>
        <w:t xml:space="preserve">chronic inhalation study with rats has been used </w:t>
      </w:r>
      <w:r w:rsidR="00AD302D">
        <w:rPr>
          <w:rFonts w:cs="Arial"/>
        </w:rPr>
        <w:t>to derive</w:t>
      </w:r>
      <w:r w:rsidR="00903D1E">
        <w:rPr>
          <w:rFonts w:cs="Arial"/>
        </w:rPr>
        <w:t xml:space="preserve"> a health-based </w:t>
      </w:r>
      <w:r w:rsidR="00AD302D">
        <w:rPr>
          <w:rFonts w:cs="Arial"/>
        </w:rPr>
        <w:t>recommended OEL (HBROEL)</w:t>
      </w:r>
      <w:r w:rsidR="00903D1E">
        <w:rPr>
          <w:rFonts w:cs="Arial"/>
        </w:rPr>
        <w:t xml:space="preserve"> of 0.1 ppm </w:t>
      </w:r>
      <w:r w:rsidR="004A3E02">
        <w:rPr>
          <w:rFonts w:cs="Arial"/>
        </w:rPr>
        <w:t>to protect for this endpoint</w:t>
      </w:r>
      <w:r w:rsidR="00903D1E">
        <w:rPr>
          <w:rFonts w:cs="Arial"/>
        </w:rPr>
        <w:t xml:space="preserve"> (HCOTN, 2003)</w:t>
      </w:r>
      <w:r>
        <w:rPr>
          <w:rFonts w:cs="Arial"/>
        </w:rPr>
        <w:t>.</w:t>
      </w:r>
      <w:r w:rsidR="0033644E">
        <w:rPr>
          <w:rFonts w:cs="Arial"/>
        </w:rPr>
        <w:t xml:space="preserve"> </w:t>
      </w:r>
    </w:p>
    <w:p w14:paraId="4EEE47BF" w14:textId="7ED0F3DC" w:rsidR="008B569E" w:rsidRDefault="00AD302D" w:rsidP="006639B4">
      <w:pPr>
        <w:rPr>
          <w:rFonts w:cs="Arial"/>
        </w:rPr>
      </w:pPr>
      <w:r>
        <w:rPr>
          <w:rFonts w:cs="Arial"/>
        </w:rPr>
        <w:t xml:space="preserve">In view of the uncertainty in the </w:t>
      </w:r>
      <w:r w:rsidR="00517DE4">
        <w:rPr>
          <w:rFonts w:cs="Arial"/>
        </w:rPr>
        <w:t>derivations of the TWA equivalents reported by ACGIH (2018) and HCOTN (2003) and the HBROEL proposed by HCOTN (2003)</w:t>
      </w:r>
      <w:r w:rsidR="00DA678A">
        <w:rPr>
          <w:rFonts w:cs="Arial"/>
        </w:rPr>
        <w:t>,</w:t>
      </w:r>
      <w:r w:rsidR="00517DE4">
        <w:rPr>
          <w:rFonts w:cs="Arial"/>
        </w:rPr>
        <w:t xml:space="preserve"> an interim TWA of 0.1 ppm</w:t>
      </w:r>
      <w:r w:rsidR="00047721">
        <w:rPr>
          <w:rFonts w:cs="Arial"/>
        </w:rPr>
        <w:t xml:space="preserve"> </w:t>
      </w:r>
      <w:r w:rsidR="00047721" w:rsidRPr="00047721">
        <w:t>(0.55 mg/m</w:t>
      </w:r>
      <w:r w:rsidR="00047721" w:rsidRPr="00047721">
        <w:rPr>
          <w:vertAlign w:val="superscript"/>
        </w:rPr>
        <w:t>3</w:t>
      </w:r>
      <w:r w:rsidR="00047721" w:rsidRPr="00047721">
        <w:t>)</w:t>
      </w:r>
      <w:r w:rsidR="00517DE4">
        <w:rPr>
          <w:rFonts w:cs="Arial"/>
        </w:rPr>
        <w:t xml:space="preserve"> is recommended</w:t>
      </w:r>
      <w:r w:rsidR="00A35794">
        <w:rPr>
          <w:rFonts w:cs="Arial"/>
        </w:rPr>
        <w:t xml:space="preserve"> to protect for methaemoglobin formation</w:t>
      </w:r>
      <w:r w:rsidR="00517DE4">
        <w:rPr>
          <w:rFonts w:cs="Arial"/>
        </w:rPr>
        <w:t>. Further assessment of additional source material, regarding methaemoglobin formation in humans</w:t>
      </w:r>
      <w:r w:rsidR="00A35794">
        <w:rPr>
          <w:rFonts w:cs="Arial"/>
        </w:rPr>
        <w:t xml:space="preserve"> and the suitability of analogies to other structurally related anilines</w:t>
      </w:r>
      <w:r w:rsidR="00517DE4">
        <w:rPr>
          <w:rFonts w:cs="Arial"/>
        </w:rPr>
        <w:t xml:space="preserve">, is recommended </w:t>
      </w:r>
      <w:r w:rsidR="0033644E">
        <w:rPr>
          <w:rFonts w:cs="Arial"/>
        </w:rPr>
        <w:t xml:space="preserve">during </w:t>
      </w:r>
      <w:r w:rsidR="00EE081E">
        <w:rPr>
          <w:rFonts w:cs="Arial"/>
        </w:rPr>
        <w:t xml:space="preserve">the </w:t>
      </w:r>
      <w:r w:rsidR="00EE081E" w:rsidRPr="00EE081E">
        <w:rPr>
          <w:rFonts w:cs="Arial"/>
        </w:rPr>
        <w:t>next scheduled review</w:t>
      </w:r>
      <w:r w:rsidR="00FF142B">
        <w:rPr>
          <w:rFonts w:cs="Arial"/>
        </w:rPr>
        <w:t>.</w:t>
      </w:r>
    </w:p>
    <w:p w14:paraId="478EAED0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2DB36BED" w14:textId="05BB896D" w:rsidR="006C382D" w:rsidRDefault="006C382D" w:rsidP="006C382D">
      <w:pPr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681462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57402AA7" w14:textId="30F8BEF3" w:rsidR="006C382D" w:rsidRDefault="006C382D" w:rsidP="006C382D">
      <w:pPr>
        <w:rPr>
          <w:rFonts w:cs="Arial"/>
        </w:rPr>
      </w:pPr>
      <w:r>
        <w:rPr>
          <w:rFonts w:cs="Arial"/>
        </w:rPr>
        <w:t>Not classified as a skin</w:t>
      </w:r>
      <w:r w:rsidR="00681462" w:rsidRPr="00681462">
        <w:rPr>
          <w:rFonts w:cs="Arial"/>
        </w:rPr>
        <w:t xml:space="preserve"> </w:t>
      </w:r>
      <w:r w:rsidR="00681462">
        <w:rPr>
          <w:rFonts w:cs="Arial"/>
        </w:rPr>
        <w:t>sensitiser</w:t>
      </w:r>
      <w:r>
        <w:rPr>
          <w:rFonts w:cs="Arial"/>
        </w:rPr>
        <w:t xml:space="preserve"> or respiratory sensitiser according to the GHS.</w:t>
      </w:r>
    </w:p>
    <w:p w14:paraId="24428A29" w14:textId="7657642D" w:rsidR="005E6979" w:rsidRPr="004C23F4" w:rsidRDefault="00EE41C3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EE41C3">
        <w:rPr>
          <w:rFonts w:cs="Arial"/>
        </w:rPr>
        <w:t xml:space="preserve">A skin notation </w:t>
      </w:r>
      <w:r>
        <w:rPr>
          <w:rFonts w:cs="Arial"/>
        </w:rPr>
        <w:t xml:space="preserve">is </w:t>
      </w:r>
      <w:r w:rsidRPr="00EE41C3">
        <w:rPr>
          <w:rFonts w:cs="Arial"/>
        </w:rPr>
        <w:t xml:space="preserve">recommended based on evidence </w:t>
      </w:r>
      <w:r>
        <w:rPr>
          <w:rFonts w:cs="Arial"/>
        </w:rPr>
        <w:t>for</w:t>
      </w:r>
      <w:r w:rsidRPr="00EE41C3">
        <w:rPr>
          <w:rFonts w:cs="Arial"/>
        </w:rPr>
        <w:t xml:space="preserve"> potential dermal absorption and adverse systemic effects in animals.</w:t>
      </w:r>
    </w:p>
    <w:p w14:paraId="27BB13EC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EF8141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31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20"/>
        <w:gridCol w:w="42"/>
      </w:tblGrid>
      <w:tr w:rsidR="00C978F0" w:rsidRPr="00DA352E" w14:paraId="65622C99" w14:textId="77777777" w:rsidTr="00047721">
        <w:trPr>
          <w:trHeight w:val="393"/>
          <w:tblHeader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1E27512F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11CA20D" w14:textId="77777777" w:rsidTr="00047721">
        <w:trPr>
          <w:gridAfter w:val="1"/>
          <w:wAfter w:w="23" w:type="pct"/>
        </w:trPr>
        <w:tc>
          <w:tcPr>
            <w:tcW w:w="4977" w:type="pct"/>
            <w:shd w:val="clear" w:color="auto" w:fill="F2F2F2" w:themeFill="background1" w:themeFillShade="F2"/>
          </w:tcPr>
          <w:p w14:paraId="0255D017" w14:textId="198DFAA6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C382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C382D">
                  <w:t>TWA: 2 ppm (11 mg/m</w:t>
                </w:r>
                <w:r w:rsidR="006C382D" w:rsidRPr="006C382D">
                  <w:rPr>
                    <w:vertAlign w:val="superscript"/>
                  </w:rPr>
                  <w:t>3</w:t>
                </w:r>
                <w:r w:rsidR="006C382D">
                  <w:t>)</w:t>
                </w:r>
              </w:sdtContent>
            </w:sdt>
          </w:p>
        </w:tc>
      </w:tr>
      <w:tr w:rsidR="00C978F0" w:rsidRPr="00DA352E" w14:paraId="31EB75FB" w14:textId="77777777" w:rsidTr="00047721">
        <w:tc>
          <w:tcPr>
            <w:tcW w:w="5000" w:type="pct"/>
            <w:gridSpan w:val="2"/>
          </w:tcPr>
          <w:p w14:paraId="3281A032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BA0579C" w14:textId="77777777" w:rsidTr="0004772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19F387" w14:textId="21368FE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C382D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6C382D">
                  <w:t>TLV-TWA: 2 ppm (11 mg/m</w:t>
                </w:r>
                <w:r w:rsidR="006C382D" w:rsidRPr="006C382D">
                  <w:rPr>
                    <w:vertAlign w:val="superscript"/>
                  </w:rPr>
                  <w:t>3</w:t>
                </w:r>
                <w:r w:rsidR="006C382D">
                  <w:t>)</w:t>
                </w:r>
              </w:sdtContent>
            </w:sdt>
          </w:p>
        </w:tc>
      </w:tr>
      <w:tr w:rsidR="00C978F0" w:rsidRPr="00DA352E" w14:paraId="0482F78E" w14:textId="77777777" w:rsidTr="00047721">
        <w:tc>
          <w:tcPr>
            <w:tcW w:w="5000" w:type="pct"/>
            <w:gridSpan w:val="2"/>
          </w:tcPr>
          <w:p w14:paraId="224C727C" w14:textId="683C6250" w:rsidR="00C978F0" w:rsidRDefault="00720164" w:rsidP="003365A5">
            <w:pPr>
              <w:pStyle w:val="Tabletextprimarysource"/>
            </w:pPr>
            <w:r>
              <w:t xml:space="preserve">TLV-TWA </w:t>
            </w:r>
            <w:r w:rsidR="00171A01">
              <w:t>intended to minimise</w:t>
            </w:r>
            <w:r w:rsidR="00CC1A6D">
              <w:t xml:space="preserve"> the</w:t>
            </w:r>
            <w:r w:rsidR="00171A01">
              <w:t xml:space="preserve"> potential for </w:t>
            </w:r>
            <w:r w:rsidR="00665A45">
              <w:t>methaemoglobinaemia</w:t>
            </w:r>
            <w:r w:rsidR="00CC1A6D">
              <w:t xml:space="preserve"> formation</w:t>
            </w:r>
            <w:r w:rsidR="009C197D">
              <w:t xml:space="preserve">. TLV-TWA based </w:t>
            </w:r>
            <w:r w:rsidR="009C197D" w:rsidRPr="00A93B16">
              <w:t xml:space="preserve">on </w:t>
            </w:r>
            <w:r w:rsidR="009C197D">
              <w:t>structurally and toxicologically related aromatic amines, aniline and N,N-dimethylaniline. By this analogy, a skin notation is warranted.</w:t>
            </w:r>
            <w:r w:rsidR="00C519E1">
              <w:t xml:space="preserve"> A BEI for methaemoglobin levels is recommended.</w:t>
            </w:r>
          </w:p>
          <w:p w14:paraId="6AA8EC84" w14:textId="11700B7A" w:rsidR="009C197D" w:rsidRDefault="009C197D" w:rsidP="003365A5">
            <w:pPr>
              <w:pStyle w:val="Tabletextprimarysource"/>
            </w:pPr>
            <w:r>
              <w:t>Summary of data:</w:t>
            </w:r>
          </w:p>
          <w:p w14:paraId="127510E7" w14:textId="505AAAB1" w:rsidR="009C197D" w:rsidRDefault="009C197D" w:rsidP="009C197D">
            <w:pPr>
              <w:pStyle w:val="Tabletextprimarysource"/>
            </w:pPr>
            <w:r>
              <w:t>Human data:</w:t>
            </w:r>
          </w:p>
          <w:p w14:paraId="41532ECE" w14:textId="0B741ABD" w:rsidR="009C197D" w:rsidRDefault="00645A2B" w:rsidP="009C197D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Aromatic amines, including N-isopropylaniline, cause </w:t>
            </w:r>
            <w:r w:rsidR="00A72F3D">
              <w:t>methaemoglobinaemia</w:t>
            </w:r>
            <w:r>
              <w:t xml:space="preserve"> from oral, dermal and inhalational exposure (no further details provided)</w:t>
            </w:r>
            <w:r w:rsidR="00020B69">
              <w:t>.</w:t>
            </w:r>
          </w:p>
          <w:p w14:paraId="76D8342F" w14:textId="6A07E7AE" w:rsidR="009C197D" w:rsidRDefault="009C197D" w:rsidP="003365A5">
            <w:pPr>
              <w:pStyle w:val="Tabletextprimarysource"/>
            </w:pPr>
            <w:r>
              <w:t>Animal data:</w:t>
            </w:r>
          </w:p>
          <w:p w14:paraId="4C4FDECB" w14:textId="126E9858" w:rsidR="00A372AA" w:rsidRDefault="00A372AA" w:rsidP="00A372AA">
            <w:pPr>
              <w:pStyle w:val="Tabletextprimarysource"/>
              <w:numPr>
                <w:ilvl w:val="0"/>
                <w:numId w:val="2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 xml:space="preserve">: 560 mg/kg (rats); </w:t>
            </w:r>
            <w:r w:rsidR="00A93B16">
              <w:t>oral LD</w:t>
            </w:r>
            <w:r w:rsidR="00A93B16">
              <w:rPr>
                <w:vertAlign w:val="subscript"/>
              </w:rPr>
              <w:t xml:space="preserve">50 </w:t>
            </w:r>
            <w:r w:rsidR="00A93B16">
              <w:t xml:space="preserve">comparable to </w:t>
            </w:r>
            <w:r>
              <w:t>aniline (440 mg/kg, rats)</w:t>
            </w:r>
          </w:p>
          <w:p w14:paraId="407B2673" w14:textId="168E4B1F" w:rsidR="00A372AA" w:rsidRDefault="00A372AA" w:rsidP="00A372AA">
            <w:pPr>
              <w:pStyle w:val="Tabletextprimarysource"/>
              <w:numPr>
                <w:ilvl w:val="0"/>
                <w:numId w:val="2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3,550 mg/kg (rabbits</w:t>
            </w:r>
            <w:r w:rsidR="00020B69">
              <w:t>, dermal</w:t>
            </w:r>
            <w:r>
              <w:t>); slight eye and skin irritant</w:t>
            </w:r>
          </w:p>
          <w:p w14:paraId="62E00283" w14:textId="72E7F20E" w:rsidR="00A372AA" w:rsidRDefault="00A372AA" w:rsidP="00A372AA">
            <w:pPr>
              <w:pStyle w:val="Tabletextprimarysource"/>
              <w:numPr>
                <w:ilvl w:val="0"/>
                <w:numId w:val="2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 xml:space="preserve">: 218 ppm (rats, 4 h); </w:t>
            </w:r>
            <w:r w:rsidR="00020B69">
              <w:t>CNS</w:t>
            </w:r>
            <w:r>
              <w:t xml:space="preserve"> depression and </w:t>
            </w:r>
            <w:r w:rsidR="00A93B16" w:rsidRPr="00A93B16">
              <w:t>body</w:t>
            </w:r>
            <w:r w:rsidR="00A93B16">
              <w:t xml:space="preserve"> weight reduction </w:t>
            </w:r>
          </w:p>
          <w:p w14:paraId="0DFF0978" w14:textId="561273A7" w:rsidR="00A372AA" w:rsidRDefault="00645A2B" w:rsidP="00A372AA">
            <w:pPr>
              <w:pStyle w:val="Tabletextprimarysource"/>
              <w:numPr>
                <w:ilvl w:val="0"/>
                <w:numId w:val="2"/>
              </w:numPr>
            </w:pPr>
            <w:r>
              <w:t>Sub</w:t>
            </w:r>
            <w:r w:rsidR="00665A45">
              <w:t>-</w:t>
            </w:r>
            <w:r>
              <w:t xml:space="preserve">chronic inhalation study with treatment groups 0.9, 3.6, and 18 ppm (rats, </w:t>
            </w:r>
            <w:r w:rsidR="00822006">
              <w:t>6 h/d, 5</w:t>
            </w:r>
            <w:r w:rsidR="00E660A2">
              <w:t> </w:t>
            </w:r>
            <w:r w:rsidR="00822006">
              <w:t>d/wk, 14 wk</w:t>
            </w:r>
            <w:r>
              <w:t>) reported</w:t>
            </w:r>
            <w:r w:rsidR="00E660A2">
              <w:t>:</w:t>
            </w:r>
          </w:p>
          <w:p w14:paraId="3A3E3166" w14:textId="1A46B3B0" w:rsidR="00645A2B" w:rsidRDefault="00020B69" w:rsidP="00047721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 w:rsidRPr="00A93B16">
              <w:t>d</w:t>
            </w:r>
            <w:r w:rsidR="00645A2B" w:rsidRPr="00A93B16">
              <w:t>ecreased b</w:t>
            </w:r>
            <w:r w:rsidR="00A93B16" w:rsidRPr="00A93B16">
              <w:t xml:space="preserve">ody </w:t>
            </w:r>
            <w:r w:rsidR="00645A2B" w:rsidRPr="00A93B16">
              <w:t>w</w:t>
            </w:r>
            <w:r w:rsidR="00A93B16" w:rsidRPr="00A93B16">
              <w:t>eight</w:t>
            </w:r>
            <w:r w:rsidR="00645A2B" w:rsidRPr="00A93B16">
              <w:t xml:space="preserve"> gain</w:t>
            </w:r>
            <w:r w:rsidR="00645A2B">
              <w:t>, increased spleen and kidney weight, and haemosiderosis in spleens of 18 ppm group</w:t>
            </w:r>
          </w:p>
          <w:p w14:paraId="382B0DB3" w14:textId="3931529F" w:rsidR="00645A2B" w:rsidRDefault="00020B69" w:rsidP="00047721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d</w:t>
            </w:r>
            <w:r w:rsidR="00645A2B">
              <w:t>ose-dependent increase in methaemoglobin in all groups</w:t>
            </w:r>
          </w:p>
          <w:p w14:paraId="46120F17" w14:textId="748637A0" w:rsidR="00645A2B" w:rsidRDefault="00645A2B" w:rsidP="00645A2B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No foetal or embryonic toxicity at 30 or 100 mg/kg/d in repeat gavage developmental study (unspecified species, </w:t>
            </w:r>
            <w:r w:rsidR="001E7191">
              <w:t>GD</w:t>
            </w:r>
            <w:r>
              <w:t xml:space="preserve"> 6–15); malformations observed at overtly maternally toxic levels (unspecified)</w:t>
            </w:r>
          </w:p>
          <w:p w14:paraId="5CD35516" w14:textId="427C6D57" w:rsidR="00645A2B" w:rsidRDefault="00645A2B" w:rsidP="00645A2B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Non-mutagenic </w:t>
            </w:r>
            <w:r>
              <w:rPr>
                <w:i/>
              </w:rPr>
              <w:t>in vitro</w:t>
            </w:r>
            <w:r>
              <w:t xml:space="preserve"> in bacteria and yeast</w:t>
            </w:r>
          </w:p>
          <w:p w14:paraId="3A7B7627" w14:textId="371697AC" w:rsidR="00957F8B" w:rsidRDefault="00957F8B" w:rsidP="00645A2B">
            <w:pPr>
              <w:pStyle w:val="Tabletextprimarysource"/>
              <w:numPr>
                <w:ilvl w:val="0"/>
                <w:numId w:val="2"/>
              </w:numPr>
            </w:pPr>
            <w:r>
              <w:t>Carcinogenic potential not discussed</w:t>
            </w:r>
            <w:r w:rsidR="00681462">
              <w:t>.</w:t>
            </w:r>
          </w:p>
          <w:p w14:paraId="46D888A4" w14:textId="77777777" w:rsidR="00E660A2" w:rsidRDefault="00E660A2" w:rsidP="003365A5">
            <w:pPr>
              <w:pStyle w:val="Tabletextprimarysource"/>
            </w:pPr>
          </w:p>
          <w:p w14:paraId="75B42272" w14:textId="0A179C6C" w:rsidR="009C197D" w:rsidRDefault="009C197D" w:rsidP="003365A5">
            <w:pPr>
              <w:pStyle w:val="Tabletextprimarysource"/>
            </w:pPr>
            <w:r>
              <w:t>Insufficient data available to recommend a STEL or notations for carcinogenicity or sensitisation.</w:t>
            </w:r>
          </w:p>
          <w:p w14:paraId="614DE625" w14:textId="53260C56" w:rsidR="00E660A2" w:rsidRPr="009C197D" w:rsidRDefault="00E660A2" w:rsidP="003365A5">
            <w:pPr>
              <w:pStyle w:val="Tabletextprimarysource"/>
            </w:pPr>
          </w:p>
        </w:tc>
      </w:tr>
      <w:tr w:rsidR="00C978F0" w:rsidRPr="00DA352E" w14:paraId="06A74C2D" w14:textId="77777777" w:rsidTr="0004772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F5FBB75" w14:textId="32891E2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C382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C382D">
                  <w:t>NA</w:t>
                </w:r>
              </w:sdtContent>
            </w:sdt>
          </w:p>
        </w:tc>
      </w:tr>
      <w:tr w:rsidR="00C978F0" w:rsidRPr="00DA352E" w14:paraId="45EED883" w14:textId="77777777" w:rsidTr="00047721">
        <w:tc>
          <w:tcPr>
            <w:tcW w:w="5000" w:type="pct"/>
            <w:gridSpan w:val="2"/>
          </w:tcPr>
          <w:p w14:paraId="5B221790" w14:textId="78C5600C" w:rsidR="00C978F0" w:rsidRPr="00DA352E" w:rsidRDefault="006C382D" w:rsidP="003365A5">
            <w:pPr>
              <w:pStyle w:val="Tabletextprimarysource"/>
            </w:pPr>
            <w:r>
              <w:t>No report</w:t>
            </w:r>
            <w:r w:rsidR="00681462">
              <w:t>.</w:t>
            </w:r>
          </w:p>
        </w:tc>
      </w:tr>
      <w:tr w:rsidR="00C978F0" w:rsidRPr="00DA352E" w14:paraId="2E4E1315" w14:textId="77777777" w:rsidTr="0004772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6F4F453" w14:textId="0D4FD31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0332A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0332AD">
                  <w:t>NA</w:t>
                </w:r>
              </w:sdtContent>
            </w:sdt>
          </w:p>
        </w:tc>
      </w:tr>
      <w:tr w:rsidR="00C978F0" w:rsidRPr="00DA352E" w14:paraId="7A676EEB" w14:textId="77777777" w:rsidTr="00047721">
        <w:tc>
          <w:tcPr>
            <w:tcW w:w="5000" w:type="pct"/>
            <w:gridSpan w:val="2"/>
          </w:tcPr>
          <w:p w14:paraId="043EDB15" w14:textId="47029FE6" w:rsidR="00C978F0" w:rsidRPr="00DA352E" w:rsidRDefault="000332AD" w:rsidP="003365A5">
            <w:pPr>
              <w:pStyle w:val="Tabletextprimarysource"/>
            </w:pPr>
            <w:r>
              <w:t>No report</w:t>
            </w:r>
            <w:r w:rsidR="00681462">
              <w:t>.</w:t>
            </w:r>
          </w:p>
        </w:tc>
      </w:tr>
      <w:tr w:rsidR="00DA352E" w:rsidRPr="00DA352E" w14:paraId="2F0DDD33" w14:textId="77777777" w:rsidTr="0004772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D1739B6" w14:textId="713DC87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0332A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0332AD">
                  <w:t>NA</w:t>
                </w:r>
              </w:sdtContent>
            </w:sdt>
          </w:p>
        </w:tc>
      </w:tr>
      <w:tr w:rsidR="00DA352E" w:rsidRPr="00DA352E" w14:paraId="0BF90216" w14:textId="77777777" w:rsidTr="00047721">
        <w:tc>
          <w:tcPr>
            <w:tcW w:w="5000" w:type="pct"/>
            <w:gridSpan w:val="2"/>
          </w:tcPr>
          <w:p w14:paraId="41EBBE86" w14:textId="4ABD17FD" w:rsidR="00DA352E" w:rsidRPr="00DA352E" w:rsidRDefault="000332AD" w:rsidP="003365A5">
            <w:pPr>
              <w:pStyle w:val="Tabletextprimarysource"/>
            </w:pPr>
            <w:r>
              <w:t>No report</w:t>
            </w:r>
            <w:r w:rsidR="00681462">
              <w:t>.</w:t>
            </w:r>
          </w:p>
        </w:tc>
      </w:tr>
      <w:tr w:rsidR="00DA352E" w:rsidRPr="00DA352E" w14:paraId="08D69883" w14:textId="77777777" w:rsidTr="0004772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AD1AC94" w14:textId="774024B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0332AD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020B69">
                  <w:t>TWA:</w:t>
                </w:r>
                <w:r w:rsidR="000332AD">
                  <w:t xml:space="preserve"> 2 ppm (10 mg/m</w:t>
                </w:r>
                <w:r w:rsidR="000332AD" w:rsidRPr="000332AD">
                  <w:rPr>
                    <w:vertAlign w:val="superscript"/>
                  </w:rPr>
                  <w:t>3</w:t>
                </w:r>
                <w:r w:rsidR="000332AD">
                  <w:t>)</w:t>
                </w:r>
              </w:sdtContent>
            </w:sdt>
          </w:p>
        </w:tc>
      </w:tr>
      <w:tr w:rsidR="00DA352E" w:rsidRPr="00DA352E" w14:paraId="0BD377D0" w14:textId="77777777" w:rsidTr="00047721">
        <w:tc>
          <w:tcPr>
            <w:tcW w:w="5000" w:type="pct"/>
            <w:gridSpan w:val="2"/>
          </w:tcPr>
          <w:p w14:paraId="3A7FF752" w14:textId="292ACE37" w:rsidR="00DA352E" w:rsidRDefault="00562999" w:rsidP="003365A5">
            <w:pPr>
              <w:pStyle w:val="Tabletextprimarysource"/>
            </w:pPr>
            <w:r>
              <w:t>Summary of additional data:</w:t>
            </w:r>
          </w:p>
          <w:p w14:paraId="0DDDFB38" w14:textId="66FC205C" w:rsidR="00020B69" w:rsidRDefault="00095585" w:rsidP="003365A5">
            <w:pPr>
              <w:pStyle w:val="Tabletextprimarysource"/>
            </w:pPr>
            <w:r>
              <w:t xml:space="preserve">Current administrative level considered too high following health-based risk assessment. </w:t>
            </w:r>
            <w:r w:rsidR="00C519E1">
              <w:t xml:space="preserve">Methaemoglobin formation </w:t>
            </w:r>
            <w:r w:rsidR="008B2755">
              <w:t>considered</w:t>
            </w:r>
            <w:r w:rsidR="00C519E1">
              <w:t xml:space="preserve"> the critical effect. 14</w:t>
            </w:r>
            <w:r w:rsidR="00A72F3D">
              <w:t>-</w:t>
            </w:r>
            <w:r w:rsidR="00C519E1">
              <w:t xml:space="preserve">wk inhalation study with rats (also cited in ACGIH, 2018) used </w:t>
            </w:r>
            <w:r w:rsidR="00467B69">
              <w:t>in</w:t>
            </w:r>
            <w:r w:rsidR="00C519E1">
              <w:t xml:space="preserve"> derivation of HBROEL. Methaemoglobin levels (1.4%) at 0.9</w:t>
            </w:r>
            <w:r w:rsidR="00681462">
              <w:t xml:space="preserve"> </w:t>
            </w:r>
            <w:r w:rsidR="00C519E1">
              <w:t>ppm were the same as those at 5.6 ppm in a 2</w:t>
            </w:r>
            <w:r w:rsidR="00681462">
              <w:t xml:space="preserve"> </w:t>
            </w:r>
            <w:r w:rsidR="00C519E1">
              <w:t>wk study, but not considered toxicologically relevant to workplace exposure regarding a BEI of 1.5% set by the ACGIH for methaemoglobin blood concentrations.</w:t>
            </w:r>
            <w:r w:rsidR="00467B69">
              <w:t xml:space="preserve"> </w:t>
            </w:r>
          </w:p>
          <w:p w14:paraId="7CD774A6" w14:textId="29D3E57A" w:rsidR="00C519E1" w:rsidRDefault="005443B8" w:rsidP="003365A5">
            <w:pPr>
              <w:pStyle w:val="Tabletextprimarysource"/>
            </w:pPr>
            <w:r>
              <w:t>An HBROEL of 0.1 ppm as an 8 h TWA is obtained using the</w:t>
            </w:r>
            <w:r w:rsidR="00467B69">
              <w:t xml:space="preserve"> NOAEL </w:t>
            </w:r>
            <w:r w:rsidR="00665A45">
              <w:t>of</w:t>
            </w:r>
            <w:r w:rsidR="00467B69">
              <w:t xml:space="preserve"> 0.9 ppm</w:t>
            </w:r>
            <w:r>
              <w:t xml:space="preserve"> and applying </w:t>
            </w:r>
            <w:r w:rsidR="00467B69">
              <w:t xml:space="preserve">an overall factor of 9 </w:t>
            </w:r>
            <w:r>
              <w:t xml:space="preserve">to account </w:t>
            </w:r>
            <w:r w:rsidR="00467B69">
              <w:t>for inter- and intraspecies differences</w:t>
            </w:r>
            <w:r w:rsidR="00822006">
              <w:t>. A skin notation is currently recommended, but is not supported by a health-based assessment due to lack of quantitative absorption data.</w:t>
            </w:r>
          </w:p>
          <w:p w14:paraId="2D53D457" w14:textId="77777777" w:rsidR="00562999" w:rsidRDefault="00562999" w:rsidP="003365A5">
            <w:pPr>
              <w:pStyle w:val="Tabletextprimarysource"/>
            </w:pPr>
            <w:r>
              <w:t>Animal data:</w:t>
            </w:r>
          </w:p>
          <w:p w14:paraId="2E6D0022" w14:textId="77777777" w:rsidR="00562999" w:rsidRDefault="00562999" w:rsidP="00562999">
            <w:pPr>
              <w:pStyle w:val="Tabletextprimarysource"/>
              <w:numPr>
                <w:ilvl w:val="0"/>
                <w:numId w:val="2"/>
              </w:numPr>
            </w:pPr>
            <w:r>
              <w:t>70% of 15 mg/kg ip dose excreted in urine after 24 h (rats); 80–90% after 96 h</w:t>
            </w:r>
          </w:p>
          <w:p w14:paraId="766D0C2B" w14:textId="77777777" w:rsidR="00562999" w:rsidRDefault="00562999" w:rsidP="00562999">
            <w:pPr>
              <w:pStyle w:val="Tabletextprimarysource"/>
              <w:numPr>
                <w:ilvl w:val="0"/>
                <w:numId w:val="2"/>
              </w:numPr>
            </w:pPr>
            <w:r>
              <w:t>Eye irritation in rabbits was reversible within 7 d</w:t>
            </w:r>
          </w:p>
          <w:p w14:paraId="0115D653" w14:textId="468C0D5F" w:rsidR="00562999" w:rsidRDefault="00562999" w:rsidP="00562999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Non-sensitising in patch test with 0.3 mL </w:t>
            </w:r>
            <w:r w:rsidR="00C66203">
              <w:t xml:space="preserve">undiluted </w:t>
            </w:r>
            <w:r>
              <w:t>substance (guinea pigs, 1/wk, 3 wk, challenged 14 d after last dose)</w:t>
            </w:r>
          </w:p>
          <w:p w14:paraId="3BF3C78A" w14:textId="1A1D095F" w:rsidR="00EE41C3" w:rsidRDefault="00EE41C3" w:rsidP="00562999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Anaemia and </w:t>
            </w:r>
            <w:r w:rsidR="00A72F3D">
              <w:t>methaemoglobinaemia</w:t>
            </w:r>
            <w:r>
              <w:t xml:space="preserve"> at 100 and 400 mg/kg/d in repeat dermal application study (rats, neat, non-occlusive, 6 h/d, 5 d/wk, 1 mo); interferences in analytical methods complicate interpretation of results</w:t>
            </w:r>
          </w:p>
          <w:p w14:paraId="7831E720" w14:textId="17E47DE5" w:rsidR="0033644E" w:rsidRDefault="0033644E" w:rsidP="00562999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Lachrymation and hypoactivity at 89 ppm, and dose-dependent frequency of nasal discharges and encrustation in treatment range 10–89 ppm (rats, 6 h/d, 5 d/wk, 4 wk) </w:t>
            </w:r>
          </w:p>
          <w:p w14:paraId="6086B763" w14:textId="0985BB61" w:rsidR="00562999" w:rsidRPr="00822006" w:rsidRDefault="00562999" w:rsidP="00562999">
            <w:pPr>
              <w:pStyle w:val="Tabletextprimarysource"/>
              <w:numPr>
                <w:ilvl w:val="0"/>
                <w:numId w:val="2"/>
              </w:numPr>
            </w:pPr>
            <w:r w:rsidRPr="00822006">
              <w:t>Sub</w:t>
            </w:r>
            <w:r w:rsidR="00320438">
              <w:t>-</w:t>
            </w:r>
            <w:r w:rsidRPr="00822006">
              <w:t>chronic inhalation study with exposure groups 0.06, 0.5, 5.6 ppm (rats</w:t>
            </w:r>
            <w:r w:rsidR="004231DA" w:rsidRPr="00822006">
              <w:t>, 6 h/d, 5 d/wk, 2</w:t>
            </w:r>
            <w:r w:rsidR="00E660A2">
              <w:t> </w:t>
            </w:r>
            <w:r w:rsidR="004231DA" w:rsidRPr="00822006">
              <w:t>wk) reported</w:t>
            </w:r>
            <w:r w:rsidR="00E660A2">
              <w:t>:</w:t>
            </w:r>
          </w:p>
          <w:p w14:paraId="0E4F665A" w14:textId="327E9715" w:rsidR="004231DA" w:rsidRPr="00822006" w:rsidRDefault="00020B69" w:rsidP="00047721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n</w:t>
            </w:r>
            <w:r w:rsidR="004231DA" w:rsidRPr="00822006">
              <w:t>o histopathological changes noted</w:t>
            </w:r>
          </w:p>
          <w:p w14:paraId="3B80E93C" w14:textId="4F326BC5" w:rsidR="004231DA" w:rsidRPr="00822006" w:rsidRDefault="00020B69" w:rsidP="00047721">
            <w:pPr>
              <w:pStyle w:val="Tabletextprimarysource"/>
              <w:numPr>
                <w:ilvl w:val="1"/>
                <w:numId w:val="2"/>
              </w:numPr>
              <w:ind w:left="1094" w:hanging="357"/>
            </w:pPr>
            <w:r>
              <w:t>e</w:t>
            </w:r>
            <w:r w:rsidR="004231DA" w:rsidRPr="00822006">
              <w:t xml:space="preserve">levated methaemoglobin levels </w:t>
            </w:r>
            <w:r w:rsidR="004231DA" w:rsidRPr="00822006">
              <w:rPr>
                <w:rFonts w:cs="Arial"/>
              </w:rPr>
              <w:t>≥</w:t>
            </w:r>
            <w:r w:rsidR="004231DA" w:rsidRPr="00822006">
              <w:t>0.5 ppm</w:t>
            </w:r>
          </w:p>
          <w:p w14:paraId="6993B6C8" w14:textId="5A337A10" w:rsidR="0001494F" w:rsidRDefault="0001494F" w:rsidP="0001494F">
            <w:pPr>
              <w:pStyle w:val="Tabletextprimarysource"/>
              <w:numPr>
                <w:ilvl w:val="0"/>
                <w:numId w:val="2"/>
              </w:numPr>
            </w:pPr>
            <w:r>
              <w:t>No effects on female fertility at 3.6 ppm or male fertility at 18 ppm in repeat inhalation study (rats, 11 wk)</w:t>
            </w:r>
            <w:r w:rsidR="008B2755">
              <w:t>; lower rate of pregnancy at 18 ppm, but no changes in outcome</w:t>
            </w:r>
          </w:p>
          <w:p w14:paraId="27E1D406" w14:textId="41391D86" w:rsidR="0001494F" w:rsidRPr="000665AB" w:rsidRDefault="0001494F" w:rsidP="0001494F">
            <w:pPr>
              <w:pStyle w:val="Tabletextprimarysource"/>
              <w:numPr>
                <w:ilvl w:val="0"/>
                <w:numId w:val="2"/>
              </w:numPr>
              <w:rPr>
                <w:lang w:val="it-IT"/>
              </w:rPr>
            </w:pPr>
            <w:r w:rsidRPr="000665AB">
              <w:rPr>
                <w:lang w:val="it-IT"/>
              </w:rPr>
              <w:t>Non-</w:t>
            </w:r>
            <w:r w:rsidRPr="00F5317E">
              <w:t xml:space="preserve">mutagenic </w:t>
            </w:r>
            <w:r w:rsidRPr="000665AB">
              <w:rPr>
                <w:i/>
                <w:lang w:val="it-IT"/>
              </w:rPr>
              <w:t>in vitro</w:t>
            </w:r>
            <w:r w:rsidRPr="000665AB">
              <w:rPr>
                <w:lang w:val="it-IT"/>
              </w:rPr>
              <w:t xml:space="preserve"> or </w:t>
            </w:r>
            <w:r w:rsidRPr="000665AB">
              <w:rPr>
                <w:i/>
                <w:lang w:val="it-IT"/>
              </w:rPr>
              <w:t>in vivo</w:t>
            </w:r>
            <w:r w:rsidR="00681462" w:rsidRPr="000665AB">
              <w:rPr>
                <w:lang w:val="it-IT"/>
              </w:rPr>
              <w:t>.</w:t>
            </w:r>
          </w:p>
          <w:p w14:paraId="21EA0F25" w14:textId="77777777" w:rsidR="00E660A2" w:rsidRPr="000665AB" w:rsidRDefault="00E660A2" w:rsidP="0001494F">
            <w:pPr>
              <w:pStyle w:val="Tabletextprimarysource"/>
              <w:rPr>
                <w:lang w:val="it-IT"/>
              </w:rPr>
            </w:pPr>
          </w:p>
          <w:p w14:paraId="2BFBBD96" w14:textId="18D797DF" w:rsidR="0001494F" w:rsidRDefault="0001494F" w:rsidP="0001494F">
            <w:pPr>
              <w:pStyle w:val="Tabletextprimarysource"/>
            </w:pPr>
            <w:r>
              <w:t>Insufficient data to assess carcinogenicity</w:t>
            </w:r>
            <w:r w:rsidR="00822006">
              <w:t>.</w:t>
            </w:r>
          </w:p>
          <w:p w14:paraId="2BA59F0D" w14:textId="6876ADF0" w:rsidR="00E660A2" w:rsidRPr="00DA352E" w:rsidRDefault="00E660A2" w:rsidP="0001494F">
            <w:pPr>
              <w:pStyle w:val="Tabletextprimarysource"/>
            </w:pPr>
          </w:p>
        </w:tc>
      </w:tr>
    </w:tbl>
    <w:p w14:paraId="4AA821FB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2"/>
        <w:gridCol w:w="661"/>
        <w:gridCol w:w="6447"/>
      </w:tblGrid>
      <w:tr w:rsidR="004966BF" w:rsidRPr="00263255" w14:paraId="253F1C6C" w14:textId="77777777" w:rsidTr="00020B69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2F2C7599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57A83922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BA4C349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7" w:type="dxa"/>
            <w:shd w:val="clear" w:color="auto" w:fill="BFBFBF" w:themeFill="background1" w:themeFillShade="BF"/>
            <w:vAlign w:val="center"/>
          </w:tcPr>
          <w:p w14:paraId="2AE4C3FA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716E9F6" w14:textId="77777777" w:rsidTr="00020B69">
        <w:trPr>
          <w:cantSplit/>
        </w:trPr>
        <w:tc>
          <w:tcPr>
            <w:tcW w:w="1496" w:type="dxa"/>
          </w:tcPr>
          <w:p w14:paraId="7571926A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2" w:type="dxa"/>
          </w:tcPr>
          <w:p w14:paraId="210AF22F" w14:textId="028AA3C4" w:rsidR="004966BF" w:rsidRPr="00CE617F" w:rsidRDefault="00D7789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B275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BF9AA59" w14:textId="5C890F83" w:rsidR="004966BF" w:rsidRPr="004C23F4" w:rsidRDefault="008B275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7" w:type="dxa"/>
          </w:tcPr>
          <w:p w14:paraId="7408F7CA" w14:textId="472E7113" w:rsidR="004966BF" w:rsidRPr="004C23F4" w:rsidRDefault="00562999" w:rsidP="00047721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t xml:space="preserve">Not yet assessed; </w:t>
            </w:r>
            <w:r w:rsidRPr="00562999">
              <w:t>predicted as likely to meet criteria for category 1A or 1B carcinogenicity, mutagenicity, or reproductive toxicity</w:t>
            </w:r>
            <w:r w:rsidR="00681462">
              <w:t>.</w:t>
            </w:r>
          </w:p>
        </w:tc>
      </w:tr>
    </w:tbl>
    <w:bookmarkEnd w:id="1"/>
    <w:p w14:paraId="15A8D6C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770DD87F" w14:textId="77777777" w:rsidTr="008B2755">
        <w:trPr>
          <w:trHeight w:val="454"/>
          <w:tblHeader/>
        </w:trPr>
        <w:tc>
          <w:tcPr>
            <w:tcW w:w="6603" w:type="dxa"/>
            <w:vAlign w:val="center"/>
          </w:tcPr>
          <w:p w14:paraId="09449AD7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7F4D7F7" w14:textId="0020FB36" w:rsidR="002E0D61" w:rsidRDefault="008B275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68915B22" w14:textId="77777777" w:rsidTr="008B2755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44A3BDBF" w14:textId="53C2A9DC" w:rsidR="008A36CF" w:rsidRPr="006901A2" w:rsidRDefault="008B2755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8B3109E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13B50E5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286F01B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3F36A69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C45F2F8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C54AF4C" w14:textId="77777777" w:rsidTr="00812887">
        <w:trPr>
          <w:cantSplit/>
        </w:trPr>
        <w:tc>
          <w:tcPr>
            <w:tcW w:w="3227" w:type="dxa"/>
          </w:tcPr>
          <w:p w14:paraId="7DB617BE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DB9CF5B" w14:textId="5AA2E851" w:rsidR="00687890" w:rsidRPr="00DD2F9B" w:rsidRDefault="000332AD" w:rsidP="00DD2F9B">
            <w:pPr>
              <w:pStyle w:val="Tablefont"/>
            </w:pPr>
            <w:r w:rsidRPr="000332AD">
              <w:t>Skin</w:t>
            </w:r>
          </w:p>
        </w:tc>
      </w:tr>
      <w:tr w:rsidR="007925F0" w:rsidRPr="004C23F4" w14:paraId="45759936" w14:textId="77777777" w:rsidTr="00812887">
        <w:trPr>
          <w:cantSplit/>
        </w:trPr>
        <w:tc>
          <w:tcPr>
            <w:tcW w:w="3227" w:type="dxa"/>
          </w:tcPr>
          <w:p w14:paraId="07D5DD44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296277C" w14:textId="22BD70A1" w:rsidR="007925F0" w:rsidRPr="00DD2F9B" w:rsidRDefault="000332AD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6E1CC335" w14:textId="77777777" w:rsidTr="00812887">
        <w:trPr>
          <w:cantSplit/>
        </w:trPr>
        <w:tc>
          <w:tcPr>
            <w:tcW w:w="3227" w:type="dxa"/>
          </w:tcPr>
          <w:p w14:paraId="4B838C4D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0AA3E17" w14:textId="7BB60359" w:rsidR="00AF483F" w:rsidRPr="00DD2F9B" w:rsidRDefault="000332AD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4917DC5" w14:textId="77777777" w:rsidTr="00812887">
        <w:trPr>
          <w:cantSplit/>
        </w:trPr>
        <w:tc>
          <w:tcPr>
            <w:tcW w:w="3227" w:type="dxa"/>
          </w:tcPr>
          <w:p w14:paraId="6079B3B3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7EFC626" w14:textId="4DFBD5BD" w:rsidR="00687890" w:rsidRPr="00DD2F9B" w:rsidRDefault="000332A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871BEFA" w14:textId="77777777" w:rsidTr="00812887">
        <w:trPr>
          <w:cantSplit/>
        </w:trPr>
        <w:tc>
          <w:tcPr>
            <w:tcW w:w="3227" w:type="dxa"/>
          </w:tcPr>
          <w:p w14:paraId="5C92998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F17A068" w14:textId="336C6EA8" w:rsidR="00E41A26" w:rsidRPr="00DD2F9B" w:rsidRDefault="00562999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F52ABBE" w14:textId="77777777" w:rsidTr="00812887">
        <w:trPr>
          <w:cantSplit/>
        </w:trPr>
        <w:tc>
          <w:tcPr>
            <w:tcW w:w="3227" w:type="dxa"/>
          </w:tcPr>
          <w:p w14:paraId="4EB846C6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E7FFE7D" w14:textId="121A6CFB" w:rsidR="002E0D61" w:rsidRPr="00DD2F9B" w:rsidRDefault="000332AD" w:rsidP="00DD2F9B">
            <w:pPr>
              <w:pStyle w:val="Tablefont"/>
            </w:pPr>
            <w:r w:rsidRPr="000332AD">
              <w:t>Skin</w:t>
            </w:r>
          </w:p>
        </w:tc>
      </w:tr>
      <w:tr w:rsidR="002E0D61" w:rsidRPr="004C23F4" w14:paraId="78D6E34B" w14:textId="77777777" w:rsidTr="00812887">
        <w:trPr>
          <w:cantSplit/>
        </w:trPr>
        <w:tc>
          <w:tcPr>
            <w:tcW w:w="3227" w:type="dxa"/>
          </w:tcPr>
          <w:p w14:paraId="019389E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41EB372" w14:textId="3C8C9DE8" w:rsidR="002E0D61" w:rsidRPr="00DD2F9B" w:rsidRDefault="000332A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3275D99" w14:textId="77777777" w:rsidTr="00812887">
        <w:trPr>
          <w:cantSplit/>
        </w:trPr>
        <w:tc>
          <w:tcPr>
            <w:tcW w:w="3227" w:type="dxa"/>
          </w:tcPr>
          <w:p w14:paraId="66DAB981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00B78D4" w14:textId="14B3F3E5" w:rsidR="002E0D61" w:rsidRPr="00DD2F9B" w:rsidRDefault="000332A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C6B75B6" w14:textId="77777777" w:rsidTr="00812887">
        <w:trPr>
          <w:cantSplit/>
        </w:trPr>
        <w:tc>
          <w:tcPr>
            <w:tcW w:w="3227" w:type="dxa"/>
          </w:tcPr>
          <w:p w14:paraId="183E5E5F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BB7274D" w14:textId="40DA505A" w:rsidR="002E0D61" w:rsidRPr="00DD2F9B" w:rsidRDefault="000332AD" w:rsidP="00DD2F9B">
            <w:pPr>
              <w:pStyle w:val="Tablefont"/>
            </w:pPr>
            <w:r w:rsidRPr="000332AD">
              <w:t>Skin</w:t>
            </w:r>
          </w:p>
        </w:tc>
      </w:tr>
      <w:tr w:rsidR="00386093" w:rsidRPr="004C23F4" w14:paraId="606C91BC" w14:textId="77777777" w:rsidTr="00812887">
        <w:trPr>
          <w:cantSplit/>
        </w:trPr>
        <w:tc>
          <w:tcPr>
            <w:tcW w:w="3227" w:type="dxa"/>
          </w:tcPr>
          <w:p w14:paraId="318F9E8F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DC2ACD0" w14:textId="706A8296" w:rsidR="00386093" w:rsidRPr="00DD2F9B" w:rsidRDefault="000332A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68BF0B5" w14:textId="77777777" w:rsidTr="00812887">
        <w:trPr>
          <w:cantSplit/>
        </w:trPr>
        <w:tc>
          <w:tcPr>
            <w:tcW w:w="3227" w:type="dxa"/>
          </w:tcPr>
          <w:p w14:paraId="401FC1F9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D613DC8" w14:textId="48EEBFB9" w:rsidR="00386093" w:rsidRPr="00DD2F9B" w:rsidRDefault="000332AD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319E1B6F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98F3656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7B3953F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6243FE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D24B168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864"/>
              <w:gridCol w:w="910"/>
              <w:gridCol w:w="791"/>
              <w:gridCol w:w="3245"/>
            </w:tblGrid>
            <w:tr w:rsidR="008B569E" w:rsidRPr="008B569E" w14:paraId="642DFA00" w14:textId="77777777" w:rsidTr="008B569E">
              <w:trPr>
                <w:trHeight w:val="123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81DE23" w14:textId="77777777" w:rsidR="008B569E" w:rsidRPr="008B569E" w:rsidRDefault="008B569E" w:rsidP="008B56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033AF7F" w14:textId="77777777" w:rsidR="008B569E" w:rsidRPr="008B569E" w:rsidRDefault="008B569E" w:rsidP="008B56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E05940" w14:textId="77777777" w:rsidR="008B569E" w:rsidRPr="008B569E" w:rsidRDefault="008B569E" w:rsidP="008B56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CCDC59" w14:textId="77777777" w:rsidR="008B569E" w:rsidRPr="008B569E" w:rsidRDefault="008B569E" w:rsidP="008B56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B569E" w:rsidRPr="008B569E" w14:paraId="547D2C67" w14:textId="77777777" w:rsidTr="008B569E">
              <w:trPr>
                <w:trHeight w:val="123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DCD0A1" w14:textId="77777777" w:rsidR="008B569E" w:rsidRPr="008B569E" w:rsidRDefault="008B569E" w:rsidP="008B56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3C8946" w14:textId="77777777" w:rsidR="008B569E" w:rsidRPr="008B569E" w:rsidRDefault="008B569E" w:rsidP="008B56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6B4C00" w14:textId="77777777" w:rsidR="008B569E" w:rsidRPr="008B569E" w:rsidRDefault="008B569E" w:rsidP="008B56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4F625B" w14:textId="77777777" w:rsidR="008B569E" w:rsidRPr="008B569E" w:rsidRDefault="008B569E" w:rsidP="008B56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B569E" w:rsidRPr="008B569E" w14:paraId="12F41216" w14:textId="77777777" w:rsidTr="008B569E">
              <w:trPr>
                <w:trHeight w:val="123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1D421C" w14:textId="77777777" w:rsidR="008B569E" w:rsidRPr="008B569E" w:rsidRDefault="008B569E" w:rsidP="008B56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7E0C15" w14:textId="77777777" w:rsidR="008B569E" w:rsidRPr="008B569E" w:rsidRDefault="008B569E" w:rsidP="008B56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A2484A" w14:textId="77777777" w:rsidR="008B569E" w:rsidRPr="008B569E" w:rsidRDefault="008B569E" w:rsidP="008B56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BBFD60" w14:textId="77777777" w:rsidR="008B569E" w:rsidRPr="008B569E" w:rsidRDefault="008B569E" w:rsidP="008B56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B569E" w:rsidRPr="008B569E" w14:paraId="35CEC9F0" w14:textId="77777777" w:rsidTr="008B569E">
              <w:trPr>
                <w:trHeight w:val="123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669109" w14:textId="77777777" w:rsidR="008B569E" w:rsidRPr="008B569E" w:rsidRDefault="008B569E" w:rsidP="008B56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D6E534" w14:textId="77777777" w:rsidR="008B569E" w:rsidRPr="008B569E" w:rsidRDefault="008B569E" w:rsidP="008B56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23DB0D" w14:textId="77777777" w:rsidR="008B569E" w:rsidRPr="008B569E" w:rsidRDefault="008B569E" w:rsidP="008B56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974F6C" w14:textId="77777777" w:rsidR="008B569E" w:rsidRPr="008B569E" w:rsidRDefault="008B569E" w:rsidP="008B56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B569E" w:rsidRPr="008B569E" w14:paraId="79AE6048" w14:textId="77777777" w:rsidTr="008B569E">
              <w:trPr>
                <w:trHeight w:val="123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25BEA6" w14:textId="77777777" w:rsidR="008B569E" w:rsidRPr="008B569E" w:rsidRDefault="008B569E" w:rsidP="008B56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0FC491" w14:textId="77777777" w:rsidR="008B569E" w:rsidRPr="008B569E" w:rsidRDefault="008B569E" w:rsidP="008B56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F4B57C" w14:textId="77777777" w:rsidR="008B569E" w:rsidRPr="008B569E" w:rsidRDefault="008B569E" w:rsidP="008B56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E32279" w14:textId="77777777" w:rsidR="008B569E" w:rsidRPr="008B569E" w:rsidRDefault="008B569E" w:rsidP="008B56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B569E" w:rsidRPr="008B569E" w14:paraId="45F06A3F" w14:textId="77777777" w:rsidTr="008B569E">
              <w:trPr>
                <w:trHeight w:val="123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B0B2AD" w14:textId="77777777" w:rsidR="008B569E" w:rsidRPr="008B569E" w:rsidRDefault="008B569E" w:rsidP="008B56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C36EE3" w14:textId="77777777" w:rsidR="008B569E" w:rsidRPr="008B569E" w:rsidRDefault="008B569E" w:rsidP="008B56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81E4B6" w14:textId="77777777" w:rsidR="008B569E" w:rsidRPr="008B569E" w:rsidRDefault="008B569E" w:rsidP="008B56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-2.00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3009AF" w14:textId="77777777" w:rsidR="008B569E" w:rsidRPr="008B569E" w:rsidRDefault="008B569E" w:rsidP="008B569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B569E" w:rsidRPr="008B569E" w14:paraId="6EE9DADE" w14:textId="77777777" w:rsidTr="008B569E">
              <w:trPr>
                <w:trHeight w:val="123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28CD67" w14:textId="77777777" w:rsidR="008B569E" w:rsidRPr="008B569E" w:rsidRDefault="008B569E" w:rsidP="008B56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5CAC14" w14:textId="77777777" w:rsidR="008B569E" w:rsidRPr="008B569E" w:rsidRDefault="008B569E" w:rsidP="008B569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4255ED" w14:textId="77777777" w:rsidR="008B569E" w:rsidRPr="008B569E" w:rsidRDefault="008B569E" w:rsidP="008B569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-2</w:t>
                  </w:r>
                </w:p>
              </w:tc>
              <w:tc>
                <w:tcPr>
                  <w:tcW w:w="3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E75D0F" w14:textId="77777777" w:rsidR="008B569E" w:rsidRPr="008B569E" w:rsidRDefault="008B569E" w:rsidP="008B569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B569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1F716B0E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63B6BAE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2B4CEE32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42CD46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6DD853A" w14:textId="195B7C97" w:rsidR="00EB3D1B" w:rsidRDefault="009D442E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415AABD6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04C82D2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E7F0902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A896A83" w14:textId="3F977640" w:rsidR="001B79E5" w:rsidRDefault="009D442E" w:rsidP="001B79E5">
                <w:pPr>
                  <w:pStyle w:val="Tablefont"/>
                </w:pPr>
                <w:r>
                  <w:t>135.21</w:t>
                </w:r>
              </w:p>
            </w:tc>
          </w:sdtContent>
        </w:sdt>
      </w:tr>
      <w:tr w:rsidR="00A31D99" w:rsidRPr="004C23F4" w14:paraId="6AA0AFE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E794441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D3C3A98" w14:textId="3CB4E915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9D442E">
                  <w:t>5.52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9D442E">
                  <w:t>0.181</w:t>
                </w:r>
              </w:sdtContent>
            </w:sdt>
            <w:r w:rsidRPr="009D442E">
              <w:t xml:space="preserve"> </w:t>
            </w:r>
            <w:r>
              <w:t>ppm</w:t>
            </w:r>
          </w:p>
        </w:tc>
      </w:tr>
      <w:tr w:rsidR="00687890" w:rsidRPr="004C23F4" w14:paraId="360C4A6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1895D8E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DD6D73D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CF10201" w14:textId="77777777" w:rsidTr="00EA6243">
        <w:trPr>
          <w:cantSplit/>
        </w:trPr>
        <w:tc>
          <w:tcPr>
            <w:tcW w:w="4077" w:type="dxa"/>
            <w:vAlign w:val="center"/>
          </w:tcPr>
          <w:p w14:paraId="108E3199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A118390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B88A4D9" w14:textId="77777777" w:rsidTr="00EA6243">
        <w:trPr>
          <w:cantSplit/>
        </w:trPr>
        <w:tc>
          <w:tcPr>
            <w:tcW w:w="4077" w:type="dxa"/>
            <w:vAlign w:val="center"/>
          </w:tcPr>
          <w:p w14:paraId="54E6C045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36B041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367B292" w14:textId="77777777" w:rsidTr="00EA6243">
        <w:trPr>
          <w:cantSplit/>
        </w:trPr>
        <w:tc>
          <w:tcPr>
            <w:tcW w:w="4077" w:type="dxa"/>
            <w:vAlign w:val="center"/>
          </w:tcPr>
          <w:p w14:paraId="3428DF0A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F01640B" w14:textId="492DE6AA" w:rsidR="00E06F40" w:rsidRPr="00A006A0" w:rsidRDefault="00D7789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519E1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C3A43D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51DD29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2493672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DBA74C1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DA3AE19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4242FA9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B45539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B5AFFC7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D133129" w14:textId="75F8D3D2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FDDEEED" w14:textId="77777777" w:rsidR="00681462" w:rsidRPr="00351FE0" w:rsidRDefault="00681462" w:rsidP="00681462">
      <w:r>
        <w:t>European Chemicals Agency (ECHA) (2019) N-isopropylaniline – REACH assessment.</w:t>
      </w:r>
    </w:p>
    <w:p w14:paraId="65E305F0" w14:textId="6EBB6A68" w:rsidR="009D442E" w:rsidRDefault="009D442E" w:rsidP="00084859">
      <w:r w:rsidRPr="002022B6">
        <w:t>Health Council of the Netherlands</w:t>
      </w:r>
      <w:r>
        <w:t xml:space="preserve"> (HCOTN) (2003) </w:t>
      </w:r>
      <w:r w:rsidRPr="009D442E">
        <w:t>N-Isopropylaniline</w:t>
      </w:r>
      <w:r w:rsidRPr="005F7416">
        <w:t xml:space="preserve">. Health-based calculated occupational cancer risk values. The Hague: Health Council of the Netherlands; publication no. </w:t>
      </w:r>
      <w:r w:rsidRPr="009D442E">
        <w:t>2000/15OSH/083</w:t>
      </w:r>
      <w:r>
        <w:t>.</w:t>
      </w:r>
    </w:p>
    <w:p w14:paraId="59FAE8C3" w14:textId="26051453" w:rsidR="009D442E" w:rsidRPr="00351FE0" w:rsidRDefault="009D442E" w:rsidP="00084859"/>
    <w:sectPr w:rsidR="009D442E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3899F7" w16cid:durableId="21CB07BF"/>
  <w16cid:commentId w16cid:paraId="3234CD6E" w16cid:durableId="21CB08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C775" w14:textId="77777777" w:rsidR="00E0477F" w:rsidRDefault="00E0477F" w:rsidP="00F43AD5">
      <w:pPr>
        <w:spacing w:after="0" w:line="240" w:lineRule="auto"/>
      </w:pPr>
      <w:r>
        <w:separator/>
      </w:r>
    </w:p>
  </w:endnote>
  <w:endnote w:type="continuationSeparator" w:id="0">
    <w:p w14:paraId="26DCE424" w14:textId="77777777" w:rsidR="00E0477F" w:rsidRDefault="00E0477F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5E74" w14:textId="77777777" w:rsidR="003A0D89" w:rsidRDefault="003A0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9AD2C1C" w14:textId="578BE560" w:rsidR="008A36CF" w:rsidRDefault="006C382D" w:rsidP="0034744C">
        <w:pPr>
          <w:pStyle w:val="Footer"/>
          <w:rPr>
            <w:sz w:val="18"/>
            <w:szCs w:val="18"/>
          </w:rPr>
        </w:pPr>
        <w:r w:rsidRPr="006C382D">
          <w:rPr>
            <w:b/>
            <w:sz w:val="18"/>
            <w:szCs w:val="18"/>
          </w:rPr>
          <w:t>N-Isopropylaniline</w:t>
        </w:r>
        <w:r w:rsidR="008A36CF">
          <w:rPr>
            <w:b/>
            <w:sz w:val="18"/>
            <w:szCs w:val="18"/>
          </w:rPr>
          <w:t xml:space="preserve"> (</w:t>
        </w:r>
        <w:r w:rsidRPr="006C382D">
          <w:rPr>
            <w:b/>
            <w:sz w:val="18"/>
            <w:szCs w:val="18"/>
          </w:rPr>
          <w:t>768-52-5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33822E9A" w14:textId="27B40DCD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77891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3B977" w14:textId="77777777" w:rsidR="003A0D89" w:rsidRDefault="003A0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2EDE4" w14:textId="77777777" w:rsidR="00E0477F" w:rsidRDefault="00E0477F" w:rsidP="00F43AD5">
      <w:pPr>
        <w:spacing w:after="0" w:line="240" w:lineRule="auto"/>
      </w:pPr>
      <w:r>
        <w:separator/>
      </w:r>
    </w:p>
  </w:footnote>
  <w:footnote w:type="continuationSeparator" w:id="0">
    <w:p w14:paraId="6605E3EB" w14:textId="77777777" w:rsidR="00E0477F" w:rsidRDefault="00E0477F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FBFCA" w14:textId="77777777" w:rsidR="003A0D89" w:rsidRDefault="003A0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26863" w14:textId="0FC3C23F" w:rsidR="0048496A" w:rsidRDefault="00D77891" w:rsidP="0048496A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EndPr/>
      <w:sdtContent>
        <w:r>
          <w:pict w14:anchorId="071A52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8496A">
      <w:rPr>
        <w:noProof/>
        <w:lang w:eastAsia="en-AU"/>
      </w:rPr>
      <w:drawing>
        <wp:inline distT="0" distB="0" distL="0" distR="0" wp14:anchorId="17E61939" wp14:editId="6886A062">
          <wp:extent cx="2941955" cy="588645"/>
          <wp:effectExtent l="0" t="0" r="0" b="1905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2CECE" w14:textId="4AF07DE3" w:rsidR="008A36CF" w:rsidRPr="0048496A" w:rsidRDefault="008A36CF" w:rsidP="004849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E443A" w14:textId="77777777" w:rsidR="003A0D89" w:rsidRDefault="003A0D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34745" w14:textId="2CA7EF1F" w:rsidR="0048496A" w:rsidRDefault="00D77891" w:rsidP="0048496A">
    <w:pPr>
      <w:pStyle w:val="Header"/>
      <w:jc w:val="right"/>
    </w:pPr>
    <w:sdt>
      <w:sdtPr>
        <w:id w:val="215007157"/>
        <w:docPartObj>
          <w:docPartGallery w:val="Watermarks"/>
          <w:docPartUnique/>
        </w:docPartObj>
      </w:sdtPr>
      <w:sdtEndPr/>
      <w:sdtContent>
        <w:r>
          <w:pict w14:anchorId="4D66DA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8496A">
      <w:rPr>
        <w:noProof/>
        <w:lang w:eastAsia="en-AU"/>
      </w:rPr>
      <w:drawing>
        <wp:inline distT="0" distB="0" distL="0" distR="0" wp14:anchorId="7DE380FE" wp14:editId="6E9386D1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2544D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30465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E3EC2"/>
    <w:multiLevelType w:val="hybridMultilevel"/>
    <w:tmpl w:val="BD0ABF68"/>
    <w:lvl w:ilvl="0" w:tplc="12A22B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D785E"/>
    <w:multiLevelType w:val="hybridMultilevel"/>
    <w:tmpl w:val="E2E88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43D1D"/>
    <w:multiLevelType w:val="hybridMultilevel"/>
    <w:tmpl w:val="91946B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F280D"/>
    <w:multiLevelType w:val="hybridMultilevel"/>
    <w:tmpl w:val="C3BA57D6"/>
    <w:lvl w:ilvl="0" w:tplc="48240E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94F"/>
    <w:rsid w:val="00014C3F"/>
    <w:rsid w:val="00017C82"/>
    <w:rsid w:val="00020B69"/>
    <w:rsid w:val="00032B88"/>
    <w:rsid w:val="000332AD"/>
    <w:rsid w:val="00046DF5"/>
    <w:rsid w:val="00047721"/>
    <w:rsid w:val="00052060"/>
    <w:rsid w:val="0005574A"/>
    <w:rsid w:val="00055FE1"/>
    <w:rsid w:val="00056EC2"/>
    <w:rsid w:val="00060B48"/>
    <w:rsid w:val="000621A3"/>
    <w:rsid w:val="000665AB"/>
    <w:rsid w:val="00067F32"/>
    <w:rsid w:val="00071807"/>
    <w:rsid w:val="000803E1"/>
    <w:rsid w:val="00084513"/>
    <w:rsid w:val="00084859"/>
    <w:rsid w:val="00092D94"/>
    <w:rsid w:val="00095585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163A7"/>
    <w:rsid w:val="001269A7"/>
    <w:rsid w:val="00131092"/>
    <w:rsid w:val="00140E6A"/>
    <w:rsid w:val="00146545"/>
    <w:rsid w:val="00146B75"/>
    <w:rsid w:val="0015266D"/>
    <w:rsid w:val="0015288A"/>
    <w:rsid w:val="00160F47"/>
    <w:rsid w:val="00171A01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191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0438"/>
    <w:rsid w:val="003215EE"/>
    <w:rsid w:val="003224BF"/>
    <w:rsid w:val="003241A8"/>
    <w:rsid w:val="003253F0"/>
    <w:rsid w:val="003337DA"/>
    <w:rsid w:val="00334EFB"/>
    <w:rsid w:val="00335CDE"/>
    <w:rsid w:val="0033644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D89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231DA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7B69"/>
    <w:rsid w:val="00472A11"/>
    <w:rsid w:val="00472AAD"/>
    <w:rsid w:val="00474E33"/>
    <w:rsid w:val="00476803"/>
    <w:rsid w:val="00477850"/>
    <w:rsid w:val="0048496A"/>
    <w:rsid w:val="00485BFD"/>
    <w:rsid w:val="00485FE3"/>
    <w:rsid w:val="004867A2"/>
    <w:rsid w:val="004873F2"/>
    <w:rsid w:val="00487D48"/>
    <w:rsid w:val="00490D4C"/>
    <w:rsid w:val="00493A35"/>
    <w:rsid w:val="0049527A"/>
    <w:rsid w:val="004966BF"/>
    <w:rsid w:val="00497984"/>
    <w:rsid w:val="004A3E02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17DE4"/>
    <w:rsid w:val="005272E2"/>
    <w:rsid w:val="0053108F"/>
    <w:rsid w:val="00532B56"/>
    <w:rsid w:val="00534B10"/>
    <w:rsid w:val="005443B8"/>
    <w:rsid w:val="005446A2"/>
    <w:rsid w:val="00544D2F"/>
    <w:rsid w:val="00551BD8"/>
    <w:rsid w:val="00562999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29E8"/>
    <w:rsid w:val="00624C4E"/>
    <w:rsid w:val="00625200"/>
    <w:rsid w:val="006363A8"/>
    <w:rsid w:val="00636DB7"/>
    <w:rsid w:val="00645A2B"/>
    <w:rsid w:val="00650905"/>
    <w:rsid w:val="006532ED"/>
    <w:rsid w:val="006549F2"/>
    <w:rsid w:val="006567B7"/>
    <w:rsid w:val="00657BFB"/>
    <w:rsid w:val="0066333C"/>
    <w:rsid w:val="006639B4"/>
    <w:rsid w:val="006650FE"/>
    <w:rsid w:val="00665A45"/>
    <w:rsid w:val="0067305D"/>
    <w:rsid w:val="00677D9B"/>
    <w:rsid w:val="00681462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382D"/>
    <w:rsid w:val="006D79EA"/>
    <w:rsid w:val="006E5D05"/>
    <w:rsid w:val="00701053"/>
    <w:rsid w:val="00701507"/>
    <w:rsid w:val="00714021"/>
    <w:rsid w:val="00716A0F"/>
    <w:rsid w:val="00717D45"/>
    <w:rsid w:val="00720164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2006"/>
    <w:rsid w:val="00822689"/>
    <w:rsid w:val="00826F21"/>
    <w:rsid w:val="00834CC8"/>
    <w:rsid w:val="00835E00"/>
    <w:rsid w:val="00837113"/>
    <w:rsid w:val="008414E4"/>
    <w:rsid w:val="00843E21"/>
    <w:rsid w:val="0084508E"/>
    <w:rsid w:val="00857A8A"/>
    <w:rsid w:val="00861D80"/>
    <w:rsid w:val="008630EE"/>
    <w:rsid w:val="00864D13"/>
    <w:rsid w:val="00871CD5"/>
    <w:rsid w:val="008745A2"/>
    <w:rsid w:val="008768A8"/>
    <w:rsid w:val="0088291B"/>
    <w:rsid w:val="0088798F"/>
    <w:rsid w:val="00887E4B"/>
    <w:rsid w:val="008915C8"/>
    <w:rsid w:val="008A36CF"/>
    <w:rsid w:val="008A3BC4"/>
    <w:rsid w:val="008A596D"/>
    <w:rsid w:val="008B2755"/>
    <w:rsid w:val="008B403C"/>
    <w:rsid w:val="008B569E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03D1E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57F8B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7D"/>
    <w:rsid w:val="009C199D"/>
    <w:rsid w:val="009C278F"/>
    <w:rsid w:val="009C2B94"/>
    <w:rsid w:val="009C5874"/>
    <w:rsid w:val="009D3B5A"/>
    <w:rsid w:val="009D442E"/>
    <w:rsid w:val="009D6AB5"/>
    <w:rsid w:val="009D783C"/>
    <w:rsid w:val="009E0C05"/>
    <w:rsid w:val="009E0D1C"/>
    <w:rsid w:val="009E2214"/>
    <w:rsid w:val="009E355A"/>
    <w:rsid w:val="009E420E"/>
    <w:rsid w:val="009E468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94"/>
    <w:rsid w:val="00A357BA"/>
    <w:rsid w:val="00A35ADC"/>
    <w:rsid w:val="00A372AA"/>
    <w:rsid w:val="00A402A3"/>
    <w:rsid w:val="00A41E18"/>
    <w:rsid w:val="00A53681"/>
    <w:rsid w:val="00A633D4"/>
    <w:rsid w:val="00A6461A"/>
    <w:rsid w:val="00A72F3D"/>
    <w:rsid w:val="00A84504"/>
    <w:rsid w:val="00A8672F"/>
    <w:rsid w:val="00A93057"/>
    <w:rsid w:val="00A93B16"/>
    <w:rsid w:val="00A968B0"/>
    <w:rsid w:val="00AB2672"/>
    <w:rsid w:val="00AB2817"/>
    <w:rsid w:val="00AB43C4"/>
    <w:rsid w:val="00AC32E7"/>
    <w:rsid w:val="00AC3A9F"/>
    <w:rsid w:val="00AC6D2F"/>
    <w:rsid w:val="00AD302D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11F6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BF6434"/>
    <w:rsid w:val="00C06E43"/>
    <w:rsid w:val="00C16315"/>
    <w:rsid w:val="00C3091E"/>
    <w:rsid w:val="00C40FF1"/>
    <w:rsid w:val="00C419E2"/>
    <w:rsid w:val="00C5020E"/>
    <w:rsid w:val="00C519E1"/>
    <w:rsid w:val="00C57452"/>
    <w:rsid w:val="00C61EDF"/>
    <w:rsid w:val="00C6239D"/>
    <w:rsid w:val="00C6594B"/>
    <w:rsid w:val="00C66203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1A6D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77891"/>
    <w:rsid w:val="00D87570"/>
    <w:rsid w:val="00D91CB9"/>
    <w:rsid w:val="00D97989"/>
    <w:rsid w:val="00D97D8D"/>
    <w:rsid w:val="00DA352E"/>
    <w:rsid w:val="00DA678A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477F"/>
    <w:rsid w:val="00E06F40"/>
    <w:rsid w:val="00E07CE8"/>
    <w:rsid w:val="00E26A07"/>
    <w:rsid w:val="00E32595"/>
    <w:rsid w:val="00E36353"/>
    <w:rsid w:val="00E37CFD"/>
    <w:rsid w:val="00E41A26"/>
    <w:rsid w:val="00E46BCB"/>
    <w:rsid w:val="00E51CAF"/>
    <w:rsid w:val="00E60F04"/>
    <w:rsid w:val="00E62AAC"/>
    <w:rsid w:val="00E660A2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E081E"/>
    <w:rsid w:val="00EE41C3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317E"/>
    <w:rsid w:val="00F56DD0"/>
    <w:rsid w:val="00F6491C"/>
    <w:rsid w:val="00F65BF8"/>
    <w:rsid w:val="00F67BBB"/>
    <w:rsid w:val="00F87D92"/>
    <w:rsid w:val="00F90AA7"/>
    <w:rsid w:val="00F92498"/>
    <w:rsid w:val="00F9496B"/>
    <w:rsid w:val="00F970C9"/>
    <w:rsid w:val="00FA06A8"/>
    <w:rsid w:val="00FA09E2"/>
    <w:rsid w:val="00FA3DF5"/>
    <w:rsid w:val="00FA741F"/>
    <w:rsid w:val="00FB4E07"/>
    <w:rsid w:val="00FB755A"/>
    <w:rsid w:val="00FC60A2"/>
    <w:rsid w:val="00FD1871"/>
    <w:rsid w:val="00FD3110"/>
    <w:rsid w:val="00FF142B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1163A7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AB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AB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AB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7A63B90C738F4045AAE9F6DC5595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F7E79-3513-4751-9641-E2A10DBA7447}"/>
      </w:docPartPr>
      <w:docPartBody>
        <w:p w:rsidR="00F26B46" w:rsidRDefault="00B70DB9" w:rsidP="00B70DB9">
          <w:pPr>
            <w:pStyle w:val="7A63B90C738F4045AAE9F6DC5595FD3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49427E"/>
    <w:rsid w:val="00B70DB9"/>
    <w:rsid w:val="00D21A9F"/>
    <w:rsid w:val="00DB05D2"/>
    <w:rsid w:val="00F26B46"/>
    <w:rsid w:val="00F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DB9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B0BB41824A7457BA0D1E47FC39CD8AE">
    <w:name w:val="FB0BB41824A7457BA0D1E47FC39CD8AE"/>
    <w:rsid w:val="00FA5361"/>
  </w:style>
  <w:style w:type="paragraph" w:customStyle="1" w:styleId="EF6C3C28973440B2B4CC183B0419CEB6">
    <w:name w:val="EF6C3C28973440B2B4CC183B0419CEB6"/>
    <w:rsid w:val="00FA5361"/>
  </w:style>
  <w:style w:type="paragraph" w:customStyle="1" w:styleId="FA082B256285438AB9F70B689A6531CD">
    <w:name w:val="FA082B256285438AB9F70B689A6531CD"/>
    <w:rsid w:val="00FA5361"/>
  </w:style>
  <w:style w:type="paragraph" w:customStyle="1" w:styleId="330AFACC08354EF8A29FB419CFC82176">
    <w:name w:val="330AFACC08354EF8A29FB419CFC82176"/>
    <w:rsid w:val="0049427E"/>
  </w:style>
  <w:style w:type="paragraph" w:customStyle="1" w:styleId="7A63B90C738F4045AAE9F6DC5595FD3C">
    <w:name w:val="7A63B90C738F4045AAE9F6DC5595FD3C"/>
    <w:rsid w:val="00B70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44BF-2D92-40C3-A05B-B1AAD9A93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352E7-3BF0-449A-A269-D39FD8B32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50C01-80C1-491C-8B50-D94354CC990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842E51-0492-488E-A978-CA9A2B57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C01D9874.dotm</Template>
  <TotalTime>0</TotalTime>
  <Pages>6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2019-12-16T22:24:00Z</dcterms:created>
  <dcterms:modified xsi:type="dcterms:W3CDTF">2020-01-30T04:49:00Z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