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F60A2D6" w14:textId="77777777" w:rsidR="00BD499F" w:rsidRPr="004C23F4" w:rsidRDefault="0042723A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1-nitropropane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0"/>
        <w:gridCol w:w="5036"/>
      </w:tblGrid>
      <w:tr w:rsidR="00F43AD5" w:rsidRPr="004C23F4" w14:paraId="7EE1D2D2" w14:textId="77777777" w:rsidTr="00B76A41">
        <w:trPr>
          <w:cantSplit/>
          <w:tblHeader/>
        </w:trPr>
        <w:tc>
          <w:tcPr>
            <w:tcW w:w="4077" w:type="dxa"/>
          </w:tcPr>
          <w:p w14:paraId="2953B5D9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B7411F6" w14:textId="77777777" w:rsidR="00F43AD5" w:rsidRPr="00717D45" w:rsidRDefault="0042723A" w:rsidP="00B76A41">
            <w:pPr>
              <w:pStyle w:val="Tablefont"/>
            </w:pPr>
            <w:r>
              <w:t>108-03-2</w:t>
            </w:r>
          </w:p>
        </w:tc>
      </w:tr>
      <w:tr w:rsidR="00F43AD5" w:rsidRPr="004C23F4" w14:paraId="616C2955" w14:textId="77777777" w:rsidTr="00B76A41">
        <w:trPr>
          <w:cantSplit/>
        </w:trPr>
        <w:tc>
          <w:tcPr>
            <w:tcW w:w="4077" w:type="dxa"/>
          </w:tcPr>
          <w:p w14:paraId="3861B4E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766E502" w14:textId="77777777" w:rsidR="00F43AD5" w:rsidRPr="00717D45" w:rsidRDefault="00994420" w:rsidP="00B76A41">
            <w:pPr>
              <w:pStyle w:val="Tablefont"/>
            </w:pPr>
            <w:r>
              <w:t>1-NP</w:t>
            </w:r>
          </w:p>
        </w:tc>
      </w:tr>
      <w:tr w:rsidR="00F43AD5" w:rsidRPr="004C23F4" w14:paraId="6749EC53" w14:textId="77777777" w:rsidTr="00B76A41">
        <w:trPr>
          <w:cantSplit/>
        </w:trPr>
        <w:tc>
          <w:tcPr>
            <w:tcW w:w="4077" w:type="dxa"/>
          </w:tcPr>
          <w:p w14:paraId="0D7A972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305242F" w14:textId="77777777" w:rsidR="00F43AD5" w:rsidRPr="00717D45" w:rsidRDefault="00994420" w:rsidP="00B76A41">
            <w:pPr>
              <w:pStyle w:val="Tablefont"/>
            </w:pPr>
            <w:r>
              <w:t>C</w:t>
            </w:r>
            <w:r w:rsidRPr="00994420">
              <w:rPr>
                <w:vertAlign w:val="subscript"/>
              </w:rPr>
              <w:t>3</w:t>
            </w:r>
            <w:r>
              <w:t>H</w:t>
            </w:r>
            <w:r w:rsidRPr="00994420">
              <w:rPr>
                <w:vertAlign w:val="subscript"/>
              </w:rPr>
              <w:t>7</w:t>
            </w:r>
            <w:r>
              <w:t>NO</w:t>
            </w:r>
            <w:r w:rsidRPr="00994420">
              <w:rPr>
                <w:vertAlign w:val="subscript"/>
              </w:rPr>
              <w:t>2</w:t>
            </w:r>
          </w:p>
        </w:tc>
      </w:tr>
      <w:tr w:rsidR="00F43AD5" w:rsidRPr="004C23F4" w14:paraId="1BDF461C" w14:textId="77777777" w:rsidTr="00B76A41">
        <w:trPr>
          <w:cantSplit/>
        </w:trPr>
        <w:tc>
          <w:tcPr>
            <w:tcW w:w="4077" w:type="dxa"/>
          </w:tcPr>
          <w:p w14:paraId="19FC1069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60E40F7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5F9155BE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94066D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53885385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93555A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603E5D26" w14:textId="4A7CB335" w:rsidR="002C7AFE" w:rsidRPr="0094066D" w:rsidRDefault="0094066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</w:t>
            </w:r>
            <w:r w:rsidR="004F1127">
              <w:rPr>
                <w:b/>
              </w:rPr>
              <w:t>5</w:t>
            </w:r>
            <w:r>
              <w:rPr>
                <w:b/>
              </w:rPr>
              <w:t xml:space="preserve"> ppm (</w:t>
            </w:r>
            <w:r w:rsidR="004F1127">
              <w:rPr>
                <w:b/>
              </w:rPr>
              <w:t>91</w:t>
            </w:r>
            <w:r>
              <w:rPr>
                <w:b/>
              </w:rPr>
              <w:t xml:space="preserve">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487E17C8" w14:textId="77777777" w:rsidTr="00037E52">
        <w:trPr>
          <w:cantSplit/>
        </w:trPr>
        <w:tc>
          <w:tcPr>
            <w:tcW w:w="4010" w:type="dxa"/>
            <w:vAlign w:val="center"/>
          </w:tcPr>
          <w:p w14:paraId="2FF8F18E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579F10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46B183EF" w14:textId="77777777" w:rsidTr="00037E52">
        <w:trPr>
          <w:cantSplit/>
        </w:trPr>
        <w:tc>
          <w:tcPr>
            <w:tcW w:w="4010" w:type="dxa"/>
            <w:vAlign w:val="center"/>
          </w:tcPr>
          <w:p w14:paraId="28632DF2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7FE67207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629452E8" w14:textId="77777777" w:rsidTr="00037E52">
        <w:trPr>
          <w:cantSplit/>
        </w:trPr>
        <w:tc>
          <w:tcPr>
            <w:tcW w:w="4010" w:type="dxa"/>
          </w:tcPr>
          <w:p w14:paraId="231F3860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7FC27876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7DCE98E0" w14:textId="77777777" w:rsidTr="00037E52">
        <w:trPr>
          <w:cantSplit/>
        </w:trPr>
        <w:tc>
          <w:tcPr>
            <w:tcW w:w="4010" w:type="dxa"/>
            <w:vAlign w:val="center"/>
          </w:tcPr>
          <w:p w14:paraId="6F3D7ADA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249EDE9B" w14:textId="77777777" w:rsidR="00037E52" w:rsidRPr="00EB3D1B" w:rsidRDefault="00AF2202" w:rsidP="00AF2202">
            <w:pPr>
              <w:pStyle w:val="Tablefont"/>
              <w:tabs>
                <w:tab w:val="left" w:pos="739"/>
              </w:tabs>
              <w:rPr>
                <w:b/>
              </w:rPr>
            </w:pPr>
            <w:r>
              <w:rPr>
                <w:b/>
              </w:rPr>
              <w:t>1,000 ppm</w:t>
            </w:r>
          </w:p>
        </w:tc>
      </w:tr>
      <w:tr w:rsidR="00191531" w:rsidRPr="004C23F4" w14:paraId="1ACD1B68" w14:textId="77777777" w:rsidTr="00C329F3">
        <w:trPr>
          <w:cantSplit/>
        </w:trPr>
        <w:tc>
          <w:tcPr>
            <w:tcW w:w="9026" w:type="dxa"/>
            <w:gridSpan w:val="2"/>
            <w:vAlign w:val="center"/>
          </w:tcPr>
          <w:p w14:paraId="79CBCEE5" w14:textId="77777777" w:rsidR="00191531" w:rsidRPr="00EB3D1B" w:rsidRDefault="00191531" w:rsidP="00037E52">
            <w:pPr>
              <w:pStyle w:val="Tablefont"/>
              <w:rPr>
                <w:b/>
              </w:rPr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495AA35D294A4B06B43895598B053C41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9A13421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859BD8A" w14:textId="5E859503" w:rsidR="006639B4" w:rsidRDefault="0094066D" w:rsidP="000C139A">
      <w:pPr>
        <w:rPr>
          <w:rFonts w:cs="Arial"/>
        </w:rPr>
      </w:pPr>
      <w:r w:rsidRPr="0094066D">
        <w:rPr>
          <w:rFonts w:cs="Arial"/>
        </w:rPr>
        <w:t>A</w:t>
      </w:r>
      <w:r w:rsidR="00F8366D">
        <w:rPr>
          <w:rFonts w:cs="Arial"/>
        </w:rPr>
        <w:t xml:space="preserve"> </w:t>
      </w:r>
      <w:r w:rsidRPr="0094066D">
        <w:rPr>
          <w:rFonts w:cs="Arial"/>
        </w:rPr>
        <w:t xml:space="preserve">TWA of </w:t>
      </w:r>
      <w:r>
        <w:rPr>
          <w:rFonts w:cs="Arial"/>
        </w:rPr>
        <w:t>2</w:t>
      </w:r>
      <w:r w:rsidR="004F1127">
        <w:rPr>
          <w:rFonts w:cs="Arial"/>
        </w:rPr>
        <w:t>5</w:t>
      </w:r>
      <w:r w:rsidRPr="0094066D">
        <w:rPr>
          <w:rFonts w:cs="Arial"/>
        </w:rPr>
        <w:t xml:space="preserve"> ppm (</w:t>
      </w:r>
      <w:r w:rsidR="004F1127">
        <w:rPr>
          <w:rFonts w:cs="Arial"/>
        </w:rPr>
        <w:t>91</w:t>
      </w:r>
      <w:r w:rsidRPr="0094066D">
        <w:rPr>
          <w:rFonts w:cs="Arial"/>
        </w:rPr>
        <w:t xml:space="preserve"> mg/m</w:t>
      </w:r>
      <w:r w:rsidRPr="0094066D">
        <w:rPr>
          <w:rFonts w:cs="Arial"/>
          <w:vertAlign w:val="superscript"/>
        </w:rPr>
        <w:t>3</w:t>
      </w:r>
      <w:r w:rsidRPr="0094066D">
        <w:rPr>
          <w:rFonts w:cs="Arial"/>
        </w:rPr>
        <w:t>) is recommended to protect for</w:t>
      </w:r>
      <w:r w:rsidR="00F8366D">
        <w:rPr>
          <w:rFonts w:cs="Arial"/>
        </w:rPr>
        <w:t xml:space="preserve"> eye and respiratory tract</w:t>
      </w:r>
      <w:r w:rsidRPr="0094066D">
        <w:rPr>
          <w:rFonts w:cs="Arial"/>
        </w:rPr>
        <w:t xml:space="preserve"> </w:t>
      </w:r>
      <w:r w:rsidR="00586492">
        <w:rPr>
          <w:rFonts w:cs="Arial"/>
        </w:rPr>
        <w:t>irritation</w:t>
      </w:r>
      <w:r w:rsidRPr="0094066D">
        <w:rPr>
          <w:rFonts w:cs="Arial"/>
        </w:rPr>
        <w:t xml:space="preserve"> in exposed workers</w:t>
      </w:r>
      <w:r>
        <w:rPr>
          <w:rFonts w:cs="Arial"/>
        </w:rPr>
        <w:t>.</w:t>
      </w:r>
    </w:p>
    <w:p w14:paraId="35C93206" w14:textId="208C8907" w:rsidR="004C7023" w:rsidRDefault="004C7023" w:rsidP="004C7023">
      <w:pPr>
        <w:rPr>
          <w:rFonts w:cs="Arial"/>
        </w:rPr>
      </w:pPr>
      <w:r>
        <w:rPr>
          <w:rFonts w:cs="Arial"/>
        </w:rPr>
        <w:t xml:space="preserve">Given the limited </w:t>
      </w:r>
      <w:r w:rsidR="001211F0">
        <w:rPr>
          <w:rFonts w:cs="Arial"/>
        </w:rPr>
        <w:t xml:space="preserve">human </w:t>
      </w:r>
      <w:r>
        <w:rPr>
          <w:rFonts w:cs="Arial"/>
        </w:rPr>
        <w:t>data available from the primary sources, it is recommended that a review of additional sources be conducted at the next scheduled review.</w:t>
      </w:r>
    </w:p>
    <w:p w14:paraId="0290D05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8949FDA" w14:textId="77777777" w:rsidR="0060134A" w:rsidRDefault="006651B1" w:rsidP="006639B4">
      <w:pPr>
        <w:rPr>
          <w:rFonts w:cs="Arial"/>
        </w:rPr>
      </w:pPr>
      <w:r>
        <w:rPr>
          <w:rFonts w:cs="Arial"/>
        </w:rPr>
        <w:t>1-Nitropropane is used as a solvent, fuel additive and rocket propellant.</w:t>
      </w:r>
      <w:r w:rsidR="00885102">
        <w:rPr>
          <w:rFonts w:cs="Arial"/>
        </w:rPr>
        <w:t xml:space="preserve"> </w:t>
      </w:r>
    </w:p>
    <w:p w14:paraId="1DE7A5ED" w14:textId="2CCB653C" w:rsidR="00E22D2D" w:rsidRDefault="006651B1" w:rsidP="006639B4">
      <w:pPr>
        <w:rPr>
          <w:rFonts w:cs="Arial"/>
        </w:rPr>
      </w:pPr>
      <w:r>
        <w:rPr>
          <w:rFonts w:cs="Arial"/>
        </w:rPr>
        <w:t xml:space="preserve">Critical effects </w:t>
      </w:r>
      <w:r w:rsidR="0060134A">
        <w:rPr>
          <w:rFonts w:cs="Arial"/>
        </w:rPr>
        <w:t xml:space="preserve">of exposure </w:t>
      </w:r>
      <w:r>
        <w:rPr>
          <w:rFonts w:cs="Arial"/>
        </w:rPr>
        <w:t>are irrit</w:t>
      </w:r>
      <w:r w:rsidR="005E7A69">
        <w:rPr>
          <w:rFonts w:cs="Arial"/>
        </w:rPr>
        <w:t xml:space="preserve">ation </w:t>
      </w:r>
      <w:r w:rsidR="000825C4">
        <w:rPr>
          <w:rFonts w:cs="Arial"/>
        </w:rPr>
        <w:t xml:space="preserve">of </w:t>
      </w:r>
      <w:r w:rsidR="005E7A69">
        <w:rPr>
          <w:rFonts w:cs="Arial"/>
        </w:rPr>
        <w:t xml:space="preserve">the eyes as reported in </w:t>
      </w:r>
      <w:r w:rsidR="00191531">
        <w:rPr>
          <w:rFonts w:cs="Arial"/>
        </w:rPr>
        <w:t>volunteers</w:t>
      </w:r>
      <w:r w:rsidR="005E7A69">
        <w:rPr>
          <w:rFonts w:cs="Arial"/>
        </w:rPr>
        <w:t xml:space="preserve"> (</w:t>
      </w:r>
      <w:r w:rsidR="00191531">
        <w:rPr>
          <w:rFonts w:cs="Arial"/>
        </w:rPr>
        <w:t xml:space="preserve">ACGIH, 2018; </w:t>
      </w:r>
      <w:r w:rsidR="005E7A69">
        <w:rPr>
          <w:rFonts w:cs="Arial"/>
        </w:rPr>
        <w:t>DFG,</w:t>
      </w:r>
      <w:r w:rsidR="00053200">
        <w:rPr>
          <w:rFonts w:cs="Arial"/>
        </w:rPr>
        <w:t> </w:t>
      </w:r>
      <w:r w:rsidR="005E7A69">
        <w:rPr>
          <w:rFonts w:cs="Arial"/>
        </w:rPr>
        <w:t>2017)</w:t>
      </w:r>
      <w:r w:rsidR="004C7023">
        <w:rPr>
          <w:rFonts w:cs="Arial"/>
        </w:rPr>
        <w:t>. R</w:t>
      </w:r>
      <w:r w:rsidR="005E7A69">
        <w:rPr>
          <w:rFonts w:cs="Arial"/>
        </w:rPr>
        <w:t xml:space="preserve">espiratory tract irritation </w:t>
      </w:r>
      <w:r w:rsidR="00191531">
        <w:rPr>
          <w:rFonts w:cs="Arial"/>
        </w:rPr>
        <w:t>is</w:t>
      </w:r>
      <w:r w:rsidR="005E7A69">
        <w:rPr>
          <w:rFonts w:cs="Arial"/>
        </w:rPr>
        <w:t xml:space="preserve"> </w:t>
      </w:r>
      <w:r w:rsidR="00191531">
        <w:rPr>
          <w:rFonts w:cs="Arial"/>
        </w:rPr>
        <w:t>observed</w:t>
      </w:r>
      <w:r w:rsidR="005E7A69">
        <w:rPr>
          <w:rFonts w:cs="Arial"/>
        </w:rPr>
        <w:t xml:space="preserve"> in animals</w:t>
      </w:r>
      <w:r w:rsidR="004C7023">
        <w:rPr>
          <w:rFonts w:cs="Arial"/>
        </w:rPr>
        <w:t xml:space="preserve"> following exposure</w:t>
      </w:r>
      <w:r w:rsidR="005E7A69">
        <w:rPr>
          <w:rFonts w:cs="Arial"/>
        </w:rPr>
        <w:t xml:space="preserve"> (DFG, 2017). </w:t>
      </w:r>
    </w:p>
    <w:p w14:paraId="15D369E3" w14:textId="014B2B3A" w:rsidR="007D58EE" w:rsidRDefault="00885102" w:rsidP="006639B4">
      <w:pPr>
        <w:rPr>
          <w:rFonts w:cs="Arial"/>
        </w:rPr>
      </w:pPr>
      <w:r>
        <w:rPr>
          <w:rFonts w:cs="Arial"/>
        </w:rPr>
        <w:t>No excess</w:t>
      </w:r>
      <w:r w:rsidR="00191531">
        <w:rPr>
          <w:rFonts w:cs="Arial"/>
        </w:rPr>
        <w:t>es</w:t>
      </w:r>
      <w:r>
        <w:rPr>
          <w:rFonts w:cs="Arial"/>
        </w:rPr>
        <w:t xml:space="preserve"> </w:t>
      </w:r>
      <w:r w:rsidR="00191531">
        <w:rPr>
          <w:rFonts w:cs="Arial"/>
        </w:rPr>
        <w:t>of</w:t>
      </w:r>
      <w:r>
        <w:rPr>
          <w:rFonts w:cs="Arial"/>
        </w:rPr>
        <w:t xml:space="preserve"> disease </w:t>
      </w:r>
      <w:r w:rsidR="00191531">
        <w:rPr>
          <w:rFonts w:cs="Arial"/>
        </w:rPr>
        <w:t>or</w:t>
      </w:r>
      <w:r>
        <w:rPr>
          <w:rFonts w:cs="Arial"/>
        </w:rPr>
        <w:t xml:space="preserve"> cancer mortality </w:t>
      </w:r>
      <w:r w:rsidR="00D3518B">
        <w:rPr>
          <w:rFonts w:cs="Arial"/>
        </w:rPr>
        <w:t xml:space="preserve">are </w:t>
      </w:r>
      <w:r>
        <w:rPr>
          <w:rFonts w:cs="Arial"/>
        </w:rPr>
        <w:t>reported in a study of production workers exposed to nitroalkane mixtures</w:t>
      </w:r>
      <w:r w:rsidR="00053200">
        <w:rPr>
          <w:rFonts w:cs="Arial"/>
        </w:rPr>
        <w:t xml:space="preserve">; </w:t>
      </w:r>
      <w:r w:rsidR="00D3518B">
        <w:rPr>
          <w:rFonts w:cs="Arial"/>
        </w:rPr>
        <w:t>however,</w:t>
      </w:r>
      <w:r>
        <w:rPr>
          <w:rFonts w:cs="Arial"/>
        </w:rPr>
        <w:t xml:space="preserve"> exposures were not measured (DFG, 2017). Irritation of the eyes but not the respiratory tract, </w:t>
      </w:r>
      <w:r w:rsidR="00586492">
        <w:rPr>
          <w:rFonts w:cs="Arial"/>
        </w:rPr>
        <w:t xml:space="preserve">is </w:t>
      </w:r>
      <w:r w:rsidR="005E7A69">
        <w:rPr>
          <w:rFonts w:cs="Arial"/>
        </w:rPr>
        <w:t xml:space="preserve">reported </w:t>
      </w:r>
      <w:r w:rsidR="008D1186">
        <w:rPr>
          <w:rFonts w:cs="Arial"/>
        </w:rPr>
        <w:t xml:space="preserve">at concentrations </w:t>
      </w:r>
      <w:r w:rsidR="005E7A69">
        <w:rPr>
          <w:rFonts w:cs="Arial"/>
        </w:rPr>
        <w:t>above 150 ppm in a</w:t>
      </w:r>
      <w:r w:rsidR="00D3518B">
        <w:rPr>
          <w:rFonts w:cs="Arial"/>
        </w:rPr>
        <w:t>n</w:t>
      </w:r>
      <w:r w:rsidR="005E7A69">
        <w:rPr>
          <w:rFonts w:cs="Arial"/>
        </w:rPr>
        <w:t xml:space="preserve"> acute inhalation study </w:t>
      </w:r>
      <w:r w:rsidR="00586492">
        <w:rPr>
          <w:rFonts w:cs="Arial"/>
        </w:rPr>
        <w:t>in</w:t>
      </w:r>
      <w:r w:rsidR="00D3518B">
        <w:rPr>
          <w:rFonts w:cs="Arial"/>
        </w:rPr>
        <w:t xml:space="preserve"> volunteers </w:t>
      </w:r>
      <w:r w:rsidR="005E7A69">
        <w:rPr>
          <w:rFonts w:cs="Arial"/>
        </w:rPr>
        <w:t xml:space="preserve">(ACGIH, 2018; DFG, 2017). </w:t>
      </w:r>
      <w:r w:rsidR="007D58EE">
        <w:rPr>
          <w:rFonts w:cs="Arial"/>
        </w:rPr>
        <w:t>Nasal epithelial degeneration and s</w:t>
      </w:r>
      <w:r w:rsidR="005E7A69">
        <w:rPr>
          <w:rFonts w:cs="Arial"/>
        </w:rPr>
        <w:t xml:space="preserve">igns of </w:t>
      </w:r>
      <w:r>
        <w:rPr>
          <w:rFonts w:cs="Arial"/>
        </w:rPr>
        <w:t>respiratory tract irritation were observed at 24 ppm in a sub</w:t>
      </w:r>
      <w:r w:rsidR="00053200">
        <w:rPr>
          <w:rFonts w:cs="Arial"/>
        </w:rPr>
        <w:t>-</w:t>
      </w:r>
      <w:r>
        <w:rPr>
          <w:rFonts w:cs="Arial"/>
        </w:rPr>
        <w:t xml:space="preserve">chronic inhalation study </w:t>
      </w:r>
      <w:r w:rsidR="00586492">
        <w:rPr>
          <w:rFonts w:cs="Arial"/>
        </w:rPr>
        <w:t xml:space="preserve">in </w:t>
      </w:r>
      <w:r>
        <w:rPr>
          <w:rFonts w:cs="Arial"/>
        </w:rPr>
        <w:t xml:space="preserve">rats (DFG, 2017). </w:t>
      </w:r>
      <w:r w:rsidR="002D79AC">
        <w:rPr>
          <w:rFonts w:cs="Arial"/>
        </w:rPr>
        <w:t xml:space="preserve">No adverse histopathological or haematological effects were reported at 101 ppm in a chronic </w:t>
      </w:r>
      <w:r w:rsidR="007D58EE">
        <w:rPr>
          <w:rFonts w:cs="Arial"/>
        </w:rPr>
        <w:t xml:space="preserve">rat </w:t>
      </w:r>
      <w:r w:rsidR="002D79AC">
        <w:rPr>
          <w:rFonts w:cs="Arial"/>
        </w:rPr>
        <w:t xml:space="preserve">inhalation study </w:t>
      </w:r>
      <w:r w:rsidR="002524CE">
        <w:rPr>
          <w:rFonts w:cs="Arial"/>
        </w:rPr>
        <w:t>(ACGIH, 2018)</w:t>
      </w:r>
      <w:r w:rsidR="007D58EE">
        <w:rPr>
          <w:rFonts w:cs="Arial"/>
        </w:rPr>
        <w:t>. However,</w:t>
      </w:r>
      <w:r w:rsidR="002D79AC">
        <w:rPr>
          <w:rFonts w:cs="Arial"/>
        </w:rPr>
        <w:t xml:space="preserve"> </w:t>
      </w:r>
      <w:r w:rsidR="008A694B">
        <w:rPr>
          <w:rFonts w:cs="Arial"/>
        </w:rPr>
        <w:t>examinations of the respiratory tract were not carried out in this study</w:t>
      </w:r>
      <w:r w:rsidR="002524CE">
        <w:rPr>
          <w:rFonts w:cs="Arial"/>
        </w:rPr>
        <w:t xml:space="preserve"> (DFG, 2017)</w:t>
      </w:r>
      <w:r w:rsidR="00586492">
        <w:rPr>
          <w:rFonts w:cs="Arial"/>
        </w:rPr>
        <w:t>.</w:t>
      </w:r>
      <w:r w:rsidR="007D58EE">
        <w:rPr>
          <w:rFonts w:cs="Arial"/>
        </w:rPr>
        <w:t xml:space="preserve"> </w:t>
      </w:r>
    </w:p>
    <w:p w14:paraId="32E63479" w14:textId="7A04663F" w:rsidR="00E22D2D" w:rsidRDefault="007D58EE" w:rsidP="006639B4">
      <w:pPr>
        <w:rPr>
          <w:rFonts w:cs="Arial"/>
        </w:rPr>
      </w:pPr>
      <w:r>
        <w:rPr>
          <w:rFonts w:cs="Arial"/>
        </w:rPr>
        <w:t xml:space="preserve">From the available data, exposure at 100 ppm is tolerable without effects in volunteers (ACGIH, 2018; DFG, 2017). However, </w:t>
      </w:r>
      <w:r w:rsidR="008F522A">
        <w:rPr>
          <w:rFonts w:cs="Arial"/>
        </w:rPr>
        <w:t>it is unclear if respiratory tract irritation is a critical effect in humans</w:t>
      </w:r>
      <w:r w:rsidR="00E22D2D">
        <w:rPr>
          <w:rFonts w:cs="Arial"/>
        </w:rPr>
        <w:t xml:space="preserve"> due to the short duration of the reported human study</w:t>
      </w:r>
      <w:r w:rsidR="0094066D">
        <w:rPr>
          <w:rFonts w:cs="Arial"/>
        </w:rPr>
        <w:t xml:space="preserve">. </w:t>
      </w:r>
    </w:p>
    <w:p w14:paraId="2FD70A4D" w14:textId="77777777" w:rsidR="00443485" w:rsidRDefault="0094066D" w:rsidP="006639B4">
      <w:pPr>
        <w:rPr>
          <w:rFonts w:cs="Arial"/>
        </w:rPr>
      </w:pPr>
      <w:r>
        <w:rPr>
          <w:rFonts w:cs="Arial"/>
        </w:rPr>
        <w:t xml:space="preserve">In the absence of long-term human exposure data, </w:t>
      </w:r>
      <w:r w:rsidR="008F522A">
        <w:rPr>
          <w:rFonts w:cs="Arial"/>
        </w:rPr>
        <w:t xml:space="preserve">the current TWA of 25 ppm is </w:t>
      </w:r>
      <w:r w:rsidR="00367E49">
        <w:rPr>
          <w:rFonts w:cs="Arial"/>
        </w:rPr>
        <w:t>recommended</w:t>
      </w:r>
      <w:r w:rsidR="008F522A">
        <w:rPr>
          <w:rFonts w:cs="Arial"/>
        </w:rPr>
        <w:t xml:space="preserve"> in the interim and is expected to be protective of irritation</w:t>
      </w:r>
      <w:r w:rsidR="00A07FAB">
        <w:rPr>
          <w:rFonts w:cs="Arial"/>
        </w:rPr>
        <w:t xml:space="preserve"> effects</w:t>
      </w:r>
      <w:r w:rsidR="008F522A">
        <w:rPr>
          <w:rFonts w:cs="Arial"/>
        </w:rPr>
        <w:t>.</w:t>
      </w:r>
    </w:p>
    <w:p w14:paraId="63DCEC7F" w14:textId="6913566D" w:rsidR="005E7A69" w:rsidRPr="004C23F4" w:rsidRDefault="0094066D" w:rsidP="006639B4">
      <w:pPr>
        <w:rPr>
          <w:rFonts w:cs="Arial"/>
        </w:rPr>
      </w:pPr>
      <w:r>
        <w:rPr>
          <w:rFonts w:cs="Arial"/>
        </w:rPr>
        <w:lastRenderedPageBreak/>
        <w:t xml:space="preserve">An examination of additional </w:t>
      </w:r>
      <w:r w:rsidR="00E22D2D">
        <w:rPr>
          <w:rFonts w:cs="Arial"/>
        </w:rPr>
        <w:t xml:space="preserve">data </w:t>
      </w:r>
      <w:r>
        <w:rPr>
          <w:rFonts w:cs="Arial"/>
        </w:rPr>
        <w:t>source</w:t>
      </w:r>
      <w:r w:rsidR="00E22D2D">
        <w:rPr>
          <w:rFonts w:cs="Arial"/>
        </w:rPr>
        <w:t>s</w:t>
      </w:r>
      <w:r>
        <w:rPr>
          <w:rFonts w:cs="Arial"/>
        </w:rPr>
        <w:t xml:space="preserve"> </w:t>
      </w:r>
      <w:r w:rsidR="002524CE">
        <w:rPr>
          <w:rFonts w:cs="Arial"/>
        </w:rPr>
        <w:t>i</w:t>
      </w:r>
      <w:bookmarkStart w:id="0" w:name="_GoBack"/>
      <w:bookmarkEnd w:id="0"/>
      <w:r w:rsidR="002524CE">
        <w:rPr>
          <w:rFonts w:cs="Arial"/>
        </w:rPr>
        <w:t xml:space="preserve">s recommended </w:t>
      </w:r>
      <w:r>
        <w:rPr>
          <w:rFonts w:cs="Arial"/>
        </w:rPr>
        <w:t>during subsequent review</w:t>
      </w:r>
      <w:r w:rsidR="00F8366D">
        <w:rPr>
          <w:rFonts w:cs="Arial"/>
        </w:rPr>
        <w:t>s</w:t>
      </w:r>
      <w:r w:rsidR="00E22D2D">
        <w:rPr>
          <w:rFonts w:cs="Arial"/>
        </w:rPr>
        <w:t xml:space="preserve"> </w:t>
      </w:r>
      <w:r>
        <w:rPr>
          <w:rFonts w:cs="Arial"/>
        </w:rPr>
        <w:t>to further assess the effects of long-term exposure</w:t>
      </w:r>
      <w:r w:rsidR="00E22D2D">
        <w:rPr>
          <w:rFonts w:cs="Arial"/>
        </w:rPr>
        <w:t xml:space="preserve"> in humans, </w:t>
      </w:r>
      <w:r w:rsidR="000825C4">
        <w:rPr>
          <w:rFonts w:cs="Arial"/>
        </w:rPr>
        <w:t>including</w:t>
      </w:r>
      <w:r w:rsidR="00E22D2D" w:rsidRPr="00E22D2D">
        <w:rPr>
          <w:rFonts w:cs="Arial"/>
        </w:rPr>
        <w:t xml:space="preserve"> </w:t>
      </w:r>
      <w:r w:rsidR="00E22D2D">
        <w:rPr>
          <w:rFonts w:cs="Arial"/>
        </w:rPr>
        <w:t>respiratory tract irritation</w:t>
      </w:r>
      <w:r>
        <w:rPr>
          <w:rFonts w:cs="Arial"/>
        </w:rPr>
        <w:t>.</w:t>
      </w:r>
    </w:p>
    <w:p w14:paraId="2D69BDF9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4CA9BA45" w14:textId="77777777" w:rsidR="008E4F1F" w:rsidRPr="00191531" w:rsidRDefault="008E4F1F" w:rsidP="008E4F1F">
      <w:pPr>
        <w:rPr>
          <w:rFonts w:cs="Arial"/>
        </w:rPr>
      </w:pPr>
      <w:r w:rsidRPr="00191531">
        <w:rPr>
          <w:rFonts w:cs="Arial"/>
        </w:rPr>
        <w:t>Not classified as a carcinogen according to the Globally Harmonized System of</w:t>
      </w:r>
      <w:r w:rsidR="007C20EF">
        <w:rPr>
          <w:rFonts w:cs="Arial"/>
        </w:rPr>
        <w:t xml:space="preserve"> Classification and Labelling of</w:t>
      </w:r>
      <w:r w:rsidRPr="00191531">
        <w:rPr>
          <w:rFonts w:cs="Arial"/>
        </w:rPr>
        <w:t xml:space="preserve"> Chemicals (GHS). </w:t>
      </w:r>
    </w:p>
    <w:p w14:paraId="265BC77A" w14:textId="77777777" w:rsidR="008E4F1F" w:rsidRPr="00191531" w:rsidRDefault="008E4F1F" w:rsidP="008E4F1F">
      <w:pPr>
        <w:rPr>
          <w:rFonts w:cs="Arial"/>
        </w:rPr>
      </w:pPr>
      <w:r w:rsidRPr="00191531">
        <w:rPr>
          <w:rFonts w:cs="Arial"/>
        </w:rPr>
        <w:t xml:space="preserve">Not classified as a skin </w:t>
      </w:r>
      <w:r w:rsidR="00F95732">
        <w:rPr>
          <w:rFonts w:cs="Arial"/>
        </w:rPr>
        <w:t xml:space="preserve">sensitiser </w:t>
      </w:r>
      <w:r w:rsidRPr="00191531">
        <w:rPr>
          <w:rFonts w:cs="Arial"/>
        </w:rPr>
        <w:t>or respiratory sensitiser according to the GHS.</w:t>
      </w:r>
    </w:p>
    <w:p w14:paraId="2A006811" w14:textId="77777777" w:rsidR="004529F0" w:rsidRPr="004C23F4" w:rsidRDefault="00F95732" w:rsidP="008E4F1F">
      <w:pPr>
        <w:rPr>
          <w:rFonts w:cs="Arial"/>
        </w:rPr>
      </w:pPr>
      <w:r>
        <w:rPr>
          <w:rFonts w:cs="Arial"/>
        </w:rPr>
        <w:t>There are i</w:t>
      </w:r>
      <w:r w:rsidR="008E4F1F" w:rsidRPr="00191531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191531">
        <w:rPr>
          <w:rFonts w:cs="Arial"/>
        </w:rPr>
        <w:t xml:space="preserve"> to recommend a skin notation.</w:t>
      </w:r>
    </w:p>
    <w:p w14:paraId="6CA5185C" w14:textId="77777777" w:rsidR="0025734A" w:rsidRPr="004C23F4" w:rsidRDefault="0025734A">
      <w:pPr>
        <w:rPr>
          <w:rFonts w:cs="Arial"/>
        </w:rPr>
      </w:pPr>
    </w:p>
    <w:p w14:paraId="14A46681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1FD17B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58296F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559EC" w14:paraId="52A55DF4" w14:textId="77777777" w:rsidTr="00D559E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DE5C437" w14:textId="77777777" w:rsidR="00C978F0" w:rsidRPr="00D559EC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D559EC">
              <w:rPr>
                <w:b/>
              </w:rPr>
              <w:t>Source</w:t>
            </w:r>
            <w:r w:rsidR="00DA352E" w:rsidRPr="00D559EC">
              <w:rPr>
                <w:b/>
              </w:rPr>
              <w:tab/>
              <w:t>Year set</w:t>
            </w:r>
            <w:r w:rsidR="00DA352E" w:rsidRPr="00D559EC">
              <w:rPr>
                <w:b/>
              </w:rPr>
              <w:tab/>
              <w:t>Standard</w:t>
            </w:r>
            <w:r w:rsidR="00974F2D" w:rsidRPr="00D559EC">
              <w:rPr>
                <w:b/>
              </w:rPr>
              <w:tab/>
            </w:r>
          </w:p>
        </w:tc>
      </w:tr>
      <w:tr w:rsidR="00DE26E8" w:rsidRPr="003365A5" w14:paraId="2CD5384C" w14:textId="77777777" w:rsidTr="00D559EC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D1229AA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0E50E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0E50E7">
                  <w:t>TWA: 25 ppm (91 mg/m</w:t>
                </w:r>
                <w:r w:rsidR="000E50E7" w:rsidRPr="000E50E7">
                  <w:rPr>
                    <w:vertAlign w:val="superscript"/>
                  </w:rPr>
                  <w:t>3</w:t>
                </w:r>
                <w:r w:rsidR="000E50E7">
                  <w:t>)</w:t>
                </w:r>
              </w:sdtContent>
            </w:sdt>
          </w:p>
        </w:tc>
      </w:tr>
      <w:tr w:rsidR="00C978F0" w:rsidRPr="00DA352E" w14:paraId="72144A70" w14:textId="77777777" w:rsidTr="00D559EC">
        <w:trPr>
          <w:gridAfter w:val="1"/>
          <w:wAfter w:w="8" w:type="pct"/>
        </w:trPr>
        <w:tc>
          <w:tcPr>
            <w:tcW w:w="4992" w:type="pct"/>
          </w:tcPr>
          <w:p w14:paraId="0ADD97C6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149B522" w14:textId="77777777" w:rsidTr="00D559E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F789DC8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A22279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1333336133"/>
                    <w:placeholder>
                      <w:docPart w:val="F618176259F24320A568A4FD2BAD3321"/>
                    </w:placeholder>
                  </w:sdtPr>
                  <w:sdtEndPr/>
                  <w:sdtContent>
                    <w:r w:rsidR="00A22279">
                      <w:t>TLV-TWA: 25 ppm (91 mg/m</w:t>
                    </w:r>
                    <w:r w:rsidR="00A22279" w:rsidRPr="000E50E7">
                      <w:rPr>
                        <w:vertAlign w:val="superscript"/>
                      </w:rPr>
                      <w:t>3</w:t>
                    </w:r>
                    <w:r w:rsidR="00A22279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0D7A8EBC" w14:textId="77777777" w:rsidTr="00D559EC">
        <w:trPr>
          <w:gridAfter w:val="1"/>
          <w:wAfter w:w="8" w:type="pct"/>
        </w:trPr>
        <w:tc>
          <w:tcPr>
            <w:tcW w:w="4992" w:type="pct"/>
          </w:tcPr>
          <w:p w14:paraId="23B6AB07" w14:textId="77777777" w:rsidR="00C978F0" w:rsidRDefault="008D6EBE" w:rsidP="008D6EBE">
            <w:pPr>
              <w:pStyle w:val="ListBullet"/>
              <w:numPr>
                <w:ilvl w:val="0"/>
                <w:numId w:val="0"/>
              </w:numPr>
            </w:pPr>
            <w:r>
              <w:t xml:space="preserve">TLV-TWA intended to protect for irritation to the eyes and respiratory tract and potential liver damage. Not classifiable as a human carcinogen (A4) based on chronic animal exposure studies and negative mutagenicity results. </w:t>
            </w:r>
          </w:p>
          <w:p w14:paraId="31CBDE92" w14:textId="77777777" w:rsidR="008D6EBE" w:rsidRDefault="008D6EBE" w:rsidP="008D6EBE">
            <w:pPr>
              <w:pStyle w:val="ListBullet"/>
              <w:numPr>
                <w:ilvl w:val="0"/>
                <w:numId w:val="0"/>
              </w:numPr>
            </w:pPr>
            <w:r>
              <w:t>Summary of data:</w:t>
            </w:r>
          </w:p>
          <w:p w14:paraId="75265543" w14:textId="77777777" w:rsidR="00153712" w:rsidRDefault="00153712" w:rsidP="008D6EBE">
            <w:pPr>
              <w:pStyle w:val="ListBullet"/>
              <w:numPr>
                <w:ilvl w:val="0"/>
                <w:numId w:val="0"/>
              </w:numPr>
            </w:pPr>
            <w:r>
              <w:t xml:space="preserve">Based on human and animal inhalation data, TLV-TWA of 25 ppm is considered protective. </w:t>
            </w:r>
            <w:r w:rsidR="005E7A69">
              <w:t>TLV-TWA derivation not discussed. Agency notes</w:t>
            </w:r>
            <w:r>
              <w:t xml:space="preserve"> that</w:t>
            </w:r>
            <w:r w:rsidR="005E7A69">
              <w:t xml:space="preserve"> the</w:t>
            </w:r>
            <w:r>
              <w:t xml:space="preserve"> isomer 2-nitropropane is classified as carcinogenic, but that no evidence for carcinogenicity of 1-nitropropane is available.</w:t>
            </w:r>
          </w:p>
          <w:p w14:paraId="5AA1DD74" w14:textId="77777777" w:rsidR="00153712" w:rsidRDefault="00153712" w:rsidP="008D6EBE">
            <w:pPr>
              <w:pStyle w:val="ListBullet"/>
              <w:numPr>
                <w:ilvl w:val="0"/>
                <w:numId w:val="0"/>
              </w:numPr>
            </w:pPr>
            <w:r>
              <w:t>Human data:</w:t>
            </w:r>
          </w:p>
          <w:p w14:paraId="0EB99D8F" w14:textId="77777777" w:rsidR="00153712" w:rsidRDefault="00153712" w:rsidP="00586492">
            <w:pPr>
              <w:pStyle w:val="ListBullet"/>
              <w:numPr>
                <w:ilvl w:val="0"/>
                <w:numId w:val="3"/>
              </w:numPr>
            </w:pPr>
            <w:r>
              <w:t xml:space="preserve">Eye irritation </w:t>
            </w:r>
            <w:r w:rsidR="00586492">
              <w:t>in volunteers at &gt;</w:t>
            </w:r>
            <w:r>
              <w:t xml:space="preserve">100 ppm </w:t>
            </w:r>
            <w:r w:rsidR="004C7023">
              <w:t>(</w:t>
            </w:r>
            <w:r>
              <w:t>inhalation study</w:t>
            </w:r>
            <w:r w:rsidR="004C7023">
              <w:t>,</w:t>
            </w:r>
            <w:r>
              <w:t xml:space="preserve"> brief duration, not specified, no further details provided)</w:t>
            </w:r>
          </w:p>
          <w:p w14:paraId="01DE3871" w14:textId="77777777" w:rsidR="008D6EBE" w:rsidRDefault="008D6EBE" w:rsidP="008D6EBE">
            <w:pPr>
              <w:pStyle w:val="ListBullet"/>
              <w:numPr>
                <w:ilvl w:val="0"/>
                <w:numId w:val="0"/>
              </w:numPr>
            </w:pPr>
            <w:r>
              <w:t>Animal data:</w:t>
            </w:r>
          </w:p>
          <w:p w14:paraId="4527F116" w14:textId="77777777" w:rsidR="008D6EBE" w:rsidRDefault="008D6EBE" w:rsidP="004C7023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More toxic to liver than nitromethane and nitroethane</w:t>
            </w:r>
          </w:p>
          <w:p w14:paraId="2858AF04" w14:textId="77777777" w:rsidR="008D6EBE" w:rsidRDefault="007C20EF" w:rsidP="004C7023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Lethal dose</w:t>
            </w:r>
            <w:r w:rsidR="008D6EBE">
              <w:t>: 250–500 mg/kg</w:t>
            </w:r>
            <w:r>
              <w:t xml:space="preserve"> (rabbits, oral) </w:t>
            </w:r>
          </w:p>
          <w:p w14:paraId="6D3EE4A6" w14:textId="77777777" w:rsidR="008D6EBE" w:rsidRDefault="008D6EBE" w:rsidP="004C7023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Lethal at 5,000 ppm (rabbits, 3 h); non-lethal at 10,000 ppm (rabbits, 1 h)</w:t>
            </w:r>
          </w:p>
          <w:p w14:paraId="20D696FD" w14:textId="77777777" w:rsidR="008D6EBE" w:rsidRDefault="008D6EBE" w:rsidP="004C7023">
            <w:pPr>
              <w:pStyle w:val="ListBullet"/>
              <w:numPr>
                <w:ilvl w:val="1"/>
                <w:numId w:val="2"/>
              </w:numPr>
              <w:spacing w:before="60" w:after="60"/>
              <w:ind w:left="1156" w:hanging="357"/>
              <w:contextualSpacing w:val="0"/>
            </w:pPr>
            <w:r>
              <w:t>eye irritation, lachrymation, depressed respiration with rales and ataxia observed</w:t>
            </w:r>
          </w:p>
          <w:p w14:paraId="636B23ED" w14:textId="77777777" w:rsidR="008D6EBE" w:rsidRDefault="008D6EBE" w:rsidP="004C7023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 xml:space="preserve">No significant gross or microscopic </w:t>
            </w:r>
            <w:r w:rsidR="006651B1">
              <w:t xml:space="preserve">liver </w:t>
            </w:r>
            <w:r>
              <w:t xml:space="preserve">tissue changes </w:t>
            </w:r>
            <w:r w:rsidR="006651B1">
              <w:t xml:space="preserve">or changes in liver, kidney and brain weights and haematology </w:t>
            </w:r>
            <w:r>
              <w:t>at 101 ppm (rats, 7 h/d, 5 d/wk, up to 21.5 mo)</w:t>
            </w:r>
          </w:p>
          <w:p w14:paraId="204E27E5" w14:textId="77777777" w:rsidR="00153712" w:rsidRDefault="00153712" w:rsidP="004C7023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 xml:space="preserve">Non-mutagenic </w:t>
            </w:r>
            <w:r>
              <w:rPr>
                <w:i/>
              </w:rPr>
              <w:t>in vitro</w:t>
            </w:r>
            <w:r>
              <w:t xml:space="preserve"> in </w:t>
            </w:r>
            <w:r>
              <w:rPr>
                <w:i/>
              </w:rPr>
              <w:t>S</w:t>
            </w:r>
            <w:r w:rsidR="007C20EF">
              <w:rPr>
                <w:i/>
              </w:rPr>
              <w:t>.</w:t>
            </w:r>
            <w:r>
              <w:rPr>
                <w:i/>
              </w:rPr>
              <w:t xml:space="preserve"> typhimurium </w:t>
            </w:r>
            <w:r>
              <w:t>strains with or without metabolic activation</w:t>
            </w:r>
          </w:p>
          <w:p w14:paraId="715D4C23" w14:textId="77777777" w:rsidR="001B2FCE" w:rsidRDefault="001B2FCE" w:rsidP="004C7023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No ADME data presented</w:t>
            </w:r>
            <w:r w:rsidR="007C20EF">
              <w:t>.</w:t>
            </w:r>
          </w:p>
          <w:p w14:paraId="41B34BB6" w14:textId="77777777" w:rsidR="00A50806" w:rsidRDefault="00A50806" w:rsidP="008D6EBE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233ED3A7" w14:textId="17E8312D" w:rsidR="008D6EBE" w:rsidRDefault="008D6EBE" w:rsidP="008D6EBE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Insufficient data to recommend a TLV-STEL or notations for skin absorption or sensitisation.</w:t>
            </w:r>
          </w:p>
          <w:p w14:paraId="3C4A67BD" w14:textId="77777777" w:rsidR="005B6461" w:rsidRPr="00DA352E" w:rsidRDefault="005B6461" w:rsidP="008D6EBE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0F409B2B" w14:textId="77777777" w:rsidTr="00D559E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1C28A4E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1B2FCE">
                  <w:t>2016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807CD3">
                  <w:t>MAK: 2 ppm (7.4 mg/m</w:t>
                </w:r>
                <w:r w:rsidR="00807CD3" w:rsidRPr="00807CD3">
                  <w:rPr>
                    <w:vertAlign w:val="superscript"/>
                  </w:rPr>
                  <w:t>3</w:t>
                </w:r>
                <w:r w:rsidR="00807CD3">
                  <w:t>)</w:t>
                </w:r>
              </w:sdtContent>
            </w:sdt>
          </w:p>
        </w:tc>
      </w:tr>
      <w:tr w:rsidR="00C978F0" w:rsidRPr="00DA352E" w14:paraId="21ADF144" w14:textId="77777777" w:rsidTr="00D559EC">
        <w:trPr>
          <w:gridAfter w:val="1"/>
          <w:wAfter w:w="8" w:type="pct"/>
        </w:trPr>
        <w:tc>
          <w:tcPr>
            <w:tcW w:w="4992" w:type="pct"/>
          </w:tcPr>
          <w:p w14:paraId="3C8D8961" w14:textId="77777777" w:rsidR="001B2FCE" w:rsidRDefault="001B2FCE" w:rsidP="006651B1">
            <w:pPr>
              <w:pStyle w:val="ListBullet"/>
              <w:numPr>
                <w:ilvl w:val="0"/>
                <w:numId w:val="0"/>
              </w:numPr>
            </w:pPr>
            <w:r>
              <w:t>Summary of additional data:</w:t>
            </w:r>
          </w:p>
          <w:p w14:paraId="5C88E092" w14:textId="0C56BE7C" w:rsidR="008D1186" w:rsidRDefault="001B2FCE" w:rsidP="008D1186">
            <w:pPr>
              <w:pStyle w:val="ListBullet"/>
              <w:numPr>
                <w:ilvl w:val="0"/>
                <w:numId w:val="4"/>
              </w:numPr>
            </w:pPr>
            <w:r>
              <w:t xml:space="preserve">Previous 1963 MAK of 25 ppm withdrawn due to short duration of volunteer inhalation study upon which it was based </w:t>
            </w:r>
          </w:p>
          <w:p w14:paraId="50C84E09" w14:textId="043B18E3" w:rsidR="00533A7A" w:rsidRDefault="001B2FCE" w:rsidP="008D1186">
            <w:pPr>
              <w:pStyle w:val="ListBullet"/>
              <w:numPr>
                <w:ilvl w:val="0"/>
                <w:numId w:val="4"/>
              </w:numPr>
            </w:pPr>
            <w:r>
              <w:t>Current MAK based on NOAEC of 24 ppm (females) and 48 ppm (males) for irritation reported in sub</w:t>
            </w:r>
            <w:r w:rsidR="00F43792">
              <w:t>-</w:t>
            </w:r>
            <w:r>
              <w:t xml:space="preserve">chronic inhalation study </w:t>
            </w:r>
            <w:r w:rsidR="008D1186">
              <w:t xml:space="preserve">in </w:t>
            </w:r>
            <w:r>
              <w:t>rats; a systemic NOAEC of 48 ppm was reported for both sexes</w:t>
            </w:r>
            <w:r w:rsidR="00533A7A">
              <w:t>:</w:t>
            </w:r>
            <w:r>
              <w:t xml:space="preserve"> </w:t>
            </w:r>
          </w:p>
          <w:p w14:paraId="1CDC1007" w14:textId="6A3681EC" w:rsidR="001B2FCE" w:rsidRDefault="00533A7A" w:rsidP="00533A7A">
            <w:pPr>
              <w:pStyle w:val="ListBullet"/>
              <w:numPr>
                <w:ilvl w:val="0"/>
                <w:numId w:val="5"/>
              </w:numPr>
            </w:pPr>
            <w:r>
              <w:t>t</w:t>
            </w:r>
            <w:r w:rsidR="001B2FCE">
              <w:t>he lowest NO</w:t>
            </w:r>
            <w:r w:rsidR="00CA338F">
              <w:t>AEC of 24 ppm is adjusted with</w:t>
            </w:r>
            <w:r w:rsidR="001B2FCE">
              <w:t xml:space="preserve"> factors of 3 to account for anatomical differences in the nasal cavity of rats, 4 to account for potential cumulative irritational effects and 7/5 to account for translation from continuous exposure to workplace exposure and rounded </w:t>
            </w:r>
            <w:r w:rsidR="00AB3EA2">
              <w:t>up</w:t>
            </w:r>
            <w:r w:rsidR="001B2FCE">
              <w:t xml:space="preserve"> to </w:t>
            </w:r>
            <w:r w:rsidR="00546A99">
              <w:t>derive a MAK of</w:t>
            </w:r>
            <w:r w:rsidR="001B2FCE">
              <w:t xml:space="preserve"> 2 ppm</w:t>
            </w:r>
          </w:p>
          <w:p w14:paraId="415FA274" w14:textId="38451064" w:rsidR="00AB3EA2" w:rsidRDefault="00AB3EA2" w:rsidP="008D1186">
            <w:pPr>
              <w:pStyle w:val="ListBullet"/>
              <w:numPr>
                <w:ilvl w:val="0"/>
                <w:numId w:val="4"/>
              </w:numPr>
            </w:pPr>
            <w:r>
              <w:t>No evidence for carcinogenicity in the available studies and therefore</w:t>
            </w:r>
            <w:r w:rsidR="008D1186">
              <w:t>,</w:t>
            </w:r>
            <w:r>
              <w:t xml:space="preserve"> not classified as a carcinogen</w:t>
            </w:r>
          </w:p>
          <w:p w14:paraId="0CE801AD" w14:textId="3130D9E3" w:rsidR="00AB3EA2" w:rsidRDefault="00AB3EA2" w:rsidP="008D1186">
            <w:pPr>
              <w:pStyle w:val="ListBullet"/>
              <w:numPr>
                <w:ilvl w:val="0"/>
                <w:numId w:val="4"/>
              </w:numPr>
            </w:pPr>
            <w:r>
              <w:t xml:space="preserve">Skin notation recommended based on </w:t>
            </w:r>
            <w:r>
              <w:rPr>
                <w:i/>
              </w:rPr>
              <w:t>in vitro</w:t>
            </w:r>
            <w:r>
              <w:t xml:space="preserve"> data that suggests dermal uptake contributes significantly to overall exposure</w:t>
            </w:r>
          </w:p>
          <w:p w14:paraId="3B9512E7" w14:textId="55BAEBE1" w:rsidR="006651B1" w:rsidRDefault="006651B1" w:rsidP="008D1186">
            <w:pPr>
              <w:pStyle w:val="ListBullet"/>
              <w:numPr>
                <w:ilvl w:val="0"/>
                <w:numId w:val="4"/>
              </w:numPr>
            </w:pPr>
            <w:r>
              <w:t>Low liver toxicity relative to 2-nitropropane likely due to rapid absorption, metabolism and elimination.</w:t>
            </w:r>
          </w:p>
          <w:p w14:paraId="61030594" w14:textId="77777777" w:rsidR="00AB3EA2" w:rsidRDefault="00AB3EA2" w:rsidP="006651B1">
            <w:pPr>
              <w:pStyle w:val="ListBullet"/>
              <w:numPr>
                <w:ilvl w:val="0"/>
                <w:numId w:val="0"/>
              </w:numPr>
              <w:ind w:left="22"/>
            </w:pPr>
            <w:r>
              <w:t>Human data:</w:t>
            </w:r>
          </w:p>
          <w:p w14:paraId="4BF9DA8D" w14:textId="48E4361E" w:rsidR="00AB3EA2" w:rsidRDefault="0047635A" w:rsidP="004C7023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lastRenderedPageBreak/>
              <w:t>Irritation of eyes, but not nose or throat, at 150 ppm in acute volunteer inhalation study</w:t>
            </w:r>
            <w:r w:rsidR="00B7232E">
              <w:t xml:space="preserve"> published in 1946</w:t>
            </w:r>
            <w:r>
              <w:t xml:space="preserve"> (males/females, n=12/sex, 15 min); </w:t>
            </w:r>
            <w:r w:rsidR="00533A7A">
              <w:t xml:space="preserve">agency considered </w:t>
            </w:r>
            <w:r>
              <w:t xml:space="preserve">100 ppm </w:t>
            </w:r>
            <w:r w:rsidR="00533A7A">
              <w:t xml:space="preserve">as </w:t>
            </w:r>
            <w:r>
              <w:t>tolerable</w:t>
            </w:r>
            <w:r w:rsidR="00533A7A">
              <w:t xml:space="preserve"> dose</w:t>
            </w:r>
            <w:r w:rsidR="008D1186">
              <w:t xml:space="preserve"> (also cited in ACGIH, 2018)</w:t>
            </w:r>
          </w:p>
          <w:p w14:paraId="4B42409E" w14:textId="77777777" w:rsidR="00E02C04" w:rsidRDefault="0047635A" w:rsidP="004C7023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 xml:space="preserve">No evidence for increased diseases/cancer mortality in production plant workers (n=1,481); </w:t>
            </w:r>
            <w:r w:rsidR="00885102">
              <w:t xml:space="preserve">however, </w:t>
            </w:r>
            <w:r>
              <w:t>mixed exposures to other nitroalkanes</w:t>
            </w:r>
            <w:r w:rsidR="00885102">
              <w:t xml:space="preserve"> confounded results</w:t>
            </w:r>
          </w:p>
          <w:p w14:paraId="47B5CEBB" w14:textId="2D3C1AB1" w:rsidR="00E02C04" w:rsidRDefault="00E02C04" w:rsidP="004C7023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rPr>
                <w:i/>
              </w:rPr>
              <w:t>In vitro d</w:t>
            </w:r>
            <w:r>
              <w:t>ermal penetration rate of human skin at steady state: 180 µg/cm</w:t>
            </w:r>
            <w:r>
              <w:rPr>
                <w:vertAlign w:val="superscript"/>
              </w:rPr>
              <w:t>2</w:t>
            </w:r>
            <w:r>
              <w:t>/h</w:t>
            </w:r>
            <w:r w:rsidR="008D1186">
              <w:t>:</w:t>
            </w:r>
          </w:p>
          <w:p w14:paraId="24C8B3E7" w14:textId="77777777" w:rsidR="0047635A" w:rsidRDefault="00E02C04" w:rsidP="004C7023">
            <w:pPr>
              <w:pStyle w:val="ListBullet"/>
              <w:numPr>
                <w:ilvl w:val="1"/>
                <w:numId w:val="2"/>
              </w:numPr>
              <w:spacing w:before="60" w:after="60"/>
              <w:ind w:left="1156" w:hanging="357"/>
              <w:contextualSpacing w:val="0"/>
            </w:pPr>
            <w:r>
              <w:t>modelled penetration rates form saturated aqueous solutions calculated as 28, 44 and 236 µg/cm</w:t>
            </w:r>
            <w:r>
              <w:rPr>
                <w:vertAlign w:val="superscript"/>
              </w:rPr>
              <w:t>2</w:t>
            </w:r>
            <w:r>
              <w:t>/h in 3 separate studies</w:t>
            </w:r>
            <w:r w:rsidR="007C20EF">
              <w:t>.</w:t>
            </w:r>
          </w:p>
          <w:p w14:paraId="42AA61D6" w14:textId="77777777" w:rsidR="00AB3EA2" w:rsidRDefault="00AB3EA2" w:rsidP="00AB3EA2">
            <w:pPr>
              <w:pStyle w:val="ListBullet"/>
              <w:numPr>
                <w:ilvl w:val="0"/>
                <w:numId w:val="0"/>
              </w:numPr>
              <w:ind w:left="22" w:hanging="22"/>
            </w:pPr>
            <w:r>
              <w:t>Animal data:</w:t>
            </w:r>
          </w:p>
          <w:p w14:paraId="1D781C12" w14:textId="77777777" w:rsidR="00AB3EA2" w:rsidRDefault="00A7249E" w:rsidP="004C7023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Dermal LD</w:t>
            </w:r>
            <w:r>
              <w:rPr>
                <w:vertAlign w:val="subscript"/>
              </w:rPr>
              <w:t>50</w:t>
            </w:r>
            <w:r w:rsidR="007C20EF">
              <w:t>:</w:t>
            </w:r>
            <w:r>
              <w:t xml:space="preserve"> &gt;2,000 mg/kg (rabbits, non-occlusive, 4 h)</w:t>
            </w:r>
          </w:p>
          <w:p w14:paraId="23D9A366" w14:textId="38D5A17A" w:rsidR="006651B1" w:rsidRDefault="006651B1" w:rsidP="004C7023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Mortality, organ congestion, pulmonary oedema, signs of respiratory tract irritation and liver damage at 9,800 ppm reported in acute inhalation study (r</w:t>
            </w:r>
            <w:r w:rsidR="005E7A69">
              <w:t xml:space="preserve">abbits, guinea pigs, 3 h, also cited in ACGIH, 2018); mortality and </w:t>
            </w:r>
            <w:r>
              <w:t>liver damage reported at 5,000 ppm</w:t>
            </w:r>
            <w:r w:rsidR="008D1186">
              <w:t>:</w:t>
            </w:r>
          </w:p>
          <w:p w14:paraId="6F5E571E" w14:textId="77777777" w:rsidR="006651B1" w:rsidRDefault="006651B1" w:rsidP="004C7023">
            <w:pPr>
              <w:pStyle w:val="ListBullet"/>
              <w:numPr>
                <w:ilvl w:val="1"/>
                <w:numId w:val="2"/>
              </w:numPr>
              <w:spacing w:before="60" w:after="60"/>
              <w:ind w:left="1156" w:hanging="357"/>
              <w:contextualSpacing w:val="0"/>
            </w:pPr>
            <w:r>
              <w:t>from these results, 1-nitropropane concluded to be more acutely toxic than nitromethane and nitroethane</w:t>
            </w:r>
          </w:p>
          <w:p w14:paraId="11411CA7" w14:textId="30111BD8" w:rsidR="009E504E" w:rsidRDefault="00A7249E" w:rsidP="004C7023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Degeneration of olfactory epithelium</w:t>
            </w:r>
            <w:r w:rsidR="00451E3A">
              <w:t xml:space="preserve"> (females) at 48 ppm and 96 ppm (males) in OECD-compliant inhalation </w:t>
            </w:r>
            <w:r w:rsidR="00137284">
              <w:t xml:space="preserve">reproductive </w:t>
            </w:r>
            <w:r w:rsidR="00451E3A">
              <w:t>study with exposure groups 0, 24, 48 and 96 ppm (rats</w:t>
            </w:r>
            <w:r w:rsidR="00137284">
              <w:t>, 6</w:t>
            </w:r>
            <w:r w:rsidR="008A694B">
              <w:t> </w:t>
            </w:r>
            <w:r w:rsidR="00137284">
              <w:t>h/d, 7 d/wk, females: 47 d, males: 28 d</w:t>
            </w:r>
            <w:r w:rsidR="00451E3A">
              <w:t>)</w:t>
            </w:r>
            <w:r w:rsidR="008D1186">
              <w:t>:</w:t>
            </w:r>
            <w:r w:rsidR="009E504E">
              <w:t xml:space="preserve"> </w:t>
            </w:r>
          </w:p>
          <w:p w14:paraId="09F4E4CC" w14:textId="77777777" w:rsidR="00137284" w:rsidRDefault="00137284" w:rsidP="004C7023">
            <w:pPr>
              <w:pStyle w:val="ListBullet"/>
              <w:numPr>
                <w:ilvl w:val="1"/>
                <w:numId w:val="2"/>
              </w:numPr>
              <w:spacing w:before="60" w:after="60"/>
              <w:ind w:left="1156" w:hanging="357"/>
              <w:contextualSpacing w:val="0"/>
            </w:pPr>
            <w:r>
              <w:t>NOAEC: 24 ppm (females), 48 ppm (males)</w:t>
            </w:r>
          </w:p>
          <w:p w14:paraId="12FA2D72" w14:textId="7E8EE262" w:rsidR="002D79AC" w:rsidRDefault="00C329F3" w:rsidP="00126495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A</w:t>
            </w:r>
            <w:r w:rsidR="002D79AC">
              <w:t>genc</w:t>
            </w:r>
            <w:r w:rsidR="007C20EF">
              <w:t xml:space="preserve">y notes </w:t>
            </w:r>
            <w:r w:rsidR="002D79AC">
              <w:t xml:space="preserve">chronic 21.5-mo inhalation study </w:t>
            </w:r>
            <w:r w:rsidR="00F43792">
              <w:t xml:space="preserve">in rats </w:t>
            </w:r>
            <w:r w:rsidR="002D79AC">
              <w:t>with exposure at 101 ppm (also cited in ACGIH, 2018) does not provide information on examinations of respiratory tract</w:t>
            </w:r>
            <w:r w:rsidR="007C20EF">
              <w:t>.</w:t>
            </w:r>
          </w:p>
          <w:p w14:paraId="3A27C058" w14:textId="77777777" w:rsidR="00A50806" w:rsidRDefault="00A50806" w:rsidP="00AB3EA2">
            <w:pPr>
              <w:pStyle w:val="ListBullet"/>
              <w:numPr>
                <w:ilvl w:val="0"/>
                <w:numId w:val="0"/>
              </w:numPr>
              <w:ind w:left="22" w:hanging="22"/>
            </w:pPr>
          </w:p>
          <w:p w14:paraId="22AE1EE5" w14:textId="25C2B85E" w:rsidR="00AB3EA2" w:rsidRDefault="00AB3EA2" w:rsidP="00AB3EA2">
            <w:pPr>
              <w:pStyle w:val="ListBullet"/>
              <w:numPr>
                <w:ilvl w:val="0"/>
                <w:numId w:val="0"/>
              </w:numPr>
              <w:ind w:left="22" w:hanging="22"/>
            </w:pPr>
            <w:r>
              <w:t>Insufficient data to recommend a sensitiser notation.</w:t>
            </w:r>
          </w:p>
          <w:p w14:paraId="0CE3FEAD" w14:textId="77777777" w:rsidR="005B6461" w:rsidRPr="00AB3EA2" w:rsidRDefault="005B6461" w:rsidP="00AB3EA2">
            <w:pPr>
              <w:pStyle w:val="ListBullet"/>
              <w:numPr>
                <w:ilvl w:val="0"/>
                <w:numId w:val="0"/>
              </w:numPr>
              <w:ind w:left="22" w:hanging="22"/>
            </w:pPr>
          </w:p>
        </w:tc>
      </w:tr>
      <w:tr w:rsidR="00C978F0" w:rsidRPr="00DA352E" w14:paraId="057F0F15" w14:textId="77777777" w:rsidTr="00D559EC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90D7CF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15DF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F15DFC">
                  <w:t>NA</w:t>
                </w:r>
                <w:proofErr w:type="spellEnd"/>
              </w:sdtContent>
            </w:sdt>
          </w:p>
        </w:tc>
      </w:tr>
      <w:tr w:rsidR="00C978F0" w:rsidRPr="00DA352E" w14:paraId="1A939156" w14:textId="77777777" w:rsidTr="00D559EC">
        <w:trPr>
          <w:gridAfter w:val="1"/>
          <w:wAfter w:w="8" w:type="pct"/>
          <w:cantSplit/>
        </w:trPr>
        <w:tc>
          <w:tcPr>
            <w:tcW w:w="4992" w:type="pct"/>
          </w:tcPr>
          <w:p w14:paraId="767250D2" w14:textId="77777777" w:rsidR="00C978F0" w:rsidRPr="00DA352E" w:rsidRDefault="00F15DFC" w:rsidP="003365A5">
            <w:pPr>
              <w:pStyle w:val="Tabletextprimarysource"/>
            </w:pPr>
            <w:r>
              <w:t>No report</w:t>
            </w:r>
            <w:r w:rsidR="007C20EF">
              <w:t>.</w:t>
            </w:r>
          </w:p>
        </w:tc>
      </w:tr>
      <w:tr w:rsidR="00DA352E" w:rsidRPr="00DA352E" w14:paraId="3FE96CC6" w14:textId="77777777" w:rsidTr="00D559EC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A3B4C43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151F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151FF">
                  <w:t>NA</w:t>
                </w:r>
                <w:proofErr w:type="spellEnd"/>
              </w:sdtContent>
            </w:sdt>
          </w:p>
        </w:tc>
      </w:tr>
      <w:tr w:rsidR="00DA352E" w:rsidRPr="00DA352E" w14:paraId="5EE1054F" w14:textId="77777777" w:rsidTr="00D559EC">
        <w:trPr>
          <w:gridAfter w:val="1"/>
          <w:wAfter w:w="8" w:type="pct"/>
          <w:cantSplit/>
        </w:trPr>
        <w:tc>
          <w:tcPr>
            <w:tcW w:w="4992" w:type="pct"/>
          </w:tcPr>
          <w:p w14:paraId="78FEB7E0" w14:textId="77777777" w:rsidR="00DA352E" w:rsidRPr="00DA352E" w:rsidRDefault="00A151FF" w:rsidP="003365A5">
            <w:pPr>
              <w:pStyle w:val="Tabletextprimarysource"/>
            </w:pPr>
            <w:r>
              <w:t>No report</w:t>
            </w:r>
            <w:r w:rsidR="007C20EF">
              <w:t>.</w:t>
            </w:r>
          </w:p>
        </w:tc>
      </w:tr>
      <w:tr w:rsidR="00DA352E" w:rsidRPr="00DA352E" w14:paraId="7894516C" w14:textId="77777777" w:rsidTr="00D559EC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9958821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F220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AF2202">
                  <w:t>NA</w:t>
                </w:r>
                <w:proofErr w:type="spellEnd"/>
              </w:sdtContent>
            </w:sdt>
          </w:p>
        </w:tc>
      </w:tr>
      <w:tr w:rsidR="00DA352E" w:rsidRPr="00DA352E" w14:paraId="624BE4F4" w14:textId="77777777" w:rsidTr="00D559EC">
        <w:trPr>
          <w:gridAfter w:val="1"/>
          <w:wAfter w:w="8" w:type="pct"/>
          <w:cantSplit/>
        </w:trPr>
        <w:tc>
          <w:tcPr>
            <w:tcW w:w="4992" w:type="pct"/>
          </w:tcPr>
          <w:p w14:paraId="6D048AC0" w14:textId="77777777" w:rsidR="00DA352E" w:rsidRPr="00DA352E" w:rsidRDefault="00AF2202" w:rsidP="003365A5">
            <w:pPr>
              <w:pStyle w:val="Tabletextprimarysource"/>
            </w:pPr>
            <w:r>
              <w:t>No report</w:t>
            </w:r>
            <w:r w:rsidR="007C20EF">
              <w:t>.</w:t>
            </w:r>
          </w:p>
        </w:tc>
      </w:tr>
    </w:tbl>
    <w:p w14:paraId="149B5290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6"/>
        <w:gridCol w:w="421"/>
        <w:gridCol w:w="661"/>
        <w:gridCol w:w="6458"/>
      </w:tblGrid>
      <w:tr w:rsidR="004966BF" w:rsidRPr="00D559EC" w14:paraId="709F2BCD" w14:textId="77777777" w:rsidTr="00D55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6" w:type="dxa"/>
            <w:shd w:val="clear" w:color="auto" w:fill="BFBFBF" w:themeFill="background1" w:themeFillShade="BF"/>
            <w:vAlign w:val="center"/>
          </w:tcPr>
          <w:p w14:paraId="25BB23B3" w14:textId="77777777" w:rsidR="004966BF" w:rsidRPr="00D559EC" w:rsidRDefault="004966BF" w:rsidP="00263255">
            <w:pPr>
              <w:pStyle w:val="Tableheader"/>
              <w:rPr>
                <w:b/>
              </w:rPr>
            </w:pPr>
            <w:r w:rsidRPr="00D559EC">
              <w:rPr>
                <w:b/>
              </w:rPr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7554526" w14:textId="77777777" w:rsidR="004966BF" w:rsidRPr="00D559EC" w:rsidRDefault="004966BF" w:rsidP="00263255">
            <w:pPr>
              <w:pStyle w:val="Tableheader"/>
              <w:rPr>
                <w:b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D4A8258" w14:textId="77777777" w:rsidR="004966BF" w:rsidRPr="00D559EC" w:rsidRDefault="004966BF" w:rsidP="00263255">
            <w:pPr>
              <w:pStyle w:val="Tableheader"/>
              <w:rPr>
                <w:b/>
              </w:rPr>
            </w:pPr>
            <w:r w:rsidRPr="00D559EC">
              <w:rPr>
                <w:b/>
              </w:rPr>
              <w:t>Year</w:t>
            </w:r>
          </w:p>
        </w:tc>
        <w:tc>
          <w:tcPr>
            <w:tcW w:w="6458" w:type="dxa"/>
            <w:shd w:val="clear" w:color="auto" w:fill="BFBFBF" w:themeFill="background1" w:themeFillShade="BF"/>
            <w:vAlign w:val="center"/>
          </w:tcPr>
          <w:p w14:paraId="6E774501" w14:textId="77777777" w:rsidR="004966BF" w:rsidRPr="00D559EC" w:rsidRDefault="004966BF" w:rsidP="00263255">
            <w:pPr>
              <w:pStyle w:val="Tableheader"/>
              <w:rPr>
                <w:b/>
              </w:rPr>
            </w:pPr>
            <w:r w:rsidRPr="00D559EC">
              <w:rPr>
                <w:b/>
              </w:rPr>
              <w:t>Additional information</w:t>
            </w:r>
          </w:p>
        </w:tc>
      </w:tr>
      <w:tr w:rsidR="004966BF" w:rsidRPr="004C23F4" w14:paraId="7730D1FE" w14:textId="77777777" w:rsidTr="00D559EC">
        <w:trPr>
          <w:cantSplit/>
        </w:trPr>
        <w:tc>
          <w:tcPr>
            <w:tcW w:w="1486" w:type="dxa"/>
          </w:tcPr>
          <w:p w14:paraId="25603BCE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1" w:type="dxa"/>
          </w:tcPr>
          <w:p w14:paraId="77E309B3" w14:textId="77777777" w:rsidR="004966BF" w:rsidRPr="00CE617F" w:rsidRDefault="00AA1B8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16B7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BF81D40" w14:textId="77777777" w:rsidR="004966BF" w:rsidRPr="004C23F4" w:rsidRDefault="00816B7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8" w:type="dxa"/>
          </w:tcPr>
          <w:p w14:paraId="5886F897" w14:textId="0206E7F1" w:rsidR="009E504E" w:rsidRDefault="009E504E" w:rsidP="004C7023">
            <w:pPr>
              <w:pStyle w:val="Tablefont"/>
              <w:pageBreakBefore/>
              <w:numPr>
                <w:ilvl w:val="0"/>
                <w:numId w:val="2"/>
              </w:numPr>
              <w:spacing w:before="60" w:after="60"/>
              <w:ind w:hanging="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Results of OECD-compliant inhalation study (</w:t>
            </w:r>
            <w:r w:rsidR="008A694B">
              <w:rPr>
                <w:rFonts w:cs="Arial"/>
                <w:bCs/>
              </w:rPr>
              <w:t xml:space="preserve">rats, 6 h/d, 7 d/wk, </w:t>
            </w:r>
            <w:r w:rsidR="00C329F3">
              <w:rPr>
                <w:rFonts w:cs="Arial"/>
                <w:bCs/>
              </w:rPr>
              <w:t xml:space="preserve">females: 47 d, males: 28 d, </w:t>
            </w:r>
            <w:r>
              <w:rPr>
                <w:rFonts w:cs="Arial"/>
                <w:bCs/>
              </w:rPr>
              <w:t>also cited in DFG</w:t>
            </w:r>
            <w:r w:rsidR="00DD1F2E">
              <w:rPr>
                <w:rFonts w:cs="Arial"/>
                <w:bCs/>
              </w:rPr>
              <w:t>, 2017) used as basis for DNEL</w:t>
            </w:r>
            <w:r w:rsidR="00100518">
              <w:rPr>
                <w:rFonts w:cs="Arial"/>
                <w:bCs/>
              </w:rPr>
              <w:t>:</w:t>
            </w:r>
          </w:p>
          <w:p w14:paraId="4CFB989D" w14:textId="4A8FB725" w:rsidR="004966BF" w:rsidRDefault="00DD1F2E" w:rsidP="004C7023">
            <w:pPr>
              <w:pStyle w:val="Tablefont"/>
              <w:pageBreakBefore/>
              <w:numPr>
                <w:ilvl w:val="1"/>
                <w:numId w:val="2"/>
              </w:numPr>
              <w:spacing w:before="60" w:after="60"/>
              <w:ind w:left="1158" w:hanging="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overall assessment factor of 18 applied to NOAEC of 24</w:t>
            </w:r>
            <w:r w:rsidR="005B6461">
              <w:rPr>
                <w:rFonts w:cs="Arial"/>
                <w:bCs/>
              </w:rPr>
              <w:t> </w:t>
            </w:r>
            <w:r>
              <w:rPr>
                <w:rFonts w:cs="Arial"/>
                <w:bCs/>
              </w:rPr>
              <w:t xml:space="preserve">ppm to </w:t>
            </w:r>
            <w:r w:rsidR="00AE5303">
              <w:rPr>
                <w:rFonts w:cs="Arial"/>
                <w:bCs/>
              </w:rPr>
              <w:t xml:space="preserve">derive </w:t>
            </w:r>
            <w:r>
              <w:rPr>
                <w:rFonts w:cs="Arial"/>
                <w:bCs/>
              </w:rPr>
              <w:t>a long-term local DNEL</w:t>
            </w:r>
            <w:r w:rsidR="00AE5303">
              <w:rPr>
                <w:rFonts w:cs="Arial"/>
                <w:bCs/>
              </w:rPr>
              <w:t xml:space="preserve"> of </w:t>
            </w:r>
            <w:r>
              <w:rPr>
                <w:rFonts w:cs="Arial"/>
                <w:bCs/>
              </w:rPr>
              <w:t>1 ppm</w:t>
            </w:r>
          </w:p>
          <w:p w14:paraId="6B1A9E1E" w14:textId="77777777" w:rsidR="0012407B" w:rsidRPr="00DD1F2E" w:rsidRDefault="0012407B" w:rsidP="004C7023">
            <w:pPr>
              <w:pStyle w:val="Tablefont"/>
              <w:pageBreakBefore/>
              <w:numPr>
                <w:ilvl w:val="0"/>
                <w:numId w:val="2"/>
              </w:numPr>
              <w:spacing w:before="60" w:after="60"/>
              <w:ind w:hanging="357"/>
              <w:rPr>
                <w:rStyle w:val="checkbox"/>
                <w:rFonts w:ascii="Arial" w:hAnsi="Arial" w:cs="Arial"/>
                <w:bCs/>
                <w:lang w:eastAsia="en-US"/>
              </w:rPr>
            </w:pPr>
            <w:r>
              <w:t xml:space="preserve">Non-mutagenic </w:t>
            </w:r>
            <w:r>
              <w:rPr>
                <w:i/>
              </w:rPr>
              <w:t>in vitro</w:t>
            </w:r>
            <w:r w:rsidR="00A07FD2">
              <w:t xml:space="preserve"> based on 8 studies with bacteria and mammalian cells</w:t>
            </w:r>
            <w:r>
              <w:rPr>
                <w:i/>
              </w:rPr>
              <w:t xml:space="preserve"> </w:t>
            </w:r>
            <w:r w:rsidR="00A07FD2">
              <w:t>or</w:t>
            </w:r>
            <w:r>
              <w:t xml:space="preserve"> </w:t>
            </w:r>
            <w:r>
              <w:rPr>
                <w:i/>
              </w:rPr>
              <w:t>in vivo</w:t>
            </w:r>
            <w:r w:rsidR="00A07FD2">
              <w:t xml:space="preserve"> based on 3 studies mice and rats</w:t>
            </w:r>
            <w:r w:rsidR="007C20EF">
              <w:t>.</w:t>
            </w:r>
          </w:p>
        </w:tc>
      </w:tr>
      <w:tr w:rsidR="004966BF" w:rsidRPr="004C23F4" w14:paraId="05BDB493" w14:textId="77777777" w:rsidTr="00D559EC">
        <w:trPr>
          <w:cantSplit/>
        </w:trPr>
        <w:tc>
          <w:tcPr>
            <w:tcW w:w="1486" w:type="dxa"/>
          </w:tcPr>
          <w:p w14:paraId="26F4E919" w14:textId="77777777" w:rsidR="004966BF" w:rsidRPr="004C23F4" w:rsidRDefault="004966BF" w:rsidP="00224EE2">
            <w:pPr>
              <w:pStyle w:val="Tablefont"/>
            </w:pPr>
            <w:r>
              <w:lastRenderedPageBreak/>
              <w:t>OECD</w:t>
            </w:r>
          </w:p>
        </w:tc>
        <w:tc>
          <w:tcPr>
            <w:tcW w:w="421" w:type="dxa"/>
          </w:tcPr>
          <w:p w14:paraId="1C9F263F" w14:textId="77777777" w:rsidR="004966BF" w:rsidRPr="00CE617F" w:rsidRDefault="00AA1B8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16B7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08B0147" w14:textId="77777777" w:rsidR="004966BF" w:rsidRPr="004C23F4" w:rsidRDefault="00816B7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2010</w:t>
            </w:r>
          </w:p>
        </w:tc>
        <w:tc>
          <w:tcPr>
            <w:tcW w:w="6458" w:type="dxa"/>
          </w:tcPr>
          <w:p w14:paraId="0FBCB1B9" w14:textId="77777777" w:rsidR="00816B70" w:rsidRDefault="00816B70" w:rsidP="004C7023">
            <w:pPr>
              <w:pStyle w:val="Tablefont"/>
              <w:numPr>
                <w:ilvl w:val="0"/>
                <w:numId w:val="2"/>
              </w:numPr>
              <w:spacing w:before="60" w:after="60"/>
              <w:ind w:hanging="357"/>
              <w:rPr>
                <w:rFonts w:cs="Arial"/>
              </w:rPr>
            </w:pPr>
            <w:r>
              <w:rPr>
                <w:rFonts w:cs="Arial"/>
              </w:rPr>
              <w:t>Grouped assessment with nitromethane and nitroethane</w:t>
            </w:r>
          </w:p>
          <w:p w14:paraId="54FAD122" w14:textId="41818457" w:rsidR="00E02C04" w:rsidRDefault="003E4210" w:rsidP="004C7023">
            <w:pPr>
              <w:pStyle w:val="Tablefont"/>
              <w:numPr>
                <w:ilvl w:val="0"/>
                <w:numId w:val="2"/>
              </w:numPr>
              <w:spacing w:before="60" w:after="60"/>
              <w:ind w:hanging="357"/>
              <w:rPr>
                <w:rFonts w:cs="Arial"/>
              </w:rPr>
            </w:pPr>
            <w:r>
              <w:rPr>
                <w:rFonts w:cs="Arial"/>
              </w:rPr>
              <w:t xml:space="preserve">Nasal tissue degeneration at </w:t>
            </w:r>
            <w:r w:rsidR="00E02C04">
              <w:rPr>
                <w:rFonts w:cs="Arial"/>
              </w:rPr>
              <w:t>48 ppm in controlled inhalation reproductive study with exposure groups 24, 48, 96 ppm (rats, 6 h/d, 7 d/wk, 28 d</w:t>
            </w:r>
            <w:r w:rsidR="00115CCE">
              <w:rPr>
                <w:rFonts w:cs="Arial"/>
              </w:rPr>
              <w:t>, also cited by DFG, 2017</w:t>
            </w:r>
            <w:r w:rsidR="00E02C04">
              <w:rPr>
                <w:rFonts w:cs="Arial"/>
              </w:rPr>
              <w:t>)</w:t>
            </w:r>
            <w:r w:rsidR="00100518">
              <w:rPr>
                <w:rFonts w:cs="Arial"/>
              </w:rPr>
              <w:t>:</w:t>
            </w:r>
            <w:r w:rsidR="00E02C04">
              <w:rPr>
                <w:rFonts w:cs="Arial"/>
              </w:rPr>
              <w:t xml:space="preserve"> </w:t>
            </w:r>
          </w:p>
          <w:p w14:paraId="3535F7C5" w14:textId="77777777" w:rsidR="00E02C04" w:rsidRDefault="00E02C04" w:rsidP="004C7023">
            <w:pPr>
              <w:pStyle w:val="Tablefont"/>
              <w:numPr>
                <w:ilvl w:val="1"/>
                <w:numId w:val="2"/>
              </w:numPr>
              <w:spacing w:before="60" w:after="60"/>
              <w:ind w:left="1158" w:hanging="357"/>
              <w:rPr>
                <w:rFonts w:cs="Arial"/>
              </w:rPr>
            </w:pPr>
            <w:r>
              <w:rPr>
                <w:rFonts w:cs="Arial"/>
              </w:rPr>
              <w:t>NOAEC for local irritation/lesions: 24 ppm</w:t>
            </w:r>
          </w:p>
          <w:p w14:paraId="726F020D" w14:textId="77777777" w:rsidR="003E4210" w:rsidRDefault="00E02C04" w:rsidP="004C7023">
            <w:pPr>
              <w:pStyle w:val="Tablefont"/>
              <w:numPr>
                <w:ilvl w:val="1"/>
                <w:numId w:val="2"/>
              </w:numPr>
              <w:spacing w:before="60" w:after="60"/>
              <w:ind w:left="1158" w:hanging="357"/>
              <w:rPr>
                <w:rFonts w:cs="Arial"/>
              </w:rPr>
            </w:pPr>
            <w:r>
              <w:rPr>
                <w:rFonts w:cs="Arial"/>
              </w:rPr>
              <w:t xml:space="preserve">NOAEC for systemic effects: 96 ppm (highest dose) </w:t>
            </w:r>
          </w:p>
          <w:p w14:paraId="27AEA37C" w14:textId="77777777" w:rsidR="00816B70" w:rsidRDefault="00816B70" w:rsidP="004C7023">
            <w:pPr>
              <w:pStyle w:val="Tablefont"/>
              <w:numPr>
                <w:ilvl w:val="0"/>
                <w:numId w:val="2"/>
              </w:numPr>
              <w:spacing w:before="60" w:after="60"/>
              <w:ind w:hanging="357"/>
              <w:rPr>
                <w:rFonts w:cs="Arial"/>
              </w:rPr>
            </w:pPr>
            <w:r>
              <w:rPr>
                <w:rFonts w:cs="Arial"/>
              </w:rPr>
              <w:t xml:space="preserve">Nitromethane carcinogenic above 188 ppm </w:t>
            </w:r>
            <w:r w:rsidR="003E4210">
              <w:rPr>
                <w:rFonts w:cs="Arial"/>
              </w:rPr>
              <w:t>(mice, rats); nitroethane and 1-nitropropane non-carcinogenic at 200 and 100 ppm (rats, no further details provided)</w:t>
            </w:r>
          </w:p>
          <w:p w14:paraId="71C2A223" w14:textId="20BEE276" w:rsidR="003E4210" w:rsidRDefault="003E4210" w:rsidP="004C7023">
            <w:pPr>
              <w:pStyle w:val="Tablefont"/>
              <w:numPr>
                <w:ilvl w:val="0"/>
                <w:numId w:val="2"/>
              </w:numPr>
              <w:spacing w:before="60" w:after="60"/>
              <w:ind w:hanging="357"/>
              <w:rPr>
                <w:rFonts w:cs="Arial"/>
              </w:rPr>
            </w:pPr>
            <w:r>
              <w:rPr>
                <w:rFonts w:cs="Arial"/>
              </w:rPr>
              <w:t>Non-mutagenic in</w:t>
            </w:r>
            <w:r w:rsidRPr="00A152CE">
              <w:rPr>
                <w:rFonts w:cs="Arial"/>
              </w:rPr>
              <w:t xml:space="preserve"> mouse or rat bone marrow </w:t>
            </w:r>
            <w:r w:rsidRPr="003E4210">
              <w:rPr>
                <w:rFonts w:cs="Arial"/>
                <w:i/>
              </w:rPr>
              <w:t>in vivo</w:t>
            </w:r>
            <w:r>
              <w:rPr>
                <w:rFonts w:cs="Arial"/>
              </w:rPr>
              <w:t>,</w:t>
            </w:r>
            <w:r w:rsidRPr="00A152CE">
              <w:rPr>
                <w:rFonts w:cs="Arial"/>
              </w:rPr>
              <w:t xml:space="preserve"> but positive for micronuclei in rat liver cells </w:t>
            </w:r>
            <w:r>
              <w:rPr>
                <w:rFonts w:cs="Arial"/>
                <w:i/>
              </w:rPr>
              <w:t>in vivo</w:t>
            </w:r>
            <w:r w:rsidR="00100518">
              <w:rPr>
                <w:rFonts w:cs="Arial"/>
              </w:rPr>
              <w:t>:</w:t>
            </w:r>
          </w:p>
          <w:p w14:paraId="52D30D9A" w14:textId="60A70915" w:rsidR="00A152CE" w:rsidRPr="003E4210" w:rsidRDefault="003E4210" w:rsidP="004C7023">
            <w:pPr>
              <w:pStyle w:val="Tablefont"/>
              <w:numPr>
                <w:ilvl w:val="1"/>
                <w:numId w:val="2"/>
              </w:numPr>
              <w:spacing w:before="60" w:after="60"/>
              <w:ind w:left="1158" w:hanging="357"/>
              <w:rPr>
                <w:rStyle w:val="checkbox"/>
                <w:rFonts w:ascii="Arial" w:hAnsi="Arial" w:cs="Arial"/>
                <w:lang w:eastAsia="en-US"/>
              </w:rPr>
            </w:pPr>
            <w:r>
              <w:rPr>
                <w:rFonts w:cs="Arial"/>
              </w:rPr>
              <w:t xml:space="preserve">chemicals in </w:t>
            </w:r>
            <w:r w:rsidR="008A694B">
              <w:rPr>
                <w:rFonts w:cs="Arial"/>
              </w:rPr>
              <w:t xml:space="preserve">grouped assessment </w:t>
            </w:r>
            <w:r>
              <w:rPr>
                <w:rFonts w:cs="Arial"/>
              </w:rPr>
              <w:t>are non-genotoxic</w:t>
            </w:r>
            <w:r w:rsidR="00A152CE" w:rsidRPr="003E4210">
              <w:rPr>
                <w:rFonts w:cs="Arial"/>
              </w:rPr>
              <w:t xml:space="preserve"> </w:t>
            </w:r>
            <w:r w:rsidR="00A152CE" w:rsidRPr="003E4210">
              <w:rPr>
                <w:rFonts w:cs="Arial"/>
                <w:i/>
              </w:rPr>
              <w:t>in</w:t>
            </w:r>
            <w:r w:rsidR="00A152CE" w:rsidRPr="003E4210">
              <w:rPr>
                <w:rFonts w:cs="Arial"/>
              </w:rPr>
              <w:t xml:space="preserve"> </w:t>
            </w:r>
            <w:r w:rsidR="00A152CE" w:rsidRPr="003E4210">
              <w:rPr>
                <w:rFonts w:cs="Arial"/>
                <w:i/>
              </w:rPr>
              <w:t>vitro</w:t>
            </w:r>
            <w:r w:rsidR="00115CCE">
              <w:rPr>
                <w:rFonts w:cs="Arial"/>
              </w:rPr>
              <w:t xml:space="preserve"> based on studies with all chemicals in </w:t>
            </w:r>
            <w:r w:rsidR="00100518">
              <w:rPr>
                <w:rFonts w:cs="Arial"/>
              </w:rPr>
              <w:t>group</w:t>
            </w:r>
            <w:r w:rsidR="00100518" w:rsidRPr="003E4210">
              <w:rPr>
                <w:rFonts w:cs="Arial"/>
              </w:rPr>
              <w:t xml:space="preserve"> but</w:t>
            </w:r>
            <w:r w:rsidR="00A152CE" w:rsidRPr="003E4210">
              <w:rPr>
                <w:rFonts w:cs="Arial"/>
              </w:rPr>
              <w:t xml:space="preserve"> may</w:t>
            </w:r>
            <w:r>
              <w:rPr>
                <w:rFonts w:cs="Arial"/>
              </w:rPr>
              <w:t xml:space="preserve"> be genotoxic </w:t>
            </w:r>
            <w:r w:rsidRPr="003E4210">
              <w:rPr>
                <w:rFonts w:cs="Arial"/>
                <w:i/>
              </w:rPr>
              <w:t>in</w:t>
            </w:r>
            <w:r>
              <w:rPr>
                <w:rFonts w:cs="Arial"/>
              </w:rPr>
              <w:t xml:space="preserve"> </w:t>
            </w:r>
            <w:r w:rsidRPr="003E4210">
              <w:rPr>
                <w:rFonts w:cs="Arial"/>
                <w:i/>
              </w:rPr>
              <w:t>vivo</w:t>
            </w:r>
            <w:r w:rsidR="00115CCE">
              <w:rPr>
                <w:rFonts w:cs="Arial"/>
              </w:rPr>
              <w:t xml:space="preserve"> based on studies with 1-nitropropane</w:t>
            </w:r>
            <w:r w:rsidR="00126495">
              <w:rPr>
                <w:rFonts w:cs="Arial"/>
              </w:rPr>
              <w:t>.</w:t>
            </w:r>
          </w:p>
        </w:tc>
      </w:tr>
      <w:tr w:rsidR="004966BF" w:rsidRPr="004C23F4" w14:paraId="63890FDF" w14:textId="77777777" w:rsidTr="00D559EC">
        <w:trPr>
          <w:cantSplit/>
        </w:trPr>
        <w:tc>
          <w:tcPr>
            <w:tcW w:w="1486" w:type="dxa"/>
          </w:tcPr>
          <w:p w14:paraId="59C526E5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1" w:type="dxa"/>
          </w:tcPr>
          <w:p w14:paraId="7B720192" w14:textId="77777777" w:rsidR="004966BF" w:rsidRDefault="00AA1B8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152C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FB32AD5" w14:textId="77777777" w:rsidR="004966BF" w:rsidRPr="004C23F4" w:rsidRDefault="00A152C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8" w:type="dxa"/>
          </w:tcPr>
          <w:p w14:paraId="777F23B0" w14:textId="77777777" w:rsidR="004966BF" w:rsidRPr="004C23F4" w:rsidRDefault="00A152CE" w:rsidP="00C54E98">
            <w:pPr>
              <w:pStyle w:val="Tablefont"/>
              <w:numPr>
                <w:ilvl w:val="0"/>
                <w:numId w:val="6"/>
              </w:numPr>
              <w:spacing w:before="60" w:after="60"/>
              <w:rPr>
                <w:rStyle w:val="checkbox"/>
                <w:rFonts w:ascii="Arial" w:hAnsi="Arial" w:cs="Arial"/>
                <w:lang w:eastAsia="en-US"/>
              </w:rPr>
            </w:pPr>
            <w:r w:rsidRPr="00A152CE">
              <w:rPr>
                <w:rFonts w:cs="Arial"/>
              </w:rPr>
              <w:t>IDLH based on acute inhalation toxicity data in animals</w:t>
            </w:r>
            <w:r>
              <w:rPr>
                <w:rFonts w:cs="Arial"/>
              </w:rPr>
              <w:t>.</w:t>
            </w:r>
          </w:p>
        </w:tc>
      </w:tr>
    </w:tbl>
    <w:p w14:paraId="1C32BE72" w14:textId="77777777" w:rsidR="007E2A4B" w:rsidRDefault="007E2A4B"/>
    <w:bookmarkEnd w:id="1"/>
    <w:p w14:paraId="61C0EC7C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2D3F2626" w14:textId="77777777" w:rsidTr="00A07FD2">
        <w:trPr>
          <w:trHeight w:val="454"/>
          <w:tblHeader/>
        </w:trPr>
        <w:tc>
          <w:tcPr>
            <w:tcW w:w="6603" w:type="dxa"/>
            <w:vAlign w:val="center"/>
          </w:tcPr>
          <w:p w14:paraId="413D3F6B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65B6B4B3" w14:textId="77777777" w:rsidR="002E0D61" w:rsidRDefault="00A07FD2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7538F985" w14:textId="77777777" w:rsidTr="00A07FD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6AA74197" w14:textId="77777777" w:rsidR="008A36CF" w:rsidRPr="006901A2" w:rsidRDefault="00A07FD2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2D8C2A21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25C952B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D559EC" w14:paraId="36FB51AB" w14:textId="77777777" w:rsidTr="00D55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777D408" w14:textId="77777777" w:rsidR="00687890" w:rsidRPr="00D559EC" w:rsidRDefault="00687890" w:rsidP="00263255">
            <w:pPr>
              <w:pStyle w:val="Tableheader"/>
              <w:rPr>
                <w:b/>
              </w:rPr>
            </w:pPr>
            <w:bookmarkStart w:id="3" w:name="Notations"/>
            <w:r w:rsidRPr="00D559EC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B0E19AA" w14:textId="77777777" w:rsidR="00687890" w:rsidRPr="00D559EC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D559EC">
              <w:rPr>
                <w:b/>
              </w:rPr>
              <w:t>Notations</w:t>
            </w:r>
            <w:r w:rsidR="003A2B94" w:rsidRPr="00D559EC">
              <w:rPr>
                <w:b/>
              </w:rPr>
              <w:tab/>
            </w:r>
          </w:p>
        </w:tc>
      </w:tr>
      <w:tr w:rsidR="00687890" w:rsidRPr="004C23F4" w14:paraId="43B0F08B" w14:textId="77777777" w:rsidTr="00D559EC">
        <w:trPr>
          <w:cantSplit/>
        </w:trPr>
        <w:tc>
          <w:tcPr>
            <w:tcW w:w="3227" w:type="dxa"/>
          </w:tcPr>
          <w:p w14:paraId="6278EED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46F0F75" w14:textId="77777777" w:rsidR="00687890" w:rsidRPr="00DD2F9B" w:rsidRDefault="00CA338F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740BDFEC" w14:textId="77777777" w:rsidTr="00D559EC">
        <w:trPr>
          <w:cantSplit/>
        </w:trPr>
        <w:tc>
          <w:tcPr>
            <w:tcW w:w="3227" w:type="dxa"/>
          </w:tcPr>
          <w:p w14:paraId="7608D3B1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BAE2D47" w14:textId="77777777" w:rsidR="007925F0" w:rsidRPr="00DD2F9B" w:rsidRDefault="00CA338F" w:rsidP="00DD2F9B">
            <w:pPr>
              <w:pStyle w:val="Tablefont"/>
            </w:pPr>
            <w:r w:rsidRPr="00CA338F">
              <w:t>—</w:t>
            </w:r>
          </w:p>
        </w:tc>
      </w:tr>
      <w:tr w:rsidR="00AF483F" w:rsidRPr="004C23F4" w14:paraId="729995A5" w14:textId="77777777" w:rsidTr="00D559EC">
        <w:trPr>
          <w:cantSplit/>
        </w:trPr>
        <w:tc>
          <w:tcPr>
            <w:tcW w:w="3227" w:type="dxa"/>
          </w:tcPr>
          <w:p w14:paraId="069A467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78EF6A9" w14:textId="77777777" w:rsidR="00AF483F" w:rsidRPr="00DD2F9B" w:rsidRDefault="00AF2202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64DA3FD3" w14:textId="77777777" w:rsidTr="00D559EC">
        <w:trPr>
          <w:cantSplit/>
        </w:trPr>
        <w:tc>
          <w:tcPr>
            <w:tcW w:w="3227" w:type="dxa"/>
          </w:tcPr>
          <w:p w14:paraId="090EDC7F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A2DA9DD" w14:textId="77777777" w:rsidR="00687890" w:rsidRPr="00DD2F9B" w:rsidRDefault="00CA338F" w:rsidP="00DD2F9B">
            <w:pPr>
              <w:pStyle w:val="Tablefont"/>
            </w:pPr>
            <w:r w:rsidRPr="00CA338F">
              <w:t>—</w:t>
            </w:r>
          </w:p>
        </w:tc>
      </w:tr>
      <w:tr w:rsidR="00E41A26" w:rsidRPr="004C23F4" w14:paraId="1F038DF2" w14:textId="77777777" w:rsidTr="00D559EC">
        <w:trPr>
          <w:cantSplit/>
        </w:trPr>
        <w:tc>
          <w:tcPr>
            <w:tcW w:w="3227" w:type="dxa"/>
          </w:tcPr>
          <w:p w14:paraId="23CF78D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95C8FBF" w14:textId="77777777" w:rsidR="00E41A26" w:rsidRPr="00DD2F9B" w:rsidRDefault="00CA338F" w:rsidP="00DD2F9B">
            <w:pPr>
              <w:pStyle w:val="Tablefont"/>
            </w:pPr>
            <w:r w:rsidRPr="00CA338F">
              <w:t>—</w:t>
            </w:r>
          </w:p>
        </w:tc>
      </w:tr>
      <w:tr w:rsidR="002E0D61" w:rsidRPr="004C23F4" w14:paraId="55BEA3FA" w14:textId="77777777" w:rsidTr="00D559EC">
        <w:trPr>
          <w:cantSplit/>
        </w:trPr>
        <w:tc>
          <w:tcPr>
            <w:tcW w:w="3227" w:type="dxa"/>
          </w:tcPr>
          <w:p w14:paraId="6669448B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6F777B35" w14:textId="77777777" w:rsidR="002E0D61" w:rsidRPr="00DD2F9B" w:rsidRDefault="00A151FF" w:rsidP="00DD2F9B">
            <w:pPr>
              <w:pStyle w:val="Tablefont"/>
            </w:pPr>
            <w:r w:rsidRPr="00A151FF">
              <w:t>Carcinogenicity – A4</w:t>
            </w:r>
          </w:p>
        </w:tc>
      </w:tr>
      <w:tr w:rsidR="002E0D61" w:rsidRPr="004C23F4" w14:paraId="24405333" w14:textId="77777777" w:rsidTr="00D559EC">
        <w:trPr>
          <w:cantSplit/>
        </w:trPr>
        <w:tc>
          <w:tcPr>
            <w:tcW w:w="3227" w:type="dxa"/>
          </w:tcPr>
          <w:p w14:paraId="0DA5944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4351A57" w14:textId="77777777" w:rsidR="002E0D61" w:rsidRPr="00DD2F9B" w:rsidRDefault="00A151FF" w:rsidP="00DD2F9B">
            <w:pPr>
              <w:pStyle w:val="Tablefont"/>
            </w:pPr>
            <w:r>
              <w:t>H (skin)</w:t>
            </w:r>
          </w:p>
        </w:tc>
      </w:tr>
      <w:tr w:rsidR="002E0D61" w:rsidRPr="004C23F4" w14:paraId="303490BF" w14:textId="77777777" w:rsidTr="00D559EC">
        <w:trPr>
          <w:cantSplit/>
        </w:trPr>
        <w:tc>
          <w:tcPr>
            <w:tcW w:w="3227" w:type="dxa"/>
          </w:tcPr>
          <w:p w14:paraId="52C48BF7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93A64A9" w14:textId="77777777" w:rsidR="002E0D61" w:rsidRPr="00DD2F9B" w:rsidRDefault="00AF220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B537BBF" w14:textId="77777777" w:rsidTr="00D559EC">
        <w:trPr>
          <w:cantSplit/>
        </w:trPr>
        <w:tc>
          <w:tcPr>
            <w:tcW w:w="3227" w:type="dxa"/>
          </w:tcPr>
          <w:p w14:paraId="6BA1B1B2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52AF05A" w14:textId="77777777" w:rsidR="002E0D61" w:rsidRPr="00DD2F9B" w:rsidRDefault="00AF220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3E7C715" w14:textId="77777777" w:rsidTr="00D559EC">
        <w:trPr>
          <w:cantSplit/>
        </w:trPr>
        <w:tc>
          <w:tcPr>
            <w:tcW w:w="3227" w:type="dxa"/>
          </w:tcPr>
          <w:p w14:paraId="5CBF1A1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A57C330" w14:textId="77777777" w:rsidR="00386093" w:rsidRPr="00DD2F9B" w:rsidRDefault="00AF220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9CB6589" w14:textId="77777777" w:rsidTr="00D559EC">
        <w:trPr>
          <w:cantSplit/>
        </w:trPr>
        <w:tc>
          <w:tcPr>
            <w:tcW w:w="3227" w:type="dxa"/>
          </w:tcPr>
          <w:p w14:paraId="6DCD1E6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1147B4E" w14:textId="77777777" w:rsidR="00386093" w:rsidRPr="00DD2F9B" w:rsidRDefault="00AF2202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4B02F88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C056959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E9D7215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6A76369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231D5E5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108" w:type="dxa"/>
              <w:tblLook w:val="04A0" w:firstRow="1" w:lastRow="0" w:firstColumn="1" w:lastColumn="0" w:noHBand="0" w:noVBand="1"/>
            </w:tblPr>
            <w:tblGrid>
              <w:gridCol w:w="3716"/>
              <w:gridCol w:w="597"/>
              <w:gridCol w:w="552"/>
              <w:gridCol w:w="3945"/>
            </w:tblGrid>
            <w:tr w:rsidR="00191531" w:rsidRPr="00191531" w14:paraId="70A0B6E3" w14:textId="77777777" w:rsidTr="001D1DC5">
              <w:trPr>
                <w:trHeight w:val="341"/>
              </w:trPr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2E7FA5" w14:textId="77777777" w:rsidR="00191531" w:rsidRPr="00191531" w:rsidRDefault="00191531" w:rsidP="0019153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E3CBFC" w14:textId="77777777" w:rsidR="00191531" w:rsidRPr="00191531" w:rsidRDefault="00191531" w:rsidP="0019153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1563BB" w14:textId="77777777" w:rsidR="00191531" w:rsidRPr="00191531" w:rsidRDefault="00191531" w:rsidP="0019153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9FC6F7" w14:textId="77777777" w:rsidR="00191531" w:rsidRPr="00191531" w:rsidRDefault="00191531" w:rsidP="0019153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91531" w:rsidRPr="00191531" w14:paraId="1F4C2166" w14:textId="77777777" w:rsidTr="001D1DC5">
              <w:trPr>
                <w:trHeight w:val="341"/>
              </w:trPr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951567" w14:textId="77777777" w:rsidR="00191531" w:rsidRPr="00191531" w:rsidRDefault="00191531" w:rsidP="0019153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6302D5" w14:textId="77777777" w:rsidR="00191531" w:rsidRPr="00191531" w:rsidRDefault="00191531" w:rsidP="0019153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708D3B" w14:textId="77777777" w:rsidR="00191531" w:rsidRPr="00191531" w:rsidRDefault="00191531" w:rsidP="0019153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E6E0D4" w14:textId="77777777" w:rsidR="00191531" w:rsidRPr="00191531" w:rsidRDefault="00191531" w:rsidP="0019153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91531" w:rsidRPr="00191531" w14:paraId="59E0359E" w14:textId="77777777" w:rsidTr="001D1DC5">
              <w:trPr>
                <w:trHeight w:val="341"/>
              </w:trPr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AA0D9C" w14:textId="77777777" w:rsidR="00191531" w:rsidRPr="00191531" w:rsidRDefault="00191531" w:rsidP="0019153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D9056C" w14:textId="77777777" w:rsidR="00191531" w:rsidRPr="00191531" w:rsidRDefault="00191531" w:rsidP="0019153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B1BB5B" w14:textId="77777777" w:rsidR="00191531" w:rsidRPr="00191531" w:rsidRDefault="00191531" w:rsidP="0019153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6D519A" w14:textId="77777777" w:rsidR="00191531" w:rsidRPr="00191531" w:rsidRDefault="00191531" w:rsidP="0019153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91531" w:rsidRPr="00191531" w14:paraId="44D3EA84" w14:textId="77777777" w:rsidTr="001D1DC5">
              <w:trPr>
                <w:trHeight w:val="341"/>
              </w:trPr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75E2D8" w14:textId="77777777" w:rsidR="00191531" w:rsidRPr="00191531" w:rsidRDefault="00191531" w:rsidP="0019153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8C1B64" w14:textId="77777777" w:rsidR="00191531" w:rsidRPr="00191531" w:rsidRDefault="00191531" w:rsidP="0019153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03712B" w14:textId="77777777" w:rsidR="00191531" w:rsidRPr="00191531" w:rsidRDefault="00191531" w:rsidP="0019153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194E0B" w14:textId="77777777" w:rsidR="00191531" w:rsidRPr="00191531" w:rsidRDefault="00191531" w:rsidP="0019153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91531" w:rsidRPr="00191531" w14:paraId="68D70DAB" w14:textId="77777777" w:rsidTr="001D1DC5">
              <w:trPr>
                <w:trHeight w:val="341"/>
              </w:trPr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D8A0CC" w14:textId="77777777" w:rsidR="00191531" w:rsidRPr="00191531" w:rsidRDefault="00191531" w:rsidP="0019153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9D7997" w14:textId="77777777" w:rsidR="00191531" w:rsidRPr="00191531" w:rsidRDefault="00191531" w:rsidP="0019153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4E7AA2" w14:textId="77777777" w:rsidR="00191531" w:rsidRPr="00191531" w:rsidRDefault="00191531" w:rsidP="0019153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C37E74" w14:textId="77777777" w:rsidR="00191531" w:rsidRPr="00191531" w:rsidRDefault="00191531" w:rsidP="0019153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91531" w:rsidRPr="00191531" w14:paraId="03C7E3C9" w14:textId="77777777" w:rsidTr="001D1DC5">
              <w:trPr>
                <w:trHeight w:val="341"/>
              </w:trPr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3437AF" w14:textId="77777777" w:rsidR="00191531" w:rsidRPr="00191531" w:rsidRDefault="00191531" w:rsidP="0019153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748F0E3" w14:textId="77777777" w:rsidR="00191531" w:rsidRPr="00191531" w:rsidRDefault="00191531" w:rsidP="0019153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4E3D22" w14:textId="77777777" w:rsidR="00191531" w:rsidRPr="00191531" w:rsidRDefault="00191531" w:rsidP="0019153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2.00</w:t>
                  </w:r>
                </w:p>
              </w:tc>
              <w:tc>
                <w:tcPr>
                  <w:tcW w:w="4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8C272F" w14:textId="77777777" w:rsidR="00191531" w:rsidRPr="00191531" w:rsidRDefault="00191531" w:rsidP="0019153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191531" w:rsidRPr="00191531" w14:paraId="710698BE" w14:textId="77777777" w:rsidTr="001D1DC5">
              <w:trPr>
                <w:trHeight w:val="341"/>
              </w:trPr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7A41DB" w14:textId="77777777" w:rsidR="00191531" w:rsidRPr="00191531" w:rsidRDefault="00191531" w:rsidP="0019153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3D2C00" w14:textId="77777777" w:rsidR="00191531" w:rsidRPr="00191531" w:rsidRDefault="00191531" w:rsidP="0019153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CDD3BE" w14:textId="77777777" w:rsidR="00191531" w:rsidRPr="00191531" w:rsidRDefault="00191531" w:rsidP="0019153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4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40EE66" w14:textId="77777777" w:rsidR="00191531" w:rsidRPr="00191531" w:rsidRDefault="00191531" w:rsidP="00191531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191531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insufficient data to assign a skin notation</w:t>
                  </w:r>
                </w:p>
              </w:tc>
            </w:tr>
          </w:tbl>
          <w:p w14:paraId="251E9B20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6CE77FA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0684662D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81995EC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8992745" w14:textId="77777777" w:rsidR="00EB3D1B" w:rsidRDefault="00AF2202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2050733D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7070F0A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961A90D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29F32E9" w14:textId="77777777" w:rsidR="001B79E5" w:rsidRDefault="000E50E7" w:rsidP="001B79E5">
                <w:pPr>
                  <w:pStyle w:val="Tablefont"/>
                </w:pPr>
                <w:r>
                  <w:t>89.09</w:t>
                </w:r>
              </w:p>
            </w:tc>
          </w:sdtContent>
        </w:sdt>
      </w:tr>
      <w:tr w:rsidR="00A31D99" w:rsidRPr="004C23F4" w14:paraId="028EB9C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7CD38F8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70F5723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191531">
                  <w:t>3.64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sdt>
                  <w:sdtPr>
                    <w:id w:val="1256171986"/>
                    <w:placeholder>
                      <w:docPart w:val="4AD45F6405554477951958454D59E29E"/>
                    </w:placeholder>
                  </w:sdtPr>
                  <w:sdtEndPr/>
                  <w:sdtContent>
                    <w:r w:rsidR="00191531">
                      <w:t>0.275</w:t>
                    </w:r>
                  </w:sdtContent>
                </w:sdt>
              </w:sdtContent>
            </w:sdt>
            <w:r>
              <w:t xml:space="preserve"> ppm</w:t>
            </w:r>
          </w:p>
        </w:tc>
      </w:tr>
      <w:tr w:rsidR="00687890" w:rsidRPr="004C23F4" w14:paraId="1705C53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879B586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035B24B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AAA6C2F" w14:textId="77777777" w:rsidTr="00EA6243">
        <w:trPr>
          <w:cantSplit/>
        </w:trPr>
        <w:tc>
          <w:tcPr>
            <w:tcW w:w="4077" w:type="dxa"/>
            <w:vAlign w:val="center"/>
          </w:tcPr>
          <w:p w14:paraId="536B538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7712522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2280BE3" w14:textId="77777777" w:rsidTr="00EA6243">
        <w:trPr>
          <w:cantSplit/>
        </w:trPr>
        <w:tc>
          <w:tcPr>
            <w:tcW w:w="4077" w:type="dxa"/>
            <w:vAlign w:val="center"/>
          </w:tcPr>
          <w:p w14:paraId="670510F4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8683E3A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D3D9A92" w14:textId="77777777" w:rsidTr="00EA6243">
        <w:trPr>
          <w:cantSplit/>
        </w:trPr>
        <w:tc>
          <w:tcPr>
            <w:tcW w:w="4077" w:type="dxa"/>
            <w:vAlign w:val="center"/>
          </w:tcPr>
          <w:p w14:paraId="355CF4FB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A2F2224" w14:textId="77777777" w:rsidR="00E06F40" w:rsidRPr="00A006A0" w:rsidRDefault="00AA1B8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F5F7E33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4D735A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D7935FB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E18B4A7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E0719FD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F32DA82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4CF56A98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17CF7C4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23A19F4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5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A029A4D" w14:textId="77777777" w:rsidR="008E4F1F" w:rsidRDefault="008E4F1F" w:rsidP="008E4F1F">
      <w:r w:rsidRPr="002022B6">
        <w:t>Deutsche Forschungsgemeinschaft (DFG)</w:t>
      </w:r>
      <w:r>
        <w:t xml:space="preserve"> (</w:t>
      </w:r>
      <w:r w:rsidR="00973184">
        <w:t>201</w:t>
      </w:r>
      <w:r w:rsidR="00B84E48">
        <w:t>7</w:t>
      </w:r>
      <w:r>
        <w:t xml:space="preserve">) </w:t>
      </w:r>
      <w:r w:rsidR="00973184" w:rsidRPr="00973184">
        <w:t>1-Nitropropane</w:t>
      </w:r>
      <w:r>
        <w:t xml:space="preserve"> – MAK value documentation.</w:t>
      </w:r>
    </w:p>
    <w:p w14:paraId="00E67510" w14:textId="77777777" w:rsidR="00191531" w:rsidRDefault="00191531" w:rsidP="008E4F1F">
      <w:r>
        <w:t>European Chemicals Agency (ECHA) (2019) 1-Nitropropane – REACH assessment.</w:t>
      </w:r>
    </w:p>
    <w:p w14:paraId="2425884F" w14:textId="77777777" w:rsidR="0013408E" w:rsidRPr="00191531" w:rsidRDefault="0013408E" w:rsidP="008E4F1F">
      <w:r w:rsidRPr="00E819F5">
        <w:t>Organisation for Economic Cooperation and Development (OECD) (</w:t>
      </w:r>
      <w:r>
        <w:t>2010</w:t>
      </w:r>
      <w:r w:rsidRPr="00E819F5">
        <w:t xml:space="preserve">) SIDS </w:t>
      </w:r>
      <w:r>
        <w:t>Final</w:t>
      </w:r>
      <w:r w:rsidRPr="00E819F5">
        <w:t xml:space="preserve"> assessment profile –</w:t>
      </w:r>
      <w:r>
        <w:t>Nitroparaffins</w:t>
      </w:r>
      <w:r w:rsidRPr="00E819F5">
        <w:t>.</w:t>
      </w:r>
    </w:p>
    <w:p w14:paraId="4EEAF998" w14:textId="77777777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temporary/>
          <w:showingPlcHdr/>
        </w:sdtPr>
        <w:sdtEndPr/>
        <w:sdtContent>
          <w:r w:rsidRPr="00973184">
            <w:t>1994</w:t>
          </w:r>
        </w:sdtContent>
      </w:sdt>
      <w:r>
        <w:t xml:space="preserve">) Immediately dangerous to life or health concentrations – </w:t>
      </w:r>
      <w:r w:rsidR="00973184">
        <w:t>1-n</w:t>
      </w:r>
      <w:r w:rsidR="00973184" w:rsidRPr="00973184">
        <w:t>itropropane</w:t>
      </w:r>
      <w:r>
        <w:t>.</w:t>
      </w:r>
    </w:p>
    <w:p w14:paraId="277618B8" w14:textId="77777777" w:rsidR="008E4F1F" w:rsidRPr="00351FE0" w:rsidRDefault="008E4F1F" w:rsidP="00084859"/>
    <w:sectPr w:rsidR="008E4F1F" w:rsidRPr="00351FE0" w:rsidSect="00B87D4C">
      <w:headerReference w:type="even" r:id="rId16"/>
      <w:headerReference w:type="default" r:id="rId17"/>
      <w:headerReference w:type="firs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D1B49" w14:textId="77777777" w:rsidR="00B35887" w:rsidRDefault="00B35887" w:rsidP="00F43AD5">
      <w:pPr>
        <w:spacing w:after="0" w:line="240" w:lineRule="auto"/>
      </w:pPr>
      <w:r>
        <w:separator/>
      </w:r>
    </w:p>
  </w:endnote>
  <w:endnote w:type="continuationSeparator" w:id="0">
    <w:p w14:paraId="2461D8E8" w14:textId="77777777" w:rsidR="00B35887" w:rsidRDefault="00B3588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8A951E8" w14:textId="77777777" w:rsidR="00C329F3" w:rsidRDefault="00C329F3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1-Nitropropane (108-03-2)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>
          <w:rPr>
            <w:sz w:val="18"/>
            <w:szCs w:val="18"/>
          </w:rPr>
          <w:t xml:space="preserve"> 2020</w:t>
        </w:r>
      </w:p>
      <w:p w14:paraId="52B80A5F" w14:textId="5D0B042F" w:rsidR="00C329F3" w:rsidRPr="00F43AD5" w:rsidRDefault="00C329F3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A07FAB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D2BC4" w14:textId="77777777" w:rsidR="00B35887" w:rsidRDefault="00B35887" w:rsidP="00F43AD5">
      <w:pPr>
        <w:spacing w:after="0" w:line="240" w:lineRule="auto"/>
      </w:pPr>
      <w:r>
        <w:separator/>
      </w:r>
    </w:p>
  </w:footnote>
  <w:footnote w:type="continuationSeparator" w:id="0">
    <w:p w14:paraId="16C4A731" w14:textId="77777777" w:rsidR="00B35887" w:rsidRDefault="00B3588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6B90" w14:textId="152A42B5" w:rsidR="00AA1B8F" w:rsidRDefault="00AA1B8F">
    <w:pPr>
      <w:pStyle w:val="Header"/>
    </w:pPr>
    <w:r>
      <w:rPr>
        <w:noProof/>
      </w:rPr>
      <w:pict w14:anchorId="4415D8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75219" o:spid="_x0000_s819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A0C0" w14:textId="4DEB4B31" w:rsidR="00C329F3" w:rsidRDefault="00AA1B8F" w:rsidP="00F43AD5">
    <w:pPr>
      <w:pStyle w:val="Header"/>
      <w:jc w:val="right"/>
    </w:pPr>
    <w:r>
      <w:rPr>
        <w:noProof/>
      </w:rPr>
      <w:pict w14:anchorId="3B873A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75220" o:spid="_x0000_s819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C329F3">
      <w:rPr>
        <w:noProof/>
        <w:lang w:eastAsia="en-AU"/>
      </w:rPr>
      <w:drawing>
        <wp:inline distT="0" distB="0" distL="0" distR="0" wp14:anchorId="382FF667" wp14:editId="230C9846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7E3F" w14:textId="25087838" w:rsidR="00AA1B8F" w:rsidRDefault="00AA1B8F">
    <w:pPr>
      <w:pStyle w:val="Header"/>
    </w:pPr>
    <w:r>
      <w:rPr>
        <w:noProof/>
      </w:rPr>
      <w:pict w14:anchorId="0ACAE6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75218" o:spid="_x0000_s819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1AB1E" w14:textId="06070974" w:rsidR="00AA1B8F" w:rsidRDefault="00AA1B8F">
    <w:pPr>
      <w:pStyle w:val="Header"/>
    </w:pPr>
    <w:r>
      <w:rPr>
        <w:noProof/>
      </w:rPr>
      <w:pict w14:anchorId="474A3C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75222" o:spid="_x0000_s819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C084F" w14:textId="5E5680F8" w:rsidR="00C329F3" w:rsidRDefault="00AA1B8F" w:rsidP="00F43AD5">
    <w:pPr>
      <w:pStyle w:val="Header"/>
      <w:jc w:val="right"/>
    </w:pPr>
    <w:r>
      <w:rPr>
        <w:noProof/>
        <w:lang w:eastAsia="en-AU"/>
      </w:rPr>
      <w:drawing>
        <wp:inline distT="0" distB="0" distL="0" distR="0" wp14:anchorId="379E8FFF" wp14:editId="590704AC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 w14:anchorId="23CC28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75223" o:spid="_x0000_s819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82C5A" w14:textId="2106386A" w:rsidR="00AA1B8F" w:rsidRDefault="00AA1B8F">
    <w:pPr>
      <w:pStyle w:val="Header"/>
    </w:pPr>
    <w:r>
      <w:rPr>
        <w:noProof/>
      </w:rPr>
      <w:pict w14:anchorId="7113D6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75221" o:spid="_x0000_s819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D3C7B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8D6599"/>
    <w:multiLevelType w:val="hybridMultilevel"/>
    <w:tmpl w:val="F2205FF6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2BD67B90"/>
    <w:multiLevelType w:val="hybridMultilevel"/>
    <w:tmpl w:val="33A80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B3D5F"/>
    <w:multiLevelType w:val="hybridMultilevel"/>
    <w:tmpl w:val="5D96C0DA"/>
    <w:lvl w:ilvl="0" w:tplc="0C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4" w15:restartNumberingAfterBreak="0">
    <w:nsid w:val="515C0A50"/>
    <w:multiLevelType w:val="hybridMultilevel"/>
    <w:tmpl w:val="2506CD6C"/>
    <w:lvl w:ilvl="0" w:tplc="8F96D5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E16C1"/>
    <w:multiLevelType w:val="hybridMultilevel"/>
    <w:tmpl w:val="08C4B27C"/>
    <w:lvl w:ilvl="0" w:tplc="79FE75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166D"/>
    <w:rsid w:val="00032B88"/>
    <w:rsid w:val="00037E52"/>
    <w:rsid w:val="00046DF5"/>
    <w:rsid w:val="00052060"/>
    <w:rsid w:val="00053200"/>
    <w:rsid w:val="0005574A"/>
    <w:rsid w:val="00055FE1"/>
    <w:rsid w:val="00056EC2"/>
    <w:rsid w:val="00060B48"/>
    <w:rsid w:val="00067F32"/>
    <w:rsid w:val="00071807"/>
    <w:rsid w:val="000803E1"/>
    <w:rsid w:val="000825C4"/>
    <w:rsid w:val="00084513"/>
    <w:rsid w:val="00084859"/>
    <w:rsid w:val="00092D94"/>
    <w:rsid w:val="00094D96"/>
    <w:rsid w:val="000A09A2"/>
    <w:rsid w:val="000B0868"/>
    <w:rsid w:val="000B17CD"/>
    <w:rsid w:val="000B2A2E"/>
    <w:rsid w:val="000B3E12"/>
    <w:rsid w:val="000B3E78"/>
    <w:rsid w:val="000B7B48"/>
    <w:rsid w:val="000C096D"/>
    <w:rsid w:val="000C139A"/>
    <w:rsid w:val="000C2053"/>
    <w:rsid w:val="000C248C"/>
    <w:rsid w:val="000D291C"/>
    <w:rsid w:val="000E50E7"/>
    <w:rsid w:val="000E5A54"/>
    <w:rsid w:val="000E63D3"/>
    <w:rsid w:val="000E67CF"/>
    <w:rsid w:val="00100518"/>
    <w:rsid w:val="0010461E"/>
    <w:rsid w:val="00106FAA"/>
    <w:rsid w:val="00113443"/>
    <w:rsid w:val="00115CCE"/>
    <w:rsid w:val="001211F0"/>
    <w:rsid w:val="0012407B"/>
    <w:rsid w:val="00126495"/>
    <w:rsid w:val="001269A7"/>
    <w:rsid w:val="00131092"/>
    <w:rsid w:val="0013408E"/>
    <w:rsid w:val="00137284"/>
    <w:rsid w:val="00140E6A"/>
    <w:rsid w:val="00146545"/>
    <w:rsid w:val="00146B75"/>
    <w:rsid w:val="00150E72"/>
    <w:rsid w:val="0015266D"/>
    <w:rsid w:val="0015288A"/>
    <w:rsid w:val="00153712"/>
    <w:rsid w:val="00160F47"/>
    <w:rsid w:val="00177CA1"/>
    <w:rsid w:val="00183823"/>
    <w:rsid w:val="00183942"/>
    <w:rsid w:val="00191531"/>
    <w:rsid w:val="001915F6"/>
    <w:rsid w:val="001A009E"/>
    <w:rsid w:val="001A1287"/>
    <w:rsid w:val="001A3859"/>
    <w:rsid w:val="001A3C9D"/>
    <w:rsid w:val="001A43F8"/>
    <w:rsid w:val="001B2FCE"/>
    <w:rsid w:val="001B79E5"/>
    <w:rsid w:val="001D1DC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472C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24CE"/>
    <w:rsid w:val="0025734A"/>
    <w:rsid w:val="00257A0F"/>
    <w:rsid w:val="00263255"/>
    <w:rsid w:val="00276494"/>
    <w:rsid w:val="00277B0C"/>
    <w:rsid w:val="002B1A2C"/>
    <w:rsid w:val="002C34F2"/>
    <w:rsid w:val="002C58FF"/>
    <w:rsid w:val="002C7AFE"/>
    <w:rsid w:val="002D05D2"/>
    <w:rsid w:val="002D79AC"/>
    <w:rsid w:val="002E0D61"/>
    <w:rsid w:val="002E4C7B"/>
    <w:rsid w:val="0030740C"/>
    <w:rsid w:val="00315833"/>
    <w:rsid w:val="003158C1"/>
    <w:rsid w:val="003215EE"/>
    <w:rsid w:val="003224BF"/>
    <w:rsid w:val="003241A8"/>
    <w:rsid w:val="003253F0"/>
    <w:rsid w:val="003337DA"/>
    <w:rsid w:val="00333CF9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7E49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B5C71"/>
    <w:rsid w:val="003C0D58"/>
    <w:rsid w:val="003D4FA3"/>
    <w:rsid w:val="003E0807"/>
    <w:rsid w:val="003E1A0C"/>
    <w:rsid w:val="003E4210"/>
    <w:rsid w:val="003E51FB"/>
    <w:rsid w:val="003E6B39"/>
    <w:rsid w:val="003F07E1"/>
    <w:rsid w:val="004030BC"/>
    <w:rsid w:val="00403F7D"/>
    <w:rsid w:val="00406785"/>
    <w:rsid w:val="004079B4"/>
    <w:rsid w:val="0041736B"/>
    <w:rsid w:val="00417A56"/>
    <w:rsid w:val="00420957"/>
    <w:rsid w:val="0042111D"/>
    <w:rsid w:val="00422A10"/>
    <w:rsid w:val="0042723A"/>
    <w:rsid w:val="00430179"/>
    <w:rsid w:val="004414B5"/>
    <w:rsid w:val="00443485"/>
    <w:rsid w:val="00444482"/>
    <w:rsid w:val="00444B42"/>
    <w:rsid w:val="00445E44"/>
    <w:rsid w:val="004509E2"/>
    <w:rsid w:val="004515EE"/>
    <w:rsid w:val="00451E3A"/>
    <w:rsid w:val="004529F0"/>
    <w:rsid w:val="00460A03"/>
    <w:rsid w:val="00472035"/>
    <w:rsid w:val="00472A11"/>
    <w:rsid w:val="00472AAD"/>
    <w:rsid w:val="00474E33"/>
    <w:rsid w:val="0047635A"/>
    <w:rsid w:val="00476803"/>
    <w:rsid w:val="00485BFD"/>
    <w:rsid w:val="004867A2"/>
    <w:rsid w:val="004873F2"/>
    <w:rsid w:val="00490D4C"/>
    <w:rsid w:val="00493A35"/>
    <w:rsid w:val="0049527A"/>
    <w:rsid w:val="0049619D"/>
    <w:rsid w:val="004966BF"/>
    <w:rsid w:val="00497984"/>
    <w:rsid w:val="004A5088"/>
    <w:rsid w:val="004C1E3F"/>
    <w:rsid w:val="004C23F4"/>
    <w:rsid w:val="004C3475"/>
    <w:rsid w:val="004C58B6"/>
    <w:rsid w:val="004C7023"/>
    <w:rsid w:val="004D16A3"/>
    <w:rsid w:val="004D4AA1"/>
    <w:rsid w:val="004D6D68"/>
    <w:rsid w:val="004E5EDD"/>
    <w:rsid w:val="004F1127"/>
    <w:rsid w:val="004F448A"/>
    <w:rsid w:val="004F493D"/>
    <w:rsid w:val="004F65E8"/>
    <w:rsid w:val="0050005E"/>
    <w:rsid w:val="00502B88"/>
    <w:rsid w:val="0051207D"/>
    <w:rsid w:val="005142C4"/>
    <w:rsid w:val="0051509C"/>
    <w:rsid w:val="0052350E"/>
    <w:rsid w:val="005272E2"/>
    <w:rsid w:val="0053108F"/>
    <w:rsid w:val="00532B56"/>
    <w:rsid w:val="00533A7A"/>
    <w:rsid w:val="00534B10"/>
    <w:rsid w:val="005446A2"/>
    <w:rsid w:val="00544D2F"/>
    <w:rsid w:val="00546A99"/>
    <w:rsid w:val="00551BD8"/>
    <w:rsid w:val="00573ED1"/>
    <w:rsid w:val="00581055"/>
    <w:rsid w:val="00586492"/>
    <w:rsid w:val="00587D52"/>
    <w:rsid w:val="00591E38"/>
    <w:rsid w:val="005A19C5"/>
    <w:rsid w:val="005A3034"/>
    <w:rsid w:val="005A462D"/>
    <w:rsid w:val="005B253B"/>
    <w:rsid w:val="005B6461"/>
    <w:rsid w:val="005B771D"/>
    <w:rsid w:val="005C5D16"/>
    <w:rsid w:val="005D3193"/>
    <w:rsid w:val="005D4A6E"/>
    <w:rsid w:val="005E6979"/>
    <w:rsid w:val="005E75CB"/>
    <w:rsid w:val="005E7A69"/>
    <w:rsid w:val="0060134A"/>
    <w:rsid w:val="006013C1"/>
    <w:rsid w:val="0060669E"/>
    <w:rsid w:val="00610F2E"/>
    <w:rsid w:val="00611399"/>
    <w:rsid w:val="00624C4E"/>
    <w:rsid w:val="00625200"/>
    <w:rsid w:val="00631656"/>
    <w:rsid w:val="006363A8"/>
    <w:rsid w:val="00636DB7"/>
    <w:rsid w:val="00650905"/>
    <w:rsid w:val="006532ED"/>
    <w:rsid w:val="006549F2"/>
    <w:rsid w:val="006559DF"/>
    <w:rsid w:val="006567B7"/>
    <w:rsid w:val="00657BFB"/>
    <w:rsid w:val="0066333C"/>
    <w:rsid w:val="006639B4"/>
    <w:rsid w:val="006650FE"/>
    <w:rsid w:val="006651B1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6F650D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43FB7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0D84"/>
    <w:rsid w:val="007B1B42"/>
    <w:rsid w:val="007C20EF"/>
    <w:rsid w:val="007C30EB"/>
    <w:rsid w:val="007D58EE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07CD3"/>
    <w:rsid w:val="00810C6D"/>
    <w:rsid w:val="00812887"/>
    <w:rsid w:val="00816B70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5102"/>
    <w:rsid w:val="0088798F"/>
    <w:rsid w:val="00887E4B"/>
    <w:rsid w:val="008915C8"/>
    <w:rsid w:val="008A36CF"/>
    <w:rsid w:val="008A3BC4"/>
    <w:rsid w:val="008A694B"/>
    <w:rsid w:val="008B403C"/>
    <w:rsid w:val="008B7983"/>
    <w:rsid w:val="008C2511"/>
    <w:rsid w:val="008C7EC1"/>
    <w:rsid w:val="008D026D"/>
    <w:rsid w:val="008D1186"/>
    <w:rsid w:val="008D23AB"/>
    <w:rsid w:val="008D4B8B"/>
    <w:rsid w:val="008D5A78"/>
    <w:rsid w:val="008D6EBE"/>
    <w:rsid w:val="008E4190"/>
    <w:rsid w:val="008E4F1F"/>
    <w:rsid w:val="008E7A6B"/>
    <w:rsid w:val="008E7B64"/>
    <w:rsid w:val="008F522A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6EF9"/>
    <w:rsid w:val="0093760E"/>
    <w:rsid w:val="0094066D"/>
    <w:rsid w:val="00946044"/>
    <w:rsid w:val="0094660B"/>
    <w:rsid w:val="00946A33"/>
    <w:rsid w:val="0095260E"/>
    <w:rsid w:val="009578DD"/>
    <w:rsid w:val="00961124"/>
    <w:rsid w:val="009621B6"/>
    <w:rsid w:val="00973184"/>
    <w:rsid w:val="00974F2D"/>
    <w:rsid w:val="00977524"/>
    <w:rsid w:val="00977E88"/>
    <w:rsid w:val="00984920"/>
    <w:rsid w:val="0099303A"/>
    <w:rsid w:val="00994420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504E"/>
    <w:rsid w:val="009E63E2"/>
    <w:rsid w:val="009F04D2"/>
    <w:rsid w:val="009F05CF"/>
    <w:rsid w:val="009F0F3A"/>
    <w:rsid w:val="00A01039"/>
    <w:rsid w:val="00A01D0C"/>
    <w:rsid w:val="00A0643F"/>
    <w:rsid w:val="00A067EE"/>
    <w:rsid w:val="00A06CE3"/>
    <w:rsid w:val="00A07FAB"/>
    <w:rsid w:val="00A07FD2"/>
    <w:rsid w:val="00A10FCE"/>
    <w:rsid w:val="00A151FF"/>
    <w:rsid w:val="00A152CE"/>
    <w:rsid w:val="00A16D91"/>
    <w:rsid w:val="00A174CC"/>
    <w:rsid w:val="00A2073D"/>
    <w:rsid w:val="00A20751"/>
    <w:rsid w:val="00A22279"/>
    <w:rsid w:val="00A27E2D"/>
    <w:rsid w:val="00A31D99"/>
    <w:rsid w:val="00A357BA"/>
    <w:rsid w:val="00A35ADC"/>
    <w:rsid w:val="00A402A3"/>
    <w:rsid w:val="00A50806"/>
    <w:rsid w:val="00A53681"/>
    <w:rsid w:val="00A633D4"/>
    <w:rsid w:val="00A6461A"/>
    <w:rsid w:val="00A7249E"/>
    <w:rsid w:val="00A84504"/>
    <w:rsid w:val="00A8672F"/>
    <w:rsid w:val="00A93057"/>
    <w:rsid w:val="00A968B0"/>
    <w:rsid w:val="00AA1B8F"/>
    <w:rsid w:val="00AB2672"/>
    <w:rsid w:val="00AB2817"/>
    <w:rsid w:val="00AB3EA2"/>
    <w:rsid w:val="00AB43C4"/>
    <w:rsid w:val="00AC32E7"/>
    <w:rsid w:val="00AC3A9F"/>
    <w:rsid w:val="00AC6D2F"/>
    <w:rsid w:val="00AD2113"/>
    <w:rsid w:val="00AD54B9"/>
    <w:rsid w:val="00AE2745"/>
    <w:rsid w:val="00AE2F64"/>
    <w:rsid w:val="00AE5303"/>
    <w:rsid w:val="00AF2202"/>
    <w:rsid w:val="00AF42CB"/>
    <w:rsid w:val="00AF483F"/>
    <w:rsid w:val="00AF5E07"/>
    <w:rsid w:val="00AF5F06"/>
    <w:rsid w:val="00B00A25"/>
    <w:rsid w:val="00B1422A"/>
    <w:rsid w:val="00B1765C"/>
    <w:rsid w:val="00B213C4"/>
    <w:rsid w:val="00B35887"/>
    <w:rsid w:val="00B40C60"/>
    <w:rsid w:val="00B479A9"/>
    <w:rsid w:val="00B52EDF"/>
    <w:rsid w:val="00B71188"/>
    <w:rsid w:val="00B7232E"/>
    <w:rsid w:val="00B76A41"/>
    <w:rsid w:val="00B84E48"/>
    <w:rsid w:val="00B87D4C"/>
    <w:rsid w:val="00B93646"/>
    <w:rsid w:val="00BA0B38"/>
    <w:rsid w:val="00BA1DBB"/>
    <w:rsid w:val="00BA4510"/>
    <w:rsid w:val="00BA529A"/>
    <w:rsid w:val="00BB612A"/>
    <w:rsid w:val="00BB640E"/>
    <w:rsid w:val="00BB7089"/>
    <w:rsid w:val="00BD043D"/>
    <w:rsid w:val="00BD499F"/>
    <w:rsid w:val="00BD56DE"/>
    <w:rsid w:val="00BF2406"/>
    <w:rsid w:val="00BF570A"/>
    <w:rsid w:val="00C06E43"/>
    <w:rsid w:val="00C16315"/>
    <w:rsid w:val="00C21C97"/>
    <w:rsid w:val="00C3091E"/>
    <w:rsid w:val="00C329F3"/>
    <w:rsid w:val="00C35F2A"/>
    <w:rsid w:val="00C40FF1"/>
    <w:rsid w:val="00C419E2"/>
    <w:rsid w:val="00C5020E"/>
    <w:rsid w:val="00C54E98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50DC"/>
    <w:rsid w:val="00C850A0"/>
    <w:rsid w:val="00C85A86"/>
    <w:rsid w:val="00C978F0"/>
    <w:rsid w:val="00CA338F"/>
    <w:rsid w:val="00CA58FE"/>
    <w:rsid w:val="00CB1CB1"/>
    <w:rsid w:val="00CB531F"/>
    <w:rsid w:val="00CB6BC1"/>
    <w:rsid w:val="00CB6CB8"/>
    <w:rsid w:val="00CC1A68"/>
    <w:rsid w:val="00CC2123"/>
    <w:rsid w:val="00CC25AE"/>
    <w:rsid w:val="00CD2BFD"/>
    <w:rsid w:val="00CE5AD6"/>
    <w:rsid w:val="00CE617F"/>
    <w:rsid w:val="00CE78EF"/>
    <w:rsid w:val="00CF517A"/>
    <w:rsid w:val="00D048F7"/>
    <w:rsid w:val="00D0517E"/>
    <w:rsid w:val="00D140FC"/>
    <w:rsid w:val="00D21D8C"/>
    <w:rsid w:val="00D31357"/>
    <w:rsid w:val="00D33220"/>
    <w:rsid w:val="00D334D1"/>
    <w:rsid w:val="00D3518B"/>
    <w:rsid w:val="00D44C89"/>
    <w:rsid w:val="00D516CD"/>
    <w:rsid w:val="00D559EC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1F2E"/>
    <w:rsid w:val="00DD2F9B"/>
    <w:rsid w:val="00DE2513"/>
    <w:rsid w:val="00DE26E8"/>
    <w:rsid w:val="00DF6F36"/>
    <w:rsid w:val="00E0084C"/>
    <w:rsid w:val="00E025AB"/>
    <w:rsid w:val="00E02B23"/>
    <w:rsid w:val="00E02C04"/>
    <w:rsid w:val="00E06F40"/>
    <w:rsid w:val="00E07CE8"/>
    <w:rsid w:val="00E22D2D"/>
    <w:rsid w:val="00E26A07"/>
    <w:rsid w:val="00E32595"/>
    <w:rsid w:val="00E37CFD"/>
    <w:rsid w:val="00E41A26"/>
    <w:rsid w:val="00E4336C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4F1A"/>
    <w:rsid w:val="00E96077"/>
    <w:rsid w:val="00EA0A06"/>
    <w:rsid w:val="00EA6243"/>
    <w:rsid w:val="00EA74AB"/>
    <w:rsid w:val="00EB3D1B"/>
    <w:rsid w:val="00EC08A6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5DFC"/>
    <w:rsid w:val="00F16019"/>
    <w:rsid w:val="00F20E68"/>
    <w:rsid w:val="00F22093"/>
    <w:rsid w:val="00F236DF"/>
    <w:rsid w:val="00F26D43"/>
    <w:rsid w:val="00F43792"/>
    <w:rsid w:val="00F43AD5"/>
    <w:rsid w:val="00F4402E"/>
    <w:rsid w:val="00F56DD0"/>
    <w:rsid w:val="00F6491C"/>
    <w:rsid w:val="00F67BBB"/>
    <w:rsid w:val="00F80570"/>
    <w:rsid w:val="00F8366D"/>
    <w:rsid w:val="00F87D92"/>
    <w:rsid w:val="00F90AA7"/>
    <w:rsid w:val="00F92498"/>
    <w:rsid w:val="00F9496B"/>
    <w:rsid w:val="00F95732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353A7A84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C35F2A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0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66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66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492"/>
    <w:rPr>
      <w:b/>
      <w:bCs/>
      <w:szCs w:val="20"/>
    </w:rPr>
  </w:style>
  <w:style w:type="paragraph" w:styleId="Revision">
    <w:name w:val="Revision"/>
    <w:hidden/>
    <w:uiPriority w:val="99"/>
    <w:semiHidden/>
    <w:rsid w:val="004C7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acgih.org/tlv-bei-guidelines/policies-procedures-presentation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8176259F24320A568A4FD2BAD3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8684-C0CF-4D46-9120-1E6D7A6E9098}"/>
      </w:docPartPr>
      <w:docPartBody>
        <w:p w:rsidR="00095930" w:rsidRDefault="003D4E3A" w:rsidP="003D4E3A">
          <w:pPr>
            <w:pStyle w:val="F618176259F24320A568A4FD2BAD3321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95AA35D294A4B06B43895598B053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81CF1-86F4-42DF-B7AF-E690299BB115}"/>
      </w:docPartPr>
      <w:docPartBody>
        <w:p w:rsidR="00A457BD" w:rsidRDefault="001B0C61" w:rsidP="001B0C61">
          <w:pPr>
            <w:pStyle w:val="495AA35D294A4B06B43895598B053C41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4AD45F6405554477951958454D59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031A8-169A-438C-9BB0-8E5959FDCE6D}"/>
      </w:docPartPr>
      <w:docPartBody>
        <w:p w:rsidR="00A457BD" w:rsidRDefault="001B0C61" w:rsidP="001B0C61">
          <w:pPr>
            <w:pStyle w:val="4AD45F6405554477951958454D59E29E"/>
          </w:pPr>
          <w:r>
            <w:rPr>
              <w:rStyle w:val="PlaceholderText"/>
            </w:rPr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95930"/>
    <w:rsid w:val="001B0C61"/>
    <w:rsid w:val="00225D23"/>
    <w:rsid w:val="0026290A"/>
    <w:rsid w:val="00347D16"/>
    <w:rsid w:val="003D4E3A"/>
    <w:rsid w:val="003E0149"/>
    <w:rsid w:val="00A457BD"/>
    <w:rsid w:val="00CA7F0D"/>
    <w:rsid w:val="00D21A9F"/>
    <w:rsid w:val="00F80C61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0C61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F618176259F24320A568A4FD2BAD3321">
    <w:name w:val="F618176259F24320A568A4FD2BAD3321"/>
    <w:rsid w:val="003D4E3A"/>
    <w:rPr>
      <w:lang w:val="en-US" w:eastAsia="en-US"/>
    </w:rPr>
  </w:style>
  <w:style w:type="paragraph" w:customStyle="1" w:styleId="495AA35D294A4B06B43895598B053C41">
    <w:name w:val="495AA35D294A4B06B43895598B053C41"/>
    <w:rsid w:val="001B0C61"/>
  </w:style>
  <w:style w:type="paragraph" w:customStyle="1" w:styleId="4AD45F6405554477951958454D59E29E">
    <w:name w:val="4AD45F6405554477951958454D59E29E"/>
    <w:rsid w:val="001B0C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bf54d604-3e62-4e70-ba33-9e9084b96a6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AAD71-226A-428A-AA61-38DD2F940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E149D-3CD2-46D0-B2C5-5FAC31A6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6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38</cp:revision>
  <cp:lastPrinted>2018-10-22T22:41:00Z</cp:lastPrinted>
  <dcterms:created xsi:type="dcterms:W3CDTF">2019-12-17T05:52:00Z</dcterms:created>
  <dcterms:modified xsi:type="dcterms:W3CDTF">2020-03-12T22:58:00Z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