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6B71F116" w14:textId="5985B4EF" w:rsidR="00BD499F" w:rsidRPr="004C23F4" w:rsidRDefault="00DA4FA5" w:rsidP="00B40C60">
          <w:pPr>
            <w:pStyle w:val="Heading1"/>
            <w:jc w:val="center"/>
            <w:rPr>
              <w:rFonts w:ascii="Arial" w:hAnsi="Arial" w:cs="Arial"/>
            </w:rPr>
          </w:pPr>
          <w:r w:rsidRPr="00DA4FA5">
            <w:rPr>
              <w:rFonts w:ascii="Arial" w:hAnsi="Arial" w:cs="Arial"/>
            </w:rPr>
            <w:t>2-Methoxyethanol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7"/>
        <w:gridCol w:w="5039"/>
      </w:tblGrid>
      <w:tr w:rsidR="00F43AD5" w:rsidRPr="004C23F4" w14:paraId="045E0747" w14:textId="77777777" w:rsidTr="00B76A41">
        <w:trPr>
          <w:cantSplit/>
          <w:tblHeader/>
        </w:trPr>
        <w:tc>
          <w:tcPr>
            <w:tcW w:w="4077" w:type="dxa"/>
          </w:tcPr>
          <w:p w14:paraId="0D3ADA79" w14:textId="77777777" w:rsidR="00F43AD5" w:rsidRPr="00921DE7" w:rsidRDefault="00CB1CB1" w:rsidP="00B76A41">
            <w:pPr>
              <w:pStyle w:val="Tablerowright"/>
            </w:pPr>
            <w:r w:rsidRPr="00921DE7">
              <w:t>CAS number:</w:t>
            </w:r>
          </w:p>
        </w:tc>
        <w:tc>
          <w:tcPr>
            <w:tcW w:w="5165" w:type="dxa"/>
          </w:tcPr>
          <w:p w14:paraId="25DC02A4" w14:textId="0F163455" w:rsidR="00F43AD5" w:rsidRPr="00717D45" w:rsidRDefault="003972E7" w:rsidP="00B76A41">
            <w:pPr>
              <w:pStyle w:val="Tablefont"/>
            </w:pPr>
            <w:r w:rsidRPr="003972E7">
              <w:t>109-86-4</w:t>
            </w:r>
          </w:p>
        </w:tc>
      </w:tr>
      <w:tr w:rsidR="00F43AD5" w:rsidRPr="004C23F4" w14:paraId="751E31B3" w14:textId="77777777" w:rsidTr="00B76A41">
        <w:trPr>
          <w:cantSplit/>
        </w:trPr>
        <w:tc>
          <w:tcPr>
            <w:tcW w:w="4077" w:type="dxa"/>
          </w:tcPr>
          <w:p w14:paraId="2649DD07" w14:textId="77777777" w:rsidR="00F43AD5" w:rsidRPr="00921DE7" w:rsidRDefault="00CB1CB1" w:rsidP="00B76A41">
            <w:pPr>
              <w:pStyle w:val="Tablerowright"/>
            </w:pPr>
            <w:r w:rsidRPr="00921DE7">
              <w:t>Synonyms:</w:t>
            </w:r>
          </w:p>
        </w:tc>
        <w:tc>
          <w:tcPr>
            <w:tcW w:w="5165" w:type="dxa"/>
          </w:tcPr>
          <w:p w14:paraId="7AB10BCA" w14:textId="12265949" w:rsidR="00F43AD5" w:rsidRPr="00717D45" w:rsidRDefault="00937E12" w:rsidP="00B76A41">
            <w:pPr>
              <w:pStyle w:val="Tablefont"/>
            </w:pPr>
            <w:r>
              <w:t xml:space="preserve">EGME, </w:t>
            </w:r>
            <w:r w:rsidR="003972E7">
              <w:t xml:space="preserve">2-Me, </w:t>
            </w:r>
            <w:proofErr w:type="spellStart"/>
            <w:r w:rsidR="003972E7">
              <w:t>Dwanol</w:t>
            </w:r>
            <w:proofErr w:type="spellEnd"/>
            <w:r w:rsidR="003972E7">
              <w:t xml:space="preserve"> EM, ethylene glycol</w:t>
            </w:r>
            <w:r w:rsidR="00217904">
              <w:t xml:space="preserve"> monomethyl ether, methyl</w:t>
            </w:r>
            <w:r>
              <w:t>-</w:t>
            </w:r>
            <w:proofErr w:type="spellStart"/>
            <w:r w:rsidR="00217904">
              <w:t>cellosolve</w:t>
            </w:r>
            <w:proofErr w:type="spellEnd"/>
            <w:r w:rsidR="00217904">
              <w:t>, monomethyl</w:t>
            </w:r>
            <w:r w:rsidR="003972E7">
              <w:t xml:space="preserve"> ether of ethylene glycol</w:t>
            </w:r>
          </w:p>
        </w:tc>
      </w:tr>
      <w:tr w:rsidR="00F43AD5" w:rsidRPr="004C23F4" w14:paraId="04261933" w14:textId="77777777" w:rsidTr="00B76A41">
        <w:trPr>
          <w:cantSplit/>
        </w:trPr>
        <w:tc>
          <w:tcPr>
            <w:tcW w:w="4077" w:type="dxa"/>
          </w:tcPr>
          <w:p w14:paraId="2265A0D5" w14:textId="77777777" w:rsidR="00F43AD5" w:rsidRPr="00921DE7" w:rsidRDefault="00CB1CB1" w:rsidP="00B76A41">
            <w:pPr>
              <w:pStyle w:val="Tablerowright"/>
            </w:pPr>
            <w:r w:rsidRPr="00921DE7">
              <w:t>Chemical formula:</w:t>
            </w:r>
          </w:p>
        </w:tc>
        <w:tc>
          <w:tcPr>
            <w:tcW w:w="5165" w:type="dxa"/>
          </w:tcPr>
          <w:p w14:paraId="2FD7C826" w14:textId="520D8170" w:rsidR="00F43AD5" w:rsidRPr="00717D45" w:rsidRDefault="003972E7" w:rsidP="00B76A41">
            <w:pPr>
              <w:pStyle w:val="Tablefont"/>
            </w:pPr>
            <w:r>
              <w:t>C</w:t>
            </w:r>
            <w:r w:rsidRPr="003972E7">
              <w:rPr>
                <w:vertAlign w:val="subscript"/>
              </w:rPr>
              <w:t>3</w:t>
            </w:r>
            <w:r>
              <w:t>H</w:t>
            </w:r>
            <w:r w:rsidRPr="003972E7">
              <w:rPr>
                <w:vertAlign w:val="subscript"/>
              </w:rPr>
              <w:t>8</w:t>
            </w:r>
            <w:r>
              <w:t>O</w:t>
            </w:r>
            <w:r w:rsidRPr="003972E7">
              <w:rPr>
                <w:vertAlign w:val="subscript"/>
              </w:rPr>
              <w:t>2</w:t>
            </w:r>
          </w:p>
        </w:tc>
      </w:tr>
      <w:tr w:rsidR="00F43AD5" w:rsidRPr="004C23F4" w14:paraId="04098E40" w14:textId="77777777" w:rsidTr="00B76A41">
        <w:trPr>
          <w:cantSplit/>
        </w:trPr>
        <w:tc>
          <w:tcPr>
            <w:tcW w:w="4077" w:type="dxa"/>
          </w:tcPr>
          <w:p w14:paraId="44A16044" w14:textId="77777777" w:rsidR="00F43AD5" w:rsidRPr="00921DE7" w:rsidRDefault="00CB1CB1" w:rsidP="00B76A41">
            <w:pPr>
              <w:pStyle w:val="Tablerowright"/>
            </w:pPr>
            <w:r w:rsidRPr="00921DE7">
              <w:t>Structural formula:</w:t>
            </w:r>
          </w:p>
        </w:tc>
        <w:tc>
          <w:tcPr>
            <w:tcW w:w="5165" w:type="dxa"/>
          </w:tcPr>
          <w:p w14:paraId="7DF6E704" w14:textId="2D4FEB5C" w:rsidR="00F43AD5" w:rsidRPr="003972E7" w:rsidRDefault="003972E7" w:rsidP="00B76A41">
            <w:pPr>
              <w:pStyle w:val="Tablerowheading"/>
              <w:rPr>
                <w:b w:val="0"/>
              </w:rPr>
            </w:pPr>
            <w:r w:rsidRPr="003972E7">
              <w:rPr>
                <w:b w:val="0"/>
              </w:rPr>
              <w:t>—</w:t>
            </w:r>
          </w:p>
        </w:tc>
      </w:tr>
    </w:tbl>
    <w:p w14:paraId="7DA2E239" w14:textId="2E28717F"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ED67C5">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7"/>
        <w:gridCol w:w="5019"/>
      </w:tblGrid>
      <w:tr w:rsidR="002C7AFE" w:rsidRPr="004C23F4" w14:paraId="3D36F31B" w14:textId="77777777" w:rsidTr="009315EF">
        <w:trPr>
          <w:cantSplit/>
          <w:tblHeader/>
        </w:trPr>
        <w:tc>
          <w:tcPr>
            <w:tcW w:w="4007" w:type="dxa"/>
            <w:vAlign w:val="center"/>
          </w:tcPr>
          <w:p w14:paraId="6CCD8EA7" w14:textId="77777777" w:rsidR="002C7AFE" w:rsidRPr="002C58FF" w:rsidRDefault="00921DE7" w:rsidP="00921DE7">
            <w:pPr>
              <w:pStyle w:val="Tablerowright"/>
            </w:pPr>
            <w:r>
              <w:t>TWA:</w:t>
            </w:r>
          </w:p>
        </w:tc>
        <w:tc>
          <w:tcPr>
            <w:tcW w:w="5019" w:type="dxa"/>
          </w:tcPr>
          <w:p w14:paraId="24E696E1" w14:textId="02DB3AF2" w:rsidR="002C7AFE" w:rsidRPr="00EB3D1B" w:rsidRDefault="00C0058C" w:rsidP="00017C82">
            <w:pPr>
              <w:pStyle w:val="Tablefont"/>
              <w:rPr>
                <w:b/>
              </w:rPr>
            </w:pPr>
            <w:r>
              <w:rPr>
                <w:b/>
              </w:rPr>
              <w:t>0.1 ppm (0.</w:t>
            </w:r>
            <w:r w:rsidR="00235095">
              <w:rPr>
                <w:b/>
              </w:rPr>
              <w:t>3</w:t>
            </w:r>
            <w:r>
              <w:rPr>
                <w:b/>
              </w:rPr>
              <w:t xml:space="preserve"> mg/m</w:t>
            </w:r>
            <w:r w:rsidRPr="009C5E41">
              <w:rPr>
                <w:b/>
                <w:vertAlign w:val="superscript"/>
              </w:rPr>
              <w:t>3</w:t>
            </w:r>
            <w:r>
              <w:rPr>
                <w:b/>
              </w:rPr>
              <w:t>)</w:t>
            </w:r>
          </w:p>
        </w:tc>
      </w:tr>
      <w:tr w:rsidR="002C7AFE" w:rsidRPr="004C23F4" w14:paraId="6E211C70" w14:textId="77777777" w:rsidTr="009315EF">
        <w:trPr>
          <w:cantSplit/>
        </w:trPr>
        <w:tc>
          <w:tcPr>
            <w:tcW w:w="4007" w:type="dxa"/>
            <w:vAlign w:val="center"/>
          </w:tcPr>
          <w:p w14:paraId="00192396" w14:textId="77777777" w:rsidR="002C7AFE" w:rsidRPr="002C58FF" w:rsidRDefault="002C7AFE" w:rsidP="00921DE7">
            <w:pPr>
              <w:pStyle w:val="Tablerowright"/>
            </w:pPr>
            <w:r w:rsidRPr="002C58FF">
              <w:t>STEL</w:t>
            </w:r>
            <w:r w:rsidR="00921DE7">
              <w:t>:</w:t>
            </w:r>
          </w:p>
        </w:tc>
        <w:tc>
          <w:tcPr>
            <w:tcW w:w="5019" w:type="dxa"/>
          </w:tcPr>
          <w:p w14:paraId="5F76DDA0" w14:textId="2CFF78FC" w:rsidR="002C7AFE" w:rsidRPr="00EB3D1B" w:rsidRDefault="00235095" w:rsidP="00017C82">
            <w:pPr>
              <w:pStyle w:val="Tablefont"/>
              <w:rPr>
                <w:b/>
              </w:rPr>
            </w:pPr>
            <w:r w:rsidRPr="003972E7">
              <w:t>—</w:t>
            </w:r>
          </w:p>
        </w:tc>
      </w:tr>
      <w:tr w:rsidR="002C7AFE" w:rsidRPr="004C23F4" w14:paraId="1E04BAFB" w14:textId="77777777" w:rsidTr="009315EF">
        <w:trPr>
          <w:cantSplit/>
        </w:trPr>
        <w:tc>
          <w:tcPr>
            <w:tcW w:w="4007" w:type="dxa"/>
            <w:vAlign w:val="center"/>
          </w:tcPr>
          <w:p w14:paraId="074CEFF3" w14:textId="77777777" w:rsidR="002C7AFE" w:rsidRPr="002C58FF" w:rsidRDefault="00921DE7" w:rsidP="00921DE7">
            <w:pPr>
              <w:pStyle w:val="Tablerowright"/>
            </w:pPr>
            <w:r>
              <w:t>Peak limitation:</w:t>
            </w:r>
          </w:p>
        </w:tc>
        <w:tc>
          <w:tcPr>
            <w:tcW w:w="5019" w:type="dxa"/>
          </w:tcPr>
          <w:p w14:paraId="2D9DE91D" w14:textId="3B245C8D" w:rsidR="002C7AFE" w:rsidRPr="00EB3D1B" w:rsidRDefault="00235095" w:rsidP="00017C82">
            <w:pPr>
              <w:pStyle w:val="Tablefont"/>
              <w:rPr>
                <w:b/>
              </w:rPr>
            </w:pPr>
            <w:r w:rsidRPr="003972E7">
              <w:t>—</w:t>
            </w:r>
          </w:p>
        </w:tc>
      </w:tr>
      <w:tr w:rsidR="002C7AFE" w:rsidRPr="004C23F4" w14:paraId="56ADB3A0" w14:textId="77777777" w:rsidTr="009315EF">
        <w:trPr>
          <w:cantSplit/>
        </w:trPr>
        <w:tc>
          <w:tcPr>
            <w:tcW w:w="4007" w:type="dxa"/>
          </w:tcPr>
          <w:p w14:paraId="3685E090"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19" w:type="dxa"/>
          </w:tcPr>
          <w:p w14:paraId="4904C2B0" w14:textId="0858EEE9" w:rsidR="002C7AFE" w:rsidRPr="00EB3D1B" w:rsidRDefault="009315EF" w:rsidP="008A36CF">
            <w:pPr>
              <w:pStyle w:val="Tablefont"/>
              <w:rPr>
                <w:b/>
              </w:rPr>
            </w:pPr>
            <w:r>
              <w:rPr>
                <w:b/>
              </w:rPr>
              <w:t>Sk.</w:t>
            </w:r>
          </w:p>
        </w:tc>
      </w:tr>
      <w:tr w:rsidR="002C7AFE" w:rsidRPr="004C23F4" w14:paraId="36719615" w14:textId="77777777" w:rsidTr="009315EF">
        <w:trPr>
          <w:cantSplit/>
        </w:trPr>
        <w:tc>
          <w:tcPr>
            <w:tcW w:w="4007" w:type="dxa"/>
            <w:vAlign w:val="center"/>
          </w:tcPr>
          <w:p w14:paraId="60D0EB39" w14:textId="77777777" w:rsidR="00F10C97" w:rsidRPr="002C58FF" w:rsidRDefault="00921DE7" w:rsidP="009F04D2">
            <w:pPr>
              <w:pStyle w:val="Tablerowright"/>
            </w:pPr>
            <w:r>
              <w:t>IDLH:</w:t>
            </w:r>
          </w:p>
        </w:tc>
        <w:tc>
          <w:tcPr>
            <w:tcW w:w="5019" w:type="dxa"/>
          </w:tcPr>
          <w:p w14:paraId="49DCCB57" w14:textId="526A1898" w:rsidR="002C7AFE" w:rsidRPr="00EB3D1B" w:rsidRDefault="00BA0A8C" w:rsidP="00017C82">
            <w:pPr>
              <w:pStyle w:val="Tablefont"/>
              <w:rPr>
                <w:b/>
              </w:rPr>
            </w:pPr>
            <w:r>
              <w:rPr>
                <w:b/>
              </w:rPr>
              <w:t>200 ppm</w:t>
            </w:r>
          </w:p>
        </w:tc>
      </w:tr>
      <w:tr w:rsidR="009315EF" w:rsidRPr="004C23F4" w14:paraId="4914C65F" w14:textId="77777777" w:rsidTr="0027110D">
        <w:trPr>
          <w:cantSplit/>
        </w:trPr>
        <w:tc>
          <w:tcPr>
            <w:tcW w:w="9026" w:type="dxa"/>
            <w:gridSpan w:val="2"/>
            <w:vAlign w:val="center"/>
          </w:tcPr>
          <w:p w14:paraId="53A7026C" w14:textId="6923A45D" w:rsidR="009315EF" w:rsidRPr="00EB3D1B" w:rsidRDefault="009315EF" w:rsidP="00017C82">
            <w:pPr>
              <w:pStyle w:val="Tablefont"/>
              <w:rPr>
                <w:b/>
              </w:rPr>
            </w:pPr>
            <w:r>
              <w:rPr>
                <w:b/>
              </w:rPr>
              <w:t>Sampling and analys</w:t>
            </w:r>
            <w:r w:rsidRPr="00A443BD">
              <w:rPr>
                <w:b/>
              </w:rPr>
              <w:t>is:</w:t>
            </w:r>
            <w:r w:rsidRPr="00A443BD">
              <w:rPr>
                <w:rStyle w:val="WESstatus"/>
                <w:color w:val="auto"/>
              </w:rPr>
              <w:t xml:space="preserve"> </w:t>
            </w:r>
            <w:sdt>
              <w:sdtPr>
                <w:rPr>
                  <w:rStyle w:val="WESstatus"/>
                  <w:color w:val="auto"/>
                </w:rPr>
                <w:id w:val="-2105258949"/>
                <w:placeholder>
                  <w:docPart w:val="5803EC878C9C41F2B5F45B29670917BD"/>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3D0AFBE2" w14:textId="77777777" w:rsidR="00CB1CB1" w:rsidRPr="003365A5" w:rsidRDefault="00F10C97" w:rsidP="003365A5">
      <w:pPr>
        <w:pStyle w:val="Heading2"/>
      </w:pPr>
      <w:r>
        <w:t>Recommendation and basis for workplace exposure standard</w:t>
      </w:r>
    </w:p>
    <w:p w14:paraId="0A7C87A0" w14:textId="0419A8A9" w:rsidR="00A86015" w:rsidRPr="009C5E41" w:rsidRDefault="00A86015" w:rsidP="00A86015">
      <w:pPr>
        <w:rPr>
          <w:rFonts w:cs="Arial"/>
        </w:rPr>
      </w:pPr>
      <w:r w:rsidRPr="009C5E41">
        <w:rPr>
          <w:rFonts w:cs="Arial"/>
        </w:rPr>
        <w:t xml:space="preserve">A TWA of </w:t>
      </w:r>
      <w:r w:rsidR="00C0058C" w:rsidRPr="009C5E41">
        <w:rPr>
          <w:rFonts w:cs="Arial"/>
        </w:rPr>
        <w:t>0.1</w:t>
      </w:r>
      <w:r w:rsidRPr="009C5E41">
        <w:rPr>
          <w:rFonts w:cs="Arial"/>
        </w:rPr>
        <w:t xml:space="preserve"> ppm (</w:t>
      </w:r>
      <w:r w:rsidR="00C0058C" w:rsidRPr="009C5E41">
        <w:rPr>
          <w:rFonts w:cs="Arial"/>
        </w:rPr>
        <w:t>0.</w:t>
      </w:r>
      <w:r w:rsidR="00235095">
        <w:rPr>
          <w:rFonts w:cs="Arial"/>
        </w:rPr>
        <w:t>3</w:t>
      </w:r>
      <w:r w:rsidRPr="009C5E41">
        <w:rPr>
          <w:rFonts w:cs="Arial"/>
        </w:rPr>
        <w:t xml:space="preserve"> mg/m</w:t>
      </w:r>
      <w:r w:rsidRPr="009C5E41">
        <w:rPr>
          <w:rFonts w:cs="Arial"/>
          <w:vertAlign w:val="superscript"/>
        </w:rPr>
        <w:t>3</w:t>
      </w:r>
      <w:r w:rsidRPr="009C5E41">
        <w:rPr>
          <w:rFonts w:cs="Arial"/>
        </w:rPr>
        <w:t xml:space="preserve">) is recommended to protect for </w:t>
      </w:r>
      <w:r w:rsidR="003C35D0" w:rsidRPr="009C5E41">
        <w:rPr>
          <w:rFonts w:cs="Arial"/>
        </w:rPr>
        <w:t>haematological</w:t>
      </w:r>
      <w:r w:rsidR="00BA011A">
        <w:rPr>
          <w:rFonts w:cs="Arial"/>
        </w:rPr>
        <w:t>, developmental</w:t>
      </w:r>
      <w:r w:rsidR="003C35D0" w:rsidRPr="009C5E41">
        <w:rPr>
          <w:rFonts w:cs="Arial"/>
        </w:rPr>
        <w:t xml:space="preserve"> and reproductive toxicity effects</w:t>
      </w:r>
      <w:r w:rsidRPr="009C5E41">
        <w:rPr>
          <w:rFonts w:cs="Arial"/>
        </w:rPr>
        <w:t xml:space="preserve"> in exposed workers. </w:t>
      </w:r>
    </w:p>
    <w:p w14:paraId="39C2ABE5" w14:textId="77777777" w:rsidR="00C7155E" w:rsidRPr="004C23F4" w:rsidRDefault="00F10C97" w:rsidP="003365A5">
      <w:pPr>
        <w:pStyle w:val="Heading2"/>
      </w:pPr>
      <w:r>
        <w:t>Discussion and conclusions</w:t>
      </w:r>
    </w:p>
    <w:p w14:paraId="2CC76F10" w14:textId="73309CF2" w:rsidR="00F43259" w:rsidRDefault="00A86015" w:rsidP="004B491C">
      <w:r>
        <w:rPr>
          <w:rFonts w:cs="Arial"/>
        </w:rPr>
        <w:t>2</w:t>
      </w:r>
      <w:r w:rsidRPr="003E03B3">
        <w:t xml:space="preserve">-Methoxyethanol </w:t>
      </w:r>
      <w:r w:rsidR="00C0058C" w:rsidRPr="003E03B3">
        <w:t xml:space="preserve">(EGME) </w:t>
      </w:r>
      <w:r w:rsidRPr="003E03B3">
        <w:t xml:space="preserve">is used </w:t>
      </w:r>
      <w:r w:rsidR="007B2B7E">
        <w:t xml:space="preserve">as a solvent additive in dyes, resins, varnishes and timber stains. Glycol ethers </w:t>
      </w:r>
      <w:r>
        <w:t>are</w:t>
      </w:r>
      <w:r w:rsidR="007B2B7E">
        <w:t xml:space="preserve"> </w:t>
      </w:r>
      <w:r>
        <w:t>used as</w:t>
      </w:r>
      <w:r w:rsidR="007B2B7E">
        <w:t xml:space="preserve"> de-icing additive</w:t>
      </w:r>
      <w:r>
        <w:t>s</w:t>
      </w:r>
      <w:r w:rsidR="00485411">
        <w:t xml:space="preserve"> in</w:t>
      </w:r>
      <w:r w:rsidR="007B2B7E">
        <w:t xml:space="preserve"> fuels. Regularly found in material </w:t>
      </w:r>
      <w:r>
        <w:t xml:space="preserve">coating and printing industries, </w:t>
      </w:r>
      <w:r w:rsidR="007B2B7E">
        <w:t>pesti</w:t>
      </w:r>
      <w:r>
        <w:t xml:space="preserve">cides, detergents, plastic </w:t>
      </w:r>
      <w:r w:rsidR="007B2B7E">
        <w:t xml:space="preserve">and </w:t>
      </w:r>
      <w:r>
        <w:t>electronics</w:t>
      </w:r>
      <w:r w:rsidR="007B2B7E">
        <w:t xml:space="preserve"> industries. </w:t>
      </w:r>
    </w:p>
    <w:p w14:paraId="0564E0EC" w14:textId="2B385FFE" w:rsidR="007B2B7E" w:rsidRDefault="00633318" w:rsidP="004B491C">
      <w:r>
        <w:t>Critical effects</w:t>
      </w:r>
      <w:r w:rsidR="00A252B5">
        <w:t xml:space="preserve"> of exposure</w:t>
      </w:r>
      <w:r>
        <w:t xml:space="preserve"> include</w:t>
      </w:r>
      <w:r w:rsidR="00C0058C">
        <w:t xml:space="preserve"> anaemia and developmental </w:t>
      </w:r>
      <w:r w:rsidR="001B44CE">
        <w:t xml:space="preserve">and </w:t>
      </w:r>
      <w:r w:rsidR="00C0058C">
        <w:t>reproductive effects.</w:t>
      </w:r>
    </w:p>
    <w:p w14:paraId="5DA3B3AC" w14:textId="2DD2F211" w:rsidR="00C0058C" w:rsidRPr="00235095" w:rsidRDefault="00413B76" w:rsidP="00CF39E7">
      <w:pPr>
        <w:rPr>
          <w:rFonts w:cs="Arial"/>
        </w:rPr>
      </w:pPr>
      <w:r>
        <w:t>Anaemia was reported in workers with inhalational exposure to EGME at 35.7 ppm. Dermal exposure through unprotected hands was also reported along with inhalation exposure in this study, although no further information was presented. Anaemia did not occur once airborne exposure concentrations were lowered to 0.55 ppm and dermal exposure was reduced (ACGIH, 2018).</w:t>
      </w:r>
      <w:r w:rsidR="00387375" w:rsidRPr="00413B76">
        <w:t xml:space="preserve"> </w:t>
      </w:r>
      <w:r w:rsidR="00BA011A">
        <w:t xml:space="preserve">No haematological effects were identified in workers exposed </w:t>
      </w:r>
      <w:r w:rsidR="00BA011A" w:rsidRPr="002C0DD5">
        <w:rPr>
          <w:i/>
        </w:rPr>
        <w:t>via</w:t>
      </w:r>
      <w:r w:rsidR="00BA011A">
        <w:t xml:space="preserve"> inhalation at 2.3 ppm (SCOEL, 2006). </w:t>
      </w:r>
      <w:r w:rsidR="00BA011A" w:rsidRPr="0068714D">
        <w:rPr>
          <w:rStyle w:val="checkbox"/>
          <w:rFonts w:ascii="Arial" w:hAnsi="Arial" w:cs="Arial"/>
        </w:rPr>
        <w:t xml:space="preserve">An increased prevalence of </w:t>
      </w:r>
      <w:r w:rsidR="00BA011A">
        <w:rPr>
          <w:rStyle w:val="checkbox"/>
          <w:rFonts w:ascii="Arial" w:hAnsi="Arial" w:cs="Arial"/>
        </w:rPr>
        <w:t>reduced sperm cells</w:t>
      </w:r>
      <w:r w:rsidR="00BA011A" w:rsidRPr="0068714D">
        <w:rPr>
          <w:rStyle w:val="checkbox"/>
          <w:rFonts w:ascii="Arial" w:hAnsi="Arial" w:cs="Arial"/>
        </w:rPr>
        <w:t xml:space="preserve"> was noted in workers</w:t>
      </w:r>
      <w:r w:rsidR="00BA011A">
        <w:rPr>
          <w:rStyle w:val="checkbox"/>
          <w:rFonts w:ascii="Arial" w:hAnsi="Arial" w:cs="Arial"/>
        </w:rPr>
        <w:t xml:space="preserve"> exposed </w:t>
      </w:r>
      <w:r w:rsidR="00B8232F">
        <w:rPr>
          <w:rStyle w:val="checkbox"/>
          <w:rFonts w:ascii="Arial" w:hAnsi="Arial" w:cs="Arial"/>
        </w:rPr>
        <w:t>at</w:t>
      </w:r>
      <w:r w:rsidR="00BA011A">
        <w:rPr>
          <w:rStyle w:val="checkbox"/>
          <w:rFonts w:ascii="Arial" w:hAnsi="Arial" w:cs="Arial"/>
        </w:rPr>
        <w:t xml:space="preserve"> </w:t>
      </w:r>
      <w:r w:rsidR="00BA011A">
        <w:t>mean workplace airborne concentrations of 0.8 ppm (2.6 mg/m³) EGME (</w:t>
      </w:r>
      <w:r w:rsidR="00BA011A">
        <w:rPr>
          <w:rStyle w:val="checkbox"/>
          <w:rFonts w:ascii="Arial" w:hAnsi="Arial" w:cs="Arial"/>
        </w:rPr>
        <w:t xml:space="preserve">TWA concentration of 5.6 ppm) along with co-exposure </w:t>
      </w:r>
      <w:r w:rsidR="00B8232F">
        <w:rPr>
          <w:rStyle w:val="checkbox"/>
          <w:rFonts w:ascii="Arial" w:hAnsi="Arial" w:cs="Arial"/>
        </w:rPr>
        <w:t>at</w:t>
      </w:r>
      <w:r w:rsidR="00BA011A">
        <w:rPr>
          <w:rStyle w:val="checkbox"/>
          <w:rFonts w:ascii="Arial" w:hAnsi="Arial" w:cs="Arial"/>
        </w:rPr>
        <w:t xml:space="preserve"> 21.5 ppm of</w:t>
      </w:r>
      <w:r w:rsidR="00BA011A" w:rsidRPr="0068714D">
        <w:rPr>
          <w:rStyle w:val="checkbox"/>
          <w:rFonts w:ascii="Arial" w:hAnsi="Arial" w:cs="Arial"/>
        </w:rPr>
        <w:t xml:space="preserve"> 2-ethoxy-</w:t>
      </w:r>
      <w:r w:rsidR="00BA011A">
        <w:rPr>
          <w:rStyle w:val="checkbox"/>
          <w:rFonts w:ascii="Arial" w:hAnsi="Arial" w:cs="Arial"/>
        </w:rPr>
        <w:t>ethanol (NICNAS, 2014).</w:t>
      </w:r>
      <w:r w:rsidR="00BA011A">
        <w:t xml:space="preserve"> A LOAEC of 3 ppm for haematological effects and a benchmark dose (10%) of 1.3 ppm (4.1 mg/m</w:t>
      </w:r>
      <w:r w:rsidR="00BA011A">
        <w:rPr>
          <w:vertAlign w:val="superscript"/>
        </w:rPr>
        <w:t>3</w:t>
      </w:r>
      <w:r w:rsidR="00BA011A">
        <w:t xml:space="preserve">) EGME relating to delayed ossification in </w:t>
      </w:r>
      <w:proofErr w:type="spellStart"/>
      <w:r w:rsidR="00BA011A">
        <w:t>fetuses</w:t>
      </w:r>
      <w:proofErr w:type="spellEnd"/>
      <w:r w:rsidR="00BA011A">
        <w:t xml:space="preserve"> was derived in an inhalation study in pregnant rats (HCOTN, 2011).</w:t>
      </w:r>
    </w:p>
    <w:p w14:paraId="078BAAD6" w14:textId="2B01DD03" w:rsidR="00F8194E" w:rsidRDefault="00F8194E" w:rsidP="00CF39E7">
      <w:pPr>
        <w:rPr>
          <w:rFonts w:cs="Arial"/>
        </w:rPr>
      </w:pPr>
      <w:r>
        <w:rPr>
          <w:rFonts w:cs="Arial"/>
        </w:rPr>
        <w:t>Given the absence of anaemia in workers at 0.55 ppm, effects on workers sperm production at 0.88 ppm and developmental effects in animals at 10 ppm, the TWA of 0.1 ppm (0.5 </w:t>
      </w:r>
      <w:r w:rsidRPr="00C0058C">
        <w:rPr>
          <w:rFonts w:cs="Arial"/>
        </w:rPr>
        <w:t>mg/m</w:t>
      </w:r>
      <w:r w:rsidRPr="009C5E41">
        <w:rPr>
          <w:rFonts w:cs="Arial"/>
          <w:vertAlign w:val="superscript"/>
        </w:rPr>
        <w:t>3</w:t>
      </w:r>
      <w:r w:rsidRPr="00C0058C">
        <w:rPr>
          <w:rFonts w:cs="Arial"/>
        </w:rPr>
        <w:t xml:space="preserve">) </w:t>
      </w:r>
      <w:r>
        <w:rPr>
          <w:rFonts w:cs="Arial"/>
        </w:rPr>
        <w:t xml:space="preserve">derived </w:t>
      </w:r>
      <w:r w:rsidRPr="00C0058C">
        <w:rPr>
          <w:rFonts w:cs="Arial"/>
        </w:rPr>
        <w:t>by ACGIH (2018)</w:t>
      </w:r>
      <w:r>
        <w:rPr>
          <w:rFonts w:cs="Arial"/>
        </w:rPr>
        <w:t xml:space="preserve"> </w:t>
      </w:r>
      <w:r w:rsidRPr="00C0058C">
        <w:rPr>
          <w:rFonts w:cs="Arial"/>
        </w:rPr>
        <w:t xml:space="preserve">is recommended. </w:t>
      </w:r>
      <w:r>
        <w:rPr>
          <w:rFonts w:cs="Arial"/>
        </w:rPr>
        <w:t xml:space="preserve">Although the same developmental study in animals was used by the HCOTN (2011) to recommend a revised TWA of 0.16 ppm, ACGIH (2018) took into consideration </w:t>
      </w:r>
      <w:r>
        <w:rPr>
          <w:rFonts w:cs="Arial"/>
        </w:rPr>
        <w:lastRenderedPageBreak/>
        <w:t xml:space="preserve">evidence in humans and therefore, the recommendation by ACGIH (2018) is considered more appropriate. The recommended </w:t>
      </w:r>
      <w:r w:rsidRPr="00C0058C">
        <w:rPr>
          <w:rFonts w:cs="Arial"/>
        </w:rPr>
        <w:t>TWA is expected to</w:t>
      </w:r>
      <w:r>
        <w:rPr>
          <w:rFonts w:cs="Arial"/>
        </w:rPr>
        <w:t xml:space="preserve"> be</w:t>
      </w:r>
      <w:r w:rsidRPr="00C0058C">
        <w:rPr>
          <w:rFonts w:cs="Arial"/>
        </w:rPr>
        <w:t xml:space="preserve"> protective </w:t>
      </w:r>
      <w:r w:rsidR="00485411">
        <w:rPr>
          <w:rFonts w:cs="Arial"/>
        </w:rPr>
        <w:t>for</w:t>
      </w:r>
      <w:r w:rsidR="00485411" w:rsidRPr="00C0058C">
        <w:rPr>
          <w:rFonts w:cs="Arial"/>
        </w:rPr>
        <w:t xml:space="preserve"> </w:t>
      </w:r>
      <w:r w:rsidRPr="00C0058C">
        <w:rPr>
          <w:rFonts w:cs="Arial"/>
        </w:rPr>
        <w:t>haematological, developmental and reproductive effects in exposed workers.</w:t>
      </w:r>
    </w:p>
    <w:p w14:paraId="2054017B" w14:textId="77777777" w:rsidR="004529F0" w:rsidRPr="004C23F4" w:rsidRDefault="004529F0" w:rsidP="004529F0">
      <w:pPr>
        <w:pStyle w:val="Heading2"/>
      </w:pPr>
      <w:r>
        <w:t>Recommendation for notations</w:t>
      </w:r>
    </w:p>
    <w:p w14:paraId="45358862" w14:textId="0A352A6A" w:rsidR="003972E7" w:rsidRDefault="003972E7" w:rsidP="003972E7">
      <w:pPr>
        <w:rPr>
          <w:rFonts w:cs="Arial"/>
        </w:rPr>
      </w:pPr>
      <w:r>
        <w:rPr>
          <w:rFonts w:cs="Arial"/>
        </w:rPr>
        <w:t>Not classified as a carcinogen according to the Globally Harmonized System of</w:t>
      </w:r>
      <w:r w:rsidR="00987A35">
        <w:rPr>
          <w:rFonts w:cs="Arial"/>
        </w:rPr>
        <w:t xml:space="preserve"> Classification and Labelling of</w:t>
      </w:r>
      <w:r>
        <w:rPr>
          <w:rFonts w:cs="Arial"/>
        </w:rPr>
        <w:t xml:space="preserve"> Chemicals (GHS). </w:t>
      </w:r>
    </w:p>
    <w:p w14:paraId="31BDF6FD" w14:textId="6D8F568C" w:rsidR="003972E7" w:rsidRDefault="003972E7" w:rsidP="003972E7">
      <w:pPr>
        <w:rPr>
          <w:rFonts w:cs="Arial"/>
        </w:rPr>
      </w:pPr>
      <w:r>
        <w:rPr>
          <w:rFonts w:cs="Arial"/>
        </w:rPr>
        <w:t xml:space="preserve">Not classified as a skin </w:t>
      </w:r>
      <w:r w:rsidR="00987A35">
        <w:rPr>
          <w:rFonts w:cs="Arial"/>
        </w:rPr>
        <w:t xml:space="preserve">sensitiser </w:t>
      </w:r>
      <w:r>
        <w:rPr>
          <w:rFonts w:cs="Arial"/>
        </w:rPr>
        <w:t>or respiratory sensitiser according to the GHS.</w:t>
      </w:r>
    </w:p>
    <w:p w14:paraId="3C0E8353" w14:textId="73C25FA3" w:rsidR="0025734A" w:rsidRPr="004C23F4" w:rsidRDefault="00C0058C">
      <w:pPr>
        <w:rPr>
          <w:rFonts w:cs="Arial"/>
        </w:rPr>
      </w:pPr>
      <w:r>
        <w:rPr>
          <w:rFonts w:cs="Arial"/>
        </w:rPr>
        <w:t xml:space="preserve">A skin notation is recommended based on evidence of dermal uptake </w:t>
      </w:r>
      <w:r w:rsidR="00211A06">
        <w:rPr>
          <w:rFonts w:cs="Arial"/>
        </w:rPr>
        <w:t xml:space="preserve">and systemic effects </w:t>
      </w:r>
      <w:r>
        <w:rPr>
          <w:rFonts w:cs="Arial"/>
        </w:rPr>
        <w:t>in humans</w:t>
      </w:r>
      <w:r w:rsidR="003972E7">
        <w:rPr>
          <w:rFonts w:cs="Arial"/>
        </w:rPr>
        <w:t>.</w:t>
      </w:r>
    </w:p>
    <w:p w14:paraId="51BD718B"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6BB9BA6F"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F322577" w14:textId="77777777" w:rsidR="008D026D" w:rsidRPr="003365A5" w:rsidRDefault="00B479A9" w:rsidP="003365A5">
      <w:pPr>
        <w:pStyle w:val="Heading3"/>
      </w:pPr>
      <w:r w:rsidRPr="003365A5">
        <w:t>Primary sources with reports</w:t>
      </w:r>
    </w:p>
    <w:tbl>
      <w:tblPr>
        <w:tblStyle w:val="LightList"/>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tblGrid>
      <w:tr w:rsidR="00C978F0" w:rsidRPr="002E522B" w14:paraId="537D1196" w14:textId="77777777" w:rsidTr="002E522B">
        <w:trPr>
          <w:cnfStyle w:val="100000000000" w:firstRow="1" w:lastRow="0" w:firstColumn="0" w:lastColumn="0" w:oddVBand="0" w:evenVBand="0" w:oddHBand="0" w:evenHBand="0" w:firstRowFirstColumn="0" w:firstRowLastColumn="0" w:lastRowFirstColumn="0" w:lastRowLastColumn="0"/>
          <w:trHeight w:val="393"/>
          <w:tblHeader/>
        </w:trPr>
        <w:tc>
          <w:tcPr>
            <w:tcW w:w="5000" w:type="pct"/>
            <w:shd w:val="clear" w:color="auto" w:fill="BFBFBF" w:themeFill="background1" w:themeFillShade="BF"/>
            <w:vAlign w:val="center"/>
          </w:tcPr>
          <w:p w14:paraId="51D42ADC" w14:textId="77777777" w:rsidR="00C978F0" w:rsidRPr="002E522B" w:rsidRDefault="00C978F0" w:rsidP="00C67FFB">
            <w:pPr>
              <w:pStyle w:val="Tableheader"/>
              <w:tabs>
                <w:tab w:val="left" w:pos="1418"/>
                <w:tab w:val="left" w:pos="2552"/>
                <w:tab w:val="right" w:pos="8489"/>
              </w:tabs>
              <w:rPr>
                <w:b/>
              </w:rPr>
            </w:pPr>
            <w:r w:rsidRPr="002E522B">
              <w:rPr>
                <w:b/>
              </w:rPr>
              <w:t>Source</w:t>
            </w:r>
            <w:r w:rsidR="00DA352E" w:rsidRPr="002E522B">
              <w:rPr>
                <w:b/>
              </w:rPr>
              <w:tab/>
              <w:t>Year set</w:t>
            </w:r>
            <w:r w:rsidR="00DA352E" w:rsidRPr="002E522B">
              <w:rPr>
                <w:b/>
              </w:rPr>
              <w:tab/>
              <w:t>Standard</w:t>
            </w:r>
            <w:r w:rsidR="00974F2D" w:rsidRPr="002E522B">
              <w:rPr>
                <w:b/>
              </w:rPr>
              <w:tab/>
            </w:r>
          </w:p>
        </w:tc>
      </w:tr>
      <w:tr w:rsidR="00DE26E8" w:rsidRPr="003365A5" w14:paraId="4A230926" w14:textId="77777777" w:rsidTr="002E522B">
        <w:tc>
          <w:tcPr>
            <w:tcW w:w="0" w:type="pct"/>
            <w:shd w:val="clear" w:color="auto" w:fill="F2F2F2" w:themeFill="background1" w:themeFillShade="F2"/>
          </w:tcPr>
          <w:p w14:paraId="00189544" w14:textId="600E6ED9"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BA0A8C">
                  <w:t>1991</w:t>
                </w:r>
              </w:sdtContent>
            </w:sdt>
            <w:r w:rsidRPr="003365A5">
              <w:tab/>
            </w:r>
            <w:r>
              <w:tab/>
            </w:r>
            <w:sdt>
              <w:sdtPr>
                <w:alias w:val="SWA WES"/>
                <w:tag w:val="SWA WES"/>
                <w:id w:val="857077202"/>
                <w:placeholder>
                  <w:docPart w:val="81CFEC2FDBC5451289F394E66D92D1A0"/>
                </w:placeholder>
              </w:sdtPr>
              <w:sdtEndPr/>
              <w:sdtContent>
                <w:r w:rsidR="00BA0A8C">
                  <w:t>TWA: 5 ppm (16 mg/m</w:t>
                </w:r>
                <w:r w:rsidR="00BA0A8C" w:rsidRPr="00BA0A8C">
                  <w:rPr>
                    <w:vertAlign w:val="superscript"/>
                  </w:rPr>
                  <w:t>3</w:t>
                </w:r>
                <w:r w:rsidR="00BA0A8C">
                  <w:t>)</w:t>
                </w:r>
              </w:sdtContent>
            </w:sdt>
          </w:p>
        </w:tc>
      </w:tr>
      <w:tr w:rsidR="00C978F0" w:rsidRPr="00DA352E" w14:paraId="7E0C8DD4" w14:textId="77777777" w:rsidTr="002E522B">
        <w:tc>
          <w:tcPr>
            <w:tcW w:w="5000" w:type="pct"/>
          </w:tcPr>
          <w:p w14:paraId="3D22E088" w14:textId="13BBA68D" w:rsidR="00C978F0" w:rsidRPr="00DA352E" w:rsidRDefault="00C978F0" w:rsidP="009C5E41">
            <w:pPr>
              <w:pStyle w:val="ListBullet"/>
            </w:pPr>
          </w:p>
        </w:tc>
      </w:tr>
      <w:tr w:rsidR="00C978F0" w:rsidRPr="00DA352E" w14:paraId="101CE9FD" w14:textId="77777777" w:rsidTr="002E522B">
        <w:tc>
          <w:tcPr>
            <w:tcW w:w="5000" w:type="pct"/>
            <w:shd w:val="clear" w:color="auto" w:fill="F2F2F2" w:themeFill="background1" w:themeFillShade="F2"/>
          </w:tcPr>
          <w:p w14:paraId="42AA08B5" w14:textId="61D9B5FE"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BA0A8C">
                  <w:t>2006</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BA0A8C">
                  <w:t>TLV-TWA: 0.1 ppm (0.3 mg/m</w:t>
                </w:r>
                <w:r w:rsidR="00BA0A8C" w:rsidRPr="00BA0A8C">
                  <w:rPr>
                    <w:vertAlign w:val="superscript"/>
                  </w:rPr>
                  <w:t>3</w:t>
                </w:r>
                <w:r w:rsidR="00BA0A8C">
                  <w:t>)</w:t>
                </w:r>
              </w:sdtContent>
            </w:sdt>
          </w:p>
        </w:tc>
      </w:tr>
      <w:tr w:rsidR="00C978F0" w:rsidRPr="00DA352E" w14:paraId="564538F9" w14:textId="77777777" w:rsidTr="002E522B">
        <w:tc>
          <w:tcPr>
            <w:tcW w:w="5000" w:type="pct"/>
          </w:tcPr>
          <w:p w14:paraId="678AF77D" w14:textId="31A8BA2F" w:rsidR="00C978F0" w:rsidRDefault="00937E12" w:rsidP="003365A5">
            <w:pPr>
              <w:pStyle w:val="Tabletextprimarysource"/>
            </w:pPr>
            <w:r>
              <w:t xml:space="preserve">TLV-TWA recommended to protect </w:t>
            </w:r>
            <w:r w:rsidR="00485411">
              <w:t>for</w:t>
            </w:r>
            <w:r>
              <w:t xml:space="preserve"> haematological and reproductive toxicity effects with value assigned also protective of depression of the CNS and effects on immune system organs.</w:t>
            </w:r>
          </w:p>
          <w:p w14:paraId="4828D777" w14:textId="787F8DDA" w:rsidR="00937E12" w:rsidRDefault="00937E12" w:rsidP="003365A5">
            <w:pPr>
              <w:pStyle w:val="Tabletextprimarysource"/>
            </w:pPr>
            <w:r>
              <w:t>Summary of data:</w:t>
            </w:r>
          </w:p>
          <w:p w14:paraId="60A11300" w14:textId="5B39C7EE" w:rsidR="002E1967" w:rsidRDefault="00937E12" w:rsidP="003365A5">
            <w:pPr>
              <w:pStyle w:val="Tabletextprimarysource"/>
            </w:pPr>
            <w:r>
              <w:t>2-methoxyethanol or ethylene glycol monomethyl ether is known to be readily absorbed through the skin and can elicit systemic response.</w:t>
            </w:r>
            <w:r w:rsidR="00373CDD">
              <w:t xml:space="preserve"> </w:t>
            </w:r>
            <w:r w:rsidR="00AE3DAE">
              <w:t xml:space="preserve">Lack of dermal irritation </w:t>
            </w:r>
            <w:r w:rsidR="00AB6D48">
              <w:t>may</w:t>
            </w:r>
            <w:r w:rsidR="00AE3DAE">
              <w:t xml:space="preserve"> contribute to </w:t>
            </w:r>
            <w:r w:rsidR="00AB6D48">
              <w:t xml:space="preserve">the </w:t>
            </w:r>
            <w:r w:rsidR="00AE3DAE">
              <w:t>risk of skin exposure in workers.</w:t>
            </w:r>
            <w:r w:rsidR="002E1967">
              <w:t xml:space="preserve"> </w:t>
            </w:r>
          </w:p>
          <w:p w14:paraId="5071D3D6" w14:textId="5271F6B7" w:rsidR="00937E12" w:rsidRDefault="002E1967" w:rsidP="003365A5">
            <w:pPr>
              <w:pStyle w:val="Tabletextprimarysource"/>
            </w:pPr>
            <w:r>
              <w:t xml:space="preserve">TLV-TWA is based </w:t>
            </w:r>
            <w:r w:rsidR="00295758">
              <w:t xml:space="preserve">on </w:t>
            </w:r>
            <w:r w:rsidR="0068043D">
              <w:t>0.55 pp</w:t>
            </w:r>
            <w:r w:rsidR="00C23B3E">
              <w:t>m</w:t>
            </w:r>
            <w:r w:rsidR="0068043D">
              <w:t xml:space="preserve"> in humans </w:t>
            </w:r>
            <w:r w:rsidR="00295758">
              <w:t xml:space="preserve">(the NOAEC) </w:t>
            </w:r>
            <w:r w:rsidR="0068043D">
              <w:t xml:space="preserve">which protects for </w:t>
            </w:r>
            <w:r>
              <w:t>anaemia and the reproductive effects in rodents at 10 ppm (LOAEL in rabbits)</w:t>
            </w:r>
            <w:r w:rsidR="00FA2FB6">
              <w:t>; no further information on derivation of TLV-TWA</w:t>
            </w:r>
            <w:r>
              <w:t>.</w:t>
            </w:r>
          </w:p>
          <w:p w14:paraId="7B648B9A" w14:textId="45AAA1E7" w:rsidR="00937E12" w:rsidRDefault="00937E12" w:rsidP="003365A5">
            <w:pPr>
              <w:pStyle w:val="Tabletextprimarysource"/>
            </w:pPr>
            <w:r>
              <w:t>Human data:</w:t>
            </w:r>
          </w:p>
          <w:p w14:paraId="3E11EA58" w14:textId="1492D439" w:rsidR="00373CDD" w:rsidRDefault="001B68C5" w:rsidP="00393F51">
            <w:pPr>
              <w:pStyle w:val="ListBullet"/>
              <w:numPr>
                <w:ilvl w:val="0"/>
                <w:numId w:val="9"/>
              </w:numPr>
              <w:spacing w:before="60" w:after="60"/>
              <w:contextualSpacing w:val="0"/>
            </w:pPr>
            <w:r>
              <w:t>Encephalopathy, leukopenia and anaemia linked to industrial exposures of solvents containing EGME</w:t>
            </w:r>
          </w:p>
          <w:p w14:paraId="4A22BC2B" w14:textId="49E43B28" w:rsidR="006D4158" w:rsidRDefault="006D4158" w:rsidP="00393F51">
            <w:pPr>
              <w:pStyle w:val="ListBullet"/>
              <w:numPr>
                <w:ilvl w:val="0"/>
                <w:numId w:val="9"/>
              </w:numPr>
              <w:spacing w:before="60" w:after="60"/>
              <w:contextualSpacing w:val="0"/>
            </w:pPr>
            <w:r>
              <w:t>Multiple c</w:t>
            </w:r>
            <w:r w:rsidR="001B68C5">
              <w:t>ase studies indicate</w:t>
            </w:r>
            <w:r>
              <w:t>:</w:t>
            </w:r>
          </w:p>
          <w:p w14:paraId="03343BBE" w14:textId="3B947B90" w:rsidR="003057C4" w:rsidRDefault="00F0646A" w:rsidP="003057C4">
            <w:pPr>
              <w:pStyle w:val="ListBullet"/>
              <w:numPr>
                <w:ilvl w:val="0"/>
                <w:numId w:val="18"/>
              </w:numPr>
              <w:spacing w:before="60" w:after="60"/>
              <w:contextualSpacing w:val="0"/>
            </w:pPr>
            <w:r>
              <w:t>a</w:t>
            </w:r>
            <w:r w:rsidRPr="00F0646A">
              <w:t>naemia in workers exposed via inhalation to EGME at 35.7 ppm; dermal exposure of the hands also reported along with the inhalation exposure (no further information is presented); the anaemias did not occur once airborne concentration were lowered to 0.55 ppm (used as NOAEC) and dermal exposure reduced</w:t>
            </w:r>
          </w:p>
          <w:p w14:paraId="7FD7840A" w14:textId="4A550C11" w:rsidR="003057C4" w:rsidRDefault="006D4158" w:rsidP="003057C4">
            <w:pPr>
              <w:pStyle w:val="ListBullet"/>
              <w:numPr>
                <w:ilvl w:val="0"/>
                <w:numId w:val="18"/>
              </w:numPr>
              <w:spacing w:before="60" w:after="60"/>
              <w:contextualSpacing w:val="0"/>
            </w:pPr>
            <w:r>
              <w:t xml:space="preserve">encephalopathy and pancytopenia associated with inhalation exposures at </w:t>
            </w:r>
            <w:r w:rsidR="004055B5" w:rsidRPr="003057C4">
              <w:rPr>
                <w:rFonts w:cs="Arial"/>
              </w:rPr>
              <w:t>≈</w:t>
            </w:r>
            <w:r w:rsidR="00E73D26">
              <w:t>8 </w:t>
            </w:r>
            <w:r>
              <w:t>ppm (large dermal contact assumed</w:t>
            </w:r>
            <w:r w:rsidR="007B2B7E">
              <w:t xml:space="preserve"> as</w:t>
            </w:r>
            <w:r>
              <w:t xml:space="preserve"> </w:t>
            </w:r>
            <w:r w:rsidR="00F43259">
              <w:t xml:space="preserve">principal </w:t>
            </w:r>
            <w:r>
              <w:t>exposure)</w:t>
            </w:r>
          </w:p>
          <w:p w14:paraId="41CA1EEB" w14:textId="0862E20D" w:rsidR="00C2002F" w:rsidRDefault="00C2002F" w:rsidP="003057C4">
            <w:pPr>
              <w:pStyle w:val="ListBullet"/>
              <w:numPr>
                <w:ilvl w:val="0"/>
                <w:numId w:val="18"/>
              </w:numPr>
              <w:spacing w:before="60" w:after="60"/>
              <w:contextualSpacing w:val="0"/>
            </w:pPr>
            <w:r>
              <w:t>changes to sperm production observed in shipyard worke</w:t>
            </w:r>
            <w:r w:rsidR="00E73D26">
              <w:t xml:space="preserve">rs </w:t>
            </w:r>
            <w:r w:rsidR="0068043D">
              <w:t>at 0.8 ppm (average)</w:t>
            </w:r>
            <w:r w:rsidR="00CF39E7">
              <w:t xml:space="preserve">; </w:t>
            </w:r>
            <w:r w:rsidR="0068043D">
              <w:t xml:space="preserve">maximum concentration of </w:t>
            </w:r>
            <w:r w:rsidR="00CF39E7">
              <w:t>5.6 ppm; no further details</w:t>
            </w:r>
          </w:p>
          <w:p w14:paraId="383D0C98" w14:textId="1CBDDA9A" w:rsidR="001B68C5" w:rsidRDefault="00C2002F" w:rsidP="00393F51">
            <w:pPr>
              <w:pStyle w:val="ListBullet"/>
              <w:numPr>
                <w:ilvl w:val="0"/>
                <w:numId w:val="9"/>
              </w:numPr>
              <w:spacing w:before="60" w:after="60"/>
              <w:contextualSpacing w:val="0"/>
            </w:pPr>
            <w:r>
              <w:t xml:space="preserve">Women exposed to dermal EGME during pregnancy </w:t>
            </w:r>
            <w:r w:rsidR="0030557A">
              <w:t>had</w:t>
            </w:r>
            <w:r>
              <w:t xml:space="preserve"> </w:t>
            </w:r>
            <w:r w:rsidR="0030557A">
              <w:t>increased risk of children with dysmorphic features</w:t>
            </w:r>
            <w:r>
              <w:t xml:space="preserve"> </w:t>
            </w:r>
            <w:r w:rsidR="0030557A">
              <w:t>and persistent chromosomal (one) cytogenetic damage</w:t>
            </w:r>
          </w:p>
          <w:p w14:paraId="04CB1BBC" w14:textId="2BFF7664" w:rsidR="001B68C5" w:rsidRDefault="0030557A" w:rsidP="00393F51">
            <w:pPr>
              <w:pStyle w:val="ListBullet"/>
              <w:numPr>
                <w:ilvl w:val="0"/>
                <w:numId w:val="9"/>
              </w:numPr>
              <w:spacing w:before="60" w:after="60"/>
              <w:contextualSpacing w:val="0"/>
            </w:pPr>
            <w:r>
              <w:t xml:space="preserve">PBPK modelling </w:t>
            </w:r>
            <w:r w:rsidR="002F1DD6">
              <w:t xml:space="preserve">of predicted absorption and distribution </w:t>
            </w:r>
            <w:r>
              <w:t xml:space="preserve">suggests </w:t>
            </w:r>
            <w:r w:rsidR="00824B0C">
              <w:t>humans experience toxic effects 13 times lower than effects observed in rodents</w:t>
            </w:r>
          </w:p>
          <w:p w14:paraId="5C49D642" w14:textId="03CBCCA1" w:rsidR="007A2252" w:rsidRDefault="00824B0C" w:rsidP="00393F51">
            <w:pPr>
              <w:pStyle w:val="ListBullet"/>
              <w:numPr>
                <w:ilvl w:val="0"/>
                <w:numId w:val="9"/>
              </w:numPr>
              <w:spacing w:before="60" w:after="60"/>
              <w:contextualSpacing w:val="0"/>
            </w:pPr>
            <w:r>
              <w:t>Skin notation applied due to observed systemic effects of dermal exposure – BEI recommended as more reliable estimate of exposure than air monitoring alone.</w:t>
            </w:r>
          </w:p>
          <w:p w14:paraId="3EB9BC5B" w14:textId="4A04159E" w:rsidR="00937E12" w:rsidRDefault="00937E12" w:rsidP="003365A5">
            <w:pPr>
              <w:pStyle w:val="Tabletextprimarysource"/>
            </w:pPr>
            <w:r>
              <w:t>Animal data:</w:t>
            </w:r>
          </w:p>
          <w:p w14:paraId="3BD52986" w14:textId="5398F2E4" w:rsidR="00E075D5" w:rsidRDefault="0068043D" w:rsidP="00393F51">
            <w:pPr>
              <w:pStyle w:val="ListBullet"/>
              <w:numPr>
                <w:ilvl w:val="0"/>
                <w:numId w:val="9"/>
              </w:numPr>
              <w:spacing w:before="60" w:after="60"/>
              <w:contextualSpacing w:val="0"/>
            </w:pPr>
            <w:proofErr w:type="gramStart"/>
            <w:r>
              <w:t>Sufficient</w:t>
            </w:r>
            <w:proofErr w:type="gramEnd"/>
            <w:r w:rsidR="00E075D5">
              <w:t xml:space="preserve"> data supporting systemic effects of inhalation and dermal exposures</w:t>
            </w:r>
          </w:p>
          <w:p w14:paraId="19BE37AD" w14:textId="4C401F90" w:rsidR="00937E12" w:rsidRDefault="00373CDD" w:rsidP="00393F51">
            <w:pPr>
              <w:pStyle w:val="ListBullet"/>
              <w:numPr>
                <w:ilvl w:val="0"/>
                <w:numId w:val="9"/>
              </w:numPr>
              <w:spacing w:before="60" w:after="60"/>
              <w:contextualSpacing w:val="0"/>
            </w:pPr>
            <w:r>
              <w:t>LC</w:t>
            </w:r>
            <w:r w:rsidRPr="00373CDD">
              <w:rPr>
                <w:vertAlign w:val="subscript"/>
              </w:rPr>
              <w:t>50</w:t>
            </w:r>
            <w:r w:rsidR="00987A35">
              <w:rPr>
                <w:vertAlign w:val="subscript"/>
              </w:rPr>
              <w:t>:</w:t>
            </w:r>
            <w:r>
              <w:t xml:space="preserve"> 1,480 ppm (mice, 7</w:t>
            </w:r>
            <w:r w:rsidR="0068043D">
              <w:t xml:space="preserve"> </w:t>
            </w:r>
            <w:r>
              <w:t xml:space="preserve">h) with lung and kidney </w:t>
            </w:r>
            <w:r w:rsidR="00AD6E13">
              <w:t>damage</w:t>
            </w:r>
            <w:r w:rsidR="0068043D">
              <w:t xml:space="preserve"> </w:t>
            </w:r>
            <w:r>
              <w:t>leading to death</w:t>
            </w:r>
          </w:p>
          <w:p w14:paraId="4F42DFCE" w14:textId="5AF19AA2" w:rsidR="007A2252" w:rsidRDefault="007A2252" w:rsidP="00393F51">
            <w:pPr>
              <w:pStyle w:val="ListBullet"/>
              <w:numPr>
                <w:ilvl w:val="0"/>
                <w:numId w:val="9"/>
              </w:numPr>
              <w:spacing w:before="60" w:after="60"/>
              <w:contextualSpacing w:val="0"/>
            </w:pPr>
            <w:r>
              <w:t xml:space="preserve">Inhalation </w:t>
            </w:r>
            <w:r w:rsidR="004055B5">
              <w:t>LOAEC</w:t>
            </w:r>
            <w:r>
              <w:t>: 3 ppm (pregnant Fisher rats, 6</w:t>
            </w:r>
            <w:r w:rsidR="00AD6E13">
              <w:t xml:space="preserve"> </w:t>
            </w:r>
            <w:r>
              <w:t>h/d)</w:t>
            </w:r>
            <w:r w:rsidR="00AD6E13">
              <w:t>,</w:t>
            </w:r>
            <w:r>
              <w:t xml:space="preserve"> haematological effects noted</w:t>
            </w:r>
            <w:r w:rsidR="00AD6E13">
              <w:t xml:space="preserve">; </w:t>
            </w:r>
            <w:r>
              <w:t>however</w:t>
            </w:r>
            <w:r w:rsidR="00AD6E13">
              <w:t>,</w:t>
            </w:r>
            <w:r>
              <w:t xml:space="preserve"> </w:t>
            </w:r>
            <w:r w:rsidR="004055B5">
              <w:t>NOAEC</w:t>
            </w:r>
            <w:r w:rsidR="00AD6E13">
              <w:t xml:space="preserve"> of</w:t>
            </w:r>
            <w:r w:rsidR="004055B5">
              <w:t xml:space="preserve"> </w:t>
            </w:r>
            <w:r w:rsidR="00AD6E13">
              <w:t xml:space="preserve">100 ppm </w:t>
            </w:r>
            <w:r>
              <w:t>in other studies</w:t>
            </w:r>
            <w:r w:rsidR="00F03756">
              <w:t xml:space="preserve"> with less relevanc</w:t>
            </w:r>
            <w:r w:rsidR="00B43042">
              <w:t>e</w:t>
            </w:r>
          </w:p>
          <w:p w14:paraId="43BE0480" w14:textId="77777777" w:rsidR="007C703F" w:rsidRDefault="007A2252" w:rsidP="00393F51">
            <w:pPr>
              <w:pStyle w:val="ListBullet"/>
              <w:numPr>
                <w:ilvl w:val="0"/>
                <w:numId w:val="9"/>
              </w:numPr>
              <w:spacing w:before="60" w:after="60"/>
              <w:contextualSpacing w:val="0"/>
            </w:pPr>
            <w:r>
              <w:t>CNS effects noted at higher levels (&gt;800 ppm)</w:t>
            </w:r>
          </w:p>
          <w:p w14:paraId="08CAC309" w14:textId="01C611DF" w:rsidR="00AE3DAE" w:rsidRDefault="00AE3DAE" w:rsidP="00393F51">
            <w:pPr>
              <w:pStyle w:val="ListBullet"/>
              <w:numPr>
                <w:ilvl w:val="0"/>
                <w:numId w:val="9"/>
              </w:numPr>
              <w:spacing w:before="60" w:after="60"/>
              <w:contextualSpacing w:val="0"/>
            </w:pPr>
            <w:r>
              <w:t xml:space="preserve">Mice </w:t>
            </w:r>
            <w:r w:rsidR="007B2B7E">
              <w:t xml:space="preserve">exposed </w:t>
            </w:r>
            <w:r w:rsidR="009C136C">
              <w:t xml:space="preserve">at </w:t>
            </w:r>
            <w:r>
              <w:t>7,500 ppm for 3 h had 50% reduction in testis weight, with bilateral atrophy of seminiferous tubules at lower doses (</w:t>
            </w:r>
            <w:r w:rsidR="006249A7">
              <w:rPr>
                <w:rFonts w:cs="Arial"/>
              </w:rPr>
              <w:t>≈</w:t>
            </w:r>
            <w:r>
              <w:t>625 ppm)</w:t>
            </w:r>
          </w:p>
          <w:p w14:paraId="222172FB" w14:textId="4E7831A8" w:rsidR="00393F51" w:rsidRDefault="00AE3DAE" w:rsidP="002459CE">
            <w:pPr>
              <w:pStyle w:val="ListBullet"/>
              <w:numPr>
                <w:ilvl w:val="0"/>
                <w:numId w:val="9"/>
              </w:numPr>
              <w:spacing w:before="60" w:after="60"/>
              <w:contextualSpacing w:val="0"/>
            </w:pPr>
            <w:r>
              <w:t>Reduction in body, thymus and testicular weight observed (Wistar rats) inhaling 300 ppm (6</w:t>
            </w:r>
            <w:r w:rsidR="00AD6E13">
              <w:t> </w:t>
            </w:r>
            <w:r>
              <w:t>h/d for 10 d)</w:t>
            </w:r>
          </w:p>
          <w:p w14:paraId="7415CA0D" w14:textId="5AEC242B" w:rsidR="007C703F" w:rsidRDefault="007C703F" w:rsidP="007C703F">
            <w:pPr>
              <w:pStyle w:val="ListBullet"/>
              <w:numPr>
                <w:ilvl w:val="0"/>
                <w:numId w:val="9"/>
              </w:numPr>
              <w:spacing w:before="60" w:after="60"/>
              <w:contextualSpacing w:val="0"/>
            </w:pPr>
            <w:r w:rsidRPr="007C703F">
              <w:t xml:space="preserve">Reduced packed cell volume and white blood cell, haemoglobin, platelet and serum protein concentrations reported in rats and rabbits exposed (inhalation) for 13 </w:t>
            </w:r>
            <w:proofErr w:type="spellStart"/>
            <w:r w:rsidRPr="007C703F">
              <w:t>wk</w:t>
            </w:r>
            <w:proofErr w:type="spellEnd"/>
            <w:r w:rsidRPr="007C703F">
              <w:t xml:space="preserve"> at 300</w:t>
            </w:r>
            <w:r w:rsidR="00B8232F">
              <w:t> </w:t>
            </w:r>
            <w:r w:rsidRPr="007C703F">
              <w:t>ppm EGME; none of these effects occurred at 30 ppm; no further information</w:t>
            </w:r>
          </w:p>
          <w:p w14:paraId="141AB919" w14:textId="77777777" w:rsidR="00393F51" w:rsidRDefault="00393F51" w:rsidP="00393F51">
            <w:pPr>
              <w:pStyle w:val="ListBullet"/>
              <w:numPr>
                <w:ilvl w:val="0"/>
                <w:numId w:val="9"/>
              </w:numPr>
              <w:spacing w:before="60" w:after="60"/>
              <w:contextualSpacing w:val="0"/>
            </w:pPr>
            <w:r>
              <w:lastRenderedPageBreak/>
              <w:t>Gestational exposures to EGME:</w:t>
            </w:r>
          </w:p>
          <w:p w14:paraId="5D317C8A" w14:textId="30347A49" w:rsidR="00393F51" w:rsidRDefault="00393F51" w:rsidP="002459CE">
            <w:pPr>
              <w:pStyle w:val="ListBullet"/>
              <w:numPr>
                <w:ilvl w:val="0"/>
                <w:numId w:val="17"/>
              </w:numPr>
              <w:spacing w:before="60" w:after="60"/>
              <w:contextualSpacing w:val="0"/>
            </w:pPr>
            <w:r>
              <w:t xml:space="preserve">delayed ossification in rabbits at 10 ppm and in rats at 25 ppm </w:t>
            </w:r>
          </w:p>
          <w:p w14:paraId="0CCAAA3A" w14:textId="3D9D07AB" w:rsidR="00987A35" w:rsidRPr="000A2163" w:rsidRDefault="00393F51" w:rsidP="00393F51">
            <w:pPr>
              <w:pStyle w:val="ListBullet"/>
              <w:numPr>
                <w:ilvl w:val="0"/>
                <w:numId w:val="17"/>
              </w:numPr>
              <w:spacing w:before="60" w:after="60"/>
              <w:contextualSpacing w:val="0"/>
            </w:pPr>
            <w:r>
              <w:t>50 ppm resulted in major congenital malformations occur in rabbits; no further information</w:t>
            </w:r>
          </w:p>
          <w:p w14:paraId="5E6982B1" w14:textId="707762BF" w:rsidR="007A2252" w:rsidRDefault="007A2252" w:rsidP="00393F51">
            <w:pPr>
              <w:pStyle w:val="ListBullet"/>
              <w:numPr>
                <w:ilvl w:val="0"/>
                <w:numId w:val="9"/>
              </w:numPr>
              <w:spacing w:before="60" w:after="60"/>
              <w:contextualSpacing w:val="0"/>
            </w:pPr>
            <w:r>
              <w:t>Vapours irritating to mucous membranes at high (no value stated) concentrations</w:t>
            </w:r>
            <w:r w:rsidR="00F43259">
              <w:t xml:space="preserve">; </w:t>
            </w:r>
            <w:r>
              <w:t>however</w:t>
            </w:r>
            <w:r w:rsidR="00295758">
              <w:t>,</w:t>
            </w:r>
            <w:r>
              <w:t xml:space="preserve"> no dermal irritation noted</w:t>
            </w:r>
          </w:p>
          <w:p w14:paraId="23578F22" w14:textId="79B8F8FA" w:rsidR="00AE3DAE" w:rsidRDefault="00AE3DAE" w:rsidP="00393F51">
            <w:pPr>
              <w:pStyle w:val="ListBullet"/>
              <w:numPr>
                <w:ilvl w:val="0"/>
                <w:numId w:val="9"/>
              </w:numPr>
              <w:spacing w:before="60" w:after="60"/>
              <w:contextualSpacing w:val="0"/>
            </w:pPr>
            <w:r>
              <w:t>Pain and irritation when installed in eyes of rabbits (corneal cloudiness</w:t>
            </w:r>
            <w:r w:rsidR="007A2252">
              <w:t xml:space="preserve"> cleared </w:t>
            </w:r>
            <w:r w:rsidR="007B2B7E">
              <w:t>&gt;</w:t>
            </w:r>
            <w:r w:rsidR="007A2252">
              <w:t>24</w:t>
            </w:r>
            <w:r w:rsidR="00AD6E13">
              <w:t xml:space="preserve"> </w:t>
            </w:r>
            <w:r w:rsidR="007A2252">
              <w:t>h</w:t>
            </w:r>
            <w:r>
              <w:t>)</w:t>
            </w:r>
          </w:p>
          <w:p w14:paraId="65226B00" w14:textId="77777777" w:rsidR="00987A35" w:rsidRDefault="00987A35" w:rsidP="00393F51">
            <w:pPr>
              <w:pStyle w:val="ListBullet"/>
              <w:numPr>
                <w:ilvl w:val="0"/>
                <w:numId w:val="9"/>
              </w:numPr>
              <w:spacing w:before="60" w:after="60"/>
              <w:contextualSpacing w:val="0"/>
            </w:pPr>
            <w:r>
              <w:t>Dermal exposure associated with testicular and developmental toxicity and teratogenicity in rats</w:t>
            </w:r>
          </w:p>
          <w:p w14:paraId="746FBFE1" w14:textId="322439DA" w:rsidR="00987A35" w:rsidRDefault="00987A35" w:rsidP="00393F51">
            <w:pPr>
              <w:pStyle w:val="ListBullet"/>
              <w:numPr>
                <w:ilvl w:val="0"/>
                <w:numId w:val="9"/>
              </w:numPr>
              <w:spacing w:before="60" w:after="60"/>
              <w:contextualSpacing w:val="0"/>
            </w:pPr>
            <w:r>
              <w:t>Topical NOAEL: 250 mg/kg (rats, single dose) rodent development</w:t>
            </w:r>
          </w:p>
          <w:p w14:paraId="5105FA0D" w14:textId="1906F112" w:rsidR="00937E12" w:rsidRDefault="007A2252" w:rsidP="00393F51">
            <w:pPr>
              <w:pStyle w:val="ListBullet"/>
              <w:numPr>
                <w:ilvl w:val="0"/>
                <w:numId w:val="9"/>
              </w:numPr>
              <w:spacing w:before="60" w:after="60"/>
              <w:contextualSpacing w:val="0"/>
            </w:pPr>
            <w:r>
              <w:t xml:space="preserve">No mutagenic effects in </w:t>
            </w:r>
            <w:r w:rsidR="007B2B7E" w:rsidRPr="007A2252">
              <w:rPr>
                <w:i/>
              </w:rPr>
              <w:t>S</w:t>
            </w:r>
            <w:r w:rsidR="007B2B7E">
              <w:rPr>
                <w:i/>
              </w:rPr>
              <w:t xml:space="preserve">. </w:t>
            </w:r>
            <w:r w:rsidRPr="007A2252">
              <w:rPr>
                <w:i/>
              </w:rPr>
              <w:t xml:space="preserve">typhimurium </w:t>
            </w:r>
            <w:r>
              <w:t>strains</w:t>
            </w:r>
            <w:r w:rsidR="00C47526">
              <w:t>.</w:t>
            </w:r>
          </w:p>
          <w:p w14:paraId="40494768" w14:textId="3A326AF0" w:rsidR="00364EE9" w:rsidRPr="00DA352E" w:rsidRDefault="00364EE9" w:rsidP="000C6A0D">
            <w:pPr>
              <w:pStyle w:val="ListBullet"/>
              <w:spacing w:before="60" w:after="60"/>
              <w:contextualSpacing w:val="0"/>
            </w:pPr>
          </w:p>
        </w:tc>
      </w:tr>
      <w:tr w:rsidR="00C978F0" w:rsidRPr="00DA352E" w14:paraId="0C0ADD1F" w14:textId="77777777" w:rsidTr="002E522B">
        <w:tc>
          <w:tcPr>
            <w:tcW w:w="5000" w:type="pct"/>
            <w:shd w:val="clear" w:color="auto" w:fill="F2F2F2" w:themeFill="background1" w:themeFillShade="F2"/>
          </w:tcPr>
          <w:p w14:paraId="38A77A48" w14:textId="37BAA6B8"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BA0A8C">
                  <w:t>2008</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BA0A8C">
                  <w:t>MAK: 1 ppm (3.2 mg/m</w:t>
                </w:r>
                <w:r w:rsidR="00BA0A8C" w:rsidRPr="00BA0A8C">
                  <w:rPr>
                    <w:vertAlign w:val="superscript"/>
                  </w:rPr>
                  <w:t>3</w:t>
                </w:r>
                <w:r w:rsidR="00BA0A8C">
                  <w:t>)</w:t>
                </w:r>
              </w:sdtContent>
            </w:sdt>
          </w:p>
        </w:tc>
      </w:tr>
      <w:tr w:rsidR="00C978F0" w:rsidRPr="00DA352E" w14:paraId="62FCA163" w14:textId="77777777" w:rsidTr="002E522B">
        <w:tc>
          <w:tcPr>
            <w:tcW w:w="5000" w:type="pct"/>
          </w:tcPr>
          <w:p w14:paraId="12270AE1" w14:textId="77777777" w:rsidR="006E6D91" w:rsidRDefault="006E6D91" w:rsidP="006E6D91">
            <w:pPr>
              <w:pStyle w:val="Tabletextprimarysource"/>
            </w:pPr>
            <w:r>
              <w:t>Summary of additional data:</w:t>
            </w:r>
          </w:p>
          <w:p w14:paraId="240FCB3B" w14:textId="7FEC574F" w:rsidR="00C978F0" w:rsidRDefault="006E6D91" w:rsidP="000C6A0D">
            <w:pPr>
              <w:pStyle w:val="ListBullet"/>
              <w:numPr>
                <w:ilvl w:val="0"/>
                <w:numId w:val="10"/>
              </w:numPr>
              <w:spacing w:before="60" w:after="60"/>
              <w:ind w:left="714" w:hanging="357"/>
              <w:contextualSpacing w:val="0"/>
            </w:pPr>
            <w:r>
              <w:t>N</w:t>
            </w:r>
            <w:r w:rsidR="00987A35">
              <w:t xml:space="preserve">OAEL 10 </w:t>
            </w:r>
            <w:r w:rsidR="00E73D26">
              <w:t>ppm</w:t>
            </w:r>
            <w:r w:rsidR="00DC747A">
              <w:t xml:space="preserve"> (rats, developmental toxicity</w:t>
            </w:r>
            <w:r w:rsidR="00D86229">
              <w:t>) basis for PBPK modelling to det</w:t>
            </w:r>
            <w:r w:rsidR="00987A35">
              <w:t xml:space="preserve">ermine NOAEL for humans as 12 </w:t>
            </w:r>
            <w:r w:rsidR="00E73D26">
              <w:t>ppm</w:t>
            </w:r>
            <w:r>
              <w:t xml:space="preserve"> </w:t>
            </w:r>
          </w:p>
          <w:p w14:paraId="062E721A" w14:textId="2396DDCB" w:rsidR="00D86229" w:rsidRDefault="00D86229" w:rsidP="000C6A0D">
            <w:pPr>
              <w:pStyle w:val="ListBullet"/>
              <w:numPr>
                <w:ilvl w:val="0"/>
                <w:numId w:val="10"/>
              </w:numPr>
              <w:spacing w:before="60" w:after="60"/>
              <w:ind w:left="714" w:hanging="357"/>
              <w:contextualSpacing w:val="0"/>
            </w:pPr>
            <w:r>
              <w:t>Safety factors for pharmacodynamic interspecies and pharmacokinetic int</w:t>
            </w:r>
            <w:r w:rsidR="00987A35">
              <w:t xml:space="preserve">raspecies applied </w:t>
            </w:r>
            <w:r w:rsidR="002E1967">
              <w:t xml:space="preserve">to obtain MAK of </w:t>
            </w:r>
            <w:r w:rsidR="00987A35">
              <w:t xml:space="preserve">0.9 </w:t>
            </w:r>
            <w:r w:rsidR="00E73D26">
              <w:t>ppm</w:t>
            </w:r>
            <w:r>
              <w:t xml:space="preserve"> (rounded up)</w:t>
            </w:r>
            <w:r w:rsidR="00C47526">
              <w:t>.</w:t>
            </w:r>
          </w:p>
          <w:p w14:paraId="17D1B43F" w14:textId="20C6D036" w:rsidR="00C47526" w:rsidRPr="00DA352E" w:rsidRDefault="00C47526" w:rsidP="000C6A0D">
            <w:pPr>
              <w:pStyle w:val="ListBullet"/>
            </w:pPr>
          </w:p>
        </w:tc>
      </w:tr>
      <w:tr w:rsidR="00C978F0" w:rsidRPr="00DA352E" w14:paraId="6D096E5F" w14:textId="77777777" w:rsidTr="002E522B">
        <w:tc>
          <w:tcPr>
            <w:tcW w:w="5000" w:type="pct"/>
            <w:shd w:val="clear" w:color="auto" w:fill="F2F2F2" w:themeFill="background1" w:themeFillShade="F2"/>
          </w:tcPr>
          <w:p w14:paraId="10C83E44" w14:textId="54CD6D6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BA0A8C">
                  <w:t>2006</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BA0A8C">
                  <w:t>TWA: 1 ppm</w:t>
                </w:r>
                <w:r w:rsidR="001108AD">
                  <w:t xml:space="preserve"> (3.2 mg/m</w:t>
                </w:r>
                <w:r w:rsidR="001108AD" w:rsidRPr="009C5E41">
                  <w:rPr>
                    <w:vertAlign w:val="superscript"/>
                  </w:rPr>
                  <w:t>3</w:t>
                </w:r>
                <w:r w:rsidR="001108AD">
                  <w:t>)</w:t>
                </w:r>
              </w:sdtContent>
            </w:sdt>
          </w:p>
        </w:tc>
      </w:tr>
      <w:tr w:rsidR="00C978F0" w:rsidRPr="00DA352E" w14:paraId="23560B05" w14:textId="77777777" w:rsidTr="002E522B">
        <w:tc>
          <w:tcPr>
            <w:tcW w:w="5000" w:type="pct"/>
          </w:tcPr>
          <w:p w14:paraId="12338B90" w14:textId="3FADEDCA" w:rsidR="00634500" w:rsidRDefault="00634500" w:rsidP="003365A5">
            <w:pPr>
              <w:pStyle w:val="Tabletextprimarysource"/>
            </w:pPr>
            <w:r>
              <w:t>TWA assigned to protect for critical effects identified as toxic effects on reproduction and blood formation.</w:t>
            </w:r>
          </w:p>
          <w:p w14:paraId="671B8FE1" w14:textId="4962B2D8" w:rsidR="00C978F0" w:rsidRDefault="002459CE" w:rsidP="003365A5">
            <w:pPr>
              <w:pStyle w:val="Tabletextprimarysource"/>
            </w:pPr>
            <w:r>
              <w:t xml:space="preserve">Summary of </w:t>
            </w:r>
            <w:r w:rsidR="00634500">
              <w:t>Additional data:</w:t>
            </w:r>
          </w:p>
          <w:p w14:paraId="28D02089" w14:textId="5F51238F" w:rsidR="00634500" w:rsidRDefault="00FD6BC3" w:rsidP="003365A5">
            <w:pPr>
              <w:pStyle w:val="Tabletextprimarysource"/>
            </w:pPr>
            <w:r w:rsidRPr="00FD6BC3">
              <w:t>Biologic Limit Value</w:t>
            </w:r>
            <w:r>
              <w:t xml:space="preserve"> (</w:t>
            </w:r>
            <w:r w:rsidR="00634500">
              <w:t>BLV</w:t>
            </w:r>
            <w:r>
              <w:t>)</w:t>
            </w:r>
            <w:r w:rsidR="00634500">
              <w:t xml:space="preserve"> – 8 mg</w:t>
            </w:r>
            <w:r w:rsidRPr="00FD6BC3">
              <w:t>; 2-Methoxyacetic acid</w:t>
            </w:r>
            <w:r>
              <w:t xml:space="preserve"> </w:t>
            </w:r>
            <w:r w:rsidR="00C7052C">
              <w:t>(</w:t>
            </w:r>
            <w:r w:rsidR="00634500">
              <w:t>MAA</w:t>
            </w:r>
            <w:r w:rsidR="00C7052C">
              <w:t>)</w:t>
            </w:r>
            <w:r w:rsidR="00634500">
              <w:t>/g creatinine – urine sampled at end of work week (at least two weeks of work)</w:t>
            </w:r>
            <w:r w:rsidR="00CC1986">
              <w:t>.</w:t>
            </w:r>
          </w:p>
          <w:p w14:paraId="65AC5523" w14:textId="36E7A709" w:rsidR="00634500" w:rsidRDefault="006349C8" w:rsidP="00634500">
            <w:pPr>
              <w:pStyle w:val="Tabletextprimarysource"/>
            </w:pPr>
            <w:r>
              <w:t>Human e</w:t>
            </w:r>
            <w:r w:rsidR="00634500">
              <w:t>xposures reported in semiconductor and circuit board manufacturing, printing, automobile and ship painting, furniture finishing, paint production and automobile repair industries.</w:t>
            </w:r>
          </w:p>
          <w:p w14:paraId="345611FD" w14:textId="111820BB" w:rsidR="00634500" w:rsidRDefault="00634500" w:rsidP="003365A5">
            <w:pPr>
              <w:pStyle w:val="Tabletextprimarysource"/>
            </w:pPr>
            <w:r>
              <w:t>Human data:</w:t>
            </w:r>
          </w:p>
          <w:p w14:paraId="7B02BF44" w14:textId="5FF4DB0D" w:rsidR="002459CE" w:rsidRDefault="002459CE" w:rsidP="000C6A0D">
            <w:pPr>
              <w:pStyle w:val="ListBullet"/>
              <w:numPr>
                <w:ilvl w:val="0"/>
                <w:numId w:val="10"/>
              </w:numPr>
              <w:spacing w:before="60" w:after="60"/>
              <w:ind w:left="714" w:hanging="357"/>
              <w:contextualSpacing w:val="0"/>
            </w:pPr>
            <w:r w:rsidRPr="002459CE">
              <w:t>Anaemia in 26% of workers exposed at average of 4 ppm EGME; no further information; additional study identified no effects at 2.3 ppm; basis for TWA of 1 ppm</w:t>
            </w:r>
          </w:p>
          <w:p w14:paraId="60952A69" w14:textId="6A73E41B" w:rsidR="00634500" w:rsidRDefault="00634500" w:rsidP="000C6A0D">
            <w:pPr>
              <w:pStyle w:val="ListBullet"/>
              <w:numPr>
                <w:ilvl w:val="0"/>
                <w:numId w:val="10"/>
              </w:numPr>
              <w:spacing w:before="60" w:after="60"/>
              <w:ind w:left="714" w:hanging="357"/>
              <w:contextualSpacing w:val="0"/>
            </w:pPr>
            <w:r>
              <w:t>R</w:t>
            </w:r>
            <w:r w:rsidRPr="00634500">
              <w:t>espiratory uptake measured at 76% of amount inhaled</w:t>
            </w:r>
          </w:p>
          <w:p w14:paraId="72480786" w14:textId="77777777" w:rsidR="00634500" w:rsidRDefault="00634500" w:rsidP="000C6A0D">
            <w:pPr>
              <w:pStyle w:val="ListBullet"/>
              <w:numPr>
                <w:ilvl w:val="0"/>
                <w:numId w:val="10"/>
              </w:numPr>
              <w:spacing w:before="60" w:after="60"/>
              <w:ind w:left="714" w:hanging="357"/>
              <w:contextualSpacing w:val="0"/>
            </w:pPr>
            <w:r>
              <w:t xml:space="preserve">Epidermis uptake </w:t>
            </w:r>
            <w:r w:rsidRPr="00634500">
              <w:rPr>
                <w:i/>
              </w:rPr>
              <w:t xml:space="preserve">in vitro </w:t>
            </w:r>
            <w:r w:rsidRPr="00634500">
              <w:t>2.8 mg/cm</w:t>
            </w:r>
            <w:r w:rsidRPr="00634500">
              <w:rPr>
                <w:vertAlign w:val="superscript"/>
              </w:rPr>
              <w:t>2</w:t>
            </w:r>
            <w:r w:rsidRPr="00634500">
              <w:t xml:space="preserve">/h </w:t>
            </w:r>
          </w:p>
          <w:p w14:paraId="671B03B6" w14:textId="77777777" w:rsidR="00634500" w:rsidRDefault="00634500" w:rsidP="000C6A0D">
            <w:pPr>
              <w:pStyle w:val="ListBullet"/>
              <w:numPr>
                <w:ilvl w:val="0"/>
                <w:numId w:val="10"/>
              </w:numPr>
              <w:spacing w:before="60" w:after="60"/>
              <w:ind w:left="714" w:hanging="357"/>
              <w:contextualSpacing w:val="0"/>
            </w:pPr>
            <w:r w:rsidRPr="00634500">
              <w:t xml:space="preserve">No </w:t>
            </w:r>
            <w:r>
              <w:t>evidence</w:t>
            </w:r>
            <w:r w:rsidRPr="00634500">
              <w:t xml:space="preserve"> </w:t>
            </w:r>
            <w:r>
              <w:t>of</w:t>
            </w:r>
            <w:r w:rsidRPr="00634500">
              <w:t xml:space="preserve"> skin irritation, eye irritation or sensiti</w:t>
            </w:r>
            <w:r w:rsidR="00FC276B">
              <w:t>s</w:t>
            </w:r>
            <w:r w:rsidRPr="00634500">
              <w:t>ation</w:t>
            </w:r>
            <w:r>
              <w:t xml:space="preserve"> reports</w:t>
            </w:r>
            <w:r w:rsidR="00C47526">
              <w:t>.</w:t>
            </w:r>
          </w:p>
          <w:p w14:paraId="1DDC3125" w14:textId="1915744A" w:rsidR="00C47526" w:rsidRPr="00DA352E" w:rsidRDefault="00C47526" w:rsidP="000C6A0D">
            <w:pPr>
              <w:pStyle w:val="ListBullet"/>
            </w:pPr>
          </w:p>
        </w:tc>
      </w:tr>
      <w:tr w:rsidR="00DA352E" w:rsidRPr="00DA352E" w14:paraId="6B3870B2" w14:textId="77777777" w:rsidTr="002E522B">
        <w:tc>
          <w:tcPr>
            <w:tcW w:w="5000" w:type="pct"/>
            <w:shd w:val="clear" w:color="auto" w:fill="F2F2F2" w:themeFill="background1" w:themeFillShade="F2"/>
          </w:tcPr>
          <w:p w14:paraId="36F18999" w14:textId="1E7C65CA"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4720A9">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4720A9">
                  <w:t>NA</w:t>
                </w:r>
              </w:sdtContent>
            </w:sdt>
          </w:p>
        </w:tc>
      </w:tr>
      <w:tr w:rsidR="00DA352E" w:rsidRPr="00DA352E" w14:paraId="43B57E20" w14:textId="77777777" w:rsidTr="002E522B">
        <w:tc>
          <w:tcPr>
            <w:tcW w:w="5000" w:type="pct"/>
          </w:tcPr>
          <w:p w14:paraId="6F484CC1" w14:textId="30A0EECA" w:rsidR="00DA352E" w:rsidRPr="00DA352E" w:rsidRDefault="004720A9" w:rsidP="003365A5">
            <w:pPr>
              <w:pStyle w:val="Tabletextprimarysource"/>
            </w:pPr>
            <w:r>
              <w:t>No report</w:t>
            </w:r>
            <w:r w:rsidR="007B2B7E">
              <w:t>.</w:t>
            </w:r>
          </w:p>
        </w:tc>
      </w:tr>
      <w:tr w:rsidR="00DA352E" w:rsidRPr="00DA352E" w14:paraId="390A0036" w14:textId="77777777" w:rsidTr="002E522B">
        <w:tc>
          <w:tcPr>
            <w:tcW w:w="5000" w:type="pct"/>
            <w:shd w:val="clear" w:color="auto" w:fill="F2F2F2" w:themeFill="background1" w:themeFillShade="F2"/>
          </w:tcPr>
          <w:p w14:paraId="24B46EC3" w14:textId="411CB493"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4720A9">
                  <w:t>2011</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737F44">
                  <w:t xml:space="preserve">TWA: </w:t>
                </w:r>
                <w:r w:rsidR="009C136C">
                  <w:t>0.3</w:t>
                </w:r>
                <w:r w:rsidR="004720A9">
                  <w:t xml:space="preserve"> ppm (</w:t>
                </w:r>
                <w:r w:rsidR="00E25CEC">
                  <w:t>1</w:t>
                </w:r>
                <w:r w:rsidR="004720A9">
                  <w:t xml:space="preserve"> mg/m</w:t>
                </w:r>
                <w:r w:rsidR="004720A9" w:rsidRPr="00966D9D">
                  <w:rPr>
                    <w:vertAlign w:val="superscript"/>
                  </w:rPr>
                  <w:t>3</w:t>
                </w:r>
                <w:r w:rsidR="004720A9">
                  <w:t>)</w:t>
                </w:r>
              </w:sdtContent>
            </w:sdt>
          </w:p>
        </w:tc>
      </w:tr>
      <w:tr w:rsidR="00DA352E" w:rsidRPr="00DA352E" w14:paraId="39DB15D9" w14:textId="77777777" w:rsidTr="002E522B">
        <w:tc>
          <w:tcPr>
            <w:tcW w:w="5000" w:type="pct"/>
          </w:tcPr>
          <w:p w14:paraId="0E5A5227" w14:textId="55A4E31A" w:rsidR="00060E6F" w:rsidRDefault="00EC7830" w:rsidP="003365A5">
            <w:pPr>
              <w:pStyle w:val="Tabletextprimarysource"/>
            </w:pPr>
            <w:r>
              <w:t xml:space="preserve">A </w:t>
            </w:r>
            <w:r w:rsidR="00CF39E7">
              <w:t xml:space="preserve">revised </w:t>
            </w:r>
            <w:r w:rsidR="00B82A7D">
              <w:t xml:space="preserve">health based </w:t>
            </w:r>
            <w:r w:rsidR="009C5E41">
              <w:t>OEL</w:t>
            </w:r>
            <w:r w:rsidR="0032558D">
              <w:t>, TWA</w:t>
            </w:r>
            <w:r w:rsidR="00B82A7D">
              <w:t xml:space="preserve"> of 0</w:t>
            </w:r>
            <w:r w:rsidR="0074157F">
              <w:t>.</w:t>
            </w:r>
            <w:r w:rsidR="00E25CEC">
              <w:t>16</w:t>
            </w:r>
            <w:r w:rsidR="00B82A7D">
              <w:t xml:space="preserve"> ppm (</w:t>
            </w:r>
            <w:r w:rsidR="00E25CEC">
              <w:t>0.5</w:t>
            </w:r>
            <w:r w:rsidR="00B82A7D">
              <w:t xml:space="preserve"> mg/m</w:t>
            </w:r>
            <w:r w:rsidR="00B82A7D" w:rsidRPr="00411609">
              <w:rPr>
                <w:vertAlign w:val="superscript"/>
              </w:rPr>
              <w:t>3</w:t>
            </w:r>
            <w:r w:rsidR="00946E3E">
              <w:t>)</w:t>
            </w:r>
            <w:r w:rsidR="00987A35">
              <w:t xml:space="preserve"> is recommended</w:t>
            </w:r>
            <w:r w:rsidR="00946E3E">
              <w:t xml:space="preserve"> to</w:t>
            </w:r>
            <w:r w:rsidR="001F41F6">
              <w:t xml:space="preserve"> protect against </w:t>
            </w:r>
            <w:r w:rsidR="00C94D55">
              <w:t>chronic and sub</w:t>
            </w:r>
            <w:r w:rsidR="00364EE9">
              <w:t>-</w:t>
            </w:r>
            <w:r w:rsidR="00C94D55">
              <w:t xml:space="preserve">chronic effects on reproductive system and </w:t>
            </w:r>
            <w:r w:rsidR="00EA6208">
              <w:t xml:space="preserve">reduction in </w:t>
            </w:r>
            <w:r w:rsidR="004D356D">
              <w:t>haematological parameters.</w:t>
            </w:r>
          </w:p>
          <w:p w14:paraId="0D944396" w14:textId="7F7B0E2E" w:rsidR="00E25CEC" w:rsidRDefault="00E25CEC" w:rsidP="003365A5">
            <w:pPr>
              <w:pStyle w:val="Tabletextprimarysource"/>
            </w:pPr>
            <w:r>
              <w:t>Summary of additional data:</w:t>
            </w:r>
          </w:p>
          <w:p w14:paraId="592CA93F" w14:textId="4BC5C50A" w:rsidR="00060E6F" w:rsidRDefault="00060E6F" w:rsidP="003365A5">
            <w:pPr>
              <w:pStyle w:val="Tabletextprimarysource"/>
            </w:pPr>
            <w:r>
              <w:t>Human data:</w:t>
            </w:r>
          </w:p>
          <w:p w14:paraId="2A6CBD01" w14:textId="4C110A4B" w:rsidR="00302765" w:rsidRDefault="00060E6F" w:rsidP="000C6A0D">
            <w:pPr>
              <w:pStyle w:val="ListBullet"/>
              <w:numPr>
                <w:ilvl w:val="0"/>
                <w:numId w:val="11"/>
              </w:numPr>
              <w:spacing w:before="60" w:after="60"/>
              <w:ind w:left="714" w:hanging="357"/>
              <w:contextualSpacing w:val="0"/>
            </w:pPr>
            <w:r>
              <w:t>Reduction in exposure is directly proportional to the return of haematological to normal values</w:t>
            </w:r>
            <w:r w:rsidR="00EE04FB">
              <w:t>.</w:t>
            </w:r>
          </w:p>
          <w:p w14:paraId="41B7EDFF" w14:textId="0FF40295" w:rsidR="00F66339" w:rsidRDefault="00F66339" w:rsidP="00411609">
            <w:pPr>
              <w:pStyle w:val="ListBullet"/>
            </w:pPr>
            <w:r>
              <w:t>Animal data:</w:t>
            </w:r>
          </w:p>
          <w:p w14:paraId="71AF83B7" w14:textId="76093967" w:rsidR="00E25CEC" w:rsidRDefault="00E25CEC" w:rsidP="000C6A0D">
            <w:pPr>
              <w:pStyle w:val="ListBullet"/>
              <w:numPr>
                <w:ilvl w:val="0"/>
                <w:numId w:val="11"/>
              </w:numPr>
              <w:spacing w:before="60" w:after="60"/>
              <w:ind w:left="714" w:hanging="357"/>
              <w:contextualSpacing w:val="0"/>
            </w:pPr>
            <w:r>
              <w:lastRenderedPageBreak/>
              <w:t>Pregnant rabbits exposed at 0, 3, 10 and 50 ppm</w:t>
            </w:r>
            <w:r w:rsidR="00985297">
              <w:t>,</w:t>
            </w:r>
            <w:r>
              <w:t xml:space="preserve"> 6/d on </w:t>
            </w:r>
            <w:r w:rsidR="00B8232F">
              <w:t>GD</w:t>
            </w:r>
            <w:r>
              <w:t xml:space="preserve"> 6</w:t>
            </w:r>
            <w:r w:rsidR="004055B5">
              <w:t>–</w:t>
            </w:r>
            <w:r>
              <w:t xml:space="preserve">15 </w:t>
            </w:r>
            <w:r w:rsidR="002F1EA5">
              <w:t>(cited by ACGIH, 2018)</w:t>
            </w:r>
            <w:r w:rsidR="00364EE9">
              <w:t>:</w:t>
            </w:r>
            <w:r>
              <w:t xml:space="preserve"> </w:t>
            </w:r>
          </w:p>
          <w:p w14:paraId="0238A51A" w14:textId="5A9761FC" w:rsidR="00E25CEC" w:rsidRDefault="00B41817" w:rsidP="00EE04FB">
            <w:pPr>
              <w:pStyle w:val="ListBullet"/>
              <w:numPr>
                <w:ilvl w:val="0"/>
                <w:numId w:val="13"/>
              </w:numPr>
              <w:spacing w:before="60" w:after="60"/>
              <w:contextualSpacing w:val="0"/>
            </w:pPr>
            <w:r>
              <w:t xml:space="preserve">at </w:t>
            </w:r>
            <w:r w:rsidR="00E25CEC">
              <w:t xml:space="preserve">50 ppm significantly increased the incidence of malformations, minor variations and resorptions of the offspring, as well as decreased foetal body weight </w:t>
            </w:r>
          </w:p>
          <w:p w14:paraId="0E5CC4F5" w14:textId="6B0E2BEE" w:rsidR="00E25CEC" w:rsidRDefault="00E25CEC" w:rsidP="00EE04FB">
            <w:pPr>
              <w:pStyle w:val="ListBullet"/>
              <w:numPr>
                <w:ilvl w:val="0"/>
                <w:numId w:val="13"/>
              </w:numPr>
              <w:spacing w:before="60" w:after="60"/>
              <w:contextualSpacing w:val="0"/>
            </w:pPr>
            <w:r>
              <w:t xml:space="preserve">at 10 </w:t>
            </w:r>
            <w:r w:rsidR="002F1EA5">
              <w:t>ppm,</w:t>
            </w:r>
            <w:r>
              <w:t xml:space="preserve"> the number of implantations resorbed and the number of litters with resorptions increased significantly; a significant increase in delayed ossification of the sternebrae was observed in the offspring</w:t>
            </w:r>
          </w:p>
          <w:p w14:paraId="5438A839" w14:textId="64A38559" w:rsidR="00E25CEC" w:rsidRDefault="00E25CEC" w:rsidP="00EE04FB">
            <w:pPr>
              <w:pStyle w:val="ListBullet"/>
              <w:numPr>
                <w:ilvl w:val="0"/>
                <w:numId w:val="13"/>
              </w:numPr>
              <w:spacing w:before="60" w:after="60"/>
              <w:contextualSpacing w:val="0"/>
            </w:pPr>
            <w:r>
              <w:t xml:space="preserve">at 3 </w:t>
            </w:r>
            <w:r w:rsidR="002F1EA5">
              <w:t>ppm,</w:t>
            </w:r>
            <w:r>
              <w:t xml:space="preserve"> no effects were observed in the female rabbits or their offspring</w:t>
            </w:r>
          </w:p>
          <w:p w14:paraId="026921BC" w14:textId="1A6F5CF5" w:rsidR="00E25CEC" w:rsidRDefault="002F1EA5" w:rsidP="00EE04FB">
            <w:pPr>
              <w:pStyle w:val="ListBullet"/>
              <w:numPr>
                <w:ilvl w:val="0"/>
                <w:numId w:val="13"/>
              </w:numPr>
              <w:spacing w:before="60" w:after="60"/>
              <w:contextualSpacing w:val="0"/>
            </w:pPr>
            <w:r>
              <w:t>BMDL</w:t>
            </w:r>
            <w:r>
              <w:rPr>
                <w:vertAlign w:val="subscript"/>
              </w:rPr>
              <w:t>10</w:t>
            </w:r>
            <w:r>
              <w:t xml:space="preserve"> of 1.3 ppm (4.1 mg/m</w:t>
            </w:r>
            <w:r>
              <w:rPr>
                <w:vertAlign w:val="superscript"/>
              </w:rPr>
              <w:t>3</w:t>
            </w:r>
            <w:r>
              <w:t>) derived from study results</w:t>
            </w:r>
          </w:p>
          <w:p w14:paraId="3E9DD55D" w14:textId="7761F54D" w:rsidR="00CF39E7" w:rsidRPr="00CF39E7" w:rsidRDefault="00D86A6A" w:rsidP="000C6A0D">
            <w:pPr>
              <w:pStyle w:val="ListBullet"/>
              <w:numPr>
                <w:ilvl w:val="0"/>
                <w:numId w:val="11"/>
              </w:numPr>
              <w:spacing w:before="60" w:after="60"/>
              <w:ind w:left="714" w:hanging="357"/>
              <w:contextualSpacing w:val="0"/>
            </w:pPr>
            <w:r>
              <w:t xml:space="preserve">Spermatogenesis affected at oral dose levels of </w:t>
            </w:r>
            <w:r w:rsidRPr="00EC7830">
              <w:rPr>
                <w:rFonts w:cs="Arial"/>
              </w:rPr>
              <w:t>≥</w:t>
            </w:r>
            <w:r>
              <w:rPr>
                <w:rFonts w:cs="Arial"/>
              </w:rPr>
              <w:t xml:space="preserve">25 mg/kg/d. NOAEL </w:t>
            </w:r>
            <w:r w:rsidR="00411609">
              <w:rPr>
                <w:rFonts w:cs="Arial"/>
              </w:rPr>
              <w:t xml:space="preserve">of </w:t>
            </w:r>
            <w:r w:rsidR="0056685E">
              <w:rPr>
                <w:rFonts w:cs="Arial"/>
              </w:rPr>
              <w:t>12.5 mg/kg/d</w:t>
            </w:r>
            <w:r w:rsidR="00EE04FB">
              <w:rPr>
                <w:rFonts w:cs="Arial"/>
              </w:rPr>
              <w:t>.</w:t>
            </w:r>
          </w:p>
          <w:p w14:paraId="3694851C" w14:textId="77777777" w:rsidR="007C07EA" w:rsidRDefault="007C07EA" w:rsidP="00B41817">
            <w:pPr>
              <w:pStyle w:val="Tabletextprimarysource"/>
            </w:pPr>
          </w:p>
          <w:p w14:paraId="587477AC" w14:textId="08DDF1E9" w:rsidR="006B2B7B" w:rsidRPr="000A20EF" w:rsidRDefault="00CF39E7" w:rsidP="00B41817">
            <w:pPr>
              <w:pStyle w:val="Tabletextprimarysource"/>
            </w:pPr>
            <w:r>
              <w:t>Revised health-based OEL of 0.5 mg/m</w:t>
            </w:r>
            <w:r>
              <w:rPr>
                <w:vertAlign w:val="superscript"/>
              </w:rPr>
              <w:t>3</w:t>
            </w:r>
            <w:r>
              <w:t xml:space="preserve"> derived from BMDL</w:t>
            </w:r>
            <w:r>
              <w:rPr>
                <w:vertAlign w:val="subscript"/>
              </w:rPr>
              <w:t>10</w:t>
            </w:r>
            <w:r>
              <w:rPr>
                <w:vertAlign w:val="superscript"/>
              </w:rPr>
              <w:t xml:space="preserve"> </w:t>
            </w:r>
            <w:r>
              <w:t>of 4.1 mg/m</w:t>
            </w:r>
            <w:r>
              <w:rPr>
                <w:vertAlign w:val="superscript"/>
              </w:rPr>
              <w:t>3</w:t>
            </w:r>
            <w:r w:rsidR="000A20EF">
              <w:t xml:space="preserve"> with </w:t>
            </w:r>
            <w:r w:rsidR="00EE04FB">
              <w:t>UF</w:t>
            </w:r>
            <w:r w:rsidR="000A20EF">
              <w:t xml:space="preserve"> of 3</w:t>
            </w:r>
            <w:r w:rsidR="00EE04FB">
              <w:t xml:space="preserve"> for</w:t>
            </w:r>
            <w:r w:rsidR="000A20EF">
              <w:t xml:space="preserve"> interspecies difference and 3 for interindividual differences in humans to </w:t>
            </w:r>
            <w:r w:rsidR="00985297">
              <w:t>obtain</w:t>
            </w:r>
            <w:r w:rsidR="000A20EF">
              <w:t xml:space="preserve"> a rounded value of 0.5 mg/m</w:t>
            </w:r>
            <w:r w:rsidR="000A20EF">
              <w:rPr>
                <w:vertAlign w:val="superscript"/>
              </w:rPr>
              <w:t xml:space="preserve">3 </w:t>
            </w:r>
            <w:r w:rsidR="00985297">
              <w:t>(</w:t>
            </w:r>
            <w:r w:rsidR="000A20EF" w:rsidRPr="00B41817">
              <w:t>0.16 ppm</w:t>
            </w:r>
            <w:r w:rsidR="00985297">
              <w:t>)</w:t>
            </w:r>
            <w:r w:rsidR="00EE04FB">
              <w:t>.</w:t>
            </w:r>
            <w:r w:rsidR="00985297">
              <w:t xml:space="preserve"> This OEL is c</w:t>
            </w:r>
            <w:r w:rsidR="000A20EF">
              <w:t>ited to protect for effects on blood parameters in workers</w:t>
            </w:r>
            <w:r w:rsidR="00EE04FB">
              <w:t>.</w:t>
            </w:r>
          </w:p>
          <w:p w14:paraId="4FB6FB7F" w14:textId="4F2F8FAC" w:rsidR="00067F84" w:rsidRPr="00DA352E" w:rsidRDefault="00067F84" w:rsidP="00B41817">
            <w:pPr>
              <w:pStyle w:val="Tabletextprimarysource"/>
            </w:pPr>
          </w:p>
        </w:tc>
      </w:tr>
    </w:tbl>
    <w:p w14:paraId="24E1F017" w14:textId="77777777" w:rsidR="00A20751" w:rsidRPr="004C23F4" w:rsidRDefault="00A20751" w:rsidP="003365A5">
      <w:pPr>
        <w:pStyle w:val="Heading3"/>
      </w:pPr>
      <w:bookmarkStart w:id="0" w:name="SecondSource"/>
      <w:r w:rsidRPr="004C23F4">
        <w:lastRenderedPageBreak/>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93"/>
        <w:gridCol w:w="423"/>
        <w:gridCol w:w="661"/>
        <w:gridCol w:w="6449"/>
      </w:tblGrid>
      <w:tr w:rsidR="004966BF" w:rsidRPr="002E522B" w14:paraId="1A299AB4" w14:textId="77777777" w:rsidTr="002E522B">
        <w:trPr>
          <w:cnfStyle w:val="100000000000" w:firstRow="1" w:lastRow="0" w:firstColumn="0" w:lastColumn="0" w:oddVBand="0" w:evenVBand="0" w:oddHBand="0" w:evenHBand="0" w:firstRowFirstColumn="0" w:firstRowLastColumn="0" w:lastRowFirstColumn="0" w:lastRowLastColumn="0"/>
          <w:cantSplit/>
          <w:trHeight w:val="393"/>
          <w:tblHeader/>
        </w:trPr>
        <w:tc>
          <w:tcPr>
            <w:tcW w:w="1493" w:type="dxa"/>
            <w:shd w:val="clear" w:color="auto" w:fill="BFBFBF" w:themeFill="background1" w:themeFillShade="BF"/>
            <w:vAlign w:val="center"/>
          </w:tcPr>
          <w:p w14:paraId="0AC4560F" w14:textId="77777777" w:rsidR="004966BF" w:rsidRPr="002E522B" w:rsidRDefault="004966BF" w:rsidP="00263255">
            <w:pPr>
              <w:pStyle w:val="Tableheader"/>
              <w:rPr>
                <w:b/>
              </w:rPr>
            </w:pPr>
            <w:r w:rsidRPr="002E522B">
              <w:rPr>
                <w:b/>
              </w:rPr>
              <w:t>Source</w:t>
            </w:r>
          </w:p>
        </w:tc>
        <w:tc>
          <w:tcPr>
            <w:tcW w:w="423" w:type="dxa"/>
            <w:shd w:val="clear" w:color="auto" w:fill="BFBFBF" w:themeFill="background1" w:themeFillShade="BF"/>
            <w:vAlign w:val="center"/>
          </w:tcPr>
          <w:p w14:paraId="29263DAA" w14:textId="77777777" w:rsidR="004966BF" w:rsidRPr="002E522B" w:rsidRDefault="004966BF" w:rsidP="00263255">
            <w:pPr>
              <w:pStyle w:val="Tableheader"/>
              <w:rPr>
                <w:b/>
              </w:rPr>
            </w:pPr>
          </w:p>
        </w:tc>
        <w:tc>
          <w:tcPr>
            <w:tcW w:w="661" w:type="dxa"/>
            <w:shd w:val="clear" w:color="auto" w:fill="BFBFBF" w:themeFill="background1" w:themeFillShade="BF"/>
            <w:vAlign w:val="center"/>
          </w:tcPr>
          <w:p w14:paraId="3B186FC9" w14:textId="77777777" w:rsidR="004966BF" w:rsidRPr="002E522B" w:rsidRDefault="004966BF" w:rsidP="00263255">
            <w:pPr>
              <w:pStyle w:val="Tableheader"/>
              <w:rPr>
                <w:b/>
              </w:rPr>
            </w:pPr>
            <w:r w:rsidRPr="002E522B">
              <w:rPr>
                <w:b/>
              </w:rPr>
              <w:t>Year</w:t>
            </w:r>
          </w:p>
        </w:tc>
        <w:tc>
          <w:tcPr>
            <w:tcW w:w="6449" w:type="dxa"/>
            <w:shd w:val="clear" w:color="auto" w:fill="BFBFBF" w:themeFill="background1" w:themeFillShade="BF"/>
            <w:vAlign w:val="center"/>
          </w:tcPr>
          <w:p w14:paraId="3385415F" w14:textId="77777777" w:rsidR="004966BF" w:rsidRPr="002E522B" w:rsidRDefault="004966BF" w:rsidP="00263255">
            <w:pPr>
              <w:pStyle w:val="Tableheader"/>
              <w:rPr>
                <w:b/>
              </w:rPr>
            </w:pPr>
            <w:r w:rsidRPr="002E522B">
              <w:rPr>
                <w:b/>
              </w:rPr>
              <w:t>Additional information</w:t>
            </w:r>
          </w:p>
        </w:tc>
      </w:tr>
      <w:tr w:rsidR="00AE6C08" w:rsidRPr="004C23F4" w14:paraId="36E3C7A3" w14:textId="77777777" w:rsidTr="002E522B">
        <w:trPr>
          <w:cantSplit/>
        </w:trPr>
        <w:tc>
          <w:tcPr>
            <w:tcW w:w="1493" w:type="dxa"/>
          </w:tcPr>
          <w:p w14:paraId="0D659E86" w14:textId="12A07669" w:rsidR="00AE6C08" w:rsidRDefault="00AE6C08" w:rsidP="00AE6C08">
            <w:pPr>
              <w:pStyle w:val="Tablefont"/>
            </w:pPr>
            <w:r>
              <w:t>NICNAS</w:t>
            </w:r>
          </w:p>
        </w:tc>
        <w:tc>
          <w:tcPr>
            <w:tcW w:w="423" w:type="dxa"/>
          </w:tcPr>
          <w:p w14:paraId="0E7F2A30" w14:textId="03EBD625" w:rsidR="00AE6C08" w:rsidRDefault="002E522B" w:rsidP="00AE6C08">
            <w:pPr>
              <w:spacing w:before="40"/>
              <w:jc w:val="center"/>
              <w:rPr>
                <w:rStyle w:val="checkbox"/>
              </w:rPr>
            </w:pPr>
            <w:sdt>
              <w:sdtPr>
                <w:rPr>
                  <w:rStyle w:val="checkbox"/>
                </w:rPr>
                <w:id w:val="418603213"/>
                <w:placeholder>
                  <w:docPart w:val="ED42E00E7F964FB190EC9F937B5EB7F8"/>
                </w:placeholder>
                <w:dropDownList>
                  <w:listItem w:displayText="" w:value=""/>
                  <w:listItem w:displayText="" w:value=""/>
                  <w:listItem w:displayText="" w:value=""/>
                </w:dropDownList>
              </w:sdtPr>
              <w:sdtEndPr>
                <w:rPr>
                  <w:rStyle w:val="checkbox"/>
                </w:rPr>
              </w:sdtEndPr>
              <w:sdtContent>
                <w:r w:rsidR="00AE6C08">
                  <w:rPr>
                    <w:rStyle w:val="checkbox"/>
                  </w:rPr>
                  <w:t></w:t>
                </w:r>
              </w:sdtContent>
            </w:sdt>
          </w:p>
        </w:tc>
        <w:tc>
          <w:tcPr>
            <w:tcW w:w="661" w:type="dxa"/>
          </w:tcPr>
          <w:p w14:paraId="3F822D0F" w14:textId="02F9A293" w:rsidR="00AE6C08" w:rsidRDefault="00AE6C08" w:rsidP="00AE6C08">
            <w:pPr>
              <w:pStyle w:val="Tablefont"/>
              <w:rPr>
                <w:rStyle w:val="checkbox"/>
                <w:rFonts w:ascii="Arial" w:hAnsi="Arial" w:cs="Arial"/>
              </w:rPr>
            </w:pPr>
            <w:r>
              <w:rPr>
                <w:rStyle w:val="checkbox"/>
                <w:rFonts w:ascii="Arial" w:hAnsi="Arial" w:cs="Arial"/>
              </w:rPr>
              <w:t>2014</w:t>
            </w:r>
          </w:p>
        </w:tc>
        <w:tc>
          <w:tcPr>
            <w:tcW w:w="6449" w:type="dxa"/>
          </w:tcPr>
          <w:p w14:paraId="19BCE789" w14:textId="56103910" w:rsidR="0014382C" w:rsidRDefault="0014382C" w:rsidP="000C6A0D">
            <w:pPr>
              <w:pStyle w:val="ListBullet"/>
              <w:numPr>
                <w:ilvl w:val="0"/>
                <w:numId w:val="6"/>
              </w:numPr>
              <w:spacing w:before="60" w:after="60"/>
              <w:ind w:left="714" w:hanging="357"/>
              <w:contextualSpacing w:val="0"/>
              <w:rPr>
                <w:rStyle w:val="checkbox"/>
                <w:rFonts w:ascii="Arial" w:hAnsi="Arial" w:cs="Arial"/>
                <w:lang w:eastAsia="en-AU"/>
              </w:rPr>
            </w:pPr>
            <w:r w:rsidRPr="0068714D">
              <w:rPr>
                <w:rStyle w:val="checkbox"/>
                <w:rFonts w:ascii="Arial" w:hAnsi="Arial" w:cs="Arial"/>
              </w:rPr>
              <w:t>An increased prevalence of oligospermia and azoospermia was noted in workers</w:t>
            </w:r>
            <w:r>
              <w:rPr>
                <w:rStyle w:val="checkbox"/>
                <w:rFonts w:ascii="Arial" w:hAnsi="Arial" w:cs="Arial"/>
              </w:rPr>
              <w:t xml:space="preserve"> exposed to </w:t>
            </w:r>
            <w:r>
              <w:t xml:space="preserve">mean work-place concentrations were 0.8 ppm (2.6 mg/m³) EGME; </w:t>
            </w:r>
            <w:r>
              <w:rPr>
                <w:rStyle w:val="checkbox"/>
                <w:rFonts w:ascii="Arial" w:hAnsi="Arial" w:cs="Arial"/>
              </w:rPr>
              <w:t>TWA concentration of 5.6 ppm (17.7 mg/m</w:t>
            </w:r>
            <w:r>
              <w:rPr>
                <w:rStyle w:val="checkbox"/>
                <w:rFonts w:ascii="Arial" w:hAnsi="Arial" w:cs="Arial"/>
                <w:vertAlign w:val="superscript"/>
              </w:rPr>
              <w:t>3</w:t>
            </w:r>
            <w:r>
              <w:rPr>
                <w:rStyle w:val="checkbox"/>
                <w:rFonts w:ascii="Arial" w:hAnsi="Arial" w:cs="Arial"/>
              </w:rPr>
              <w:t xml:space="preserve">); co-exposure </w:t>
            </w:r>
            <w:r w:rsidR="00B8232F">
              <w:rPr>
                <w:rStyle w:val="checkbox"/>
                <w:rFonts w:ascii="Arial" w:hAnsi="Arial" w:cs="Arial"/>
              </w:rPr>
              <w:t>at</w:t>
            </w:r>
            <w:r>
              <w:rPr>
                <w:rStyle w:val="checkbox"/>
                <w:rFonts w:ascii="Arial" w:hAnsi="Arial" w:cs="Arial"/>
              </w:rPr>
              <w:t xml:space="preserve"> 21.5 ppm</w:t>
            </w:r>
            <w:r w:rsidRPr="0068714D">
              <w:rPr>
                <w:rStyle w:val="checkbox"/>
                <w:rFonts w:ascii="Arial" w:hAnsi="Arial" w:cs="Arial"/>
              </w:rPr>
              <w:t>, 2-ethoxy-</w:t>
            </w:r>
            <w:r>
              <w:rPr>
                <w:rStyle w:val="checkbox"/>
                <w:rFonts w:ascii="Arial" w:hAnsi="Arial" w:cs="Arial"/>
              </w:rPr>
              <w:t>ethanol</w:t>
            </w:r>
          </w:p>
          <w:p w14:paraId="10FC05FE" w14:textId="4EF5DC69" w:rsidR="00AE6C08" w:rsidRDefault="00AE6C08" w:rsidP="000C6A0D">
            <w:pPr>
              <w:pStyle w:val="ListBullet"/>
              <w:numPr>
                <w:ilvl w:val="0"/>
                <w:numId w:val="6"/>
              </w:numPr>
              <w:spacing w:before="60" w:after="60"/>
              <w:ind w:left="714" w:hanging="357"/>
              <w:contextualSpacing w:val="0"/>
              <w:rPr>
                <w:rStyle w:val="checkbox"/>
                <w:rFonts w:ascii="Arial" w:hAnsi="Arial" w:cs="Arial"/>
                <w:lang w:eastAsia="en-AU"/>
              </w:rPr>
            </w:pPr>
            <w:r>
              <w:rPr>
                <w:rStyle w:val="checkbox"/>
                <w:rFonts w:ascii="Arial" w:hAnsi="Arial" w:cs="Arial"/>
              </w:rPr>
              <w:t xml:space="preserve">Adverse developmental effects in several species with multiple exposures (no maternal </w:t>
            </w:r>
            <w:r w:rsidR="009C5E41">
              <w:rPr>
                <w:rStyle w:val="checkbox"/>
                <w:rFonts w:ascii="Arial" w:hAnsi="Arial" w:cs="Arial"/>
              </w:rPr>
              <w:t>toxicity</w:t>
            </w:r>
            <w:r>
              <w:rPr>
                <w:rStyle w:val="checkbox"/>
                <w:rFonts w:ascii="Arial" w:hAnsi="Arial" w:cs="Arial"/>
              </w:rPr>
              <w:t xml:space="preserve"> noted)</w:t>
            </w:r>
          </w:p>
          <w:p w14:paraId="49157CBD" w14:textId="585F3B45" w:rsidR="0014382C" w:rsidRDefault="0014382C" w:rsidP="000C6A0D">
            <w:pPr>
              <w:pStyle w:val="ListBullet"/>
              <w:numPr>
                <w:ilvl w:val="0"/>
                <w:numId w:val="6"/>
              </w:numPr>
              <w:spacing w:before="60" w:after="60"/>
              <w:ind w:left="714" w:hanging="357"/>
              <w:contextualSpacing w:val="0"/>
              <w:rPr>
                <w:rStyle w:val="checkbox"/>
                <w:rFonts w:ascii="Arial" w:hAnsi="Arial" w:cs="Arial"/>
                <w:lang w:eastAsia="en-AU"/>
              </w:rPr>
            </w:pPr>
            <w:r w:rsidRPr="00B91F78">
              <w:rPr>
                <w:rStyle w:val="checkbox"/>
                <w:rFonts w:ascii="Arial" w:hAnsi="Arial" w:cs="Arial"/>
              </w:rPr>
              <w:t>Developmental effects were generally observed at lower doses than both reproductive effects and haematological effects</w:t>
            </w:r>
          </w:p>
          <w:p w14:paraId="00076614" w14:textId="53D4F5D8" w:rsidR="00AE6C08" w:rsidRDefault="0014382C" w:rsidP="000C6A0D">
            <w:pPr>
              <w:pStyle w:val="ListBullet"/>
              <w:numPr>
                <w:ilvl w:val="0"/>
                <w:numId w:val="6"/>
              </w:numPr>
              <w:spacing w:before="60" w:after="60"/>
              <w:ind w:left="714" w:hanging="357"/>
              <w:contextualSpacing w:val="0"/>
              <w:rPr>
                <w:rStyle w:val="checkbox"/>
                <w:rFonts w:ascii="Arial" w:hAnsi="Arial" w:cs="Arial"/>
              </w:rPr>
            </w:pPr>
            <w:r>
              <w:rPr>
                <w:rStyle w:val="checkbox"/>
                <w:rFonts w:ascii="Arial" w:hAnsi="Arial" w:cs="Arial"/>
              </w:rPr>
              <w:t>NOAEC of 3 ppm (9 mg/m</w:t>
            </w:r>
            <w:r>
              <w:rPr>
                <w:rStyle w:val="checkbox"/>
                <w:rFonts w:ascii="Arial" w:hAnsi="Arial" w:cs="Arial"/>
                <w:vertAlign w:val="superscript"/>
              </w:rPr>
              <w:t>3</w:t>
            </w:r>
            <w:r>
              <w:rPr>
                <w:rStyle w:val="checkbox"/>
                <w:rFonts w:ascii="Arial" w:hAnsi="Arial" w:cs="Arial"/>
              </w:rPr>
              <w:t>), LOEC of 10 ppm (32 mg/m</w:t>
            </w:r>
            <w:r>
              <w:rPr>
                <w:rStyle w:val="checkbox"/>
                <w:rFonts w:ascii="Arial" w:hAnsi="Arial" w:cs="Arial"/>
                <w:vertAlign w:val="superscript"/>
              </w:rPr>
              <w:t>3</w:t>
            </w:r>
            <w:r>
              <w:rPr>
                <w:rStyle w:val="checkbox"/>
                <w:rFonts w:ascii="Arial" w:hAnsi="Arial" w:cs="Arial"/>
              </w:rPr>
              <w:t xml:space="preserve">) EGME in rabbits; </w:t>
            </w:r>
            <w:r>
              <w:rPr>
                <w:rFonts w:cs="Arial"/>
                <w:color w:val="262626"/>
              </w:rPr>
              <w:t>delayed ossification</w:t>
            </w:r>
            <w:r w:rsidR="00C47526">
              <w:rPr>
                <w:rStyle w:val="checkbox"/>
                <w:rFonts w:ascii="Arial" w:hAnsi="Arial" w:cs="Arial"/>
              </w:rPr>
              <w:t>.</w:t>
            </w:r>
            <w:r w:rsidR="00AE6C08">
              <w:rPr>
                <w:rStyle w:val="checkbox"/>
                <w:rFonts w:ascii="Arial" w:hAnsi="Arial" w:cs="Arial"/>
              </w:rPr>
              <w:t xml:space="preserve"> </w:t>
            </w:r>
          </w:p>
        </w:tc>
      </w:tr>
      <w:tr w:rsidR="004966BF" w:rsidRPr="004C23F4" w14:paraId="397AF792" w14:textId="77777777" w:rsidTr="002E522B">
        <w:trPr>
          <w:cantSplit/>
        </w:trPr>
        <w:tc>
          <w:tcPr>
            <w:tcW w:w="1493" w:type="dxa"/>
          </w:tcPr>
          <w:p w14:paraId="518B583B" w14:textId="77777777" w:rsidR="004966BF" w:rsidRPr="004C23F4" w:rsidRDefault="004966BF" w:rsidP="00224EE2">
            <w:pPr>
              <w:pStyle w:val="Tablefont"/>
            </w:pPr>
            <w:r>
              <w:t>US EPA</w:t>
            </w:r>
          </w:p>
        </w:tc>
        <w:tc>
          <w:tcPr>
            <w:tcW w:w="423" w:type="dxa"/>
          </w:tcPr>
          <w:p w14:paraId="69C4B436" w14:textId="66B7E208" w:rsidR="004966BF" w:rsidRPr="00CE617F" w:rsidRDefault="002E522B"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824B0C">
                  <w:rPr>
                    <w:rStyle w:val="checkbox"/>
                  </w:rPr>
                  <w:t></w:t>
                </w:r>
              </w:sdtContent>
            </w:sdt>
          </w:p>
        </w:tc>
        <w:tc>
          <w:tcPr>
            <w:tcW w:w="661" w:type="dxa"/>
          </w:tcPr>
          <w:p w14:paraId="3A426138" w14:textId="3F78FAB0" w:rsidR="004966BF" w:rsidRPr="004C23F4" w:rsidRDefault="00824B0C" w:rsidP="00717D45">
            <w:pPr>
              <w:pStyle w:val="Tablefont"/>
              <w:rPr>
                <w:rStyle w:val="checkbox"/>
                <w:rFonts w:ascii="Arial" w:hAnsi="Arial" w:cs="Arial"/>
              </w:rPr>
            </w:pPr>
            <w:r>
              <w:rPr>
                <w:rStyle w:val="checkbox"/>
                <w:rFonts w:ascii="Arial" w:hAnsi="Arial" w:cs="Arial"/>
              </w:rPr>
              <w:t>1991</w:t>
            </w:r>
          </w:p>
        </w:tc>
        <w:tc>
          <w:tcPr>
            <w:tcW w:w="6449" w:type="dxa"/>
          </w:tcPr>
          <w:p w14:paraId="414FD184" w14:textId="77777777" w:rsidR="00824B0C" w:rsidRDefault="00824B0C" w:rsidP="000C6A0D">
            <w:pPr>
              <w:pStyle w:val="ListBullet"/>
              <w:numPr>
                <w:ilvl w:val="0"/>
                <w:numId w:val="6"/>
              </w:numPr>
              <w:spacing w:before="60" w:after="60"/>
              <w:ind w:left="714" w:hanging="357"/>
              <w:contextualSpacing w:val="0"/>
              <w:rPr>
                <w:rStyle w:val="checkbox"/>
                <w:rFonts w:ascii="Arial" w:hAnsi="Arial" w:cs="Arial"/>
                <w:lang w:eastAsia="en-AU"/>
              </w:rPr>
            </w:pPr>
            <w:r>
              <w:rPr>
                <w:rStyle w:val="checkbox"/>
                <w:rFonts w:ascii="Arial" w:hAnsi="Arial" w:cs="Arial"/>
              </w:rPr>
              <w:t>Inhalation Summary data:</w:t>
            </w:r>
          </w:p>
          <w:p w14:paraId="1F9886E0" w14:textId="0592F38B" w:rsidR="00824B0C" w:rsidRPr="001B5E73" w:rsidRDefault="00824B0C">
            <w:pPr>
              <w:pStyle w:val="ListBullet"/>
              <w:numPr>
                <w:ilvl w:val="0"/>
                <w:numId w:val="5"/>
              </w:numPr>
              <w:spacing w:before="60" w:after="60"/>
              <w:ind w:left="1094" w:hanging="357"/>
              <w:contextualSpacing w:val="0"/>
              <w:rPr>
                <w:rStyle w:val="checkbox"/>
                <w:rFonts w:ascii="Arial" w:hAnsi="Arial" w:cs="Arial"/>
              </w:rPr>
            </w:pPr>
            <w:r>
              <w:rPr>
                <w:rStyle w:val="checkbox"/>
                <w:rFonts w:ascii="Arial" w:hAnsi="Arial" w:cs="Arial"/>
              </w:rPr>
              <w:t>NOAE</w:t>
            </w:r>
            <w:r w:rsidR="004055B5">
              <w:rPr>
                <w:rStyle w:val="checkbox"/>
                <w:rFonts w:ascii="Arial" w:hAnsi="Arial" w:cs="Arial"/>
              </w:rPr>
              <w:t>C</w:t>
            </w:r>
            <w:r>
              <w:rPr>
                <w:rStyle w:val="checkbox"/>
                <w:rFonts w:ascii="Arial" w:hAnsi="Arial" w:cs="Arial"/>
              </w:rPr>
              <w:t>: 30 ppm (rats &amp; rabbits, testicular effects)</w:t>
            </w:r>
          </w:p>
        </w:tc>
      </w:tr>
    </w:tbl>
    <w:p w14:paraId="5A86764F" w14:textId="77777777" w:rsidR="007E2A4B" w:rsidRDefault="007E2A4B"/>
    <w:bookmarkEnd w:id="0"/>
    <w:p w14:paraId="73759F8B"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4F40D232" w14:textId="77777777" w:rsidTr="009C5E41">
        <w:trPr>
          <w:trHeight w:val="454"/>
          <w:tblHeader/>
        </w:trPr>
        <w:tc>
          <w:tcPr>
            <w:tcW w:w="6603" w:type="dxa"/>
            <w:vAlign w:val="center"/>
          </w:tcPr>
          <w:p w14:paraId="02769874"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1AC33E7C" w14:textId="49C967A5" w:rsidR="002E0D61" w:rsidRDefault="009315EF" w:rsidP="00C3091E">
                <w:pPr>
                  <w:pStyle w:val="Tablefont"/>
                  <w:keepNext/>
                  <w:keepLines/>
                  <w:spacing w:before="40" w:after="40"/>
                </w:pPr>
                <w:r>
                  <w:t>No</w:t>
                </w:r>
              </w:p>
            </w:tc>
          </w:sdtContent>
        </w:sdt>
      </w:tr>
      <w:tr w:rsidR="008A36CF" w14:paraId="062D172E" w14:textId="77777777" w:rsidTr="009C5E41">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44623B6D" w14:textId="7C414656" w:rsidR="008A36CF" w:rsidRPr="006901A2" w:rsidRDefault="009315EF"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078EA3C3" w14:textId="77777777" w:rsidR="008A36CF" w:rsidRDefault="008A36CF" w:rsidP="008A36CF">
            <w:pPr>
              <w:pStyle w:val="Tablefont"/>
              <w:keepNext/>
              <w:keepLines/>
              <w:spacing w:before="40" w:after="40"/>
            </w:pPr>
          </w:p>
        </w:tc>
      </w:tr>
    </w:tbl>
    <w:bookmarkEnd w:id="1"/>
    <w:p w14:paraId="3FDBF107"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2E522B" w14:paraId="5A48449B" w14:textId="77777777" w:rsidTr="002E522B">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73BA7D1F" w14:textId="77777777" w:rsidR="00687890" w:rsidRPr="002E522B" w:rsidRDefault="00687890" w:rsidP="00263255">
            <w:pPr>
              <w:pStyle w:val="Tableheader"/>
              <w:rPr>
                <w:b/>
              </w:rPr>
            </w:pPr>
            <w:bookmarkStart w:id="2" w:name="Notations"/>
            <w:bookmarkStart w:id="3" w:name="_GoBack" w:colFirst="0" w:colLast="2"/>
            <w:r w:rsidRPr="002E522B">
              <w:rPr>
                <w:b/>
              </w:rPr>
              <w:t>Source</w:t>
            </w:r>
          </w:p>
        </w:tc>
        <w:tc>
          <w:tcPr>
            <w:tcW w:w="6015" w:type="dxa"/>
            <w:shd w:val="clear" w:color="auto" w:fill="BFBFBF" w:themeFill="background1" w:themeFillShade="BF"/>
            <w:vAlign w:val="center"/>
          </w:tcPr>
          <w:p w14:paraId="545EF776" w14:textId="77777777" w:rsidR="00687890" w:rsidRPr="002E522B" w:rsidRDefault="00687890" w:rsidP="00F4402E">
            <w:pPr>
              <w:pStyle w:val="Tableheader"/>
              <w:tabs>
                <w:tab w:val="right" w:pos="5272"/>
              </w:tabs>
              <w:rPr>
                <w:b/>
              </w:rPr>
            </w:pPr>
            <w:r w:rsidRPr="002E522B">
              <w:rPr>
                <w:b/>
              </w:rPr>
              <w:t>Notations</w:t>
            </w:r>
            <w:r w:rsidR="003A2B94" w:rsidRPr="002E522B">
              <w:rPr>
                <w:b/>
              </w:rPr>
              <w:tab/>
            </w:r>
          </w:p>
        </w:tc>
      </w:tr>
      <w:bookmarkEnd w:id="3"/>
      <w:tr w:rsidR="00687890" w:rsidRPr="004C23F4" w14:paraId="003EB893" w14:textId="77777777" w:rsidTr="002E522B">
        <w:trPr>
          <w:cantSplit/>
        </w:trPr>
        <w:tc>
          <w:tcPr>
            <w:tcW w:w="3227" w:type="dxa"/>
          </w:tcPr>
          <w:p w14:paraId="217CC6E0" w14:textId="77777777" w:rsidR="004079B4" w:rsidRPr="004C23F4" w:rsidRDefault="00084513" w:rsidP="00F4402E">
            <w:pPr>
              <w:pStyle w:val="Tablefont"/>
            </w:pPr>
            <w:r w:rsidRPr="004C23F4">
              <w:t>SWA</w:t>
            </w:r>
          </w:p>
        </w:tc>
        <w:tc>
          <w:tcPr>
            <w:tcW w:w="6015" w:type="dxa"/>
          </w:tcPr>
          <w:p w14:paraId="4AE64DAD" w14:textId="3C377986" w:rsidR="00687890" w:rsidRPr="00DD2F9B" w:rsidRDefault="004720A9" w:rsidP="00DD2F9B">
            <w:pPr>
              <w:pStyle w:val="Tablefont"/>
            </w:pPr>
            <w:r w:rsidRPr="004720A9">
              <w:t>Skin</w:t>
            </w:r>
          </w:p>
        </w:tc>
      </w:tr>
      <w:tr w:rsidR="007925F0" w:rsidRPr="004C23F4" w14:paraId="61E6C525" w14:textId="77777777" w:rsidTr="002E522B">
        <w:trPr>
          <w:cantSplit/>
        </w:trPr>
        <w:tc>
          <w:tcPr>
            <w:tcW w:w="3227" w:type="dxa"/>
          </w:tcPr>
          <w:p w14:paraId="013B80E6" w14:textId="77777777" w:rsidR="004079B4" w:rsidRPr="004C23F4" w:rsidRDefault="007925F0" w:rsidP="00F4402E">
            <w:pPr>
              <w:pStyle w:val="Tablefont"/>
            </w:pPr>
            <w:r>
              <w:t>HCIS</w:t>
            </w:r>
          </w:p>
        </w:tc>
        <w:tc>
          <w:tcPr>
            <w:tcW w:w="6015" w:type="dxa"/>
          </w:tcPr>
          <w:p w14:paraId="62CCB273" w14:textId="59E090C9" w:rsidR="007925F0" w:rsidRPr="00DD2F9B" w:rsidRDefault="0005348D" w:rsidP="00DD2F9B">
            <w:pPr>
              <w:pStyle w:val="Tablefont"/>
            </w:pPr>
            <w:r>
              <w:t>—</w:t>
            </w:r>
          </w:p>
        </w:tc>
      </w:tr>
      <w:tr w:rsidR="00AF483F" w:rsidRPr="004C23F4" w14:paraId="30616154" w14:textId="77777777" w:rsidTr="002E522B">
        <w:trPr>
          <w:cantSplit/>
        </w:trPr>
        <w:tc>
          <w:tcPr>
            <w:tcW w:w="3227" w:type="dxa"/>
          </w:tcPr>
          <w:p w14:paraId="6D261A05" w14:textId="77777777" w:rsidR="00AF483F" w:rsidRPr="004C23F4" w:rsidRDefault="00AF483F" w:rsidP="00F4402E">
            <w:pPr>
              <w:pStyle w:val="Tablefont"/>
            </w:pPr>
            <w:r>
              <w:t>NICNAS</w:t>
            </w:r>
          </w:p>
        </w:tc>
        <w:tc>
          <w:tcPr>
            <w:tcW w:w="6015" w:type="dxa"/>
          </w:tcPr>
          <w:p w14:paraId="69C11C23" w14:textId="645B0EEA" w:rsidR="00AF483F" w:rsidRPr="00DD2F9B" w:rsidRDefault="0005348D" w:rsidP="00DD2F9B">
            <w:pPr>
              <w:pStyle w:val="Tablefont"/>
            </w:pPr>
            <w:r>
              <w:t>—</w:t>
            </w:r>
          </w:p>
        </w:tc>
      </w:tr>
      <w:tr w:rsidR="00687890" w:rsidRPr="004C23F4" w14:paraId="6124D03C" w14:textId="77777777" w:rsidTr="002E522B">
        <w:trPr>
          <w:cantSplit/>
        </w:trPr>
        <w:tc>
          <w:tcPr>
            <w:tcW w:w="3227" w:type="dxa"/>
          </w:tcPr>
          <w:p w14:paraId="22DF9B99" w14:textId="77777777" w:rsidR="004079B4" w:rsidRPr="004C23F4" w:rsidRDefault="00687890" w:rsidP="00F4402E">
            <w:pPr>
              <w:pStyle w:val="Tablefont"/>
            </w:pPr>
            <w:r w:rsidRPr="004C23F4">
              <w:t>EU Annex</w:t>
            </w:r>
          </w:p>
        </w:tc>
        <w:tc>
          <w:tcPr>
            <w:tcW w:w="6015" w:type="dxa"/>
          </w:tcPr>
          <w:p w14:paraId="77610C61" w14:textId="7A98224A" w:rsidR="00687890" w:rsidRPr="00DD2F9B" w:rsidRDefault="0005348D" w:rsidP="00DD2F9B">
            <w:pPr>
              <w:pStyle w:val="Tablefont"/>
            </w:pPr>
            <w:r>
              <w:t>NA</w:t>
            </w:r>
          </w:p>
        </w:tc>
      </w:tr>
      <w:tr w:rsidR="00E41A26" w:rsidRPr="004C23F4" w14:paraId="51EC556C" w14:textId="77777777" w:rsidTr="002E522B">
        <w:trPr>
          <w:cantSplit/>
        </w:trPr>
        <w:tc>
          <w:tcPr>
            <w:tcW w:w="3227" w:type="dxa"/>
          </w:tcPr>
          <w:p w14:paraId="5C557652" w14:textId="77777777" w:rsidR="00E41A26" w:rsidRDefault="00E41A26" w:rsidP="00F4402E">
            <w:pPr>
              <w:pStyle w:val="Tablefont"/>
            </w:pPr>
            <w:r>
              <w:lastRenderedPageBreak/>
              <w:t>ECHA</w:t>
            </w:r>
          </w:p>
        </w:tc>
        <w:tc>
          <w:tcPr>
            <w:tcW w:w="6015" w:type="dxa"/>
          </w:tcPr>
          <w:p w14:paraId="55A9108A" w14:textId="4C572799" w:rsidR="00E41A26" w:rsidRPr="00DD2F9B" w:rsidRDefault="0005348D" w:rsidP="00DD2F9B">
            <w:pPr>
              <w:pStyle w:val="Tablefont"/>
            </w:pPr>
            <w:r>
              <w:t>—</w:t>
            </w:r>
          </w:p>
        </w:tc>
      </w:tr>
      <w:tr w:rsidR="002E0D61" w:rsidRPr="004C23F4" w14:paraId="529DD4A5" w14:textId="77777777" w:rsidTr="002E522B">
        <w:trPr>
          <w:cantSplit/>
        </w:trPr>
        <w:tc>
          <w:tcPr>
            <w:tcW w:w="3227" w:type="dxa"/>
          </w:tcPr>
          <w:p w14:paraId="72960186" w14:textId="77777777" w:rsidR="004079B4" w:rsidRPr="004C23F4" w:rsidRDefault="002E0D61" w:rsidP="00F4402E">
            <w:pPr>
              <w:pStyle w:val="Tablefont"/>
            </w:pPr>
            <w:r>
              <w:t>ACGIH</w:t>
            </w:r>
          </w:p>
        </w:tc>
        <w:tc>
          <w:tcPr>
            <w:tcW w:w="6015" w:type="dxa"/>
          </w:tcPr>
          <w:p w14:paraId="7FC56417" w14:textId="3557C804" w:rsidR="002E0D61" w:rsidRPr="00DD2F9B" w:rsidRDefault="0005348D" w:rsidP="00DD2F9B">
            <w:pPr>
              <w:pStyle w:val="Tablefont"/>
            </w:pPr>
            <w:r>
              <w:t>Skin</w:t>
            </w:r>
          </w:p>
        </w:tc>
      </w:tr>
      <w:tr w:rsidR="002E0D61" w:rsidRPr="004C23F4" w14:paraId="6C902467" w14:textId="77777777" w:rsidTr="002E522B">
        <w:trPr>
          <w:cantSplit/>
        </w:trPr>
        <w:tc>
          <w:tcPr>
            <w:tcW w:w="3227" w:type="dxa"/>
          </w:tcPr>
          <w:p w14:paraId="0BF39563" w14:textId="77777777" w:rsidR="004079B4" w:rsidRPr="004C23F4" w:rsidRDefault="002E0D61" w:rsidP="00F4402E">
            <w:pPr>
              <w:pStyle w:val="Tablefont"/>
            </w:pPr>
            <w:r>
              <w:t>DFG</w:t>
            </w:r>
          </w:p>
        </w:tc>
        <w:tc>
          <w:tcPr>
            <w:tcW w:w="6015" w:type="dxa"/>
          </w:tcPr>
          <w:p w14:paraId="1AB6A978" w14:textId="0428A3E4" w:rsidR="002E0D61" w:rsidRPr="00DD2F9B" w:rsidRDefault="0005348D" w:rsidP="00DD2F9B">
            <w:pPr>
              <w:pStyle w:val="Tablefont"/>
            </w:pPr>
            <w:r>
              <w:t>H (skin)</w:t>
            </w:r>
          </w:p>
        </w:tc>
      </w:tr>
      <w:tr w:rsidR="002E0D61" w:rsidRPr="004C23F4" w14:paraId="367DFC3B" w14:textId="77777777" w:rsidTr="002E522B">
        <w:trPr>
          <w:cantSplit/>
        </w:trPr>
        <w:tc>
          <w:tcPr>
            <w:tcW w:w="3227" w:type="dxa"/>
          </w:tcPr>
          <w:p w14:paraId="70D16C04" w14:textId="77777777" w:rsidR="004079B4" w:rsidRPr="004C23F4" w:rsidRDefault="002E0D61" w:rsidP="00F4402E">
            <w:pPr>
              <w:pStyle w:val="Tablefont"/>
            </w:pPr>
            <w:r>
              <w:t>SCOEL</w:t>
            </w:r>
          </w:p>
        </w:tc>
        <w:tc>
          <w:tcPr>
            <w:tcW w:w="6015" w:type="dxa"/>
          </w:tcPr>
          <w:p w14:paraId="2D29C52C" w14:textId="2B25E5FE" w:rsidR="002E0D61" w:rsidRPr="00DD2F9B" w:rsidRDefault="0005348D" w:rsidP="00DD2F9B">
            <w:pPr>
              <w:pStyle w:val="Tablefont"/>
            </w:pPr>
            <w:r>
              <w:t>Skin</w:t>
            </w:r>
          </w:p>
        </w:tc>
      </w:tr>
      <w:tr w:rsidR="002E0D61" w:rsidRPr="004C23F4" w14:paraId="6E858FE0" w14:textId="77777777" w:rsidTr="002E522B">
        <w:trPr>
          <w:cantSplit/>
        </w:trPr>
        <w:tc>
          <w:tcPr>
            <w:tcW w:w="3227" w:type="dxa"/>
          </w:tcPr>
          <w:p w14:paraId="1A4235B5" w14:textId="77777777" w:rsidR="004079B4" w:rsidRDefault="002E0D61" w:rsidP="00F4402E">
            <w:pPr>
              <w:pStyle w:val="Tablefont"/>
            </w:pPr>
            <w:r>
              <w:t>HCOTN</w:t>
            </w:r>
          </w:p>
        </w:tc>
        <w:tc>
          <w:tcPr>
            <w:tcW w:w="6015" w:type="dxa"/>
          </w:tcPr>
          <w:p w14:paraId="79132529" w14:textId="230F9D2D" w:rsidR="002E0D61" w:rsidRPr="00DD2F9B" w:rsidRDefault="0005348D" w:rsidP="00DD2F9B">
            <w:pPr>
              <w:pStyle w:val="Tablefont"/>
            </w:pPr>
            <w:r>
              <w:t>Skin</w:t>
            </w:r>
          </w:p>
        </w:tc>
      </w:tr>
      <w:tr w:rsidR="00386093" w:rsidRPr="004C23F4" w14:paraId="2CEC9122" w14:textId="77777777" w:rsidTr="002E522B">
        <w:trPr>
          <w:cantSplit/>
        </w:trPr>
        <w:tc>
          <w:tcPr>
            <w:tcW w:w="3227" w:type="dxa"/>
          </w:tcPr>
          <w:p w14:paraId="14ED797E" w14:textId="77777777" w:rsidR="004079B4" w:rsidRDefault="00386093" w:rsidP="00F4402E">
            <w:pPr>
              <w:pStyle w:val="Tablefont"/>
            </w:pPr>
            <w:r>
              <w:t>IARC</w:t>
            </w:r>
          </w:p>
        </w:tc>
        <w:tc>
          <w:tcPr>
            <w:tcW w:w="6015" w:type="dxa"/>
          </w:tcPr>
          <w:p w14:paraId="755A86A6" w14:textId="59B3E24C" w:rsidR="00386093" w:rsidRPr="00DD2F9B" w:rsidRDefault="0005348D" w:rsidP="00DD2F9B">
            <w:pPr>
              <w:pStyle w:val="Tablefont"/>
            </w:pPr>
            <w:r>
              <w:t>NA</w:t>
            </w:r>
          </w:p>
        </w:tc>
      </w:tr>
      <w:tr w:rsidR="00386093" w:rsidRPr="004C23F4" w14:paraId="63435F04" w14:textId="77777777" w:rsidTr="002E522B">
        <w:trPr>
          <w:cantSplit/>
        </w:trPr>
        <w:tc>
          <w:tcPr>
            <w:tcW w:w="3227" w:type="dxa"/>
          </w:tcPr>
          <w:p w14:paraId="0A887E87" w14:textId="77777777" w:rsidR="004079B4" w:rsidRDefault="00386093" w:rsidP="00F4402E">
            <w:pPr>
              <w:pStyle w:val="Tablefont"/>
              <w:keepNext/>
            </w:pPr>
            <w:r>
              <w:t>US NIOSH</w:t>
            </w:r>
          </w:p>
        </w:tc>
        <w:tc>
          <w:tcPr>
            <w:tcW w:w="6015" w:type="dxa"/>
          </w:tcPr>
          <w:p w14:paraId="316AA4DC" w14:textId="3F8F4691" w:rsidR="00386093" w:rsidRPr="00DD2F9B" w:rsidRDefault="0005348D" w:rsidP="00D87570">
            <w:pPr>
              <w:pStyle w:val="Tablefont"/>
              <w:keepNext/>
            </w:pPr>
            <w:r w:rsidRPr="0005348D">
              <w:t>SK:SYS</w:t>
            </w:r>
          </w:p>
        </w:tc>
      </w:tr>
    </w:tbl>
    <w:bookmarkEnd w:id="2"/>
    <w:p w14:paraId="2AA10727"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7E9C2FD1"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55A020D6" w14:textId="77777777" w:rsidTr="00EA6243">
        <w:trPr>
          <w:cantSplit/>
          <w:tblHeader/>
        </w:trPr>
        <w:tc>
          <w:tcPr>
            <w:tcW w:w="5000" w:type="pct"/>
            <w:shd w:val="clear" w:color="auto" w:fill="BFBFBF" w:themeFill="background1" w:themeFillShade="BF"/>
            <w:vAlign w:val="center"/>
          </w:tcPr>
          <w:p w14:paraId="48E35E29"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79A6AE2A" w14:textId="77777777" w:rsidTr="00EA6243">
        <w:trPr>
          <w:cantSplit/>
          <w:tblHeader/>
        </w:trPr>
        <w:tc>
          <w:tcPr>
            <w:tcW w:w="5000" w:type="pct"/>
            <w:vAlign w:val="center"/>
          </w:tcPr>
          <w:tbl>
            <w:tblPr>
              <w:tblW w:w="5000" w:type="pct"/>
              <w:tblLook w:val="04A0" w:firstRow="1" w:lastRow="0" w:firstColumn="1" w:lastColumn="0" w:noHBand="0" w:noVBand="1"/>
            </w:tblPr>
            <w:tblGrid>
              <w:gridCol w:w="1192"/>
              <w:gridCol w:w="350"/>
              <w:gridCol w:w="3530"/>
              <w:gridCol w:w="581"/>
              <w:gridCol w:w="581"/>
              <w:gridCol w:w="2576"/>
            </w:tblGrid>
            <w:tr w:rsidR="003C2712" w:rsidRPr="003C2712" w14:paraId="270E60E2" w14:textId="77777777" w:rsidTr="003C2712">
              <w:trPr>
                <w:trHeight w:val="240"/>
              </w:trPr>
              <w:tc>
                <w:tcPr>
                  <w:tcW w:w="707" w:type="pct"/>
                  <w:tcBorders>
                    <w:top w:val="nil"/>
                    <w:left w:val="nil"/>
                    <w:bottom w:val="nil"/>
                    <w:right w:val="nil"/>
                  </w:tcBorders>
                  <w:shd w:val="clear" w:color="000000" w:fill="C5D9F1"/>
                  <w:noWrap/>
                  <w:vAlign w:val="center"/>
                  <w:hideMark/>
                </w:tcPr>
                <w:p w14:paraId="6E0BB7C1" w14:textId="77777777" w:rsidR="003C2712" w:rsidRPr="003C2712" w:rsidRDefault="003C2712" w:rsidP="003C2712">
                  <w:pPr>
                    <w:spacing w:after="0" w:line="240" w:lineRule="auto"/>
                    <w:rPr>
                      <w:rFonts w:ascii="Segoe UI" w:eastAsia="Times New Roman" w:hAnsi="Segoe UI" w:cs="Segoe UI"/>
                      <w:b/>
                      <w:bCs/>
                      <w:color w:val="000000"/>
                      <w:sz w:val="18"/>
                      <w:szCs w:val="18"/>
                      <w:lang w:eastAsia="en-AU"/>
                    </w:rPr>
                  </w:pPr>
                  <w:r w:rsidRPr="003C2712">
                    <w:rPr>
                      <w:rFonts w:ascii="Segoe UI" w:eastAsia="Times New Roman" w:hAnsi="Segoe UI" w:cs="Segoe UI"/>
                      <w:b/>
                      <w:bCs/>
                      <w:color w:val="000000"/>
                      <w:sz w:val="18"/>
                      <w:szCs w:val="18"/>
                      <w:lang w:eastAsia="en-AU"/>
                    </w:rPr>
                    <w:t>Conclusion:</w:t>
                  </w:r>
                </w:p>
              </w:tc>
              <w:tc>
                <w:tcPr>
                  <w:tcW w:w="491" w:type="pct"/>
                  <w:tcBorders>
                    <w:top w:val="nil"/>
                    <w:left w:val="nil"/>
                    <w:bottom w:val="nil"/>
                    <w:right w:val="nil"/>
                  </w:tcBorders>
                  <w:shd w:val="clear" w:color="000000" w:fill="C5D9F1"/>
                  <w:noWrap/>
                  <w:vAlign w:val="center"/>
                  <w:hideMark/>
                </w:tcPr>
                <w:p w14:paraId="52954BF7"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44902F74"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6A793E1E" w14:textId="77777777" w:rsidR="003C2712" w:rsidRPr="003C2712" w:rsidRDefault="003C2712" w:rsidP="003C2712">
                  <w:pPr>
                    <w:spacing w:after="0" w:line="240" w:lineRule="auto"/>
                    <w:jc w:val="center"/>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485101F4"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174" w:type="pct"/>
                  <w:tcBorders>
                    <w:top w:val="nil"/>
                    <w:left w:val="nil"/>
                    <w:bottom w:val="nil"/>
                    <w:right w:val="nil"/>
                  </w:tcBorders>
                  <w:shd w:val="clear" w:color="000000" w:fill="C5D9F1"/>
                  <w:noWrap/>
                  <w:vAlign w:val="center"/>
                  <w:hideMark/>
                </w:tcPr>
                <w:p w14:paraId="66C4CD8C"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149C59FD" w14:textId="77777777" w:rsidTr="003C2712">
              <w:trPr>
                <w:trHeight w:val="342"/>
              </w:trPr>
              <w:tc>
                <w:tcPr>
                  <w:tcW w:w="707" w:type="pct"/>
                  <w:tcBorders>
                    <w:top w:val="nil"/>
                    <w:left w:val="nil"/>
                    <w:bottom w:val="nil"/>
                    <w:right w:val="nil"/>
                  </w:tcBorders>
                  <w:shd w:val="clear" w:color="000000" w:fill="C5D9F1"/>
                  <w:noWrap/>
                  <w:vAlign w:val="center"/>
                  <w:hideMark/>
                </w:tcPr>
                <w:p w14:paraId="6DA77C97" w14:textId="77777777" w:rsidR="003C2712" w:rsidRPr="003C2712" w:rsidRDefault="003C2712" w:rsidP="003C2712">
                  <w:pPr>
                    <w:spacing w:after="0" w:line="240" w:lineRule="auto"/>
                    <w:rPr>
                      <w:rFonts w:ascii="Segoe UI" w:eastAsia="Times New Roman" w:hAnsi="Segoe UI" w:cs="Segoe UI"/>
                      <w:b/>
                      <w:bCs/>
                      <w:color w:val="000000"/>
                      <w:sz w:val="18"/>
                      <w:szCs w:val="18"/>
                      <w:lang w:eastAsia="en-AU"/>
                    </w:rPr>
                  </w:pPr>
                  <w:r w:rsidRPr="003C2712">
                    <w:rPr>
                      <w:rFonts w:ascii="Segoe UI" w:eastAsia="Times New Roman" w:hAnsi="Segoe UI" w:cs="Segoe UI"/>
                      <w:b/>
                      <w:bCs/>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4D63996D"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0101CC15" w14:textId="77777777" w:rsidR="003C2712" w:rsidRPr="003C2712" w:rsidRDefault="003C2712" w:rsidP="003C2712">
                  <w:pPr>
                    <w:spacing w:after="0" w:line="240" w:lineRule="auto"/>
                    <w:jc w:val="right"/>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Adverse effects in human case study:</w:t>
                  </w:r>
                </w:p>
              </w:tc>
              <w:tc>
                <w:tcPr>
                  <w:tcW w:w="491" w:type="pct"/>
                  <w:tcBorders>
                    <w:top w:val="nil"/>
                    <w:left w:val="nil"/>
                    <w:bottom w:val="nil"/>
                    <w:right w:val="nil"/>
                  </w:tcBorders>
                  <w:shd w:val="clear" w:color="000000" w:fill="FFEB9C"/>
                  <w:noWrap/>
                  <w:vAlign w:val="center"/>
                  <w:hideMark/>
                </w:tcPr>
                <w:p w14:paraId="3CFF012B" w14:textId="77777777" w:rsidR="003C2712" w:rsidRPr="003C2712" w:rsidRDefault="003C2712" w:rsidP="003C2712">
                  <w:pPr>
                    <w:spacing w:after="0" w:line="240" w:lineRule="auto"/>
                    <w:jc w:val="center"/>
                    <w:rPr>
                      <w:rFonts w:ascii="Segoe UI" w:eastAsia="Times New Roman" w:hAnsi="Segoe UI" w:cs="Segoe UI"/>
                      <w:color w:val="9C6500"/>
                      <w:sz w:val="18"/>
                      <w:szCs w:val="18"/>
                      <w:lang w:eastAsia="en-AU"/>
                    </w:rPr>
                  </w:pPr>
                  <w:r w:rsidRPr="003C2712">
                    <w:rPr>
                      <w:rFonts w:ascii="Segoe UI" w:eastAsia="Times New Roman" w:hAnsi="Segoe UI" w:cs="Segoe UI"/>
                      <w:color w:val="9C6500"/>
                      <w:sz w:val="18"/>
                      <w:szCs w:val="18"/>
                      <w:lang w:eastAsia="en-AU"/>
                    </w:rPr>
                    <w:t>yes</w:t>
                  </w:r>
                </w:p>
              </w:tc>
              <w:tc>
                <w:tcPr>
                  <w:tcW w:w="491" w:type="pct"/>
                  <w:tcBorders>
                    <w:top w:val="nil"/>
                    <w:left w:val="nil"/>
                    <w:bottom w:val="nil"/>
                    <w:right w:val="nil"/>
                  </w:tcBorders>
                  <w:shd w:val="clear" w:color="000000" w:fill="C5D9F1"/>
                  <w:noWrap/>
                  <w:vAlign w:val="center"/>
                  <w:hideMark/>
                </w:tcPr>
                <w:p w14:paraId="1DDCA9AA" w14:textId="77777777" w:rsidR="003C2712" w:rsidRPr="003C2712" w:rsidRDefault="003C2712" w:rsidP="003C2712">
                  <w:pPr>
                    <w:spacing w:after="0" w:line="240" w:lineRule="auto"/>
                    <w:jc w:val="right"/>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4.00</w:t>
                  </w:r>
                </w:p>
              </w:tc>
              <w:tc>
                <w:tcPr>
                  <w:tcW w:w="1174" w:type="pct"/>
                  <w:tcBorders>
                    <w:top w:val="nil"/>
                    <w:left w:val="nil"/>
                    <w:bottom w:val="nil"/>
                    <w:right w:val="nil"/>
                  </w:tcBorders>
                  <w:shd w:val="clear" w:color="000000" w:fill="C5D9F1"/>
                  <w:noWrap/>
                  <w:vAlign w:val="center"/>
                  <w:hideMark/>
                </w:tcPr>
                <w:p w14:paraId="356591EF"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716E912E" w14:textId="77777777" w:rsidTr="003C2712">
              <w:trPr>
                <w:trHeight w:val="342"/>
              </w:trPr>
              <w:tc>
                <w:tcPr>
                  <w:tcW w:w="707" w:type="pct"/>
                  <w:tcBorders>
                    <w:top w:val="nil"/>
                    <w:left w:val="nil"/>
                    <w:bottom w:val="nil"/>
                    <w:right w:val="nil"/>
                  </w:tcBorders>
                  <w:shd w:val="clear" w:color="000000" w:fill="C5D9F1"/>
                  <w:noWrap/>
                  <w:vAlign w:val="center"/>
                  <w:hideMark/>
                </w:tcPr>
                <w:p w14:paraId="4D35026C"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05AAB5F7"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01137836" w14:textId="77777777" w:rsidR="003C2712" w:rsidRPr="003C2712" w:rsidRDefault="003C2712" w:rsidP="003C2712">
                  <w:pPr>
                    <w:spacing w:after="0" w:line="240" w:lineRule="auto"/>
                    <w:jc w:val="right"/>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Dermal LD</w:t>
                  </w:r>
                  <w:r w:rsidRPr="003C2712">
                    <w:rPr>
                      <w:rFonts w:ascii="Segoe UI" w:eastAsia="Times New Roman" w:hAnsi="Segoe UI" w:cs="Segoe UI"/>
                      <w:color w:val="000000"/>
                      <w:sz w:val="18"/>
                      <w:szCs w:val="18"/>
                      <w:vertAlign w:val="subscript"/>
                      <w:lang w:eastAsia="en-AU"/>
                    </w:rPr>
                    <w:t>50</w:t>
                  </w:r>
                  <w:r w:rsidRPr="003C2712">
                    <w:rPr>
                      <w:rFonts w:ascii="Segoe UI" w:eastAsia="Times New Roman" w:hAnsi="Segoe UI" w:cs="Segoe UI"/>
                      <w:color w:val="000000"/>
                      <w:sz w:val="18"/>
                      <w:szCs w:val="18"/>
                      <w:lang w:eastAsia="en-AU"/>
                    </w:rPr>
                    <w:t xml:space="preserve"> ≤1000 mg/kg:</w:t>
                  </w:r>
                </w:p>
              </w:tc>
              <w:tc>
                <w:tcPr>
                  <w:tcW w:w="491" w:type="pct"/>
                  <w:tcBorders>
                    <w:top w:val="nil"/>
                    <w:left w:val="nil"/>
                    <w:bottom w:val="nil"/>
                    <w:right w:val="nil"/>
                  </w:tcBorders>
                  <w:shd w:val="clear" w:color="000000" w:fill="FFEB9C"/>
                  <w:noWrap/>
                  <w:vAlign w:val="center"/>
                  <w:hideMark/>
                </w:tcPr>
                <w:p w14:paraId="62F75AED" w14:textId="77777777" w:rsidR="003C2712" w:rsidRPr="003C2712" w:rsidRDefault="003C2712" w:rsidP="003C2712">
                  <w:pPr>
                    <w:spacing w:after="0" w:line="240" w:lineRule="auto"/>
                    <w:jc w:val="center"/>
                    <w:rPr>
                      <w:rFonts w:ascii="Segoe UI" w:eastAsia="Times New Roman" w:hAnsi="Segoe UI" w:cs="Segoe UI"/>
                      <w:color w:val="9C6500"/>
                      <w:sz w:val="18"/>
                      <w:szCs w:val="18"/>
                      <w:lang w:eastAsia="en-AU"/>
                    </w:rPr>
                  </w:pPr>
                  <w:r w:rsidRPr="003C2712">
                    <w:rPr>
                      <w:rFonts w:ascii="Segoe UI" w:eastAsia="Times New Roman" w:hAnsi="Segoe UI" w:cs="Segoe UI"/>
                      <w:color w:val="9C6500"/>
                      <w:sz w:val="18"/>
                      <w:szCs w:val="18"/>
                      <w:lang w:eastAsia="en-AU"/>
                    </w:rPr>
                    <w:t>yes</w:t>
                  </w:r>
                </w:p>
              </w:tc>
              <w:tc>
                <w:tcPr>
                  <w:tcW w:w="491" w:type="pct"/>
                  <w:tcBorders>
                    <w:top w:val="nil"/>
                    <w:left w:val="nil"/>
                    <w:bottom w:val="nil"/>
                    <w:right w:val="nil"/>
                  </w:tcBorders>
                  <w:shd w:val="clear" w:color="000000" w:fill="C5D9F1"/>
                  <w:noWrap/>
                  <w:vAlign w:val="center"/>
                  <w:hideMark/>
                </w:tcPr>
                <w:p w14:paraId="46680F7D" w14:textId="77777777" w:rsidR="003C2712" w:rsidRPr="003C2712" w:rsidRDefault="003C2712" w:rsidP="003C2712">
                  <w:pPr>
                    <w:spacing w:after="0" w:line="240" w:lineRule="auto"/>
                    <w:jc w:val="right"/>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3.00</w:t>
                  </w:r>
                </w:p>
              </w:tc>
              <w:tc>
                <w:tcPr>
                  <w:tcW w:w="1174" w:type="pct"/>
                  <w:tcBorders>
                    <w:top w:val="nil"/>
                    <w:left w:val="nil"/>
                    <w:bottom w:val="nil"/>
                    <w:right w:val="nil"/>
                  </w:tcBorders>
                  <w:shd w:val="clear" w:color="000000" w:fill="C5D9F1"/>
                  <w:noWrap/>
                  <w:vAlign w:val="center"/>
                  <w:hideMark/>
                </w:tcPr>
                <w:p w14:paraId="2127081A"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6EA1533A" w14:textId="77777777" w:rsidTr="003C2712">
              <w:trPr>
                <w:trHeight w:val="342"/>
              </w:trPr>
              <w:tc>
                <w:tcPr>
                  <w:tcW w:w="707" w:type="pct"/>
                  <w:tcBorders>
                    <w:top w:val="nil"/>
                    <w:left w:val="nil"/>
                    <w:bottom w:val="nil"/>
                    <w:right w:val="nil"/>
                  </w:tcBorders>
                  <w:shd w:val="clear" w:color="000000" w:fill="C5D9F1"/>
                  <w:noWrap/>
                  <w:vAlign w:val="center"/>
                  <w:hideMark/>
                </w:tcPr>
                <w:p w14:paraId="39C47358"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4089C485"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0044FC16" w14:textId="77777777" w:rsidR="003C2712" w:rsidRPr="003C2712" w:rsidRDefault="003C2712" w:rsidP="003C2712">
                  <w:pPr>
                    <w:spacing w:after="0" w:line="240" w:lineRule="auto"/>
                    <w:jc w:val="right"/>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Dermal repeat-dose NOAEL ≤200 mg/kg:</w:t>
                  </w:r>
                </w:p>
              </w:tc>
              <w:tc>
                <w:tcPr>
                  <w:tcW w:w="491" w:type="pct"/>
                  <w:tcBorders>
                    <w:top w:val="nil"/>
                    <w:left w:val="nil"/>
                    <w:bottom w:val="nil"/>
                    <w:right w:val="nil"/>
                  </w:tcBorders>
                  <w:shd w:val="clear" w:color="000000" w:fill="C5D9F1"/>
                  <w:noWrap/>
                  <w:vAlign w:val="center"/>
                  <w:hideMark/>
                </w:tcPr>
                <w:p w14:paraId="71877C54" w14:textId="77777777" w:rsidR="003C2712" w:rsidRPr="003C2712" w:rsidRDefault="003C2712" w:rsidP="003C2712">
                  <w:pPr>
                    <w:spacing w:after="0" w:line="240" w:lineRule="auto"/>
                    <w:jc w:val="center"/>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75B9A663" w14:textId="77777777" w:rsidR="003C2712" w:rsidRPr="003C2712" w:rsidRDefault="003C2712" w:rsidP="003C2712">
                  <w:pPr>
                    <w:spacing w:after="0" w:line="240" w:lineRule="auto"/>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 </w:t>
                  </w:r>
                </w:p>
              </w:tc>
              <w:tc>
                <w:tcPr>
                  <w:tcW w:w="1174" w:type="pct"/>
                  <w:tcBorders>
                    <w:top w:val="nil"/>
                    <w:left w:val="nil"/>
                    <w:bottom w:val="nil"/>
                    <w:right w:val="nil"/>
                  </w:tcBorders>
                  <w:shd w:val="clear" w:color="000000" w:fill="C5D9F1"/>
                  <w:noWrap/>
                  <w:vAlign w:val="center"/>
                  <w:hideMark/>
                </w:tcPr>
                <w:p w14:paraId="6E312690"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139134FC" w14:textId="77777777" w:rsidTr="003C2712">
              <w:trPr>
                <w:trHeight w:val="342"/>
              </w:trPr>
              <w:tc>
                <w:tcPr>
                  <w:tcW w:w="707" w:type="pct"/>
                  <w:tcBorders>
                    <w:top w:val="nil"/>
                    <w:left w:val="nil"/>
                    <w:bottom w:val="nil"/>
                    <w:right w:val="nil"/>
                  </w:tcBorders>
                  <w:shd w:val="clear" w:color="000000" w:fill="C5D9F1"/>
                  <w:noWrap/>
                  <w:vAlign w:val="center"/>
                  <w:hideMark/>
                </w:tcPr>
                <w:p w14:paraId="3E02CE15"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0CA8D8C5"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4490A893" w14:textId="77777777" w:rsidR="003C2712" w:rsidRPr="003C2712" w:rsidRDefault="003C2712" w:rsidP="003C2712">
                  <w:pPr>
                    <w:spacing w:after="0" w:line="240" w:lineRule="auto"/>
                    <w:jc w:val="right"/>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Dermal LD</w:t>
                  </w:r>
                  <w:r w:rsidRPr="003C2712">
                    <w:rPr>
                      <w:rFonts w:ascii="Segoe UI" w:eastAsia="Times New Roman" w:hAnsi="Segoe UI" w:cs="Segoe UI"/>
                      <w:color w:val="000000"/>
                      <w:sz w:val="18"/>
                      <w:szCs w:val="18"/>
                      <w:vertAlign w:val="subscript"/>
                      <w:lang w:eastAsia="en-AU"/>
                    </w:rPr>
                    <w:t>50</w:t>
                  </w:r>
                  <w:r w:rsidRPr="003C2712">
                    <w:rPr>
                      <w:rFonts w:ascii="Segoe UI" w:eastAsia="Times New Roman" w:hAnsi="Segoe UI" w:cs="Segoe UI"/>
                      <w:color w:val="000000"/>
                      <w:sz w:val="18"/>
                      <w:szCs w:val="18"/>
                      <w:lang w:eastAsia="en-AU"/>
                    </w:rPr>
                    <w:t>/Inhalation LD</w:t>
                  </w:r>
                  <w:r w:rsidRPr="003C2712">
                    <w:rPr>
                      <w:rFonts w:ascii="Segoe UI" w:eastAsia="Times New Roman" w:hAnsi="Segoe UI" w:cs="Segoe UI"/>
                      <w:color w:val="000000"/>
                      <w:sz w:val="18"/>
                      <w:szCs w:val="18"/>
                      <w:vertAlign w:val="subscript"/>
                      <w:lang w:eastAsia="en-AU"/>
                    </w:rPr>
                    <w:t>50</w:t>
                  </w:r>
                  <w:r w:rsidRPr="003C2712">
                    <w:rPr>
                      <w:rFonts w:ascii="Segoe UI" w:eastAsia="Times New Roman" w:hAnsi="Segoe UI" w:cs="Segoe UI"/>
                      <w:color w:val="000000"/>
                      <w:sz w:val="18"/>
                      <w:szCs w:val="18"/>
                      <w:lang w:eastAsia="en-AU"/>
                    </w:rPr>
                    <w:t xml:space="preserve"> &lt;10:</w:t>
                  </w:r>
                </w:p>
              </w:tc>
              <w:tc>
                <w:tcPr>
                  <w:tcW w:w="491" w:type="pct"/>
                  <w:tcBorders>
                    <w:top w:val="nil"/>
                    <w:left w:val="nil"/>
                    <w:bottom w:val="nil"/>
                    <w:right w:val="nil"/>
                  </w:tcBorders>
                  <w:shd w:val="clear" w:color="000000" w:fill="FFEB9C"/>
                  <w:noWrap/>
                  <w:vAlign w:val="center"/>
                  <w:hideMark/>
                </w:tcPr>
                <w:p w14:paraId="7C9FF347" w14:textId="77777777" w:rsidR="003C2712" w:rsidRPr="003C2712" w:rsidRDefault="003C2712" w:rsidP="003C2712">
                  <w:pPr>
                    <w:spacing w:after="0" w:line="240" w:lineRule="auto"/>
                    <w:jc w:val="center"/>
                    <w:rPr>
                      <w:rFonts w:ascii="Segoe UI" w:eastAsia="Times New Roman" w:hAnsi="Segoe UI" w:cs="Segoe UI"/>
                      <w:color w:val="9C6500"/>
                      <w:sz w:val="18"/>
                      <w:szCs w:val="18"/>
                      <w:lang w:eastAsia="en-AU"/>
                    </w:rPr>
                  </w:pPr>
                  <w:r w:rsidRPr="003C2712">
                    <w:rPr>
                      <w:rFonts w:ascii="Segoe UI" w:eastAsia="Times New Roman" w:hAnsi="Segoe UI" w:cs="Segoe UI"/>
                      <w:color w:val="9C6500"/>
                      <w:sz w:val="18"/>
                      <w:szCs w:val="18"/>
                      <w:lang w:eastAsia="en-AU"/>
                    </w:rPr>
                    <w:t>yes</w:t>
                  </w:r>
                </w:p>
              </w:tc>
              <w:tc>
                <w:tcPr>
                  <w:tcW w:w="491" w:type="pct"/>
                  <w:tcBorders>
                    <w:top w:val="nil"/>
                    <w:left w:val="nil"/>
                    <w:bottom w:val="nil"/>
                    <w:right w:val="nil"/>
                  </w:tcBorders>
                  <w:shd w:val="clear" w:color="000000" w:fill="C5D9F1"/>
                  <w:noWrap/>
                  <w:vAlign w:val="center"/>
                  <w:hideMark/>
                </w:tcPr>
                <w:p w14:paraId="1F44EFDE" w14:textId="77777777" w:rsidR="003C2712" w:rsidRPr="003C2712" w:rsidRDefault="003C2712" w:rsidP="003C2712">
                  <w:pPr>
                    <w:spacing w:after="0" w:line="240" w:lineRule="auto"/>
                    <w:jc w:val="right"/>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3.00</w:t>
                  </w:r>
                </w:p>
              </w:tc>
              <w:tc>
                <w:tcPr>
                  <w:tcW w:w="1174" w:type="pct"/>
                  <w:tcBorders>
                    <w:top w:val="nil"/>
                    <w:left w:val="nil"/>
                    <w:bottom w:val="nil"/>
                    <w:right w:val="nil"/>
                  </w:tcBorders>
                  <w:shd w:val="clear" w:color="000000" w:fill="C5D9F1"/>
                  <w:noWrap/>
                  <w:vAlign w:val="center"/>
                  <w:hideMark/>
                </w:tcPr>
                <w:p w14:paraId="32B2E1E7"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18506618" w14:textId="77777777" w:rsidTr="003C2712">
              <w:trPr>
                <w:trHeight w:val="342"/>
              </w:trPr>
              <w:tc>
                <w:tcPr>
                  <w:tcW w:w="707" w:type="pct"/>
                  <w:tcBorders>
                    <w:top w:val="nil"/>
                    <w:left w:val="nil"/>
                    <w:bottom w:val="nil"/>
                    <w:right w:val="nil"/>
                  </w:tcBorders>
                  <w:shd w:val="clear" w:color="000000" w:fill="C5D9F1"/>
                  <w:noWrap/>
                  <w:vAlign w:val="center"/>
                  <w:hideMark/>
                </w:tcPr>
                <w:p w14:paraId="44AA67C3"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585B70DD"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4705C3FF" w14:textId="77777777" w:rsidR="003C2712" w:rsidRPr="003C2712" w:rsidRDefault="003C2712" w:rsidP="003C2712">
                  <w:pPr>
                    <w:spacing w:after="0" w:line="240" w:lineRule="auto"/>
                    <w:jc w:val="right"/>
                    <w:rPr>
                      <w:rFonts w:ascii="Segoe UI" w:eastAsia="Times New Roman" w:hAnsi="Segoe UI" w:cs="Segoe UI"/>
                      <w:i/>
                      <w:iCs/>
                      <w:color w:val="000000"/>
                      <w:sz w:val="18"/>
                      <w:szCs w:val="18"/>
                      <w:lang w:eastAsia="en-AU"/>
                    </w:rPr>
                  </w:pPr>
                  <w:r w:rsidRPr="003C2712">
                    <w:rPr>
                      <w:rFonts w:ascii="Segoe UI" w:eastAsia="Times New Roman" w:hAnsi="Segoe UI" w:cs="Segoe UI"/>
                      <w:i/>
                      <w:iCs/>
                      <w:color w:val="000000"/>
                      <w:sz w:val="18"/>
                      <w:szCs w:val="18"/>
                      <w:lang w:eastAsia="en-AU"/>
                    </w:rPr>
                    <w:t>In vivo</w:t>
                  </w:r>
                  <w:r w:rsidRPr="003C2712">
                    <w:rPr>
                      <w:rFonts w:ascii="Segoe UI" w:eastAsia="Times New Roman" w:hAnsi="Segoe UI" w:cs="Segoe UI"/>
                      <w:color w:val="000000"/>
                      <w:sz w:val="18"/>
                      <w:szCs w:val="18"/>
                      <w:lang w:eastAsia="en-AU"/>
                    </w:rPr>
                    <w:t xml:space="preserve"> dermal absorption rate &gt;10%:</w:t>
                  </w:r>
                </w:p>
              </w:tc>
              <w:tc>
                <w:tcPr>
                  <w:tcW w:w="491" w:type="pct"/>
                  <w:tcBorders>
                    <w:top w:val="nil"/>
                    <w:left w:val="nil"/>
                    <w:bottom w:val="nil"/>
                    <w:right w:val="nil"/>
                  </w:tcBorders>
                  <w:shd w:val="clear" w:color="000000" w:fill="FFEB9C"/>
                  <w:noWrap/>
                  <w:vAlign w:val="center"/>
                  <w:hideMark/>
                </w:tcPr>
                <w:p w14:paraId="433CF530" w14:textId="77777777" w:rsidR="003C2712" w:rsidRPr="003C2712" w:rsidRDefault="003C2712" w:rsidP="003C2712">
                  <w:pPr>
                    <w:spacing w:after="0" w:line="240" w:lineRule="auto"/>
                    <w:jc w:val="center"/>
                    <w:rPr>
                      <w:rFonts w:ascii="Segoe UI" w:eastAsia="Times New Roman" w:hAnsi="Segoe UI" w:cs="Segoe UI"/>
                      <w:color w:val="9C6500"/>
                      <w:sz w:val="18"/>
                      <w:szCs w:val="18"/>
                      <w:lang w:eastAsia="en-AU"/>
                    </w:rPr>
                  </w:pPr>
                  <w:r w:rsidRPr="003C2712">
                    <w:rPr>
                      <w:rFonts w:ascii="Segoe UI" w:eastAsia="Times New Roman" w:hAnsi="Segoe UI" w:cs="Segoe UI"/>
                      <w:color w:val="9C6500"/>
                      <w:sz w:val="18"/>
                      <w:szCs w:val="18"/>
                      <w:lang w:eastAsia="en-AU"/>
                    </w:rPr>
                    <w:t>yes</w:t>
                  </w:r>
                </w:p>
              </w:tc>
              <w:tc>
                <w:tcPr>
                  <w:tcW w:w="491" w:type="pct"/>
                  <w:tcBorders>
                    <w:top w:val="nil"/>
                    <w:left w:val="nil"/>
                    <w:bottom w:val="nil"/>
                    <w:right w:val="nil"/>
                  </w:tcBorders>
                  <w:shd w:val="clear" w:color="000000" w:fill="C5D9F1"/>
                  <w:noWrap/>
                  <w:vAlign w:val="center"/>
                  <w:hideMark/>
                </w:tcPr>
                <w:p w14:paraId="14970D54" w14:textId="77777777" w:rsidR="003C2712" w:rsidRPr="003C2712" w:rsidRDefault="003C2712" w:rsidP="003C2712">
                  <w:pPr>
                    <w:spacing w:after="0" w:line="240" w:lineRule="auto"/>
                    <w:jc w:val="right"/>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3.00</w:t>
                  </w:r>
                </w:p>
              </w:tc>
              <w:tc>
                <w:tcPr>
                  <w:tcW w:w="1174" w:type="pct"/>
                  <w:tcBorders>
                    <w:top w:val="nil"/>
                    <w:left w:val="nil"/>
                    <w:bottom w:val="nil"/>
                    <w:right w:val="nil"/>
                  </w:tcBorders>
                  <w:shd w:val="clear" w:color="000000" w:fill="C5D9F1"/>
                  <w:noWrap/>
                  <w:vAlign w:val="center"/>
                  <w:hideMark/>
                </w:tcPr>
                <w:p w14:paraId="01E70FA9"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3F1DE647" w14:textId="77777777" w:rsidTr="003C2712">
              <w:trPr>
                <w:trHeight w:val="342"/>
              </w:trPr>
              <w:tc>
                <w:tcPr>
                  <w:tcW w:w="707" w:type="pct"/>
                  <w:tcBorders>
                    <w:top w:val="nil"/>
                    <w:left w:val="nil"/>
                    <w:bottom w:val="nil"/>
                    <w:right w:val="nil"/>
                  </w:tcBorders>
                  <w:shd w:val="clear" w:color="000000" w:fill="C5D9F1"/>
                  <w:noWrap/>
                  <w:vAlign w:val="center"/>
                  <w:hideMark/>
                </w:tcPr>
                <w:p w14:paraId="5F6953D4"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66C1C3D4"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328297B9" w14:textId="77777777" w:rsidR="003C2712" w:rsidRPr="003C2712" w:rsidRDefault="003C2712" w:rsidP="003C2712">
                  <w:pPr>
                    <w:spacing w:after="0" w:line="240" w:lineRule="auto"/>
                    <w:jc w:val="right"/>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Estimated dermal exposure at WES &gt;10%:</w:t>
                  </w:r>
                </w:p>
              </w:tc>
              <w:tc>
                <w:tcPr>
                  <w:tcW w:w="491" w:type="pct"/>
                  <w:tcBorders>
                    <w:top w:val="nil"/>
                    <w:left w:val="nil"/>
                    <w:bottom w:val="nil"/>
                    <w:right w:val="nil"/>
                  </w:tcBorders>
                  <w:shd w:val="clear" w:color="000000" w:fill="FFEB9C"/>
                  <w:noWrap/>
                  <w:vAlign w:val="center"/>
                  <w:hideMark/>
                </w:tcPr>
                <w:p w14:paraId="570369C6" w14:textId="77777777" w:rsidR="003C2712" w:rsidRPr="003C2712" w:rsidRDefault="003C2712" w:rsidP="003C2712">
                  <w:pPr>
                    <w:spacing w:after="0" w:line="240" w:lineRule="auto"/>
                    <w:jc w:val="center"/>
                    <w:rPr>
                      <w:rFonts w:ascii="Segoe UI" w:eastAsia="Times New Roman" w:hAnsi="Segoe UI" w:cs="Segoe UI"/>
                      <w:color w:val="9C6500"/>
                      <w:sz w:val="18"/>
                      <w:szCs w:val="18"/>
                      <w:lang w:eastAsia="en-AU"/>
                    </w:rPr>
                  </w:pPr>
                  <w:r w:rsidRPr="003C2712">
                    <w:rPr>
                      <w:rFonts w:ascii="Segoe UI" w:eastAsia="Times New Roman" w:hAnsi="Segoe UI" w:cs="Segoe UI"/>
                      <w:color w:val="9C6500"/>
                      <w:sz w:val="18"/>
                      <w:szCs w:val="18"/>
                      <w:lang w:eastAsia="en-AU"/>
                    </w:rPr>
                    <w:t>yes</w:t>
                  </w:r>
                </w:p>
              </w:tc>
              <w:tc>
                <w:tcPr>
                  <w:tcW w:w="491" w:type="pct"/>
                  <w:tcBorders>
                    <w:top w:val="nil"/>
                    <w:left w:val="nil"/>
                    <w:bottom w:val="nil"/>
                    <w:right w:val="nil"/>
                  </w:tcBorders>
                  <w:shd w:val="clear" w:color="000000" w:fill="C5D9F1"/>
                  <w:noWrap/>
                  <w:vAlign w:val="center"/>
                  <w:hideMark/>
                </w:tcPr>
                <w:p w14:paraId="38FDBB67" w14:textId="77777777" w:rsidR="003C2712" w:rsidRPr="003C2712" w:rsidRDefault="003C2712" w:rsidP="003C2712">
                  <w:pPr>
                    <w:spacing w:after="0" w:line="240" w:lineRule="auto"/>
                    <w:jc w:val="right"/>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2.00</w:t>
                  </w:r>
                </w:p>
              </w:tc>
              <w:tc>
                <w:tcPr>
                  <w:tcW w:w="1174" w:type="pct"/>
                  <w:tcBorders>
                    <w:top w:val="nil"/>
                    <w:left w:val="nil"/>
                    <w:bottom w:val="nil"/>
                    <w:right w:val="nil"/>
                  </w:tcBorders>
                  <w:shd w:val="clear" w:color="000000" w:fill="C5D9F1"/>
                  <w:noWrap/>
                  <w:vAlign w:val="center"/>
                  <w:hideMark/>
                </w:tcPr>
                <w:p w14:paraId="790B3C86"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r>
            <w:tr w:rsidR="003C2712" w:rsidRPr="003C2712" w14:paraId="07886F4E" w14:textId="77777777" w:rsidTr="003C2712">
              <w:trPr>
                <w:trHeight w:val="342"/>
              </w:trPr>
              <w:tc>
                <w:tcPr>
                  <w:tcW w:w="707" w:type="pct"/>
                  <w:tcBorders>
                    <w:top w:val="nil"/>
                    <w:left w:val="nil"/>
                    <w:bottom w:val="nil"/>
                    <w:right w:val="nil"/>
                  </w:tcBorders>
                  <w:shd w:val="clear" w:color="000000" w:fill="C5D9F1"/>
                  <w:noWrap/>
                  <w:vAlign w:val="center"/>
                  <w:hideMark/>
                </w:tcPr>
                <w:p w14:paraId="79180689"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29BFA052" w14:textId="77777777" w:rsidR="003C2712" w:rsidRPr="003C2712" w:rsidRDefault="003C2712" w:rsidP="003C2712">
                  <w:pPr>
                    <w:spacing w:after="0" w:line="240" w:lineRule="auto"/>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1646" w:type="pct"/>
                  <w:tcBorders>
                    <w:top w:val="nil"/>
                    <w:left w:val="nil"/>
                    <w:bottom w:val="nil"/>
                    <w:right w:val="nil"/>
                  </w:tcBorders>
                  <w:shd w:val="clear" w:color="000000" w:fill="C5D9F1"/>
                  <w:noWrap/>
                  <w:vAlign w:val="center"/>
                  <w:hideMark/>
                </w:tcPr>
                <w:p w14:paraId="377628A8" w14:textId="77777777" w:rsidR="003C2712" w:rsidRPr="003C2712" w:rsidRDefault="003C2712" w:rsidP="003C2712">
                  <w:pPr>
                    <w:spacing w:after="0" w:line="240" w:lineRule="auto"/>
                    <w:jc w:val="right"/>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4B0277B8" w14:textId="77777777" w:rsidR="003C2712" w:rsidRPr="003C2712" w:rsidRDefault="003C2712" w:rsidP="003C2712">
                  <w:pPr>
                    <w:spacing w:after="0" w:line="240" w:lineRule="auto"/>
                    <w:jc w:val="center"/>
                    <w:rPr>
                      <w:rFonts w:ascii="Segoe UI" w:eastAsia="Times New Roman" w:hAnsi="Segoe UI" w:cs="Segoe UI"/>
                      <w:color w:val="000000"/>
                      <w:sz w:val="18"/>
                      <w:szCs w:val="18"/>
                      <w:lang w:eastAsia="en-AU"/>
                    </w:rPr>
                  </w:pPr>
                  <w:r w:rsidRPr="003C2712">
                    <w:rPr>
                      <w:rFonts w:ascii="Segoe UI" w:eastAsia="Times New Roman" w:hAnsi="Segoe UI" w:cs="Segoe UI"/>
                      <w:color w:val="000000"/>
                      <w:sz w:val="18"/>
                      <w:szCs w:val="18"/>
                      <w:lang w:eastAsia="en-AU"/>
                    </w:rPr>
                    <w:t> </w:t>
                  </w:r>
                </w:p>
              </w:tc>
              <w:tc>
                <w:tcPr>
                  <w:tcW w:w="491" w:type="pct"/>
                  <w:tcBorders>
                    <w:top w:val="nil"/>
                    <w:left w:val="nil"/>
                    <w:bottom w:val="nil"/>
                    <w:right w:val="nil"/>
                  </w:tcBorders>
                  <w:shd w:val="clear" w:color="000000" w:fill="C5D9F1"/>
                  <w:noWrap/>
                  <w:vAlign w:val="center"/>
                  <w:hideMark/>
                </w:tcPr>
                <w:p w14:paraId="38B79AA5" w14:textId="77777777" w:rsidR="003C2712" w:rsidRPr="003C2712" w:rsidRDefault="003C2712" w:rsidP="003C2712">
                  <w:pPr>
                    <w:spacing w:after="0" w:line="240" w:lineRule="auto"/>
                    <w:jc w:val="right"/>
                    <w:rPr>
                      <w:rFonts w:ascii="Segoe UI" w:eastAsia="Times New Roman" w:hAnsi="Segoe UI" w:cs="Segoe UI"/>
                      <w:color w:val="C5D9F1"/>
                      <w:sz w:val="18"/>
                      <w:szCs w:val="18"/>
                      <w:lang w:eastAsia="en-AU"/>
                    </w:rPr>
                  </w:pPr>
                  <w:r w:rsidRPr="003C2712">
                    <w:rPr>
                      <w:rFonts w:ascii="Segoe UI" w:eastAsia="Times New Roman" w:hAnsi="Segoe UI" w:cs="Segoe UI"/>
                      <w:color w:val="C5D9F1"/>
                      <w:sz w:val="18"/>
                      <w:szCs w:val="18"/>
                      <w:lang w:eastAsia="en-AU"/>
                    </w:rPr>
                    <w:t>2.75</w:t>
                  </w:r>
                </w:p>
              </w:tc>
              <w:tc>
                <w:tcPr>
                  <w:tcW w:w="1174" w:type="pct"/>
                  <w:tcBorders>
                    <w:top w:val="nil"/>
                    <w:left w:val="nil"/>
                    <w:bottom w:val="nil"/>
                    <w:right w:val="nil"/>
                  </w:tcBorders>
                  <w:shd w:val="clear" w:color="000000" w:fill="C5D9F1"/>
                  <w:noWrap/>
                  <w:vAlign w:val="center"/>
                  <w:hideMark/>
                </w:tcPr>
                <w:p w14:paraId="76B48CBF" w14:textId="77777777" w:rsidR="003C2712" w:rsidRPr="003C2712" w:rsidRDefault="003C2712" w:rsidP="003C2712">
                  <w:pPr>
                    <w:spacing w:after="0" w:line="240" w:lineRule="auto"/>
                    <w:rPr>
                      <w:rFonts w:ascii="Segoe UI" w:eastAsia="Times New Roman" w:hAnsi="Segoe UI" w:cs="Segoe UI"/>
                      <w:b/>
                      <w:bCs/>
                      <w:color w:val="000000"/>
                      <w:sz w:val="18"/>
                      <w:szCs w:val="18"/>
                      <w:lang w:eastAsia="en-AU"/>
                    </w:rPr>
                  </w:pPr>
                  <w:r w:rsidRPr="003C2712">
                    <w:rPr>
                      <w:rFonts w:ascii="Segoe UI" w:eastAsia="Times New Roman" w:hAnsi="Segoe UI" w:cs="Segoe UI"/>
                      <w:b/>
                      <w:bCs/>
                      <w:color w:val="000000"/>
                      <w:sz w:val="18"/>
                      <w:szCs w:val="18"/>
                      <w:lang w:eastAsia="en-AU"/>
                    </w:rPr>
                    <w:t>a skin notation is warranted</w:t>
                  </w:r>
                </w:p>
              </w:tc>
            </w:tr>
          </w:tbl>
          <w:p w14:paraId="7B1898B1" w14:textId="77777777" w:rsidR="00932DCE" w:rsidRPr="004C23F4" w:rsidRDefault="00932DCE" w:rsidP="00F9496B">
            <w:pPr>
              <w:pStyle w:val="Tablefont"/>
            </w:pPr>
          </w:p>
        </w:tc>
      </w:tr>
    </w:tbl>
    <w:bookmarkEnd w:id="4"/>
    <w:p w14:paraId="0A7488CF"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7D5710AA" w14:textId="77777777" w:rsidTr="00610F2E">
        <w:trPr>
          <w:trHeight w:val="454"/>
          <w:tblHeader/>
        </w:trPr>
        <w:tc>
          <w:tcPr>
            <w:tcW w:w="4361" w:type="dxa"/>
            <w:vAlign w:val="center"/>
          </w:tcPr>
          <w:p w14:paraId="33B110F1"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2AE3B9AE" w14:textId="70C3B5FD" w:rsidR="00EB3D1B" w:rsidRDefault="0005348D" w:rsidP="00EB3D1B">
                <w:pPr>
                  <w:pStyle w:val="Tablefont"/>
                </w:pPr>
                <w:r>
                  <w:t>Yes</w:t>
                </w:r>
              </w:p>
            </w:tc>
          </w:sdtContent>
        </w:sdt>
      </w:tr>
    </w:tbl>
    <w:p w14:paraId="10273C67"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5E13FC7C" w14:textId="77777777" w:rsidTr="00EA6243">
        <w:trPr>
          <w:cantSplit/>
          <w:tblHeader/>
        </w:trPr>
        <w:tc>
          <w:tcPr>
            <w:tcW w:w="4077" w:type="dxa"/>
            <w:vAlign w:val="center"/>
          </w:tcPr>
          <w:p w14:paraId="4C44EB99"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0B0F1E8F" w14:textId="019A94AE" w:rsidR="001B79E5" w:rsidRDefault="0005348D" w:rsidP="001B79E5">
                <w:pPr>
                  <w:pStyle w:val="Tablefont"/>
                </w:pPr>
                <w:r w:rsidRPr="0005348D">
                  <w:t>76.09</w:t>
                </w:r>
              </w:p>
            </w:tc>
          </w:sdtContent>
        </w:sdt>
      </w:tr>
      <w:tr w:rsidR="00A31D99" w:rsidRPr="004C23F4" w14:paraId="2BAFCB20" w14:textId="77777777" w:rsidTr="00EA6243">
        <w:trPr>
          <w:cantSplit/>
          <w:tblHeader/>
        </w:trPr>
        <w:tc>
          <w:tcPr>
            <w:tcW w:w="4077" w:type="dxa"/>
            <w:vAlign w:val="center"/>
          </w:tcPr>
          <w:p w14:paraId="3FCA0527"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4434766B" w14:textId="075B5E9C" w:rsidR="00A31D99" w:rsidRDefault="00A0643F" w:rsidP="00A174CC">
            <w:pPr>
              <w:pStyle w:val="Tablefont"/>
            </w:pPr>
            <w:r>
              <w:t xml:space="preserve">1 ppm = </w:t>
            </w:r>
            <w:sdt>
              <w:sdtPr>
                <w:id w:val="-371151491"/>
                <w:placeholder>
                  <w:docPart w:val="A7231FB73EFF4B2B92EB3BD21C0CEA01"/>
                </w:placeholder>
              </w:sdtPr>
              <w:sdtEndPr/>
              <w:sdtContent>
                <w:r w:rsidR="0005348D">
                  <w:t>3.11</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05348D">
                  <w:t>0.322</w:t>
                </w:r>
              </w:sdtContent>
            </w:sdt>
            <w:r>
              <w:t xml:space="preserve"> ppm</w:t>
            </w:r>
          </w:p>
        </w:tc>
      </w:tr>
      <w:tr w:rsidR="00687890" w:rsidRPr="004C23F4" w14:paraId="279BBB57" w14:textId="77777777" w:rsidTr="00EA6243">
        <w:trPr>
          <w:cantSplit/>
          <w:tblHeader/>
        </w:trPr>
        <w:tc>
          <w:tcPr>
            <w:tcW w:w="4077" w:type="dxa"/>
            <w:vAlign w:val="center"/>
          </w:tcPr>
          <w:p w14:paraId="121065D1"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1A1EB894" w14:textId="40BA91F1" w:rsidR="00687890" w:rsidRPr="004C23F4" w:rsidRDefault="003C2712" w:rsidP="00717D45">
                <w:pPr>
                  <w:pStyle w:val="Tablefont"/>
                </w:pPr>
                <w:r>
                  <w:sym w:font="Wingdings" w:char="F0FC"/>
                </w:r>
              </w:p>
            </w:tc>
          </w:sdtContent>
        </w:sdt>
      </w:tr>
      <w:tr w:rsidR="00687890" w:rsidRPr="004C23F4" w14:paraId="37630F7D" w14:textId="77777777" w:rsidTr="00EA6243">
        <w:trPr>
          <w:cantSplit/>
        </w:trPr>
        <w:tc>
          <w:tcPr>
            <w:tcW w:w="4077" w:type="dxa"/>
            <w:vAlign w:val="center"/>
          </w:tcPr>
          <w:p w14:paraId="1C6ECD94"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61D1597E"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2C0583C7" w14:textId="77777777" w:rsidTr="00EA6243">
        <w:trPr>
          <w:cantSplit/>
        </w:trPr>
        <w:tc>
          <w:tcPr>
            <w:tcW w:w="4077" w:type="dxa"/>
            <w:vAlign w:val="center"/>
          </w:tcPr>
          <w:p w14:paraId="6E560AA5"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75E34CC8"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0E37FF8F" w14:textId="77777777" w:rsidTr="00EA6243">
        <w:trPr>
          <w:cantSplit/>
        </w:trPr>
        <w:tc>
          <w:tcPr>
            <w:tcW w:w="4077" w:type="dxa"/>
            <w:vAlign w:val="center"/>
          </w:tcPr>
          <w:p w14:paraId="6A9D2B27"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2A8D6A69" w14:textId="79418512" w:rsidR="00E06F40" w:rsidRPr="00A006A0" w:rsidRDefault="002E522B" w:rsidP="00B40C60">
            <w:pPr>
              <w:pStyle w:val="Tablefont"/>
              <w:tabs>
                <w:tab w:val="left" w:pos="1310"/>
                <w:tab w:val="left" w:pos="2444"/>
                <w:tab w:val="left" w:pos="3861"/>
              </w:tabs>
            </w:pPr>
            <w:sdt>
              <w:sdtPr>
                <w:id w:val="92759666"/>
                <w14:checkbox>
                  <w14:checked w14:val="1"/>
                  <w14:checkedState w14:val="00FC" w14:font="Wingdings"/>
                  <w14:uncheckedState w14:val="2610" w14:font="MS Gothic"/>
                </w14:checkbox>
              </w:sdtPr>
              <w:sdtEndPr/>
              <w:sdtContent>
                <w:r w:rsidR="00937E12">
                  <w:sym w:font="Wingdings" w:char="F0FC"/>
                </w:r>
              </w:sdtContent>
            </w:sdt>
            <w:r w:rsidR="00E06F40" w:rsidRPr="00A006A0">
              <w:t xml:space="preserve"> ACGIH</w:t>
            </w:r>
            <w:r w:rsidR="00E06F40">
              <w:tab/>
            </w:r>
            <w:sdt>
              <w:sdtPr>
                <w:id w:val="129367724"/>
                <w14:checkbox>
                  <w14:checked w14:val="1"/>
                  <w14:checkedState w14:val="00FC" w14:font="Wingdings"/>
                  <w14:uncheckedState w14:val="2610" w14:font="MS Gothic"/>
                </w14:checkbox>
              </w:sdtPr>
              <w:sdtEndPr/>
              <w:sdtContent>
                <w:r w:rsidR="003C35D0">
                  <w:rPr>
                    <w:rFonts w:ascii="MS Gothic" w:eastAsia="MS Gothic" w:hAnsi="MS Gothic" w:cs="MS Gothic" w:hint="eastAsia"/>
                  </w:rPr>
                  <w:sym w:font="Wingdings" w:char="F0FC"/>
                </w:r>
              </w:sdtContent>
            </w:sdt>
            <w:r w:rsidR="00E06F40" w:rsidRPr="00A006A0">
              <w:t xml:space="preserve"> DFG</w:t>
            </w:r>
            <w:r w:rsidR="00E06F40">
              <w:tab/>
            </w:r>
            <w:sdt>
              <w:sdtPr>
                <w:id w:val="-1535876012"/>
                <w14:checkbox>
                  <w14:checked w14:val="1"/>
                  <w14:checkedState w14:val="00FC" w14:font="Wingdings"/>
                  <w14:uncheckedState w14:val="2610" w14:font="MS Gothic"/>
                </w14:checkbox>
              </w:sdtPr>
              <w:sdtEndPr/>
              <w:sdtContent>
                <w:r w:rsidR="00634500">
                  <w:sym w:font="Wingdings" w:char="F0FC"/>
                </w:r>
              </w:sdtContent>
            </w:sdt>
            <w:r w:rsidR="00E06F40" w:rsidRPr="00A006A0">
              <w:t xml:space="preserve"> SCOEL</w:t>
            </w:r>
            <w:r w:rsidR="00E06F40">
              <w:tab/>
            </w:r>
          </w:p>
        </w:tc>
      </w:tr>
    </w:tbl>
    <w:p w14:paraId="1553DA62" w14:textId="77777777" w:rsidR="007F1005" w:rsidRPr="004C23F4" w:rsidRDefault="007F1005" w:rsidP="00EB3D1B">
      <w:pPr>
        <w:pStyle w:val="Heading2"/>
        <w:keepLines/>
      </w:pPr>
      <w:r w:rsidRPr="004C23F4">
        <w:lastRenderedPageBreak/>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A740523" w14:textId="77777777" w:rsidTr="00F053FA">
        <w:trPr>
          <w:tblHeader/>
        </w:trPr>
        <w:tc>
          <w:tcPr>
            <w:tcW w:w="4077" w:type="dxa"/>
            <w:shd w:val="clear" w:color="auto" w:fill="BFBFBF" w:themeFill="background1" w:themeFillShade="BF"/>
            <w:vAlign w:val="center"/>
          </w:tcPr>
          <w:p w14:paraId="4CED9560"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5188716B" w14:textId="77777777" w:rsidR="00224EE2" w:rsidRPr="004C23F4" w:rsidRDefault="00224EE2" w:rsidP="00EB3D1B">
            <w:pPr>
              <w:pStyle w:val="Tableheader"/>
              <w:keepNext/>
              <w:keepLines/>
            </w:pPr>
            <w:r>
              <w:t>Standard</w:t>
            </w:r>
          </w:p>
        </w:tc>
      </w:tr>
      <w:tr w:rsidR="007F1005" w:rsidRPr="004C23F4" w14:paraId="17FAB426" w14:textId="77777777" w:rsidTr="00F053FA">
        <w:trPr>
          <w:tblHeader/>
        </w:trPr>
        <w:sdt>
          <w:sdtPr>
            <w:id w:val="-25557549"/>
            <w:placeholder>
              <w:docPart w:val="2BF891C0AB704CDAB9BC6E80D556473F"/>
            </w:placeholder>
            <w:showingPlcHdr/>
            <w:text/>
          </w:sdtPr>
          <w:sdtEndPr/>
          <w:sdtContent>
            <w:tc>
              <w:tcPr>
                <w:tcW w:w="4077" w:type="dxa"/>
                <w:vAlign w:val="center"/>
              </w:tcPr>
              <w:p w14:paraId="4FF605CD"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C496D81" w14:textId="77777777" w:rsidR="007F1005" w:rsidRPr="004C23F4" w:rsidRDefault="007F1005" w:rsidP="00EB3D1B">
            <w:pPr>
              <w:pStyle w:val="Tablefont"/>
              <w:keepLines/>
            </w:pPr>
          </w:p>
        </w:tc>
      </w:tr>
    </w:tbl>
    <w:bookmarkEnd w:id="5"/>
    <w:p w14:paraId="07DDD7D2" w14:textId="77777777" w:rsidR="00F87D92" w:rsidRDefault="00F87D92" w:rsidP="00EF7F78">
      <w:pPr>
        <w:pStyle w:val="Heading2"/>
        <w:tabs>
          <w:tab w:val="right" w:pos="8505"/>
        </w:tabs>
      </w:pPr>
      <w:r>
        <w:t>References</w:t>
      </w:r>
      <w:r w:rsidR="00EF7F78">
        <w:tab/>
      </w:r>
    </w:p>
    <w:p w14:paraId="64AD47BD" w14:textId="58C81C3B"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0FEFEB10" w14:textId="4F4C528F" w:rsidR="0005348D" w:rsidRDefault="0005348D" w:rsidP="00084859">
      <w:r w:rsidRPr="002022B6">
        <w:t>Deutsche Forschungsgemeinschaft (DFG)</w:t>
      </w:r>
      <w:r>
        <w:t xml:space="preserve"> (</w:t>
      </w:r>
      <w:r w:rsidR="002342E8">
        <w:t>2009</w:t>
      </w:r>
      <w:r>
        <w:t xml:space="preserve">) </w:t>
      </w:r>
      <w:r w:rsidR="002342E8" w:rsidRPr="002342E8">
        <w:t>2-Methoxyethanol</w:t>
      </w:r>
      <w:r>
        <w:t xml:space="preserve"> – MAK value documentation.</w:t>
      </w:r>
    </w:p>
    <w:p w14:paraId="5A8A0E64" w14:textId="77777777" w:rsidR="00C52AF6" w:rsidRPr="00E461B8" w:rsidRDefault="00C52AF6" w:rsidP="00C52AF6">
      <w:r w:rsidRPr="00E461B8">
        <w:t>European Chemicals Agency Regulation (ECHA) No 1907/2006 of the European Parliament and of the Council of 18 December 2006 concerning the Registration, Evaluation, Authorisation and Restriction of Chemicals (REACH).</w:t>
      </w:r>
    </w:p>
    <w:p w14:paraId="0DC81957" w14:textId="4EF79AF4" w:rsidR="0005348D" w:rsidRDefault="0005348D" w:rsidP="00084859">
      <w:r w:rsidRPr="002022B6">
        <w:t>EU Scientific Committee on Occupational Exposure Limits (SCOEL)</w:t>
      </w:r>
      <w:r>
        <w:t xml:space="preserve"> (</w:t>
      </w:r>
      <w:r w:rsidR="002342E8">
        <w:t>2006</w:t>
      </w:r>
      <w:r>
        <w:t xml:space="preserve">) Recommendation from the Scientific Committee on Occupational Exposure Limits for </w:t>
      </w:r>
      <w:r w:rsidR="002342E8" w:rsidRPr="002342E8">
        <w:t>2-Methoxyethanol</w:t>
      </w:r>
      <w:r>
        <w:t>. SCOEL/</w:t>
      </w:r>
      <w:r w:rsidR="002342E8" w:rsidRPr="002342E8">
        <w:t>SUM/120</w:t>
      </w:r>
      <w:r>
        <w:t>.</w:t>
      </w:r>
    </w:p>
    <w:p w14:paraId="516ABF79" w14:textId="5F0F394C" w:rsidR="0005348D" w:rsidRDefault="0005348D" w:rsidP="002342E8">
      <w:r w:rsidRPr="002022B6">
        <w:t>Health Council of the Netherlands</w:t>
      </w:r>
      <w:r>
        <w:t xml:space="preserve"> (HCOTN) (</w:t>
      </w:r>
      <w:r w:rsidR="002342E8">
        <w:t>2011</w:t>
      </w:r>
      <w:r>
        <w:t xml:space="preserve">) </w:t>
      </w:r>
      <w:proofErr w:type="spellStart"/>
      <w:r w:rsidR="002342E8">
        <w:t>Ethyleneglycol</w:t>
      </w:r>
      <w:proofErr w:type="spellEnd"/>
      <w:r w:rsidR="002342E8">
        <w:t xml:space="preserve"> monomethyl ether (EGME) and </w:t>
      </w:r>
      <w:proofErr w:type="spellStart"/>
      <w:r w:rsidR="002342E8">
        <w:t>ethyleneglycol</w:t>
      </w:r>
      <w:proofErr w:type="spellEnd"/>
      <w:r w:rsidR="002342E8">
        <w:t xml:space="preserve"> monomethyl ether acetate (EGMEA)</w:t>
      </w:r>
      <w:r w:rsidRPr="005F7416">
        <w:t xml:space="preserve">. </w:t>
      </w:r>
      <w:r w:rsidR="001E52C6" w:rsidRPr="001E52C6">
        <w:t>Health-based recommended occupational exposure limits</w:t>
      </w:r>
      <w:r w:rsidRPr="005F7416">
        <w:t xml:space="preserve">. The Hague: Health Council of the Netherlands; publication no. </w:t>
      </w:r>
      <w:r w:rsidR="002342E8">
        <w:t>2011/10</w:t>
      </w:r>
      <w:r>
        <w:t>.</w:t>
      </w:r>
    </w:p>
    <w:p w14:paraId="3AC30E91" w14:textId="2A91F553" w:rsidR="0005348D" w:rsidRDefault="0005348D" w:rsidP="00084859">
      <w:r w:rsidRPr="002022B6">
        <w:t>National Industrial Chemicals Notification and Assessment Scheme (NICNAS)</w:t>
      </w:r>
      <w:r>
        <w:t xml:space="preserve"> (</w:t>
      </w:r>
      <w:r w:rsidR="002342E8" w:rsidRPr="002342E8">
        <w:t>2014</w:t>
      </w:r>
      <w:r>
        <w:t xml:space="preserve">) </w:t>
      </w:r>
      <w:proofErr w:type="spellStart"/>
      <w:r w:rsidR="002342E8" w:rsidRPr="002342E8">
        <w:t>Alkoxyethanols</w:t>
      </w:r>
      <w:proofErr w:type="spellEnd"/>
      <w:r w:rsidR="002342E8" w:rsidRPr="002342E8">
        <w:t xml:space="preserve"> (C1-C2) and their acetates</w:t>
      </w:r>
      <w:r w:rsidRPr="0071660C">
        <w:t xml:space="preserve">: Human health </w:t>
      </w:r>
      <w:r w:rsidR="002342E8" w:rsidRPr="002342E8">
        <w:t>tier II</w:t>
      </w:r>
      <w:r>
        <w:t xml:space="preserve"> </w:t>
      </w:r>
      <w:r w:rsidRPr="0071660C">
        <w:t>assessment</w:t>
      </w:r>
      <w:r>
        <w:t xml:space="preserve"> – IMAP report.</w:t>
      </w:r>
    </w:p>
    <w:p w14:paraId="59A7F3D0" w14:textId="77777777" w:rsidR="007B2B7E" w:rsidRDefault="007B2B7E" w:rsidP="007B2B7E">
      <w:pPr>
        <w:rPr>
          <w:color w:val="000000"/>
        </w:rPr>
      </w:pPr>
      <w:r w:rsidRPr="00E461B8">
        <w:rPr>
          <w:color w:val="000000"/>
        </w:rPr>
        <w:t>Tenth Adaptation to Technical Progress Commission Regulation (EU Annex) No 2017/776 amending, for the purposes of its adaptation to technical and scientific progress, Regulation (EC) No 1272/2008 of the European Parliament and of the Council on classification, labelling and packaging of substances and mixtures (the CLP Regulation).</w:t>
      </w:r>
    </w:p>
    <w:p w14:paraId="3C7D2B5F" w14:textId="42AAE058" w:rsidR="005F4702" w:rsidRDefault="005F4702" w:rsidP="005F4702">
      <w:r w:rsidRPr="00D86E03">
        <w:t>US National Institute for Occupational Safety and Health (NIOSH)</w:t>
      </w:r>
      <w:r>
        <w:t xml:space="preserve"> (1994) Immediately dangerous to life or health concentrations – </w:t>
      </w:r>
      <w:r w:rsidR="006B5E02" w:rsidRPr="006B5E02">
        <w:t xml:space="preserve">Methyl </w:t>
      </w:r>
      <w:proofErr w:type="spellStart"/>
      <w:r w:rsidR="006B5E02" w:rsidRPr="006B5E02">
        <w:t>Cellosolve</w:t>
      </w:r>
      <w:proofErr w:type="spellEnd"/>
      <w:r w:rsidR="007B2B7E" w:rsidRPr="000C6A0D">
        <w:rPr>
          <w:vertAlign w:val="superscript"/>
        </w:rPr>
        <w:t>®</w:t>
      </w:r>
      <w:r>
        <w:t>.</w:t>
      </w:r>
    </w:p>
    <w:p w14:paraId="01205B4F" w14:textId="45EDD341" w:rsidR="0005348D" w:rsidRPr="00351FE0" w:rsidRDefault="0005348D" w:rsidP="00084859">
      <w:r w:rsidRPr="00D86E03">
        <w:t>US National Institute for Occupational Safety and Health (NIOSH)</w:t>
      </w:r>
      <w:r>
        <w:t xml:space="preserve"> (</w:t>
      </w:r>
      <w:r w:rsidR="002342E8" w:rsidRPr="002342E8">
        <w:t>2011</w:t>
      </w:r>
      <w:r>
        <w:t xml:space="preserve">) </w:t>
      </w:r>
      <w:r w:rsidRPr="006B0272">
        <w:t xml:space="preserve">NIOSH Skin Notation Profiles: </w:t>
      </w:r>
      <w:r w:rsidR="002342E8" w:rsidRPr="002342E8">
        <w:t xml:space="preserve">Methyl </w:t>
      </w:r>
      <w:proofErr w:type="spellStart"/>
      <w:r w:rsidR="002342E8" w:rsidRPr="002342E8">
        <w:t>Cellosolve</w:t>
      </w:r>
      <w:proofErr w:type="spellEnd"/>
      <w:r>
        <w:t>.</w:t>
      </w:r>
    </w:p>
    <w:sectPr w:rsidR="0005348D" w:rsidRPr="00351FE0" w:rsidSect="00B87D4C">
      <w:headerReference w:type="even" r:id="rId18"/>
      <w:headerReference w:type="default" r:id="rId19"/>
      <w:headerReference w:type="first" r:id="rId20"/>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BBE9" w14:textId="77777777" w:rsidR="00253DF6" w:rsidRDefault="00253DF6" w:rsidP="00F43AD5">
      <w:pPr>
        <w:spacing w:after="0" w:line="240" w:lineRule="auto"/>
      </w:pPr>
      <w:r>
        <w:separator/>
      </w:r>
    </w:p>
  </w:endnote>
  <w:endnote w:type="continuationSeparator" w:id="0">
    <w:p w14:paraId="5A27825A" w14:textId="77777777" w:rsidR="00253DF6" w:rsidRDefault="00253DF6"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747B" w14:textId="77777777" w:rsidR="002E522B" w:rsidRDefault="002E5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09DBBDE0" w14:textId="07D59E9F" w:rsidR="008A36CF" w:rsidRDefault="00DA4FA5" w:rsidP="0034744C">
        <w:pPr>
          <w:pStyle w:val="Footer"/>
          <w:rPr>
            <w:sz w:val="18"/>
            <w:szCs w:val="18"/>
          </w:rPr>
        </w:pPr>
        <w:r w:rsidRPr="00DA4FA5">
          <w:rPr>
            <w:b/>
            <w:sz w:val="18"/>
            <w:szCs w:val="18"/>
          </w:rPr>
          <w:t>2-Methoxyethanol</w:t>
        </w:r>
        <w:r w:rsidR="008A36CF">
          <w:rPr>
            <w:b/>
            <w:sz w:val="18"/>
            <w:szCs w:val="18"/>
          </w:rPr>
          <w:t xml:space="preserve"> (</w:t>
        </w:r>
        <w:r w:rsidRPr="00DA4FA5">
          <w:rPr>
            <w:b/>
            <w:sz w:val="18"/>
            <w:szCs w:val="18"/>
          </w:rPr>
          <w:t>109-86-4</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4E0FDDD1" w14:textId="3681A2AD"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413B76">
          <w:rPr>
            <w:noProof/>
            <w:sz w:val="18"/>
            <w:szCs w:val="18"/>
          </w:rPr>
          <w:t>7</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1901" w14:textId="77777777" w:rsidR="002E522B" w:rsidRDefault="002E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8D22" w14:textId="77777777" w:rsidR="00253DF6" w:rsidRDefault="00253DF6" w:rsidP="00F43AD5">
      <w:pPr>
        <w:spacing w:after="0" w:line="240" w:lineRule="auto"/>
      </w:pPr>
      <w:r>
        <w:separator/>
      </w:r>
    </w:p>
  </w:footnote>
  <w:footnote w:type="continuationSeparator" w:id="0">
    <w:p w14:paraId="69CF46DD" w14:textId="77777777" w:rsidR="00253DF6" w:rsidRDefault="00253DF6"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B907" w14:textId="2CFB1001" w:rsidR="002E522B" w:rsidRDefault="002E522B">
    <w:pPr>
      <w:pStyle w:val="Header"/>
    </w:pPr>
    <w:r>
      <w:rPr>
        <w:noProof/>
      </w:rPr>
      <w:pict w14:anchorId="6BE43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50032" o:spid="_x0000_s1024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A247" w14:textId="706FCF08" w:rsidR="008A36CF" w:rsidRDefault="002E522B" w:rsidP="00F43AD5">
    <w:pPr>
      <w:pStyle w:val="Header"/>
      <w:jc w:val="right"/>
    </w:pPr>
    <w:r>
      <w:rPr>
        <w:noProof/>
      </w:rPr>
      <w:pict w14:anchorId="0EF1E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50033" o:spid="_x0000_s10243"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8A36CF">
      <w:rPr>
        <w:noProof/>
        <w:lang w:eastAsia="en-AU"/>
      </w:rPr>
      <w:drawing>
        <wp:inline distT="0" distB="0" distL="0" distR="0" wp14:anchorId="1F50867D" wp14:editId="6F441983">
          <wp:extent cx="2938272" cy="594360"/>
          <wp:effectExtent l="0" t="0" r="0" b="0"/>
          <wp:docPr id="1" name="Picture 1"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9BBD" w14:textId="1671E9BF" w:rsidR="002E522B" w:rsidRDefault="002E522B">
    <w:pPr>
      <w:pStyle w:val="Header"/>
    </w:pPr>
    <w:r>
      <w:rPr>
        <w:noProof/>
      </w:rPr>
      <w:pict w14:anchorId="5B138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50031" o:spid="_x0000_s10241"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5318" w14:textId="3D68696E" w:rsidR="002E522B" w:rsidRDefault="002E522B">
    <w:pPr>
      <w:pStyle w:val="Header"/>
    </w:pPr>
    <w:r>
      <w:rPr>
        <w:noProof/>
      </w:rPr>
      <w:pict w14:anchorId="0923C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50035" o:spid="_x0000_s10245"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3159" w14:textId="52F72F9E" w:rsidR="008A36CF" w:rsidRDefault="002E522B" w:rsidP="00F43AD5">
    <w:pPr>
      <w:pStyle w:val="Header"/>
      <w:jc w:val="right"/>
    </w:pPr>
    <w:r>
      <w:rPr>
        <w:noProof/>
      </w:rPr>
      <w:pict w14:anchorId="2721B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50036" o:spid="_x0000_s10246"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r>
      <w:rPr>
        <w:noProof/>
        <w:lang w:eastAsia="en-AU"/>
      </w:rPr>
      <w:drawing>
        <wp:inline distT="0" distB="0" distL="0" distR="0" wp14:anchorId="6C080506" wp14:editId="0AB5A541">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2ACC4" w14:textId="48C431F3" w:rsidR="002E522B" w:rsidRDefault="002E522B">
    <w:pPr>
      <w:pStyle w:val="Header"/>
    </w:pPr>
    <w:r>
      <w:rPr>
        <w:noProof/>
      </w:rPr>
      <w:pict w14:anchorId="25445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050034" o:spid="_x0000_s10244"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6E52CA"/>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3335D04"/>
    <w:multiLevelType w:val="hybridMultilevel"/>
    <w:tmpl w:val="34BA0CC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55122CD"/>
    <w:multiLevelType w:val="hybridMultilevel"/>
    <w:tmpl w:val="8E86507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F700E"/>
    <w:multiLevelType w:val="hybridMultilevel"/>
    <w:tmpl w:val="15D603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5142DE8"/>
    <w:multiLevelType w:val="hybridMultilevel"/>
    <w:tmpl w:val="FA3EE03E"/>
    <w:lvl w:ilvl="0" w:tplc="C34E168A">
      <w:start w:val="5"/>
      <w:numFmt w:val="bullet"/>
      <w:lvlText w:val="-"/>
      <w:lvlJc w:val="left"/>
      <w:pPr>
        <w:ind w:left="677" w:hanging="360"/>
      </w:pPr>
      <w:rPr>
        <w:rFonts w:ascii="Arial" w:eastAsiaTheme="minorHAnsi" w:hAnsi="Arial" w:cs="Aria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5" w15:restartNumberingAfterBreak="0">
    <w:nsid w:val="2B0E004D"/>
    <w:multiLevelType w:val="hybridMultilevel"/>
    <w:tmpl w:val="745C630E"/>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71A250E"/>
    <w:multiLevelType w:val="hybridMultilevel"/>
    <w:tmpl w:val="643821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A1495A"/>
    <w:multiLevelType w:val="hybridMultilevel"/>
    <w:tmpl w:val="745C5C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5587B71"/>
    <w:multiLevelType w:val="hybridMultilevel"/>
    <w:tmpl w:val="D9761A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1E57538"/>
    <w:multiLevelType w:val="hybridMultilevel"/>
    <w:tmpl w:val="886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409EC"/>
    <w:multiLevelType w:val="hybridMultilevel"/>
    <w:tmpl w:val="BE2AE498"/>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7FE54B4"/>
    <w:multiLevelType w:val="hybridMultilevel"/>
    <w:tmpl w:val="998400B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80333D"/>
    <w:multiLevelType w:val="hybridMultilevel"/>
    <w:tmpl w:val="F2AEC5E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5B6ECC"/>
    <w:multiLevelType w:val="hybridMultilevel"/>
    <w:tmpl w:val="B6205C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2102E2"/>
    <w:multiLevelType w:val="hybridMultilevel"/>
    <w:tmpl w:val="AD923BA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0"/>
  </w:num>
  <w:num w:numId="5">
    <w:abstractNumId w:val="10"/>
  </w:num>
  <w:num w:numId="6">
    <w:abstractNumId w:val="11"/>
  </w:num>
  <w:num w:numId="7">
    <w:abstractNumId w:val="6"/>
  </w:num>
  <w:num w:numId="8">
    <w:abstractNumId w:val="12"/>
  </w:num>
  <w:num w:numId="9">
    <w:abstractNumId w:val="14"/>
  </w:num>
  <w:num w:numId="10">
    <w:abstractNumId w:val="2"/>
  </w:num>
  <w:num w:numId="11">
    <w:abstractNumId w:val="9"/>
  </w:num>
  <w:num w:numId="12">
    <w:abstractNumId w:val="0"/>
  </w:num>
  <w:num w:numId="13">
    <w:abstractNumId w:val="13"/>
  </w:num>
  <w:num w:numId="14">
    <w:abstractNumId w:val="4"/>
  </w:num>
  <w:num w:numId="15">
    <w:abstractNumId w:val="1"/>
  </w:num>
  <w:num w:numId="16">
    <w:abstractNumId w:val="8"/>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6ABC"/>
    <w:rsid w:val="00007B80"/>
    <w:rsid w:val="00013A22"/>
    <w:rsid w:val="00014A93"/>
    <w:rsid w:val="00014C3F"/>
    <w:rsid w:val="00017C82"/>
    <w:rsid w:val="00021F02"/>
    <w:rsid w:val="00032B88"/>
    <w:rsid w:val="00046DF5"/>
    <w:rsid w:val="00052060"/>
    <w:rsid w:val="0005348D"/>
    <w:rsid w:val="0005574A"/>
    <w:rsid w:val="00055FE1"/>
    <w:rsid w:val="00056EC2"/>
    <w:rsid w:val="00057191"/>
    <w:rsid w:val="000577DF"/>
    <w:rsid w:val="00057D84"/>
    <w:rsid w:val="00060B48"/>
    <w:rsid w:val="00060E6F"/>
    <w:rsid w:val="00067F32"/>
    <w:rsid w:val="00067F84"/>
    <w:rsid w:val="00071807"/>
    <w:rsid w:val="000803E1"/>
    <w:rsid w:val="00084513"/>
    <w:rsid w:val="00084859"/>
    <w:rsid w:val="00092D94"/>
    <w:rsid w:val="000A20EF"/>
    <w:rsid w:val="000A2163"/>
    <w:rsid w:val="000B0868"/>
    <w:rsid w:val="000B3E12"/>
    <w:rsid w:val="000B3E78"/>
    <w:rsid w:val="000B7B48"/>
    <w:rsid w:val="000C096D"/>
    <w:rsid w:val="000C139A"/>
    <w:rsid w:val="000C2053"/>
    <w:rsid w:val="000C248C"/>
    <w:rsid w:val="000C2E2C"/>
    <w:rsid w:val="000C65C1"/>
    <w:rsid w:val="000C6A0D"/>
    <w:rsid w:val="000D291C"/>
    <w:rsid w:val="000E5A54"/>
    <w:rsid w:val="000E63D3"/>
    <w:rsid w:val="000E67CF"/>
    <w:rsid w:val="0010461E"/>
    <w:rsid w:val="00106FAA"/>
    <w:rsid w:val="001108AD"/>
    <w:rsid w:val="00113443"/>
    <w:rsid w:val="0011486A"/>
    <w:rsid w:val="00122AB0"/>
    <w:rsid w:val="001269A7"/>
    <w:rsid w:val="00131092"/>
    <w:rsid w:val="00132C05"/>
    <w:rsid w:val="00140E6A"/>
    <w:rsid w:val="0014382C"/>
    <w:rsid w:val="00146545"/>
    <w:rsid w:val="00146B75"/>
    <w:rsid w:val="0015266D"/>
    <w:rsid w:val="0015288A"/>
    <w:rsid w:val="00160F47"/>
    <w:rsid w:val="00162EEF"/>
    <w:rsid w:val="00177CA1"/>
    <w:rsid w:val="00183823"/>
    <w:rsid w:val="00183942"/>
    <w:rsid w:val="00195332"/>
    <w:rsid w:val="001A009E"/>
    <w:rsid w:val="001A1287"/>
    <w:rsid w:val="001A3859"/>
    <w:rsid w:val="001A3C9D"/>
    <w:rsid w:val="001A43F8"/>
    <w:rsid w:val="001A516E"/>
    <w:rsid w:val="001B44CE"/>
    <w:rsid w:val="001B5E73"/>
    <w:rsid w:val="001B68C5"/>
    <w:rsid w:val="001B79E5"/>
    <w:rsid w:val="001D56F0"/>
    <w:rsid w:val="001D663B"/>
    <w:rsid w:val="001D7B41"/>
    <w:rsid w:val="001E46DA"/>
    <w:rsid w:val="001E52C6"/>
    <w:rsid w:val="001E7D80"/>
    <w:rsid w:val="001F41F6"/>
    <w:rsid w:val="001F4B6C"/>
    <w:rsid w:val="001F62CB"/>
    <w:rsid w:val="001F6ED0"/>
    <w:rsid w:val="001F72E6"/>
    <w:rsid w:val="001F73C5"/>
    <w:rsid w:val="002046A6"/>
    <w:rsid w:val="00204956"/>
    <w:rsid w:val="002071AC"/>
    <w:rsid w:val="00211A06"/>
    <w:rsid w:val="00213640"/>
    <w:rsid w:val="00217904"/>
    <w:rsid w:val="00221547"/>
    <w:rsid w:val="002216FC"/>
    <w:rsid w:val="00222533"/>
    <w:rsid w:val="00222F30"/>
    <w:rsid w:val="00224EE2"/>
    <w:rsid w:val="002253C8"/>
    <w:rsid w:val="00227EC7"/>
    <w:rsid w:val="002342E8"/>
    <w:rsid w:val="00235095"/>
    <w:rsid w:val="00244AD1"/>
    <w:rsid w:val="002459CE"/>
    <w:rsid w:val="002463BC"/>
    <w:rsid w:val="002465CE"/>
    <w:rsid w:val="00253DF6"/>
    <w:rsid w:val="0025734A"/>
    <w:rsid w:val="00263255"/>
    <w:rsid w:val="00276494"/>
    <w:rsid w:val="00277B0C"/>
    <w:rsid w:val="002924DB"/>
    <w:rsid w:val="00295758"/>
    <w:rsid w:val="002B1A2C"/>
    <w:rsid w:val="002C34F2"/>
    <w:rsid w:val="002C4FA7"/>
    <w:rsid w:val="002C58FF"/>
    <w:rsid w:val="002C7AFE"/>
    <w:rsid w:val="002D048B"/>
    <w:rsid w:val="002D05D2"/>
    <w:rsid w:val="002D2D08"/>
    <w:rsid w:val="002E0D61"/>
    <w:rsid w:val="002E1967"/>
    <w:rsid w:val="002E4C7B"/>
    <w:rsid w:val="002E522B"/>
    <w:rsid w:val="002F1DD6"/>
    <w:rsid w:val="002F1EA5"/>
    <w:rsid w:val="002F71F6"/>
    <w:rsid w:val="00302765"/>
    <w:rsid w:val="0030557A"/>
    <w:rsid w:val="003057C4"/>
    <w:rsid w:val="0030740C"/>
    <w:rsid w:val="00307E3F"/>
    <w:rsid w:val="00315833"/>
    <w:rsid w:val="003215EE"/>
    <w:rsid w:val="003224BF"/>
    <w:rsid w:val="003241A8"/>
    <w:rsid w:val="003253F0"/>
    <w:rsid w:val="0032558D"/>
    <w:rsid w:val="003266FF"/>
    <w:rsid w:val="003337DA"/>
    <w:rsid w:val="00334EFB"/>
    <w:rsid w:val="00335CDE"/>
    <w:rsid w:val="003365A5"/>
    <w:rsid w:val="00345361"/>
    <w:rsid w:val="00347192"/>
    <w:rsid w:val="0034744C"/>
    <w:rsid w:val="00351FE0"/>
    <w:rsid w:val="00352615"/>
    <w:rsid w:val="0035412B"/>
    <w:rsid w:val="003567A8"/>
    <w:rsid w:val="00362895"/>
    <w:rsid w:val="00364EE9"/>
    <w:rsid w:val="00370DBF"/>
    <w:rsid w:val="00373CDD"/>
    <w:rsid w:val="00386093"/>
    <w:rsid w:val="00387375"/>
    <w:rsid w:val="003904A4"/>
    <w:rsid w:val="00391841"/>
    <w:rsid w:val="00391B6D"/>
    <w:rsid w:val="00393F51"/>
    <w:rsid w:val="00394922"/>
    <w:rsid w:val="003972E7"/>
    <w:rsid w:val="003A0E32"/>
    <w:rsid w:val="003A2B94"/>
    <w:rsid w:val="003B387D"/>
    <w:rsid w:val="003C0D58"/>
    <w:rsid w:val="003C2712"/>
    <w:rsid w:val="003C35D0"/>
    <w:rsid w:val="003D16E9"/>
    <w:rsid w:val="003D4FA3"/>
    <w:rsid w:val="003E03B3"/>
    <w:rsid w:val="003E0807"/>
    <w:rsid w:val="003E51FB"/>
    <w:rsid w:val="003E6B39"/>
    <w:rsid w:val="003F07E1"/>
    <w:rsid w:val="004030BC"/>
    <w:rsid w:val="00403F7D"/>
    <w:rsid w:val="004055B5"/>
    <w:rsid w:val="00406452"/>
    <w:rsid w:val="00406785"/>
    <w:rsid w:val="004079B4"/>
    <w:rsid w:val="00411609"/>
    <w:rsid w:val="00413B76"/>
    <w:rsid w:val="0041408B"/>
    <w:rsid w:val="00417A56"/>
    <w:rsid w:val="00420957"/>
    <w:rsid w:val="00422A10"/>
    <w:rsid w:val="00430179"/>
    <w:rsid w:val="004414B5"/>
    <w:rsid w:val="00444482"/>
    <w:rsid w:val="00444B42"/>
    <w:rsid w:val="00445E44"/>
    <w:rsid w:val="004509E2"/>
    <w:rsid w:val="004515EE"/>
    <w:rsid w:val="004529F0"/>
    <w:rsid w:val="00460A03"/>
    <w:rsid w:val="004720A9"/>
    <w:rsid w:val="00472A11"/>
    <w:rsid w:val="00472AAD"/>
    <w:rsid w:val="00474E33"/>
    <w:rsid w:val="00476803"/>
    <w:rsid w:val="00485411"/>
    <w:rsid w:val="00485BFD"/>
    <w:rsid w:val="004867A2"/>
    <w:rsid w:val="004873F2"/>
    <w:rsid w:val="00490D4C"/>
    <w:rsid w:val="0049194E"/>
    <w:rsid w:val="00493A35"/>
    <w:rsid w:val="0049527A"/>
    <w:rsid w:val="004966BF"/>
    <w:rsid w:val="00497984"/>
    <w:rsid w:val="004A5088"/>
    <w:rsid w:val="004B491C"/>
    <w:rsid w:val="004C1E3F"/>
    <w:rsid w:val="004C23F4"/>
    <w:rsid w:val="004C3475"/>
    <w:rsid w:val="004C58B6"/>
    <w:rsid w:val="004D16A3"/>
    <w:rsid w:val="004D356D"/>
    <w:rsid w:val="004D4AA1"/>
    <w:rsid w:val="004D6D68"/>
    <w:rsid w:val="004E5EDD"/>
    <w:rsid w:val="004F448A"/>
    <w:rsid w:val="004F493D"/>
    <w:rsid w:val="004F65E8"/>
    <w:rsid w:val="0050005E"/>
    <w:rsid w:val="00502B88"/>
    <w:rsid w:val="00510F27"/>
    <w:rsid w:val="005142C4"/>
    <w:rsid w:val="0051509C"/>
    <w:rsid w:val="005272E2"/>
    <w:rsid w:val="0053108F"/>
    <w:rsid w:val="00532B56"/>
    <w:rsid w:val="00534B10"/>
    <w:rsid w:val="005446A2"/>
    <w:rsid w:val="00544D2F"/>
    <w:rsid w:val="00551BD8"/>
    <w:rsid w:val="00556FE9"/>
    <w:rsid w:val="0056685E"/>
    <w:rsid w:val="00581055"/>
    <w:rsid w:val="00591E38"/>
    <w:rsid w:val="00594CE8"/>
    <w:rsid w:val="005A19C5"/>
    <w:rsid w:val="005A3034"/>
    <w:rsid w:val="005A462D"/>
    <w:rsid w:val="005B253B"/>
    <w:rsid w:val="005B771D"/>
    <w:rsid w:val="005C23BA"/>
    <w:rsid w:val="005C5D16"/>
    <w:rsid w:val="005D3193"/>
    <w:rsid w:val="005D4A6E"/>
    <w:rsid w:val="005E2361"/>
    <w:rsid w:val="005E6979"/>
    <w:rsid w:val="005E75CB"/>
    <w:rsid w:val="005F4702"/>
    <w:rsid w:val="006013C1"/>
    <w:rsid w:val="0060669E"/>
    <w:rsid w:val="00610F2E"/>
    <w:rsid w:val="00611399"/>
    <w:rsid w:val="006249A7"/>
    <w:rsid w:val="00624C4E"/>
    <w:rsid w:val="00625200"/>
    <w:rsid w:val="00633318"/>
    <w:rsid w:val="00634500"/>
    <w:rsid w:val="006349C8"/>
    <w:rsid w:val="006363A8"/>
    <w:rsid w:val="00636DB7"/>
    <w:rsid w:val="00650905"/>
    <w:rsid w:val="006532ED"/>
    <w:rsid w:val="006549F2"/>
    <w:rsid w:val="006567B7"/>
    <w:rsid w:val="00657BFB"/>
    <w:rsid w:val="0066333C"/>
    <w:rsid w:val="006639B4"/>
    <w:rsid w:val="006650FE"/>
    <w:rsid w:val="0067305D"/>
    <w:rsid w:val="00677D9B"/>
    <w:rsid w:val="0068043D"/>
    <w:rsid w:val="006867F3"/>
    <w:rsid w:val="00687890"/>
    <w:rsid w:val="006901A2"/>
    <w:rsid w:val="00690368"/>
    <w:rsid w:val="0069079C"/>
    <w:rsid w:val="00690B53"/>
    <w:rsid w:val="00695B72"/>
    <w:rsid w:val="006A4E9F"/>
    <w:rsid w:val="006B160A"/>
    <w:rsid w:val="006B2B7B"/>
    <w:rsid w:val="006B4E6C"/>
    <w:rsid w:val="006B50B6"/>
    <w:rsid w:val="006B5E02"/>
    <w:rsid w:val="006C03D1"/>
    <w:rsid w:val="006D4158"/>
    <w:rsid w:val="006D79EA"/>
    <w:rsid w:val="006E08C6"/>
    <w:rsid w:val="006E5D05"/>
    <w:rsid w:val="006E6D91"/>
    <w:rsid w:val="00701053"/>
    <w:rsid w:val="00701507"/>
    <w:rsid w:val="00714021"/>
    <w:rsid w:val="00716A0F"/>
    <w:rsid w:val="00717D45"/>
    <w:rsid w:val="007208F7"/>
    <w:rsid w:val="007218AF"/>
    <w:rsid w:val="007365D1"/>
    <w:rsid w:val="00737F44"/>
    <w:rsid w:val="00740E0E"/>
    <w:rsid w:val="0074157F"/>
    <w:rsid w:val="00750212"/>
    <w:rsid w:val="00754779"/>
    <w:rsid w:val="0075716D"/>
    <w:rsid w:val="00765F14"/>
    <w:rsid w:val="00770E31"/>
    <w:rsid w:val="007770F1"/>
    <w:rsid w:val="00783FB1"/>
    <w:rsid w:val="00785CDD"/>
    <w:rsid w:val="00791847"/>
    <w:rsid w:val="007925F0"/>
    <w:rsid w:val="007939B3"/>
    <w:rsid w:val="0079509C"/>
    <w:rsid w:val="00796708"/>
    <w:rsid w:val="007A2252"/>
    <w:rsid w:val="007B1B42"/>
    <w:rsid w:val="007B2B7E"/>
    <w:rsid w:val="007C07EA"/>
    <w:rsid w:val="007C30EB"/>
    <w:rsid w:val="007C703F"/>
    <w:rsid w:val="007C7D37"/>
    <w:rsid w:val="007E063C"/>
    <w:rsid w:val="007E2A4B"/>
    <w:rsid w:val="007E307D"/>
    <w:rsid w:val="007E6A4E"/>
    <w:rsid w:val="007E6C94"/>
    <w:rsid w:val="007F1005"/>
    <w:rsid w:val="007F25E0"/>
    <w:rsid w:val="007F5328"/>
    <w:rsid w:val="00804F5A"/>
    <w:rsid w:val="00810C6D"/>
    <w:rsid w:val="00812887"/>
    <w:rsid w:val="00824B0C"/>
    <w:rsid w:val="00826F21"/>
    <w:rsid w:val="00834CC8"/>
    <w:rsid w:val="00835E00"/>
    <w:rsid w:val="00837113"/>
    <w:rsid w:val="008414E4"/>
    <w:rsid w:val="008427D5"/>
    <w:rsid w:val="00843E21"/>
    <w:rsid w:val="0084508E"/>
    <w:rsid w:val="00853736"/>
    <w:rsid w:val="00857A8A"/>
    <w:rsid w:val="00860558"/>
    <w:rsid w:val="008630EE"/>
    <w:rsid w:val="00864D13"/>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01E6"/>
    <w:rsid w:val="008E486F"/>
    <w:rsid w:val="008E7B64"/>
    <w:rsid w:val="008F5DCD"/>
    <w:rsid w:val="00900951"/>
    <w:rsid w:val="009118A6"/>
    <w:rsid w:val="00916909"/>
    <w:rsid w:val="00916EC0"/>
    <w:rsid w:val="00920467"/>
    <w:rsid w:val="00921DE7"/>
    <w:rsid w:val="0093041A"/>
    <w:rsid w:val="00930714"/>
    <w:rsid w:val="009315EF"/>
    <w:rsid w:val="00931B03"/>
    <w:rsid w:val="009323B9"/>
    <w:rsid w:val="00932DCE"/>
    <w:rsid w:val="0093327E"/>
    <w:rsid w:val="00934028"/>
    <w:rsid w:val="0093524E"/>
    <w:rsid w:val="0093760E"/>
    <w:rsid w:val="00937E12"/>
    <w:rsid w:val="00946044"/>
    <w:rsid w:val="0094660B"/>
    <w:rsid w:val="00946A33"/>
    <w:rsid w:val="00946E3E"/>
    <w:rsid w:val="0095260E"/>
    <w:rsid w:val="00953971"/>
    <w:rsid w:val="009578DD"/>
    <w:rsid w:val="00961124"/>
    <w:rsid w:val="009621B6"/>
    <w:rsid w:val="00965E9C"/>
    <w:rsid w:val="00966D9D"/>
    <w:rsid w:val="009733DD"/>
    <w:rsid w:val="00974F2D"/>
    <w:rsid w:val="00977524"/>
    <w:rsid w:val="00977E88"/>
    <w:rsid w:val="00984920"/>
    <w:rsid w:val="00985297"/>
    <w:rsid w:val="00987A35"/>
    <w:rsid w:val="0099303A"/>
    <w:rsid w:val="009971C2"/>
    <w:rsid w:val="009A1254"/>
    <w:rsid w:val="009B2FF2"/>
    <w:rsid w:val="009B380C"/>
    <w:rsid w:val="009B4843"/>
    <w:rsid w:val="009B6543"/>
    <w:rsid w:val="009C136C"/>
    <w:rsid w:val="009C199D"/>
    <w:rsid w:val="009C278F"/>
    <w:rsid w:val="009C2B94"/>
    <w:rsid w:val="009C5874"/>
    <w:rsid w:val="009C5E41"/>
    <w:rsid w:val="009D3B5A"/>
    <w:rsid w:val="009E0C05"/>
    <w:rsid w:val="009E0D1C"/>
    <w:rsid w:val="009E2214"/>
    <w:rsid w:val="009E355A"/>
    <w:rsid w:val="009E63E2"/>
    <w:rsid w:val="009F04D2"/>
    <w:rsid w:val="009F05CF"/>
    <w:rsid w:val="009F0F3A"/>
    <w:rsid w:val="00A01D0C"/>
    <w:rsid w:val="00A0643F"/>
    <w:rsid w:val="00A067EE"/>
    <w:rsid w:val="00A10FCE"/>
    <w:rsid w:val="00A120D3"/>
    <w:rsid w:val="00A16D91"/>
    <w:rsid w:val="00A174CC"/>
    <w:rsid w:val="00A2073D"/>
    <w:rsid w:val="00A20751"/>
    <w:rsid w:val="00A252B5"/>
    <w:rsid w:val="00A27E2D"/>
    <w:rsid w:val="00A31D99"/>
    <w:rsid w:val="00A357BA"/>
    <w:rsid w:val="00A35ADC"/>
    <w:rsid w:val="00A402A3"/>
    <w:rsid w:val="00A53681"/>
    <w:rsid w:val="00A615B4"/>
    <w:rsid w:val="00A633D4"/>
    <w:rsid w:val="00A6461A"/>
    <w:rsid w:val="00A84504"/>
    <w:rsid w:val="00A86015"/>
    <w:rsid w:val="00A8672F"/>
    <w:rsid w:val="00A93057"/>
    <w:rsid w:val="00A968B0"/>
    <w:rsid w:val="00AB2672"/>
    <w:rsid w:val="00AB2817"/>
    <w:rsid w:val="00AB43C4"/>
    <w:rsid w:val="00AB6D48"/>
    <w:rsid w:val="00AC32E7"/>
    <w:rsid w:val="00AC3A9F"/>
    <w:rsid w:val="00AC63B8"/>
    <w:rsid w:val="00AC6D2F"/>
    <w:rsid w:val="00AD6E13"/>
    <w:rsid w:val="00AD7C3D"/>
    <w:rsid w:val="00AE2745"/>
    <w:rsid w:val="00AE2F64"/>
    <w:rsid w:val="00AE3DAE"/>
    <w:rsid w:val="00AE6C08"/>
    <w:rsid w:val="00AF42CB"/>
    <w:rsid w:val="00AF483F"/>
    <w:rsid w:val="00AF5E07"/>
    <w:rsid w:val="00AF5F06"/>
    <w:rsid w:val="00AF6CA8"/>
    <w:rsid w:val="00B00A25"/>
    <w:rsid w:val="00B1422A"/>
    <w:rsid w:val="00B1765C"/>
    <w:rsid w:val="00B213C4"/>
    <w:rsid w:val="00B40C60"/>
    <w:rsid w:val="00B41817"/>
    <w:rsid w:val="00B43042"/>
    <w:rsid w:val="00B479A9"/>
    <w:rsid w:val="00B52EDF"/>
    <w:rsid w:val="00B71188"/>
    <w:rsid w:val="00B76A41"/>
    <w:rsid w:val="00B8232F"/>
    <w:rsid w:val="00B82A7D"/>
    <w:rsid w:val="00B87D4C"/>
    <w:rsid w:val="00B93646"/>
    <w:rsid w:val="00BA011A"/>
    <w:rsid w:val="00BA0A8C"/>
    <w:rsid w:val="00BA0B38"/>
    <w:rsid w:val="00BA1DBB"/>
    <w:rsid w:val="00BA4510"/>
    <w:rsid w:val="00BA529A"/>
    <w:rsid w:val="00BA6765"/>
    <w:rsid w:val="00BB612A"/>
    <w:rsid w:val="00BD3FCD"/>
    <w:rsid w:val="00BD499F"/>
    <w:rsid w:val="00BD56DE"/>
    <w:rsid w:val="00BF2406"/>
    <w:rsid w:val="00C0058C"/>
    <w:rsid w:val="00C06E43"/>
    <w:rsid w:val="00C16315"/>
    <w:rsid w:val="00C2002F"/>
    <w:rsid w:val="00C23B3E"/>
    <w:rsid w:val="00C3091E"/>
    <w:rsid w:val="00C364FF"/>
    <w:rsid w:val="00C40FF1"/>
    <w:rsid w:val="00C419E2"/>
    <w:rsid w:val="00C47526"/>
    <w:rsid w:val="00C5020E"/>
    <w:rsid w:val="00C52AF6"/>
    <w:rsid w:val="00C57452"/>
    <w:rsid w:val="00C61EDF"/>
    <w:rsid w:val="00C6239D"/>
    <w:rsid w:val="00C6594B"/>
    <w:rsid w:val="00C679D4"/>
    <w:rsid w:val="00C67FFB"/>
    <w:rsid w:val="00C7052C"/>
    <w:rsid w:val="00C7155E"/>
    <w:rsid w:val="00C71D1E"/>
    <w:rsid w:val="00C71D7D"/>
    <w:rsid w:val="00C74833"/>
    <w:rsid w:val="00C82A78"/>
    <w:rsid w:val="00C850A0"/>
    <w:rsid w:val="00C85A86"/>
    <w:rsid w:val="00C94D55"/>
    <w:rsid w:val="00C978F0"/>
    <w:rsid w:val="00CA58FE"/>
    <w:rsid w:val="00CB1CB1"/>
    <w:rsid w:val="00CB6BC1"/>
    <w:rsid w:val="00CB6CB8"/>
    <w:rsid w:val="00CC1986"/>
    <w:rsid w:val="00CC1A68"/>
    <w:rsid w:val="00CC2123"/>
    <w:rsid w:val="00CD17FA"/>
    <w:rsid w:val="00CD2BFD"/>
    <w:rsid w:val="00CE5AD6"/>
    <w:rsid w:val="00CE617F"/>
    <w:rsid w:val="00CE78EF"/>
    <w:rsid w:val="00CF39E7"/>
    <w:rsid w:val="00D021F1"/>
    <w:rsid w:val="00D048F7"/>
    <w:rsid w:val="00D0517E"/>
    <w:rsid w:val="00D140FC"/>
    <w:rsid w:val="00D15522"/>
    <w:rsid w:val="00D21D8C"/>
    <w:rsid w:val="00D22D3D"/>
    <w:rsid w:val="00D31357"/>
    <w:rsid w:val="00D33220"/>
    <w:rsid w:val="00D334D1"/>
    <w:rsid w:val="00D44C89"/>
    <w:rsid w:val="00D516CD"/>
    <w:rsid w:val="00D668E6"/>
    <w:rsid w:val="00D70670"/>
    <w:rsid w:val="00D74D80"/>
    <w:rsid w:val="00D76624"/>
    <w:rsid w:val="00D831C3"/>
    <w:rsid w:val="00D86229"/>
    <w:rsid w:val="00D86A6A"/>
    <w:rsid w:val="00D87570"/>
    <w:rsid w:val="00D91CB9"/>
    <w:rsid w:val="00D95438"/>
    <w:rsid w:val="00D97989"/>
    <w:rsid w:val="00D97D8D"/>
    <w:rsid w:val="00DA352E"/>
    <w:rsid w:val="00DA4FA5"/>
    <w:rsid w:val="00DA64CD"/>
    <w:rsid w:val="00DC158C"/>
    <w:rsid w:val="00DC747A"/>
    <w:rsid w:val="00DC7694"/>
    <w:rsid w:val="00DD1BF6"/>
    <w:rsid w:val="00DD200A"/>
    <w:rsid w:val="00DD2F9B"/>
    <w:rsid w:val="00DE2513"/>
    <w:rsid w:val="00DE26E8"/>
    <w:rsid w:val="00DF66E8"/>
    <w:rsid w:val="00DF6F36"/>
    <w:rsid w:val="00E0084C"/>
    <w:rsid w:val="00E025AB"/>
    <w:rsid w:val="00E02B23"/>
    <w:rsid w:val="00E06F40"/>
    <w:rsid w:val="00E075D5"/>
    <w:rsid w:val="00E07CE8"/>
    <w:rsid w:val="00E25CEC"/>
    <w:rsid w:val="00E26A07"/>
    <w:rsid w:val="00E32595"/>
    <w:rsid w:val="00E37CFD"/>
    <w:rsid w:val="00E41A26"/>
    <w:rsid w:val="00E46BCB"/>
    <w:rsid w:val="00E51CAF"/>
    <w:rsid w:val="00E60F04"/>
    <w:rsid w:val="00E62AAC"/>
    <w:rsid w:val="00E67C2F"/>
    <w:rsid w:val="00E67EF5"/>
    <w:rsid w:val="00E73D26"/>
    <w:rsid w:val="00E804EA"/>
    <w:rsid w:val="00E80A71"/>
    <w:rsid w:val="00E82337"/>
    <w:rsid w:val="00E83F24"/>
    <w:rsid w:val="00E92499"/>
    <w:rsid w:val="00E949AF"/>
    <w:rsid w:val="00E96077"/>
    <w:rsid w:val="00EA0A06"/>
    <w:rsid w:val="00EA6208"/>
    <w:rsid w:val="00EA6243"/>
    <w:rsid w:val="00EA74AB"/>
    <w:rsid w:val="00EB3D1B"/>
    <w:rsid w:val="00EC0FFB"/>
    <w:rsid w:val="00EC7830"/>
    <w:rsid w:val="00ED1D89"/>
    <w:rsid w:val="00ED4EAD"/>
    <w:rsid w:val="00ED66BC"/>
    <w:rsid w:val="00ED67C5"/>
    <w:rsid w:val="00EE04FB"/>
    <w:rsid w:val="00EF233A"/>
    <w:rsid w:val="00EF303E"/>
    <w:rsid w:val="00EF3A40"/>
    <w:rsid w:val="00EF7F78"/>
    <w:rsid w:val="00F01B08"/>
    <w:rsid w:val="00F01C4D"/>
    <w:rsid w:val="00F03756"/>
    <w:rsid w:val="00F053FA"/>
    <w:rsid w:val="00F0646A"/>
    <w:rsid w:val="00F10C97"/>
    <w:rsid w:val="00F11C71"/>
    <w:rsid w:val="00F137F2"/>
    <w:rsid w:val="00F16019"/>
    <w:rsid w:val="00F20E68"/>
    <w:rsid w:val="00F22093"/>
    <w:rsid w:val="00F236DF"/>
    <w:rsid w:val="00F357D0"/>
    <w:rsid w:val="00F43259"/>
    <w:rsid w:val="00F43AD5"/>
    <w:rsid w:val="00F4402E"/>
    <w:rsid w:val="00F56DD0"/>
    <w:rsid w:val="00F6491C"/>
    <w:rsid w:val="00F66339"/>
    <w:rsid w:val="00F67BBB"/>
    <w:rsid w:val="00F767EC"/>
    <w:rsid w:val="00F8194E"/>
    <w:rsid w:val="00F87D92"/>
    <w:rsid w:val="00F90AA7"/>
    <w:rsid w:val="00F92498"/>
    <w:rsid w:val="00F93BC4"/>
    <w:rsid w:val="00F9496B"/>
    <w:rsid w:val="00F970C9"/>
    <w:rsid w:val="00FA06A8"/>
    <w:rsid w:val="00FA2FB6"/>
    <w:rsid w:val="00FA3DF5"/>
    <w:rsid w:val="00FA741F"/>
    <w:rsid w:val="00FB4E07"/>
    <w:rsid w:val="00FB755A"/>
    <w:rsid w:val="00FC276B"/>
    <w:rsid w:val="00FC60A2"/>
    <w:rsid w:val="00FD1871"/>
    <w:rsid w:val="00FD3110"/>
    <w:rsid w:val="00FD6BC3"/>
    <w:rsid w:val="00FE715E"/>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090C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AD7C3D"/>
    <w:pPr>
      <w:contextualSpacing/>
    </w:pPr>
  </w:style>
  <w:style w:type="paragraph" w:styleId="Revision">
    <w:name w:val="Revision"/>
    <w:hidden/>
    <w:uiPriority w:val="99"/>
    <w:semiHidden/>
    <w:rsid w:val="009315EF"/>
    <w:pPr>
      <w:spacing w:after="0" w:line="240" w:lineRule="auto"/>
    </w:pPr>
  </w:style>
  <w:style w:type="character" w:styleId="CommentReference">
    <w:name w:val="annotation reference"/>
    <w:basedOn w:val="DefaultParagraphFont"/>
    <w:uiPriority w:val="99"/>
    <w:semiHidden/>
    <w:unhideWhenUsed/>
    <w:rsid w:val="00510F27"/>
    <w:rPr>
      <w:sz w:val="16"/>
      <w:szCs w:val="16"/>
    </w:rPr>
  </w:style>
  <w:style w:type="paragraph" w:styleId="CommentText">
    <w:name w:val="annotation text"/>
    <w:basedOn w:val="Normal"/>
    <w:link w:val="CommentTextChar"/>
    <w:uiPriority w:val="99"/>
    <w:unhideWhenUsed/>
    <w:rsid w:val="00510F27"/>
    <w:pPr>
      <w:spacing w:line="240" w:lineRule="auto"/>
    </w:pPr>
    <w:rPr>
      <w:szCs w:val="20"/>
    </w:rPr>
  </w:style>
  <w:style w:type="character" w:customStyle="1" w:styleId="CommentTextChar">
    <w:name w:val="Comment Text Char"/>
    <w:basedOn w:val="DefaultParagraphFont"/>
    <w:link w:val="CommentText"/>
    <w:uiPriority w:val="99"/>
    <w:rsid w:val="00510F27"/>
    <w:rPr>
      <w:szCs w:val="20"/>
    </w:rPr>
  </w:style>
  <w:style w:type="paragraph" w:styleId="CommentSubject">
    <w:name w:val="annotation subject"/>
    <w:basedOn w:val="CommentText"/>
    <w:next w:val="CommentText"/>
    <w:link w:val="CommentSubjectChar"/>
    <w:uiPriority w:val="99"/>
    <w:semiHidden/>
    <w:unhideWhenUsed/>
    <w:rsid w:val="00510F27"/>
    <w:rPr>
      <w:b/>
      <w:bCs/>
    </w:rPr>
  </w:style>
  <w:style w:type="character" w:customStyle="1" w:styleId="CommentSubjectChar">
    <w:name w:val="Comment Subject Char"/>
    <w:basedOn w:val="CommentTextChar"/>
    <w:link w:val="CommentSubject"/>
    <w:uiPriority w:val="99"/>
    <w:semiHidden/>
    <w:rsid w:val="00510F27"/>
    <w:rPr>
      <w:b/>
      <w:bCs/>
      <w:szCs w:val="20"/>
    </w:rPr>
  </w:style>
  <w:style w:type="paragraph" w:customStyle="1" w:styleId="Pa14">
    <w:name w:val="Pa14"/>
    <w:basedOn w:val="Normal"/>
    <w:next w:val="Normal"/>
    <w:uiPriority w:val="99"/>
    <w:rsid w:val="00295758"/>
    <w:pPr>
      <w:autoSpaceDE w:val="0"/>
      <w:autoSpaceDN w:val="0"/>
      <w:adjustRightInd w:val="0"/>
      <w:spacing w:after="0" w:line="151" w:lineRule="atLeast"/>
    </w:pPr>
    <w:rPr>
      <w:rFonts w:ascii="Gotham Book" w:hAnsi="Gotham Book"/>
      <w:sz w:val="24"/>
      <w:szCs w:val="24"/>
    </w:rPr>
  </w:style>
  <w:style w:type="paragraph" w:styleId="ListParagraph">
    <w:name w:val="List Paragraph"/>
    <w:basedOn w:val="Normal"/>
    <w:uiPriority w:val="34"/>
    <w:qFormat/>
    <w:rsid w:val="00195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4408">
      <w:bodyDiv w:val="1"/>
      <w:marLeft w:val="0"/>
      <w:marRight w:val="0"/>
      <w:marTop w:val="0"/>
      <w:marBottom w:val="0"/>
      <w:divBdr>
        <w:top w:val="none" w:sz="0" w:space="0" w:color="auto"/>
        <w:left w:val="none" w:sz="0" w:space="0" w:color="auto"/>
        <w:bottom w:val="none" w:sz="0" w:space="0" w:color="auto"/>
        <w:right w:val="none" w:sz="0" w:space="0" w:color="auto"/>
      </w:divBdr>
    </w:div>
    <w:div w:id="1146816705">
      <w:bodyDiv w:val="1"/>
      <w:marLeft w:val="0"/>
      <w:marRight w:val="0"/>
      <w:marTop w:val="0"/>
      <w:marBottom w:val="0"/>
      <w:divBdr>
        <w:top w:val="none" w:sz="0" w:space="0" w:color="auto"/>
        <w:left w:val="none" w:sz="0" w:space="0" w:color="auto"/>
        <w:bottom w:val="none" w:sz="0" w:space="0" w:color="auto"/>
        <w:right w:val="none" w:sz="0" w:space="0" w:color="auto"/>
      </w:divBdr>
    </w:div>
    <w:div w:id="1683051402">
      <w:bodyDiv w:val="1"/>
      <w:marLeft w:val="0"/>
      <w:marRight w:val="0"/>
      <w:marTop w:val="0"/>
      <w:marBottom w:val="0"/>
      <w:divBdr>
        <w:top w:val="none" w:sz="0" w:space="0" w:color="auto"/>
        <w:left w:val="none" w:sz="0" w:space="0" w:color="auto"/>
        <w:bottom w:val="none" w:sz="0" w:space="0" w:color="auto"/>
        <w:right w:val="none" w:sz="0" w:space="0" w:color="auto"/>
      </w:divBdr>
    </w:div>
    <w:div w:id="17028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5803EC878C9C41F2B5F45B29670917BD"/>
        <w:category>
          <w:name w:val="General"/>
          <w:gallery w:val="placeholder"/>
        </w:category>
        <w:types>
          <w:type w:val="bbPlcHdr"/>
        </w:types>
        <w:behaviors>
          <w:behavior w:val="content"/>
        </w:behaviors>
        <w:guid w:val="{B1AEA302-DDB3-4C4A-AF77-9C56DD06FD62}"/>
      </w:docPartPr>
      <w:docPartBody>
        <w:p w:rsidR="00B96828" w:rsidRDefault="002A1334" w:rsidP="002A1334">
          <w:pPr>
            <w:pStyle w:val="5803EC878C9C41F2B5F45B29670917BD"/>
          </w:pPr>
          <w:r>
            <w:rPr>
              <w:rStyle w:val="PlaceholderText"/>
            </w:rPr>
            <w:t>Has this value changed?</w:t>
          </w:r>
        </w:p>
      </w:docPartBody>
    </w:docPart>
    <w:docPart>
      <w:docPartPr>
        <w:name w:val="ED42E00E7F964FB190EC9F937B5EB7F8"/>
        <w:category>
          <w:name w:val="General"/>
          <w:gallery w:val="placeholder"/>
        </w:category>
        <w:types>
          <w:type w:val="bbPlcHdr"/>
        </w:types>
        <w:behaviors>
          <w:behavior w:val="content"/>
        </w:behaviors>
        <w:guid w:val="{5D4A71B2-9BF8-4267-A4EF-F99C8BBA84DA}"/>
      </w:docPartPr>
      <w:docPartBody>
        <w:p w:rsidR="00AE6E09" w:rsidRDefault="00C41CBF" w:rsidP="00C41CBF">
          <w:pPr>
            <w:pStyle w:val="ED42E00E7F964FB190EC9F937B5EB7F8"/>
          </w:pPr>
          <w:r w:rsidRPr="00724F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166D4A"/>
    <w:rsid w:val="002A1334"/>
    <w:rsid w:val="00372C6F"/>
    <w:rsid w:val="007145F6"/>
    <w:rsid w:val="00AE6E09"/>
    <w:rsid w:val="00B96828"/>
    <w:rsid w:val="00C05288"/>
    <w:rsid w:val="00C41CBF"/>
    <w:rsid w:val="00D21A9F"/>
    <w:rsid w:val="00F65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CBF"/>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331774ABFBF64C3A996837AA1BA8F33E">
    <w:name w:val="331774ABFBF64C3A996837AA1BA8F33E"/>
    <w:rsid w:val="00F6505A"/>
  </w:style>
  <w:style w:type="paragraph" w:customStyle="1" w:styleId="34E8623678B54D1FA2B337F0B3BD98D9">
    <w:name w:val="34E8623678B54D1FA2B337F0B3BD98D9"/>
    <w:rsid w:val="00F6505A"/>
  </w:style>
  <w:style w:type="paragraph" w:customStyle="1" w:styleId="F099F2530198473B827B9BE2C606BC53">
    <w:name w:val="F099F2530198473B827B9BE2C606BC53"/>
    <w:rsid w:val="00F6505A"/>
  </w:style>
  <w:style w:type="paragraph" w:customStyle="1" w:styleId="5803F9BD939D46EF908908D36DE0563C">
    <w:name w:val="5803F9BD939D46EF908908D36DE0563C"/>
    <w:rsid w:val="00F6505A"/>
  </w:style>
  <w:style w:type="paragraph" w:customStyle="1" w:styleId="AED253D047EB42A69629DEC607FFC800">
    <w:name w:val="AED253D047EB42A69629DEC607FFC800"/>
    <w:rsid w:val="00F6505A"/>
  </w:style>
  <w:style w:type="paragraph" w:customStyle="1" w:styleId="9FC8CB51945E45848DCE0E65E97DFEA8">
    <w:name w:val="9FC8CB51945E45848DCE0E65E97DFEA8"/>
    <w:rsid w:val="00F6505A"/>
  </w:style>
  <w:style w:type="paragraph" w:customStyle="1" w:styleId="EC283B2C00D94C378C603CD086EC5B11">
    <w:name w:val="EC283B2C00D94C378C603CD086EC5B11"/>
    <w:rsid w:val="00F6505A"/>
  </w:style>
  <w:style w:type="paragraph" w:customStyle="1" w:styleId="92717707C882408B831B02EACDF7E163">
    <w:name w:val="92717707C882408B831B02EACDF7E163"/>
    <w:rsid w:val="00F6505A"/>
  </w:style>
  <w:style w:type="paragraph" w:customStyle="1" w:styleId="FB29FFF2FB7348DDA5BE8DD4744FCFAF">
    <w:name w:val="FB29FFF2FB7348DDA5BE8DD4744FCFAF"/>
    <w:rsid w:val="00F6505A"/>
  </w:style>
  <w:style w:type="paragraph" w:customStyle="1" w:styleId="EA6BB798330F41898207BBC8593D8D1A">
    <w:name w:val="EA6BB798330F41898207BBC8593D8D1A"/>
    <w:rsid w:val="00F6505A"/>
  </w:style>
  <w:style w:type="paragraph" w:customStyle="1" w:styleId="000ADC21F0394997BE8A946539923164">
    <w:name w:val="000ADC21F0394997BE8A946539923164"/>
    <w:rsid w:val="00F6505A"/>
  </w:style>
  <w:style w:type="paragraph" w:customStyle="1" w:styleId="D8BC0FD6A5AC4534B89F0FE9A104C6FE">
    <w:name w:val="D8BC0FD6A5AC4534B89F0FE9A104C6FE"/>
    <w:rsid w:val="00F6505A"/>
  </w:style>
  <w:style w:type="paragraph" w:customStyle="1" w:styleId="45593F0CF7D747059CF917495FD43380">
    <w:name w:val="45593F0CF7D747059CF917495FD43380"/>
    <w:rsid w:val="00F6505A"/>
  </w:style>
  <w:style w:type="paragraph" w:customStyle="1" w:styleId="AA6A5D7F85174710BA76820B769AB90F">
    <w:name w:val="AA6A5D7F85174710BA76820B769AB90F"/>
    <w:rsid w:val="00F6505A"/>
  </w:style>
  <w:style w:type="paragraph" w:customStyle="1" w:styleId="217709BAEB614599B1C8106EA3C095C0">
    <w:name w:val="217709BAEB614599B1C8106EA3C095C0"/>
    <w:rsid w:val="00F6505A"/>
  </w:style>
  <w:style w:type="paragraph" w:customStyle="1" w:styleId="F4D77B96C2144CEEA4C6F546ACD76993">
    <w:name w:val="F4D77B96C2144CEEA4C6F546ACD76993"/>
    <w:rsid w:val="00166D4A"/>
  </w:style>
  <w:style w:type="paragraph" w:customStyle="1" w:styleId="C78A0A00EAB84301B9A46EF7167D6692">
    <w:name w:val="C78A0A00EAB84301B9A46EF7167D6692"/>
    <w:rsid w:val="00166D4A"/>
  </w:style>
  <w:style w:type="paragraph" w:customStyle="1" w:styleId="5803EC878C9C41F2B5F45B29670917BD">
    <w:name w:val="5803EC878C9C41F2B5F45B29670917BD"/>
    <w:rsid w:val="002A1334"/>
  </w:style>
  <w:style w:type="paragraph" w:customStyle="1" w:styleId="73CA92E44E664C7E8FB13C743F4BECC5">
    <w:name w:val="73CA92E44E664C7E8FB13C743F4BECC5"/>
    <w:rsid w:val="00C41CBF"/>
  </w:style>
  <w:style w:type="paragraph" w:customStyle="1" w:styleId="ED42E00E7F964FB190EC9F937B5EB7F8">
    <w:name w:val="ED42E00E7F964FB190EC9F937B5EB7F8"/>
    <w:rsid w:val="00C41C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8E6A-28F9-48C3-B64C-60AB8DC8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4D59F-B3E0-4B23-A320-9A46BD72A40A}">
  <ds:schemaRefs>
    <ds:schemaRef ds:uri="http://schemas.microsoft.com/sharepoint/v3/contenttype/forms"/>
  </ds:schemaRefs>
</ds:datastoreItem>
</file>

<file path=customXml/itemProps3.xml><?xml version="1.0" encoding="utf-8"?>
<ds:datastoreItem xmlns:ds="http://schemas.openxmlformats.org/officeDocument/2006/customXml" ds:itemID="{77D74D3B-4BC0-4288-868B-381662EC21B5}">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bf54d604-3e62-4e70-ba33-9e9084b96a66"/>
  </ds:schemaRefs>
</ds:datastoreItem>
</file>

<file path=customXml/itemProps4.xml><?xml version="1.0" encoding="utf-8"?>
<ds:datastoreItem xmlns:ds="http://schemas.openxmlformats.org/officeDocument/2006/customXml" ds:itemID="{8A84E2CE-A123-4168-9372-5609EF48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2020-01-09T01:44:00Z</dcterms:created>
  <dcterms:modified xsi:type="dcterms:W3CDTF">2020-03-12T23:01:00Z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