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rPr>
        <w:alias w:val="NameofChemical"/>
        <w:tag w:val="NameofChemical"/>
        <w:id w:val="1425919599"/>
        <w:lock w:val="sdtLocked"/>
        <w:placeholder>
          <w:docPart w:val="CE1736E50B02464986D1BEC8B7ACDE96"/>
        </w:placeholder>
        <w:text/>
      </w:sdtPr>
      <w:sdtEndPr/>
      <w:sdtContent>
        <w:p w14:paraId="5BA8B290" w14:textId="77777777" w:rsidR="00BD499F" w:rsidRPr="004C23F4" w:rsidRDefault="00D937A9" w:rsidP="00B40C60">
          <w:pPr>
            <w:pStyle w:val="Heading1"/>
            <w:jc w:val="center"/>
            <w:rPr>
              <w:rFonts w:ascii="Arial" w:hAnsi="Arial" w:cs="Arial"/>
            </w:rPr>
          </w:pPr>
          <w:r>
            <w:rPr>
              <w:rFonts w:ascii="Arial" w:hAnsi="Arial" w:cs="Arial"/>
            </w:rPr>
            <w:t>2-Nitropropane</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72"/>
        <w:gridCol w:w="5054"/>
      </w:tblGrid>
      <w:tr w:rsidR="00F43AD5" w:rsidRPr="004C23F4" w14:paraId="3CD19C86" w14:textId="77777777" w:rsidTr="00B76A41">
        <w:trPr>
          <w:cantSplit/>
          <w:tblHeader/>
        </w:trPr>
        <w:tc>
          <w:tcPr>
            <w:tcW w:w="4077" w:type="dxa"/>
          </w:tcPr>
          <w:p w14:paraId="71D71AEC" w14:textId="77777777" w:rsidR="00F43AD5" w:rsidRPr="00921DE7" w:rsidRDefault="00CB1CB1" w:rsidP="00B76A41">
            <w:pPr>
              <w:pStyle w:val="Tablerowright"/>
            </w:pPr>
            <w:r w:rsidRPr="00921DE7">
              <w:t>CAS number:</w:t>
            </w:r>
          </w:p>
        </w:tc>
        <w:tc>
          <w:tcPr>
            <w:tcW w:w="5165" w:type="dxa"/>
          </w:tcPr>
          <w:p w14:paraId="6430BD0E" w14:textId="05814E9F" w:rsidR="00F43AD5" w:rsidRPr="00717D45" w:rsidRDefault="00A12CBF" w:rsidP="00B76A41">
            <w:pPr>
              <w:pStyle w:val="Tablefont"/>
            </w:pPr>
            <w:r w:rsidRPr="00A12CBF">
              <w:t>79-46-9</w:t>
            </w:r>
          </w:p>
        </w:tc>
      </w:tr>
      <w:tr w:rsidR="00F43AD5" w:rsidRPr="00606EC6" w14:paraId="02CFF0DB" w14:textId="77777777" w:rsidTr="00B76A41">
        <w:trPr>
          <w:cantSplit/>
        </w:trPr>
        <w:tc>
          <w:tcPr>
            <w:tcW w:w="4077" w:type="dxa"/>
          </w:tcPr>
          <w:p w14:paraId="506EA3BC" w14:textId="77777777" w:rsidR="00F43AD5" w:rsidRPr="00921DE7" w:rsidRDefault="00CB1CB1" w:rsidP="00B76A41">
            <w:pPr>
              <w:pStyle w:val="Tablerowright"/>
            </w:pPr>
            <w:r w:rsidRPr="00921DE7">
              <w:t>Synonyms:</w:t>
            </w:r>
          </w:p>
        </w:tc>
        <w:tc>
          <w:tcPr>
            <w:tcW w:w="5165" w:type="dxa"/>
          </w:tcPr>
          <w:p w14:paraId="3F8C4215" w14:textId="543C38B2" w:rsidR="00F43AD5" w:rsidRPr="00606EC6" w:rsidRDefault="00D937A9" w:rsidP="00B76A41">
            <w:pPr>
              <w:pStyle w:val="Tablefont"/>
            </w:pPr>
            <w:proofErr w:type="spellStart"/>
            <w:r w:rsidRPr="00606EC6">
              <w:t>Dimethylnitromethane</w:t>
            </w:r>
            <w:proofErr w:type="spellEnd"/>
            <w:r w:rsidRPr="00606EC6">
              <w:t xml:space="preserve">, </w:t>
            </w:r>
            <w:proofErr w:type="spellStart"/>
            <w:r w:rsidRPr="00606EC6">
              <w:t>isonitropropane</w:t>
            </w:r>
            <w:proofErr w:type="spellEnd"/>
            <w:r w:rsidRPr="00606EC6">
              <w:t xml:space="preserve">, </w:t>
            </w:r>
            <w:proofErr w:type="spellStart"/>
            <w:r w:rsidRPr="00606EC6">
              <w:t>nitroisopropane</w:t>
            </w:r>
            <w:proofErr w:type="spellEnd"/>
            <w:r w:rsidRPr="00606EC6">
              <w:t xml:space="preserve">, 2-NP, </w:t>
            </w:r>
            <w:r w:rsidRPr="00606EC6">
              <w:rPr>
                <w:rFonts w:cs="Arial"/>
              </w:rPr>
              <w:t>β</w:t>
            </w:r>
            <w:r w:rsidRPr="00606EC6">
              <w:t>-nitropropane</w:t>
            </w:r>
          </w:p>
        </w:tc>
      </w:tr>
      <w:tr w:rsidR="00F43AD5" w:rsidRPr="004C23F4" w14:paraId="21C2EAB5" w14:textId="77777777" w:rsidTr="00B76A41">
        <w:trPr>
          <w:cantSplit/>
        </w:trPr>
        <w:tc>
          <w:tcPr>
            <w:tcW w:w="4077" w:type="dxa"/>
          </w:tcPr>
          <w:p w14:paraId="7E57B122" w14:textId="77777777" w:rsidR="00F43AD5" w:rsidRPr="00921DE7" w:rsidRDefault="00CB1CB1" w:rsidP="00B76A41">
            <w:pPr>
              <w:pStyle w:val="Tablerowright"/>
            </w:pPr>
            <w:r w:rsidRPr="00921DE7">
              <w:t>Chemical formula:</w:t>
            </w:r>
          </w:p>
        </w:tc>
        <w:tc>
          <w:tcPr>
            <w:tcW w:w="5165" w:type="dxa"/>
          </w:tcPr>
          <w:p w14:paraId="053372AC" w14:textId="77777777" w:rsidR="00F43AD5" w:rsidRPr="00717D45" w:rsidRDefault="00D937A9" w:rsidP="00B76A41">
            <w:pPr>
              <w:pStyle w:val="Tablefont"/>
            </w:pPr>
            <w:r w:rsidRPr="00D937A9">
              <w:t>C</w:t>
            </w:r>
            <w:r w:rsidRPr="00D937A9">
              <w:rPr>
                <w:vertAlign w:val="subscript"/>
              </w:rPr>
              <w:t>3</w:t>
            </w:r>
            <w:r w:rsidRPr="00D937A9">
              <w:t>H</w:t>
            </w:r>
            <w:r w:rsidRPr="00D937A9">
              <w:rPr>
                <w:vertAlign w:val="subscript"/>
              </w:rPr>
              <w:t>7</w:t>
            </w:r>
            <w:r w:rsidRPr="00D937A9">
              <w:t>NO</w:t>
            </w:r>
            <w:r w:rsidRPr="00D937A9">
              <w:rPr>
                <w:vertAlign w:val="subscript"/>
              </w:rPr>
              <w:t>2</w:t>
            </w:r>
          </w:p>
        </w:tc>
      </w:tr>
      <w:tr w:rsidR="00F43AD5" w:rsidRPr="004C23F4" w14:paraId="55AA11A7" w14:textId="77777777" w:rsidTr="00B76A41">
        <w:trPr>
          <w:cantSplit/>
        </w:trPr>
        <w:tc>
          <w:tcPr>
            <w:tcW w:w="4077" w:type="dxa"/>
          </w:tcPr>
          <w:p w14:paraId="4DB2DA66" w14:textId="77777777" w:rsidR="00F43AD5" w:rsidRPr="00921DE7" w:rsidRDefault="00CB1CB1" w:rsidP="00B76A41">
            <w:pPr>
              <w:pStyle w:val="Tablerowright"/>
            </w:pPr>
            <w:r w:rsidRPr="00921DE7">
              <w:t>Structural formula:</w:t>
            </w:r>
          </w:p>
        </w:tc>
        <w:tc>
          <w:tcPr>
            <w:tcW w:w="5165" w:type="dxa"/>
          </w:tcPr>
          <w:p w14:paraId="6171612E" w14:textId="77777777" w:rsidR="00F43AD5" w:rsidRPr="00B40C60" w:rsidRDefault="00037E52" w:rsidP="00B76A41">
            <w:pPr>
              <w:pStyle w:val="Tablerowheading"/>
              <w:rPr>
                <w:b w:val="0"/>
              </w:rPr>
            </w:pPr>
            <w:r>
              <w:rPr>
                <w:b w:val="0"/>
              </w:rPr>
              <w:t>—</w:t>
            </w:r>
          </w:p>
        </w:tc>
      </w:tr>
    </w:tbl>
    <w:p w14:paraId="78741BBE" w14:textId="314E0D15" w:rsidR="00AE2745" w:rsidRDefault="00AE2745" w:rsidP="00AE2745">
      <w:pPr>
        <w:pStyle w:val="WES"/>
        <w:tabs>
          <w:tab w:val="left" w:pos="2041"/>
        </w:tabs>
      </w:pPr>
      <w:r>
        <w:tab/>
      </w:r>
      <w:r w:rsidRPr="002C58FF">
        <w:t xml:space="preserve">Workplace </w:t>
      </w:r>
      <w:r>
        <w:t>exposure s</w:t>
      </w:r>
      <w:r w:rsidRPr="002C58FF">
        <w:t xml:space="preserve">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4E0787">
            <w:rPr>
              <w:rStyle w:val="WESstatus"/>
            </w:rPr>
            <w:t>(retained)</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4010"/>
        <w:gridCol w:w="5016"/>
      </w:tblGrid>
      <w:tr w:rsidR="002C7AFE" w:rsidRPr="004C23F4" w14:paraId="07C895AB" w14:textId="77777777" w:rsidTr="00037E52">
        <w:trPr>
          <w:cantSplit/>
          <w:tblHeader/>
        </w:trPr>
        <w:tc>
          <w:tcPr>
            <w:tcW w:w="4010" w:type="dxa"/>
            <w:vAlign w:val="center"/>
          </w:tcPr>
          <w:p w14:paraId="19592D54" w14:textId="77777777" w:rsidR="002C7AFE" w:rsidRPr="002C58FF" w:rsidRDefault="00921DE7" w:rsidP="00921DE7">
            <w:pPr>
              <w:pStyle w:val="Tablerowright"/>
            </w:pPr>
            <w:r>
              <w:t>TWA:</w:t>
            </w:r>
          </w:p>
        </w:tc>
        <w:tc>
          <w:tcPr>
            <w:tcW w:w="5016" w:type="dxa"/>
          </w:tcPr>
          <w:p w14:paraId="0D2CB92C" w14:textId="4DA9D1F0" w:rsidR="002C7AFE" w:rsidRPr="00090350" w:rsidRDefault="00090350" w:rsidP="00017C82">
            <w:pPr>
              <w:pStyle w:val="Tablefont"/>
              <w:rPr>
                <w:b/>
              </w:rPr>
            </w:pPr>
            <w:r>
              <w:rPr>
                <w:b/>
              </w:rPr>
              <w:t>1</w:t>
            </w:r>
            <w:r w:rsidR="004E0787">
              <w:rPr>
                <w:b/>
              </w:rPr>
              <w:t>0</w:t>
            </w:r>
            <w:r>
              <w:rPr>
                <w:b/>
              </w:rPr>
              <w:t xml:space="preserve"> ppm (36 mg/m</w:t>
            </w:r>
            <w:r>
              <w:rPr>
                <w:b/>
                <w:vertAlign w:val="superscript"/>
              </w:rPr>
              <w:t>3</w:t>
            </w:r>
            <w:r>
              <w:rPr>
                <w:b/>
              </w:rPr>
              <w:t>)</w:t>
            </w:r>
          </w:p>
        </w:tc>
      </w:tr>
      <w:tr w:rsidR="00037E52" w:rsidRPr="004C23F4" w14:paraId="3012974A" w14:textId="77777777" w:rsidTr="00037E52">
        <w:trPr>
          <w:cantSplit/>
        </w:trPr>
        <w:tc>
          <w:tcPr>
            <w:tcW w:w="4010" w:type="dxa"/>
            <w:vAlign w:val="center"/>
          </w:tcPr>
          <w:p w14:paraId="35227BF1" w14:textId="77777777" w:rsidR="00037E52" w:rsidRPr="002C58FF" w:rsidRDefault="00037E52" w:rsidP="00037E52">
            <w:pPr>
              <w:pStyle w:val="Tablerowright"/>
            </w:pPr>
            <w:r w:rsidRPr="002C58FF">
              <w:t>STEL</w:t>
            </w:r>
            <w:r>
              <w:t>:</w:t>
            </w:r>
          </w:p>
        </w:tc>
        <w:tc>
          <w:tcPr>
            <w:tcW w:w="5016" w:type="dxa"/>
          </w:tcPr>
          <w:p w14:paraId="06F99695" w14:textId="77777777" w:rsidR="00037E52" w:rsidRPr="00EB3D1B" w:rsidRDefault="00037E52" w:rsidP="00037E52">
            <w:pPr>
              <w:pStyle w:val="Tablefont"/>
              <w:rPr>
                <w:b/>
              </w:rPr>
            </w:pPr>
            <w:r>
              <w:rPr>
                <w:b/>
              </w:rPr>
              <w:t>—</w:t>
            </w:r>
          </w:p>
        </w:tc>
      </w:tr>
      <w:tr w:rsidR="00037E52" w:rsidRPr="004C23F4" w14:paraId="2C05DF7B" w14:textId="77777777" w:rsidTr="00037E52">
        <w:trPr>
          <w:cantSplit/>
        </w:trPr>
        <w:tc>
          <w:tcPr>
            <w:tcW w:w="4010" w:type="dxa"/>
            <w:vAlign w:val="center"/>
          </w:tcPr>
          <w:p w14:paraId="5442BE75" w14:textId="77777777" w:rsidR="00037E52" w:rsidRPr="002C58FF" w:rsidRDefault="00037E52" w:rsidP="00037E52">
            <w:pPr>
              <w:pStyle w:val="Tablerowright"/>
            </w:pPr>
            <w:r>
              <w:t>Peak limitation:</w:t>
            </w:r>
          </w:p>
        </w:tc>
        <w:tc>
          <w:tcPr>
            <w:tcW w:w="5016" w:type="dxa"/>
          </w:tcPr>
          <w:p w14:paraId="1F9180C6" w14:textId="77777777" w:rsidR="00037E52" w:rsidRPr="00EB3D1B" w:rsidRDefault="00037E52" w:rsidP="00037E52">
            <w:pPr>
              <w:pStyle w:val="Tablefont"/>
              <w:rPr>
                <w:b/>
              </w:rPr>
            </w:pPr>
            <w:r>
              <w:rPr>
                <w:b/>
              </w:rPr>
              <w:t>—</w:t>
            </w:r>
          </w:p>
        </w:tc>
      </w:tr>
      <w:tr w:rsidR="00037E52" w:rsidRPr="004C23F4" w14:paraId="4ED828FC" w14:textId="77777777" w:rsidTr="00037E52">
        <w:trPr>
          <w:cantSplit/>
        </w:trPr>
        <w:tc>
          <w:tcPr>
            <w:tcW w:w="4010" w:type="dxa"/>
          </w:tcPr>
          <w:p w14:paraId="785B4A52" w14:textId="77777777" w:rsidR="00037E52" w:rsidRPr="002C58FF" w:rsidRDefault="00037E52" w:rsidP="00037E52">
            <w:pPr>
              <w:pStyle w:val="Tablerowright"/>
            </w:pPr>
            <w:r>
              <w:rPr>
                <w:b w:val="0"/>
                <w:bCs/>
                <w:color w:val="000000" w:themeColor="text1"/>
              </w:rPr>
              <w:tab/>
            </w:r>
            <w:r w:rsidRPr="003241A8">
              <w:t>Notations</w:t>
            </w:r>
            <w:r>
              <w:t>:</w:t>
            </w:r>
          </w:p>
        </w:tc>
        <w:tc>
          <w:tcPr>
            <w:tcW w:w="5016" w:type="dxa"/>
          </w:tcPr>
          <w:p w14:paraId="613F276B" w14:textId="70E4C846" w:rsidR="00037E52" w:rsidRPr="00EB3D1B" w:rsidRDefault="00856114" w:rsidP="00037E52">
            <w:pPr>
              <w:pStyle w:val="Tablefont"/>
              <w:rPr>
                <w:b/>
              </w:rPr>
            </w:pPr>
            <w:proofErr w:type="spellStart"/>
            <w:r>
              <w:rPr>
                <w:b/>
              </w:rPr>
              <w:t>Carc</w:t>
            </w:r>
            <w:proofErr w:type="spellEnd"/>
            <w:r>
              <w:rPr>
                <w:b/>
              </w:rPr>
              <w:t>. 1B</w:t>
            </w:r>
          </w:p>
        </w:tc>
      </w:tr>
      <w:tr w:rsidR="00037E52" w:rsidRPr="004C23F4" w14:paraId="309FB9F7" w14:textId="77777777" w:rsidTr="00037E52">
        <w:trPr>
          <w:cantSplit/>
        </w:trPr>
        <w:tc>
          <w:tcPr>
            <w:tcW w:w="4010" w:type="dxa"/>
            <w:vAlign w:val="center"/>
          </w:tcPr>
          <w:p w14:paraId="55A921B7" w14:textId="77777777" w:rsidR="00037E52" w:rsidRPr="002C58FF" w:rsidRDefault="00037E52" w:rsidP="00037E52">
            <w:pPr>
              <w:pStyle w:val="Tablerowright"/>
            </w:pPr>
            <w:r>
              <w:t>IDLH:</w:t>
            </w:r>
          </w:p>
        </w:tc>
        <w:tc>
          <w:tcPr>
            <w:tcW w:w="5016" w:type="dxa"/>
          </w:tcPr>
          <w:p w14:paraId="547F3EF9" w14:textId="7BC187F6" w:rsidR="00037E52" w:rsidRPr="00EB3D1B" w:rsidRDefault="00661BEB" w:rsidP="00037E52">
            <w:pPr>
              <w:pStyle w:val="Tablefont"/>
              <w:rPr>
                <w:b/>
              </w:rPr>
            </w:pPr>
            <w:r>
              <w:rPr>
                <w:b/>
              </w:rPr>
              <w:t>100 ppm</w:t>
            </w:r>
          </w:p>
        </w:tc>
      </w:tr>
      <w:tr w:rsidR="00D7399E" w:rsidRPr="004C23F4" w14:paraId="131F7765" w14:textId="77777777" w:rsidTr="00AE2CA2">
        <w:trPr>
          <w:cantSplit/>
        </w:trPr>
        <w:tc>
          <w:tcPr>
            <w:tcW w:w="9026" w:type="dxa"/>
            <w:gridSpan w:val="2"/>
            <w:vAlign w:val="center"/>
          </w:tcPr>
          <w:p w14:paraId="7E8D7070" w14:textId="660CE290" w:rsidR="00D7399E" w:rsidRPr="00EB3D1B" w:rsidRDefault="00D7399E" w:rsidP="00D7399E">
            <w:pPr>
              <w:pStyle w:val="Tablefont"/>
              <w:rPr>
                <w:b/>
              </w:rPr>
            </w:pPr>
            <w:r w:rsidRPr="00C9508E">
              <w:rPr>
                <w:b/>
              </w:rPr>
              <w:t>Sampling and analysis:</w:t>
            </w:r>
            <w:r w:rsidRPr="00EC521E">
              <w:rPr>
                <w:rStyle w:val="WESstatus"/>
                <w:color w:val="auto"/>
              </w:rPr>
              <w:t xml:space="preserve"> </w:t>
            </w:r>
            <w:sdt>
              <w:sdtPr>
                <w:rPr>
                  <w:rStyle w:val="WESstatus"/>
                  <w:color w:val="auto"/>
                </w:rPr>
                <w:id w:val="-2105258949"/>
                <w:placeholder>
                  <w:docPart w:val="0D4BA0135E55467D87E320F6E3BEE06D"/>
                </w:placeholder>
                <w:comboBox>
                  <w:listItem w:displayText="(Click here to enter)" w:value="(Click here to enter)"/>
                  <w:listItem w:displayText="The recommended value is likely to be below the current limit of detection for standard sampling and analysis techniques." w:value="The recommended value is likely to be below the current limit of detection for standard sampling and analysis techniques."/>
                  <w:listItem w:displayText="The recommended value is quantifiable through available sampling and analysis techniques. " w:value="The recommended value is quantifiable through available sampling and analysis techniques. "/>
                  <w:listItem w:displayText="There is uncertainty regarding quantification of the recommended value with available sampling and/or analysis techniques." w:value="There is uncertainty regarding quantification of the recommended value with available sampling and/or analysis techniques."/>
                </w:comboBox>
              </w:sdtPr>
              <w:sdtEndPr>
                <w:rPr>
                  <w:rStyle w:val="WESstatus"/>
                </w:rPr>
              </w:sdtEndPr>
              <w:sdtContent>
                <w:r>
                  <w:rPr>
                    <w:rStyle w:val="WESstatus"/>
                    <w:color w:val="auto"/>
                  </w:rPr>
                  <w:t xml:space="preserve">The recommended value is quantifiable through available sampling and analysis techniques. </w:t>
                </w:r>
              </w:sdtContent>
            </w:sdt>
          </w:p>
        </w:tc>
      </w:tr>
    </w:tbl>
    <w:p w14:paraId="3934172A" w14:textId="77777777" w:rsidR="00CB1CB1" w:rsidRPr="003365A5" w:rsidRDefault="00F10C97" w:rsidP="003365A5">
      <w:pPr>
        <w:pStyle w:val="Heading2"/>
      </w:pPr>
      <w:r>
        <w:t>Recommendation and basis for workplace exposure standard</w:t>
      </w:r>
    </w:p>
    <w:p w14:paraId="1E6965F3" w14:textId="06E7C79F" w:rsidR="006639B4" w:rsidRDefault="00090350" w:rsidP="000C139A">
      <w:pPr>
        <w:rPr>
          <w:rFonts w:cs="Arial"/>
        </w:rPr>
      </w:pPr>
      <w:r w:rsidRPr="00090350">
        <w:rPr>
          <w:rFonts w:cs="Arial"/>
        </w:rPr>
        <w:t xml:space="preserve">A TWA of </w:t>
      </w:r>
      <w:r>
        <w:rPr>
          <w:rFonts w:cs="Arial"/>
        </w:rPr>
        <w:t>1</w:t>
      </w:r>
      <w:r w:rsidRPr="00090350">
        <w:rPr>
          <w:rFonts w:cs="Arial"/>
        </w:rPr>
        <w:t xml:space="preserve"> ppm </w:t>
      </w:r>
      <w:r>
        <w:rPr>
          <w:rFonts w:cs="Arial"/>
        </w:rPr>
        <w:t>(36</w:t>
      </w:r>
      <w:r w:rsidRPr="00090350">
        <w:rPr>
          <w:rFonts w:cs="Arial"/>
        </w:rPr>
        <w:t xml:space="preserve"> mg/m</w:t>
      </w:r>
      <w:r w:rsidRPr="00090350">
        <w:rPr>
          <w:rFonts w:cs="Arial"/>
          <w:vertAlign w:val="superscript"/>
        </w:rPr>
        <w:t>3</w:t>
      </w:r>
      <w:r w:rsidRPr="00090350">
        <w:rPr>
          <w:rFonts w:cs="Arial"/>
        </w:rPr>
        <w:t xml:space="preserve">) is recommended to protect for </w:t>
      </w:r>
      <w:r>
        <w:rPr>
          <w:rFonts w:cs="Arial"/>
        </w:rPr>
        <w:t>adverse central nervous</w:t>
      </w:r>
      <w:r w:rsidR="00504380">
        <w:rPr>
          <w:rFonts w:cs="Arial"/>
        </w:rPr>
        <w:t xml:space="preserve"> system (CNS)</w:t>
      </w:r>
      <w:r>
        <w:rPr>
          <w:rFonts w:cs="Arial"/>
        </w:rPr>
        <w:t xml:space="preserve"> effects, liver damage and potential carcinogenicity </w:t>
      </w:r>
      <w:r w:rsidRPr="00090350">
        <w:rPr>
          <w:rFonts w:cs="Arial"/>
        </w:rPr>
        <w:t>in exposed workers</w:t>
      </w:r>
      <w:r>
        <w:rPr>
          <w:rFonts w:cs="Arial"/>
        </w:rPr>
        <w:t>.</w:t>
      </w:r>
    </w:p>
    <w:p w14:paraId="70DBE2A1" w14:textId="632F0626" w:rsidR="00172DF4" w:rsidRPr="004C23F4" w:rsidRDefault="00172DF4" w:rsidP="000C139A">
      <w:pPr>
        <w:rPr>
          <w:rFonts w:cs="Arial"/>
        </w:rPr>
      </w:pPr>
      <w:r w:rsidRPr="00FE7A92">
        <w:rPr>
          <w:rFonts w:cs="Arial"/>
        </w:rPr>
        <w:t>Given the limited data available from the primary sources</w:t>
      </w:r>
      <w:r w:rsidR="004E0787" w:rsidRPr="00FE7A92">
        <w:rPr>
          <w:rFonts w:cs="Arial"/>
        </w:rPr>
        <w:t xml:space="preserve"> </w:t>
      </w:r>
      <w:r w:rsidR="00B14C9F" w:rsidRPr="00FE7A92">
        <w:rPr>
          <w:rFonts w:cs="Arial"/>
        </w:rPr>
        <w:t>about</w:t>
      </w:r>
      <w:r w:rsidR="004E0787" w:rsidRPr="00FE7A92">
        <w:rPr>
          <w:rFonts w:cs="Arial"/>
        </w:rPr>
        <w:t xml:space="preserve"> carcinogenicity outcomes in humans and the mechanism of action for </w:t>
      </w:r>
      <w:r w:rsidR="00B14C9F" w:rsidRPr="00FE7A92">
        <w:rPr>
          <w:rFonts w:cs="Arial"/>
        </w:rPr>
        <w:t>carcinogenicity</w:t>
      </w:r>
      <w:r w:rsidRPr="00FE7A92">
        <w:rPr>
          <w:rFonts w:cs="Arial"/>
        </w:rPr>
        <w:t xml:space="preserve">, it is recommended that additional sources </w:t>
      </w:r>
      <w:r w:rsidR="004E0787" w:rsidRPr="00FE7A92">
        <w:rPr>
          <w:rFonts w:cs="Arial"/>
        </w:rPr>
        <w:t xml:space="preserve">are investigated </w:t>
      </w:r>
      <w:r w:rsidRPr="00FE7A92">
        <w:rPr>
          <w:rFonts w:cs="Arial"/>
        </w:rPr>
        <w:t>at the next scheduled review.</w:t>
      </w:r>
    </w:p>
    <w:p w14:paraId="4C78DDE3" w14:textId="77777777" w:rsidR="00C7155E" w:rsidRPr="004C23F4" w:rsidRDefault="00F10C97" w:rsidP="003365A5">
      <w:pPr>
        <w:pStyle w:val="Heading2"/>
      </w:pPr>
      <w:r>
        <w:t>Discussion and conclusions</w:t>
      </w:r>
    </w:p>
    <w:p w14:paraId="4E2F4F0A" w14:textId="312E78EA" w:rsidR="00274652" w:rsidRDefault="007D536B" w:rsidP="006639B4">
      <w:pPr>
        <w:rPr>
          <w:rFonts w:cs="Arial"/>
        </w:rPr>
      </w:pPr>
      <w:r>
        <w:rPr>
          <w:rFonts w:cs="Arial"/>
        </w:rPr>
        <w:t xml:space="preserve">2-Nitropropane is </w:t>
      </w:r>
      <w:r w:rsidR="008B7EE3">
        <w:rPr>
          <w:rFonts w:cs="Arial"/>
        </w:rPr>
        <w:t xml:space="preserve">used as a solvent, in the food industry and as an additive to rocket fuel and explosives. </w:t>
      </w:r>
    </w:p>
    <w:p w14:paraId="55D8157C" w14:textId="5DBD2577" w:rsidR="001451FB" w:rsidRDefault="008B7EE3" w:rsidP="006639B4">
      <w:pPr>
        <w:rPr>
          <w:rFonts w:cs="Arial"/>
        </w:rPr>
      </w:pPr>
      <w:r>
        <w:rPr>
          <w:rFonts w:cs="Arial"/>
        </w:rPr>
        <w:t xml:space="preserve">Critical effects </w:t>
      </w:r>
      <w:r w:rsidR="00946801">
        <w:rPr>
          <w:rFonts w:cs="Arial"/>
        </w:rPr>
        <w:t xml:space="preserve">of exposure </w:t>
      </w:r>
      <w:r>
        <w:rPr>
          <w:rFonts w:cs="Arial"/>
        </w:rPr>
        <w:t xml:space="preserve">are </w:t>
      </w:r>
      <w:r w:rsidR="00DE59C4">
        <w:rPr>
          <w:rFonts w:cs="Arial"/>
        </w:rPr>
        <w:t xml:space="preserve">adverse </w:t>
      </w:r>
      <w:r w:rsidR="00504380">
        <w:rPr>
          <w:rFonts w:cs="Arial"/>
        </w:rPr>
        <w:t>CNS</w:t>
      </w:r>
      <w:r w:rsidR="00DE59C4">
        <w:rPr>
          <w:rFonts w:cs="Arial"/>
        </w:rPr>
        <w:t xml:space="preserve"> effects and </w:t>
      </w:r>
      <w:r>
        <w:rPr>
          <w:rFonts w:cs="Arial"/>
        </w:rPr>
        <w:t>liver damage as observed in</w:t>
      </w:r>
      <w:r w:rsidR="00AE2CA2">
        <w:rPr>
          <w:rFonts w:cs="Arial"/>
        </w:rPr>
        <w:t xml:space="preserve"> exposed workers. Carcinogenic potential</w:t>
      </w:r>
      <w:r w:rsidR="002B2104">
        <w:rPr>
          <w:rFonts w:cs="Arial"/>
        </w:rPr>
        <w:t xml:space="preserve"> associated with liver damage</w:t>
      </w:r>
      <w:r w:rsidR="00AE2CA2">
        <w:rPr>
          <w:rFonts w:cs="Arial"/>
        </w:rPr>
        <w:t xml:space="preserve"> is demonstrated </w:t>
      </w:r>
      <w:r>
        <w:rPr>
          <w:rFonts w:cs="Arial"/>
        </w:rPr>
        <w:t xml:space="preserve">in </w:t>
      </w:r>
      <w:r w:rsidR="00E833A3">
        <w:rPr>
          <w:rFonts w:cs="Arial"/>
        </w:rPr>
        <w:t xml:space="preserve">chronically exposed </w:t>
      </w:r>
      <w:r>
        <w:rPr>
          <w:rFonts w:cs="Arial"/>
        </w:rPr>
        <w:t>rats</w:t>
      </w:r>
      <w:r w:rsidR="00AE2CA2">
        <w:rPr>
          <w:rFonts w:cs="Arial"/>
        </w:rPr>
        <w:t xml:space="preserve"> </w:t>
      </w:r>
      <w:r>
        <w:rPr>
          <w:rFonts w:cs="Arial"/>
        </w:rPr>
        <w:t>(ACGIH, 2018; DFG, 1992).</w:t>
      </w:r>
      <w:r w:rsidR="00274652">
        <w:rPr>
          <w:rFonts w:cs="Arial"/>
        </w:rPr>
        <w:t xml:space="preserve"> </w:t>
      </w:r>
    </w:p>
    <w:p w14:paraId="4EEBE1FF" w14:textId="17D93E82" w:rsidR="00092A76" w:rsidRDefault="00856114" w:rsidP="006639B4">
      <w:pPr>
        <w:rPr>
          <w:rFonts w:cs="Arial"/>
        </w:rPr>
      </w:pPr>
      <w:r>
        <w:rPr>
          <w:rFonts w:cs="Arial"/>
        </w:rPr>
        <w:t>Workplace exposures of 10 to 30 ppm are not associated with toxicity</w:t>
      </w:r>
      <w:r w:rsidR="004E0787">
        <w:rPr>
          <w:rFonts w:cs="Arial"/>
        </w:rPr>
        <w:t>;</w:t>
      </w:r>
      <w:r>
        <w:rPr>
          <w:rFonts w:cs="Arial"/>
        </w:rPr>
        <w:t xml:space="preserve"> whereas h</w:t>
      </w:r>
      <w:r w:rsidR="00092A76">
        <w:rPr>
          <w:rFonts w:cs="Arial"/>
        </w:rPr>
        <w:t xml:space="preserve">eadache, nausea and anorexia are reported </w:t>
      </w:r>
      <w:r w:rsidR="003C735C">
        <w:rPr>
          <w:rFonts w:cs="Arial"/>
        </w:rPr>
        <w:t xml:space="preserve">at </w:t>
      </w:r>
      <w:r w:rsidR="004E0787">
        <w:rPr>
          <w:rFonts w:cs="Arial"/>
        </w:rPr>
        <w:t xml:space="preserve">exposures </w:t>
      </w:r>
      <w:r w:rsidR="00092A76">
        <w:rPr>
          <w:rFonts w:cs="Arial"/>
        </w:rPr>
        <w:t xml:space="preserve">between 20 </w:t>
      </w:r>
      <w:r w:rsidR="004E0787">
        <w:rPr>
          <w:rFonts w:cs="Arial"/>
        </w:rPr>
        <w:t>and</w:t>
      </w:r>
      <w:r w:rsidR="00092A76">
        <w:rPr>
          <w:rFonts w:cs="Arial"/>
        </w:rPr>
        <w:t xml:space="preserve"> 45</w:t>
      </w:r>
      <w:r w:rsidR="002B2104">
        <w:rPr>
          <w:rFonts w:cs="Arial"/>
        </w:rPr>
        <w:t> </w:t>
      </w:r>
      <w:r w:rsidR="00092A76">
        <w:rPr>
          <w:rFonts w:cs="Arial"/>
        </w:rPr>
        <w:t xml:space="preserve">ppm (ACGIH, 2018; HCOTN, 1999). </w:t>
      </w:r>
      <w:r w:rsidR="00AE2CA2">
        <w:rPr>
          <w:rFonts w:cs="Arial"/>
        </w:rPr>
        <w:t>L</w:t>
      </w:r>
      <w:r w:rsidR="00824401">
        <w:rPr>
          <w:rFonts w:cs="Arial"/>
        </w:rPr>
        <w:t xml:space="preserve">iver carcinogenicity is </w:t>
      </w:r>
      <w:r w:rsidR="00AE2CA2">
        <w:rPr>
          <w:rFonts w:cs="Arial"/>
        </w:rPr>
        <w:t>evidenced</w:t>
      </w:r>
      <w:r w:rsidR="00824401">
        <w:rPr>
          <w:rFonts w:cs="Arial"/>
        </w:rPr>
        <w:t xml:space="preserve"> </w:t>
      </w:r>
      <w:r w:rsidR="00573BC5">
        <w:rPr>
          <w:rFonts w:cs="Arial"/>
        </w:rPr>
        <w:t>above</w:t>
      </w:r>
      <w:r w:rsidR="00824401">
        <w:rPr>
          <w:rFonts w:cs="Arial"/>
        </w:rPr>
        <w:t xml:space="preserve"> 25</w:t>
      </w:r>
      <w:r w:rsidR="00AE2CA2">
        <w:rPr>
          <w:rFonts w:cs="Arial"/>
        </w:rPr>
        <w:t> </w:t>
      </w:r>
      <w:r w:rsidR="00824401">
        <w:rPr>
          <w:rFonts w:cs="Arial"/>
        </w:rPr>
        <w:t xml:space="preserve">ppm in chronically exposed </w:t>
      </w:r>
      <w:r w:rsidR="000520C0">
        <w:rPr>
          <w:rFonts w:cs="Arial"/>
        </w:rPr>
        <w:t>rats but</w:t>
      </w:r>
      <w:r w:rsidR="00824401">
        <w:rPr>
          <w:rFonts w:cs="Arial"/>
        </w:rPr>
        <w:t xml:space="preserve"> is </w:t>
      </w:r>
      <w:r w:rsidR="00E833A3">
        <w:rPr>
          <w:rFonts w:cs="Arial"/>
        </w:rPr>
        <w:t>un</w:t>
      </w:r>
      <w:r w:rsidR="00824401">
        <w:rPr>
          <w:rFonts w:cs="Arial"/>
        </w:rPr>
        <w:t xml:space="preserve">affirmed in the available </w:t>
      </w:r>
      <w:r w:rsidR="00D356D7">
        <w:rPr>
          <w:rFonts w:cs="Arial"/>
        </w:rPr>
        <w:t xml:space="preserve">human </w:t>
      </w:r>
      <w:r w:rsidR="00824401">
        <w:rPr>
          <w:rFonts w:cs="Arial"/>
        </w:rPr>
        <w:t xml:space="preserve">epidemiological data (ACGIH, 2018; </w:t>
      </w:r>
      <w:r w:rsidR="0015748D">
        <w:rPr>
          <w:rFonts w:cs="Arial"/>
        </w:rPr>
        <w:t xml:space="preserve">DFG, 1992; HCOTN, 1999; </w:t>
      </w:r>
      <w:r w:rsidR="00824401">
        <w:rPr>
          <w:rFonts w:cs="Arial"/>
        </w:rPr>
        <w:t>SCOEL, 2017)</w:t>
      </w:r>
      <w:r w:rsidR="00E471EB">
        <w:rPr>
          <w:rFonts w:cs="Arial"/>
        </w:rPr>
        <w:t xml:space="preserve">. </w:t>
      </w:r>
      <w:r w:rsidR="00FF413C">
        <w:rPr>
          <w:rFonts w:cs="Arial"/>
        </w:rPr>
        <w:t>G</w:t>
      </w:r>
      <w:r w:rsidR="00092A76">
        <w:rPr>
          <w:rFonts w:cs="Arial"/>
        </w:rPr>
        <w:t xml:space="preserve">enotoxicity </w:t>
      </w:r>
      <w:r w:rsidR="00092A76">
        <w:rPr>
          <w:rFonts w:cs="Arial"/>
          <w:i/>
        </w:rPr>
        <w:t>in vitro</w:t>
      </w:r>
      <w:r w:rsidR="00092A76">
        <w:rPr>
          <w:rFonts w:cs="Arial"/>
        </w:rPr>
        <w:t xml:space="preserve"> and </w:t>
      </w:r>
      <w:r w:rsidR="00092A76">
        <w:rPr>
          <w:rFonts w:cs="Arial"/>
          <w:i/>
        </w:rPr>
        <w:t>in vivo</w:t>
      </w:r>
      <w:r w:rsidR="00092A76">
        <w:rPr>
          <w:rFonts w:cs="Arial"/>
        </w:rPr>
        <w:t xml:space="preserve"> </w:t>
      </w:r>
      <w:r w:rsidR="003C735C">
        <w:rPr>
          <w:rFonts w:cs="Arial"/>
        </w:rPr>
        <w:t>i</w:t>
      </w:r>
      <w:r w:rsidR="00092A76">
        <w:rPr>
          <w:rFonts w:cs="Arial"/>
        </w:rPr>
        <w:t>s not associated with a carcinogenic mechanism of action</w:t>
      </w:r>
      <w:r w:rsidR="005A20DB">
        <w:rPr>
          <w:rFonts w:cs="Arial"/>
        </w:rPr>
        <w:t xml:space="preserve">, but conclusive mechanistic investigations are not </w:t>
      </w:r>
      <w:proofErr w:type="gramStart"/>
      <w:r w:rsidR="00B14C9F">
        <w:rPr>
          <w:rFonts w:cs="Arial"/>
        </w:rPr>
        <w:t>identified</w:t>
      </w:r>
      <w:proofErr w:type="gramEnd"/>
      <w:r w:rsidR="005A20DB">
        <w:rPr>
          <w:rFonts w:cs="Arial"/>
        </w:rPr>
        <w:t xml:space="preserve"> and</w:t>
      </w:r>
      <w:r w:rsidR="00092A76">
        <w:rPr>
          <w:rFonts w:cs="Arial"/>
        </w:rPr>
        <w:t xml:space="preserve"> </w:t>
      </w:r>
      <w:r w:rsidR="00B14C9F">
        <w:rPr>
          <w:rFonts w:cs="Arial"/>
        </w:rPr>
        <w:t>role of</w:t>
      </w:r>
      <w:r w:rsidR="00092A76">
        <w:rPr>
          <w:rFonts w:cs="Arial"/>
        </w:rPr>
        <w:t xml:space="preserve"> </w:t>
      </w:r>
      <w:r w:rsidR="001451FB">
        <w:rPr>
          <w:rFonts w:cs="Arial"/>
        </w:rPr>
        <w:t xml:space="preserve">hypothetical </w:t>
      </w:r>
      <w:r w:rsidR="00092A76">
        <w:rPr>
          <w:rFonts w:cs="Arial"/>
        </w:rPr>
        <w:t>genotoxic metabolites appears plausible (IARC, 1999).</w:t>
      </w:r>
    </w:p>
    <w:p w14:paraId="2234EF84" w14:textId="77777777" w:rsidR="001451FB" w:rsidRDefault="005A20DB" w:rsidP="005A20DB">
      <w:pPr>
        <w:rPr>
          <w:rFonts w:cs="Arial"/>
        </w:rPr>
      </w:pPr>
      <w:r>
        <w:rPr>
          <w:rFonts w:cs="Arial"/>
        </w:rPr>
        <w:t>Prevention of liver damage is suggested to be protective of subsequent liver carcinogenicity (ACGIH, 2018). However, a</w:t>
      </w:r>
      <w:r w:rsidR="00744E3B">
        <w:rPr>
          <w:rFonts w:cs="Arial"/>
        </w:rPr>
        <w:t xml:space="preserve"> </w:t>
      </w:r>
      <w:r>
        <w:rPr>
          <w:rFonts w:cs="Arial"/>
        </w:rPr>
        <w:t>threshold</w:t>
      </w:r>
      <w:r w:rsidR="00744E3B">
        <w:rPr>
          <w:rFonts w:cs="Arial"/>
        </w:rPr>
        <w:t xml:space="preserve"> for </w:t>
      </w:r>
      <w:r w:rsidR="00AC07E1">
        <w:rPr>
          <w:rFonts w:cs="Arial"/>
        </w:rPr>
        <w:t xml:space="preserve">liver damage and resulting carcinogenicity at 25 ppm in chronically exposed rats is </w:t>
      </w:r>
      <w:r w:rsidR="00744E3B">
        <w:rPr>
          <w:rFonts w:cs="Arial"/>
        </w:rPr>
        <w:t>disputed in the available source material (ACGIH, 2018; SCOEL, 2017).</w:t>
      </w:r>
      <w:r w:rsidR="00AC07E1">
        <w:rPr>
          <w:rFonts w:cs="Arial"/>
        </w:rPr>
        <w:t xml:space="preserve"> </w:t>
      </w:r>
      <w:r w:rsidR="00090350">
        <w:rPr>
          <w:rFonts w:cs="Arial"/>
        </w:rPr>
        <w:t>In view of the</w:t>
      </w:r>
      <w:r w:rsidR="009F3A72">
        <w:rPr>
          <w:rFonts w:cs="Arial"/>
        </w:rPr>
        <w:t xml:space="preserve"> </w:t>
      </w:r>
      <w:r w:rsidR="009F3A72">
        <w:rPr>
          <w:rFonts w:cs="Arial"/>
        </w:rPr>
        <w:lastRenderedPageBreak/>
        <w:t xml:space="preserve">absence of toxicity at exposures between 10 and 20 ppm in the workplace, the TWA of 10 ppm </w:t>
      </w:r>
      <w:r w:rsidR="00B14C9F">
        <w:rPr>
          <w:rFonts w:cs="Arial"/>
        </w:rPr>
        <w:t xml:space="preserve">(SWA, 1991 and ACGIH, 2001) </w:t>
      </w:r>
      <w:r w:rsidR="009F3A72">
        <w:rPr>
          <w:rFonts w:cs="Arial"/>
        </w:rPr>
        <w:t xml:space="preserve">is </w:t>
      </w:r>
      <w:r w:rsidR="004E0787">
        <w:rPr>
          <w:rFonts w:cs="Arial"/>
        </w:rPr>
        <w:t xml:space="preserve">recommended to be </w:t>
      </w:r>
      <w:r w:rsidR="009F3A72">
        <w:rPr>
          <w:rFonts w:cs="Arial"/>
        </w:rPr>
        <w:t xml:space="preserve">retained. </w:t>
      </w:r>
    </w:p>
    <w:p w14:paraId="3E98F7E6" w14:textId="425717B2" w:rsidR="00090350" w:rsidRDefault="004E0787" w:rsidP="005A20DB">
      <w:pPr>
        <w:rPr>
          <w:rFonts w:cs="Arial"/>
        </w:rPr>
      </w:pPr>
      <w:r w:rsidRPr="00FE7A92">
        <w:rPr>
          <w:rFonts w:cs="Arial"/>
        </w:rPr>
        <w:t>D</w:t>
      </w:r>
      <w:r w:rsidR="009F3A72" w:rsidRPr="00FE7A92">
        <w:rPr>
          <w:rFonts w:cs="Arial"/>
        </w:rPr>
        <w:t xml:space="preserve">ue to the equivocal evidence </w:t>
      </w:r>
      <w:r w:rsidR="005A20DB" w:rsidRPr="00FE7A92">
        <w:rPr>
          <w:rFonts w:cs="Arial"/>
        </w:rPr>
        <w:t xml:space="preserve">for </w:t>
      </w:r>
      <w:r w:rsidR="009F3A72" w:rsidRPr="00FE7A92">
        <w:rPr>
          <w:rFonts w:cs="Arial"/>
        </w:rPr>
        <w:t xml:space="preserve">carcinogenicity in humans and genotoxicity in animals, </w:t>
      </w:r>
      <w:r w:rsidRPr="00FE7A92">
        <w:rPr>
          <w:rFonts w:cs="Arial"/>
        </w:rPr>
        <w:t>it is recommended additional data sources are reviewed for these endpoints at subsequent reviews.</w:t>
      </w:r>
    </w:p>
    <w:p w14:paraId="1BE1ED53" w14:textId="77777777" w:rsidR="004529F0" w:rsidRPr="004C23F4" w:rsidRDefault="004529F0" w:rsidP="004529F0">
      <w:pPr>
        <w:pStyle w:val="Heading2"/>
      </w:pPr>
      <w:r>
        <w:t>Recommendation for notations</w:t>
      </w:r>
    </w:p>
    <w:p w14:paraId="43D4A7E2" w14:textId="4B71A4B5" w:rsidR="00090350" w:rsidRPr="00090350" w:rsidRDefault="00090350" w:rsidP="00090350">
      <w:pPr>
        <w:rPr>
          <w:rFonts w:cs="Arial"/>
        </w:rPr>
      </w:pPr>
      <w:r w:rsidRPr="00090350">
        <w:rPr>
          <w:rFonts w:cs="Arial"/>
        </w:rPr>
        <w:t xml:space="preserve">Classified as a category </w:t>
      </w:r>
      <w:r>
        <w:rPr>
          <w:rFonts w:cs="Arial"/>
        </w:rPr>
        <w:t>1B</w:t>
      </w:r>
      <w:r w:rsidRPr="00090350">
        <w:rPr>
          <w:rFonts w:cs="Arial"/>
        </w:rPr>
        <w:t xml:space="preserve"> carcinogen according to the Globally Harmonized System of Classification and Labelling of Chemicals (GHS). </w:t>
      </w:r>
    </w:p>
    <w:p w14:paraId="35AEB1CD" w14:textId="37FE3B8D" w:rsidR="008E4F1F" w:rsidRPr="00090350" w:rsidRDefault="008E4F1F" w:rsidP="008E4F1F">
      <w:pPr>
        <w:rPr>
          <w:rFonts w:cs="Arial"/>
        </w:rPr>
      </w:pPr>
      <w:r w:rsidRPr="00090350">
        <w:rPr>
          <w:rFonts w:cs="Arial"/>
        </w:rPr>
        <w:t>Not classified as a skin</w:t>
      </w:r>
      <w:r w:rsidR="009F00CA">
        <w:rPr>
          <w:rFonts w:cs="Arial"/>
        </w:rPr>
        <w:t xml:space="preserve"> sensitiser</w:t>
      </w:r>
      <w:r w:rsidRPr="00090350">
        <w:rPr>
          <w:rFonts w:cs="Arial"/>
        </w:rPr>
        <w:t xml:space="preserve"> or respiratory sensitiser according to the GHS.</w:t>
      </w:r>
    </w:p>
    <w:p w14:paraId="09E7E4C9" w14:textId="23C34492" w:rsidR="004529F0" w:rsidRPr="004C23F4" w:rsidRDefault="00391970" w:rsidP="008E4F1F">
      <w:pPr>
        <w:rPr>
          <w:rFonts w:cs="Arial"/>
        </w:rPr>
      </w:pPr>
      <w:r>
        <w:rPr>
          <w:rFonts w:cs="Arial"/>
        </w:rPr>
        <w:t>There are i</w:t>
      </w:r>
      <w:r w:rsidR="008E4F1F" w:rsidRPr="00090350">
        <w:rPr>
          <w:rFonts w:cs="Arial"/>
        </w:rPr>
        <w:t xml:space="preserve">nsufficient </w:t>
      </w:r>
      <w:r>
        <w:rPr>
          <w:rFonts w:cs="Arial"/>
        </w:rPr>
        <w:t>data</w:t>
      </w:r>
      <w:r w:rsidR="008E4F1F" w:rsidRPr="00090350">
        <w:rPr>
          <w:rFonts w:cs="Arial"/>
        </w:rPr>
        <w:t xml:space="preserve"> to recommend a skin notation.</w:t>
      </w:r>
    </w:p>
    <w:p w14:paraId="2040A84C" w14:textId="77777777" w:rsidR="0025734A" w:rsidRPr="004C23F4" w:rsidRDefault="0025734A">
      <w:pPr>
        <w:rPr>
          <w:rFonts w:cs="Arial"/>
        </w:rPr>
      </w:pPr>
    </w:p>
    <w:p w14:paraId="6B8524B4" w14:textId="77777777" w:rsidR="005E6979" w:rsidRPr="004C23F4" w:rsidRDefault="005E6979">
      <w:pPr>
        <w:rPr>
          <w:rFonts w:cs="Arial"/>
        </w:rPr>
        <w:sectPr w:rsidR="005E6979" w:rsidRPr="004C23F4" w:rsidSect="00B479A9">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708" w:footer="283" w:gutter="0"/>
          <w:cols w:space="708"/>
          <w:docGrid w:linePitch="360"/>
        </w:sectPr>
      </w:pPr>
    </w:p>
    <w:p w14:paraId="6DDDF6F6" w14:textId="77777777" w:rsidR="0034744C" w:rsidRPr="004C23F4" w:rsidRDefault="005E6979" w:rsidP="005E6979">
      <w:pPr>
        <w:pStyle w:val="Heading1"/>
        <w:rPr>
          <w:rFonts w:ascii="Arial" w:hAnsi="Arial" w:cs="Arial"/>
        </w:rPr>
      </w:pPr>
      <w:r w:rsidRPr="004C23F4">
        <w:rPr>
          <w:rFonts w:ascii="Arial" w:hAnsi="Arial" w:cs="Arial"/>
        </w:rPr>
        <w:lastRenderedPageBreak/>
        <w:t>Appendix</w:t>
      </w:r>
    </w:p>
    <w:p w14:paraId="77583905" w14:textId="77777777" w:rsidR="008D026D" w:rsidRPr="003365A5" w:rsidRDefault="00B479A9" w:rsidP="003365A5">
      <w:pPr>
        <w:pStyle w:val="Heading3"/>
      </w:pPr>
      <w:r w:rsidRPr="003365A5">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20" w:firstRow="1" w:lastRow="0" w:firstColumn="0" w:lastColumn="0" w:noHBand="1" w:noVBand="1"/>
        <w:tblCaption w:val="Table"/>
        <w:tblDescription w:val="Listing primary sources with reports"/>
      </w:tblPr>
      <w:tblGrid>
        <w:gridCol w:w="9006"/>
        <w:gridCol w:w="14"/>
      </w:tblGrid>
      <w:tr w:rsidR="00C978F0" w:rsidRPr="00EA105A" w14:paraId="54ACEC2B" w14:textId="77777777" w:rsidTr="00EA105A">
        <w:trPr>
          <w:gridAfter w:val="1"/>
          <w:cnfStyle w:val="100000000000" w:firstRow="1" w:lastRow="0" w:firstColumn="0" w:lastColumn="0" w:oddVBand="0" w:evenVBand="0" w:oddHBand="0" w:evenHBand="0" w:firstRowFirstColumn="0" w:firstRowLastColumn="0" w:lastRowFirstColumn="0" w:lastRowLastColumn="0"/>
          <w:wAfter w:w="8" w:type="pct"/>
          <w:trHeight w:val="393"/>
          <w:tblHeader/>
        </w:trPr>
        <w:tc>
          <w:tcPr>
            <w:tcW w:w="4992" w:type="pct"/>
            <w:shd w:val="clear" w:color="auto" w:fill="BFBFBF" w:themeFill="background1" w:themeFillShade="BF"/>
            <w:vAlign w:val="center"/>
          </w:tcPr>
          <w:p w14:paraId="0E906630" w14:textId="77777777" w:rsidR="00C978F0" w:rsidRPr="00EA105A" w:rsidRDefault="00C978F0" w:rsidP="00C67FFB">
            <w:pPr>
              <w:pStyle w:val="Tableheader"/>
              <w:tabs>
                <w:tab w:val="left" w:pos="1418"/>
                <w:tab w:val="left" w:pos="2552"/>
                <w:tab w:val="right" w:pos="8489"/>
              </w:tabs>
              <w:rPr>
                <w:b/>
              </w:rPr>
            </w:pPr>
            <w:r w:rsidRPr="00EA105A">
              <w:rPr>
                <w:b/>
              </w:rPr>
              <w:t>Source</w:t>
            </w:r>
            <w:r w:rsidR="00DA352E" w:rsidRPr="00EA105A">
              <w:rPr>
                <w:b/>
              </w:rPr>
              <w:tab/>
              <w:t>Year set</w:t>
            </w:r>
            <w:r w:rsidR="00DA352E" w:rsidRPr="00EA105A">
              <w:rPr>
                <w:b/>
              </w:rPr>
              <w:tab/>
              <w:t>Standard</w:t>
            </w:r>
            <w:r w:rsidR="00974F2D" w:rsidRPr="00EA105A">
              <w:rPr>
                <w:b/>
              </w:rPr>
              <w:tab/>
            </w:r>
          </w:p>
        </w:tc>
        <w:bookmarkStart w:id="0" w:name="_GoBack"/>
        <w:bookmarkEnd w:id="0"/>
      </w:tr>
      <w:tr w:rsidR="00DE26E8" w:rsidRPr="003365A5" w14:paraId="0ACACE72" w14:textId="77777777" w:rsidTr="00EA105A">
        <w:tc>
          <w:tcPr>
            <w:tcW w:w="5000" w:type="pct"/>
            <w:gridSpan w:val="2"/>
            <w:shd w:val="clear" w:color="auto" w:fill="F2F2F2" w:themeFill="background1" w:themeFillShade="F2"/>
          </w:tcPr>
          <w:p w14:paraId="08ED1853" w14:textId="77777777" w:rsidR="00DE26E8" w:rsidRPr="003365A5" w:rsidRDefault="00DE26E8" w:rsidP="0051509C">
            <w:pPr>
              <w:pStyle w:val="Tablerowheadingitalic"/>
              <w:tabs>
                <w:tab w:val="clear" w:pos="2268"/>
                <w:tab w:val="clear" w:pos="5670"/>
                <w:tab w:val="left" w:pos="1418"/>
                <w:tab w:val="left" w:pos="2552"/>
              </w:tabs>
            </w:pPr>
            <w:r w:rsidRPr="003365A5">
              <w:t>SWA</w:t>
            </w:r>
            <w:r w:rsidRPr="003365A5">
              <w:tab/>
            </w:r>
            <w:sdt>
              <w:sdtPr>
                <w:id w:val="-2034099983"/>
                <w:placeholder>
                  <w:docPart w:val="0A35AF4547E94E219E26BC12DBC33282"/>
                </w:placeholder>
                <w:text/>
              </w:sdtPr>
              <w:sdtEndPr/>
              <w:sdtContent>
                <w:r w:rsidR="001C699B">
                  <w:t>1991</w:t>
                </w:r>
              </w:sdtContent>
            </w:sdt>
            <w:r w:rsidRPr="003365A5">
              <w:tab/>
            </w:r>
            <w:r>
              <w:tab/>
            </w:r>
            <w:sdt>
              <w:sdtPr>
                <w:alias w:val="SWA WES"/>
                <w:tag w:val="SWA WES"/>
                <w:id w:val="857077202"/>
                <w:placeholder>
                  <w:docPart w:val="81CFEC2FDBC5451289F394E66D92D1A0"/>
                </w:placeholder>
              </w:sdtPr>
              <w:sdtEndPr/>
              <w:sdtContent>
                <w:r w:rsidR="001C699B">
                  <w:t>TWA: 10 ppm (36 mg/m</w:t>
                </w:r>
                <w:r w:rsidR="001C699B" w:rsidRPr="001C699B">
                  <w:rPr>
                    <w:vertAlign w:val="superscript"/>
                  </w:rPr>
                  <w:t>3</w:t>
                </w:r>
                <w:r w:rsidR="001C699B">
                  <w:t>)</w:t>
                </w:r>
              </w:sdtContent>
            </w:sdt>
          </w:p>
        </w:tc>
      </w:tr>
      <w:tr w:rsidR="00C978F0" w:rsidRPr="00DA352E" w14:paraId="44F70E87" w14:textId="77777777" w:rsidTr="00EA105A">
        <w:trPr>
          <w:gridAfter w:val="1"/>
          <w:wAfter w:w="8" w:type="pct"/>
        </w:trPr>
        <w:tc>
          <w:tcPr>
            <w:tcW w:w="4992" w:type="pct"/>
          </w:tcPr>
          <w:p w14:paraId="215E97EC" w14:textId="77777777" w:rsidR="00C978F0" w:rsidRPr="00DA352E" w:rsidRDefault="00C978F0" w:rsidP="003365A5">
            <w:pPr>
              <w:pStyle w:val="Tabletextprimarysource"/>
            </w:pPr>
          </w:p>
        </w:tc>
      </w:tr>
      <w:tr w:rsidR="00C978F0" w:rsidRPr="00DA352E" w14:paraId="5C5B5332" w14:textId="77777777" w:rsidTr="00EA105A">
        <w:trPr>
          <w:gridAfter w:val="1"/>
          <w:wAfter w:w="8" w:type="pct"/>
        </w:trPr>
        <w:tc>
          <w:tcPr>
            <w:tcW w:w="4992" w:type="pct"/>
            <w:shd w:val="clear" w:color="auto" w:fill="F2F2F2" w:themeFill="background1" w:themeFillShade="F2"/>
          </w:tcPr>
          <w:p w14:paraId="54F52A0F" w14:textId="77777777" w:rsidR="00C978F0" w:rsidRPr="00DA352E" w:rsidRDefault="00DA352E" w:rsidP="0051509C">
            <w:pPr>
              <w:pStyle w:val="Tablerowheadingitalic"/>
              <w:tabs>
                <w:tab w:val="clear" w:pos="2268"/>
                <w:tab w:val="clear" w:pos="5670"/>
                <w:tab w:val="left" w:pos="1418"/>
                <w:tab w:val="left" w:pos="2552"/>
              </w:tabs>
            </w:pPr>
            <w:r w:rsidRPr="00DA352E">
              <w:t>ACGIH</w:t>
            </w:r>
            <w:r w:rsidR="00916EC0">
              <w:t xml:space="preserve"> </w:t>
            </w:r>
            <w:r w:rsidR="00916EC0" w:rsidRPr="003365A5">
              <w:tab/>
            </w:r>
            <w:sdt>
              <w:sdtPr>
                <w:id w:val="444816450"/>
                <w:placeholder>
                  <w:docPart w:val="C8FBF9621EB94FE084F687C8955AF85F"/>
                </w:placeholder>
                <w:text/>
              </w:sdtPr>
              <w:sdtEndPr/>
              <w:sdtContent>
                <w:r w:rsidR="00583B03">
                  <w:t>2001</w:t>
                </w:r>
              </w:sdtContent>
            </w:sdt>
            <w:r w:rsidR="00916EC0" w:rsidRPr="003365A5">
              <w:tab/>
            </w:r>
            <w:r w:rsidR="0051509C">
              <w:tab/>
            </w:r>
            <w:sdt>
              <w:sdtPr>
                <w:alias w:val="ACGIH WES equivalent"/>
                <w:tag w:val="ACGIH WES equivalent"/>
                <w:id w:val="-1676410403"/>
                <w:placeholder>
                  <w:docPart w:val="522022AAE76B4622AC0DF750489702EB"/>
                </w:placeholder>
              </w:sdtPr>
              <w:sdtEndPr/>
              <w:sdtContent>
                <w:sdt>
                  <w:sdtPr>
                    <w:alias w:val="SWA WES"/>
                    <w:tag w:val="SWA WES"/>
                    <w:id w:val="-887414847"/>
                    <w:placeholder>
                      <w:docPart w:val="33712D085CB5466489810EFEE73457FC"/>
                    </w:placeholder>
                  </w:sdtPr>
                  <w:sdtEndPr/>
                  <w:sdtContent>
                    <w:r w:rsidR="00583B03">
                      <w:t>TLV-TWA: 10 ppm (36 mg/m</w:t>
                    </w:r>
                    <w:r w:rsidR="00583B03" w:rsidRPr="001C699B">
                      <w:rPr>
                        <w:vertAlign w:val="superscript"/>
                      </w:rPr>
                      <w:t>3</w:t>
                    </w:r>
                    <w:r w:rsidR="00583B03">
                      <w:t>)</w:t>
                    </w:r>
                  </w:sdtContent>
                </w:sdt>
              </w:sdtContent>
            </w:sdt>
          </w:p>
        </w:tc>
      </w:tr>
      <w:tr w:rsidR="00C978F0" w:rsidRPr="00DA352E" w14:paraId="54762FC8" w14:textId="77777777" w:rsidTr="00EA105A">
        <w:trPr>
          <w:gridAfter w:val="1"/>
          <w:wAfter w:w="8" w:type="pct"/>
        </w:trPr>
        <w:tc>
          <w:tcPr>
            <w:tcW w:w="4992" w:type="pct"/>
          </w:tcPr>
          <w:p w14:paraId="679E7697" w14:textId="77777777" w:rsidR="003C735C" w:rsidRDefault="003D0266" w:rsidP="008B6E76">
            <w:pPr>
              <w:pStyle w:val="Tabletextprimarysource"/>
            </w:pPr>
            <w:r>
              <w:t xml:space="preserve">TLV-TWA intended to protect for liver damage and potential liver cancers. </w:t>
            </w:r>
          </w:p>
          <w:p w14:paraId="418A4380" w14:textId="669119FA" w:rsidR="00C978F0" w:rsidRDefault="003D0266" w:rsidP="008B6E76">
            <w:pPr>
              <w:pStyle w:val="Tabletextprimarysource"/>
            </w:pPr>
            <w:r>
              <w:t xml:space="preserve">Classified as confirmed carcinogen in animals with unknown relevance to humans </w:t>
            </w:r>
            <w:r w:rsidR="00AE35FE">
              <w:t>(A3).</w:t>
            </w:r>
          </w:p>
          <w:p w14:paraId="5AE267EA" w14:textId="28FC9FCF" w:rsidR="00AE35FE" w:rsidRDefault="00AE35FE" w:rsidP="008B6E76">
            <w:pPr>
              <w:pStyle w:val="Tabletextprimarysource"/>
            </w:pPr>
            <w:r>
              <w:t>Summary of data:</w:t>
            </w:r>
          </w:p>
          <w:p w14:paraId="7E8B8629" w14:textId="2F3F5F80" w:rsidR="00393484" w:rsidRPr="00393484" w:rsidRDefault="00393484" w:rsidP="008B6E76">
            <w:pPr>
              <w:pStyle w:val="Tabletextprimarysource"/>
            </w:pPr>
            <w:r>
              <w:t xml:space="preserve">TLV-TWA based on weight of evidence of liver cell hypotrophy and cancer in rats, suggestive but inconclusive increased cancer incidence in epidemiological study and mutagenicity </w:t>
            </w:r>
            <w:r>
              <w:rPr>
                <w:i/>
              </w:rPr>
              <w:t>in vitro</w:t>
            </w:r>
            <w:r>
              <w:t xml:space="preserve"> in bacteria. Exposure that causes liver damage in rats associated with increased cancer incidence</w:t>
            </w:r>
            <w:r w:rsidR="00D6527D">
              <w:t>, protection for liver damage therefore also expected to be protective of cancer.</w:t>
            </w:r>
          </w:p>
          <w:p w14:paraId="70019F3D" w14:textId="2640AAAD" w:rsidR="00AE35FE" w:rsidRDefault="00AE35FE" w:rsidP="008B6E76">
            <w:pPr>
              <w:pStyle w:val="Tabletextprimarysource"/>
            </w:pPr>
            <w:r>
              <w:t>Human data:</w:t>
            </w:r>
          </w:p>
          <w:p w14:paraId="31ECAC0A" w14:textId="5AAA0AC3" w:rsidR="00B66261" w:rsidRDefault="00B66261" w:rsidP="00AE35FE">
            <w:pPr>
              <w:pStyle w:val="Tabletextprimarysource"/>
              <w:numPr>
                <w:ilvl w:val="0"/>
                <w:numId w:val="2"/>
              </w:numPr>
            </w:pPr>
            <w:r>
              <w:t>Liver damage and death reported for exposed tank painters (exposures not measured)</w:t>
            </w:r>
          </w:p>
          <w:p w14:paraId="1DDC76D3" w14:textId="2D3F6BB9" w:rsidR="00B66261" w:rsidRDefault="00B66261" w:rsidP="00AE35FE">
            <w:pPr>
              <w:pStyle w:val="Tabletextprimarysource"/>
              <w:numPr>
                <w:ilvl w:val="0"/>
                <w:numId w:val="2"/>
              </w:numPr>
            </w:pPr>
            <w:r>
              <w:t>Prolonged repeated exposure at 20–45 ppm associated with nausea, vomiting, diarrh</w:t>
            </w:r>
            <w:r w:rsidR="00391970">
              <w:t>o</w:t>
            </w:r>
            <w:r>
              <w:t>ea, anorexia and severe headache (no further details provided)</w:t>
            </w:r>
          </w:p>
          <w:p w14:paraId="55C77630" w14:textId="7362D6FF" w:rsidR="00B66261" w:rsidRDefault="00393484" w:rsidP="00AE35FE">
            <w:pPr>
              <w:pStyle w:val="Tabletextprimarysource"/>
              <w:numPr>
                <w:ilvl w:val="0"/>
                <w:numId w:val="2"/>
              </w:numPr>
            </w:pPr>
            <w:r>
              <w:t>4 deaths from cancer in each males (n=1,334) and females</w:t>
            </w:r>
            <w:r w:rsidR="00B66261">
              <w:t xml:space="preserve"> </w:t>
            </w:r>
            <w:r>
              <w:t xml:space="preserve">(n=147) </w:t>
            </w:r>
            <w:r w:rsidR="00B66261">
              <w:t xml:space="preserve">compared with 1 </w:t>
            </w:r>
            <w:r>
              <w:t xml:space="preserve">and 0.8 </w:t>
            </w:r>
            <w:r w:rsidR="00B66261">
              <w:t>expected,</w:t>
            </w:r>
            <w:r>
              <w:t xml:space="preserve"> respectively, reported in r</w:t>
            </w:r>
            <w:r w:rsidR="00B66261">
              <w:t>etrospective mortality study of prod</w:t>
            </w:r>
            <w:r>
              <w:t>uction workers (n=1,481); lack of individual exposure data, workers with long exposures and small number of deaths in the groups limited conclusive evaluation of this study, but results suggest association</w:t>
            </w:r>
            <w:r w:rsidR="005F4149">
              <w:t>:</w:t>
            </w:r>
          </w:p>
          <w:p w14:paraId="3E39E8AC" w14:textId="1E7177BC" w:rsidR="00393484" w:rsidRDefault="00393484" w:rsidP="00391970">
            <w:pPr>
              <w:pStyle w:val="Tabletextprimarysource"/>
              <w:numPr>
                <w:ilvl w:val="1"/>
                <w:numId w:val="2"/>
              </w:numPr>
              <w:ind w:left="1156"/>
            </w:pPr>
            <w:r>
              <w:t>follow-up study showed no excess in liver cancer or liver disease mortality</w:t>
            </w:r>
            <w:r w:rsidR="00391970">
              <w:t>.</w:t>
            </w:r>
          </w:p>
          <w:p w14:paraId="6591B0A4" w14:textId="6C69B950" w:rsidR="00AE35FE" w:rsidRDefault="00AE35FE" w:rsidP="008B6E76">
            <w:pPr>
              <w:pStyle w:val="Tabletextprimarysource"/>
            </w:pPr>
            <w:r>
              <w:t>Animal data:</w:t>
            </w:r>
          </w:p>
          <w:p w14:paraId="2EF71B7D" w14:textId="4E108002" w:rsidR="00AE35FE" w:rsidRDefault="00AE35FE" w:rsidP="00AE35FE">
            <w:pPr>
              <w:pStyle w:val="Tabletextprimarysource"/>
              <w:numPr>
                <w:ilvl w:val="0"/>
                <w:numId w:val="1"/>
              </w:numPr>
            </w:pPr>
            <w:r>
              <w:t>LC</w:t>
            </w:r>
            <w:r>
              <w:rPr>
                <w:vertAlign w:val="subscript"/>
              </w:rPr>
              <w:t>50</w:t>
            </w:r>
            <w:r>
              <w:t>: 400 ppm (rats, 6 h); LC</w:t>
            </w:r>
            <w:r>
              <w:rPr>
                <w:vertAlign w:val="subscript"/>
              </w:rPr>
              <w:t>LO</w:t>
            </w:r>
            <w:r>
              <w:t>: 1,513 ppm (rats, 4.5 h)</w:t>
            </w:r>
          </w:p>
          <w:p w14:paraId="57A6BE83" w14:textId="77777777" w:rsidR="00C65910" w:rsidRDefault="00C65910" w:rsidP="00AE35FE">
            <w:pPr>
              <w:pStyle w:val="Tabletextprimarysource"/>
              <w:numPr>
                <w:ilvl w:val="0"/>
                <w:numId w:val="1"/>
              </w:numPr>
            </w:pPr>
            <w:r>
              <w:t>Methaemoglobin levels at 750 ppm (4.5 h) and 280 ppm (7 h) were 25% and 10–15%, respectively (cats)</w:t>
            </w:r>
          </w:p>
          <w:p w14:paraId="19075B8C" w14:textId="31DEE973" w:rsidR="00C65910" w:rsidRDefault="00C65910" w:rsidP="00AE35FE">
            <w:pPr>
              <w:pStyle w:val="Tabletextprimarysource"/>
              <w:numPr>
                <w:ilvl w:val="0"/>
                <w:numId w:val="1"/>
              </w:numPr>
            </w:pPr>
            <w:r>
              <w:t>Dyspnoea and mortality at 328 ppm (cats, 7 h/d, 5 d); histopathology showed degeneration of liver, heart and kidney</w:t>
            </w:r>
            <w:r w:rsidR="005F4149">
              <w:t>:</w:t>
            </w:r>
          </w:p>
          <w:p w14:paraId="30C261DD" w14:textId="5A2FB6CE" w:rsidR="00AE35FE" w:rsidRDefault="00C65910" w:rsidP="00391970">
            <w:pPr>
              <w:pStyle w:val="Tabletextprimarysource"/>
              <w:numPr>
                <w:ilvl w:val="1"/>
                <w:numId w:val="1"/>
              </w:numPr>
              <w:ind w:left="1156"/>
            </w:pPr>
            <w:r>
              <w:t xml:space="preserve">no histopathological changes in monkeys, rabbits, guinea pigs and rats at 328 ppm independent of duration </w:t>
            </w:r>
            <w:r w:rsidR="00D83A20">
              <w:t>(7 h/d, 5 d/wk, 191 d, also cited in DFG</w:t>
            </w:r>
            <w:r w:rsidR="00EB6423">
              <w:t>,</w:t>
            </w:r>
            <w:r w:rsidR="00D83A20">
              <w:t xml:space="preserve"> 1992)</w:t>
            </w:r>
          </w:p>
          <w:p w14:paraId="75C1B4E8" w14:textId="29D53519" w:rsidR="00C65910" w:rsidRDefault="000907CE" w:rsidP="00C65910">
            <w:pPr>
              <w:pStyle w:val="Tabletextprimarysource"/>
              <w:numPr>
                <w:ilvl w:val="0"/>
                <w:numId w:val="1"/>
              </w:numPr>
            </w:pPr>
            <w:r>
              <w:t xml:space="preserve">Hepatocellular carcinoma or adenoma </w:t>
            </w:r>
            <w:r w:rsidR="0039532F">
              <w:t>at 207 ppm (rats only) in chronic inhalation study with dose groups 0, 27, 207 ppm (rats, rabbits, 7 h/d, 5 d/wk, 6 mo); no tumours in any other groups/species</w:t>
            </w:r>
            <w:r w:rsidR="005F4149">
              <w:t>:</w:t>
            </w:r>
          </w:p>
          <w:p w14:paraId="36F78277" w14:textId="7384EBE0" w:rsidR="0039532F" w:rsidRDefault="0039532F" w:rsidP="00391970">
            <w:pPr>
              <w:pStyle w:val="Tabletextprimarysource"/>
              <w:numPr>
                <w:ilvl w:val="1"/>
                <w:numId w:val="1"/>
              </w:numPr>
              <w:ind w:left="1156"/>
            </w:pPr>
            <w:r>
              <w:t>liver cell hypertrophy, hyperplasia and necrosis at 207 (rats) after 3 mo</w:t>
            </w:r>
          </w:p>
          <w:p w14:paraId="7261318B" w14:textId="7E42852B" w:rsidR="008438A0" w:rsidRDefault="008438A0" w:rsidP="008438A0">
            <w:pPr>
              <w:pStyle w:val="Tabletextprimarysource"/>
              <w:numPr>
                <w:ilvl w:val="0"/>
                <w:numId w:val="1"/>
              </w:numPr>
            </w:pPr>
            <w:r>
              <w:t xml:space="preserve">Liver tumours at 100 ppm in </w:t>
            </w:r>
            <w:r w:rsidR="00DF5BF5">
              <w:t xml:space="preserve">3 controlled </w:t>
            </w:r>
            <w:r>
              <w:t>chronic inhalation stud</w:t>
            </w:r>
            <w:r w:rsidR="00DF5BF5">
              <w:t>ies</w:t>
            </w:r>
            <w:r>
              <w:t xml:space="preserve"> with </w:t>
            </w:r>
            <w:r w:rsidR="00DF5BF5">
              <w:t xml:space="preserve">separate </w:t>
            </w:r>
            <w:r>
              <w:t xml:space="preserve">dose groups </w:t>
            </w:r>
            <w:r w:rsidR="00DF5BF5">
              <w:t>of</w:t>
            </w:r>
            <w:r>
              <w:t xml:space="preserve"> 25, 100, 250 ppm (rats, </w:t>
            </w:r>
            <w:r w:rsidR="00EB6423">
              <w:t>7 h/d, 5 d/</w:t>
            </w:r>
            <w:proofErr w:type="spellStart"/>
            <w:r w:rsidR="00EB6423">
              <w:t>wk</w:t>
            </w:r>
            <w:proofErr w:type="spellEnd"/>
            <w:r>
              <w:t xml:space="preserve">, 22 </w:t>
            </w:r>
            <w:proofErr w:type="spellStart"/>
            <w:r>
              <w:t>mo</w:t>
            </w:r>
            <w:proofErr w:type="spellEnd"/>
            <w:r>
              <w:t>)</w:t>
            </w:r>
            <w:r w:rsidR="005F4149">
              <w:t>:</w:t>
            </w:r>
          </w:p>
          <w:p w14:paraId="2FCC7BE1" w14:textId="1F4DB5DC" w:rsidR="008438A0" w:rsidRDefault="008438A0" w:rsidP="00391970">
            <w:pPr>
              <w:pStyle w:val="Tabletextprimarysource"/>
              <w:numPr>
                <w:ilvl w:val="1"/>
                <w:numId w:val="1"/>
              </w:numPr>
              <w:ind w:left="1156"/>
            </w:pPr>
            <w:r>
              <w:t>tumours occurred in males after 12 mo and after 18 mo in females</w:t>
            </w:r>
          </w:p>
          <w:p w14:paraId="03467E16" w14:textId="0CBDD6AD" w:rsidR="008438A0" w:rsidRDefault="008438A0" w:rsidP="00391970">
            <w:pPr>
              <w:pStyle w:val="Tabletextprimarysource"/>
              <w:numPr>
                <w:ilvl w:val="1"/>
                <w:numId w:val="1"/>
              </w:numPr>
              <w:ind w:left="1156"/>
            </w:pPr>
            <w:r>
              <w:t xml:space="preserve">NOAEL: 25 ppm for </w:t>
            </w:r>
            <w:r w:rsidR="00573BC5">
              <w:t>substance-</w:t>
            </w:r>
            <w:r>
              <w:t>related effects including tumorigenicity</w:t>
            </w:r>
          </w:p>
          <w:p w14:paraId="2F61C5BB" w14:textId="4D59F7EB" w:rsidR="00A86C82" w:rsidRDefault="00A86C82" w:rsidP="008438A0">
            <w:pPr>
              <w:pStyle w:val="Tabletextprimarysource"/>
              <w:numPr>
                <w:ilvl w:val="0"/>
                <w:numId w:val="1"/>
              </w:numPr>
            </w:pPr>
            <w:r>
              <w:t xml:space="preserve">Genotoxic </w:t>
            </w:r>
            <w:r>
              <w:rPr>
                <w:i/>
              </w:rPr>
              <w:t>in vitro</w:t>
            </w:r>
            <w:r>
              <w:t xml:space="preserve"> in bacteria and reacts with DNA </w:t>
            </w:r>
            <w:r>
              <w:rPr>
                <w:i/>
              </w:rPr>
              <w:t>in vitro</w:t>
            </w:r>
            <w:r>
              <w:t xml:space="preserve">; non-mutagenic in </w:t>
            </w:r>
            <w:r>
              <w:rPr>
                <w:i/>
              </w:rPr>
              <w:t>in vivo</w:t>
            </w:r>
            <w:r>
              <w:t xml:space="preserve"> assays with </w:t>
            </w:r>
            <w:r w:rsidR="00391970">
              <w:rPr>
                <w:i/>
              </w:rPr>
              <w:t>D.</w:t>
            </w:r>
            <w:r>
              <w:rPr>
                <w:i/>
              </w:rPr>
              <w:t xml:space="preserve"> melanogaster</w:t>
            </w:r>
            <w:r>
              <w:t>, rats and mice</w:t>
            </w:r>
          </w:p>
          <w:p w14:paraId="23BE95BC" w14:textId="21C537D3" w:rsidR="00A86C82" w:rsidRDefault="00A86C82" w:rsidP="00A86C82">
            <w:pPr>
              <w:pStyle w:val="Tabletextprimarysource"/>
              <w:numPr>
                <w:ilvl w:val="0"/>
                <w:numId w:val="1"/>
              </w:numPr>
            </w:pPr>
            <w:r>
              <w:t>Metabolic denitrification causes methaemoglobin formation and increase nitrite concentrations in tissue; oxidised to acetone and nitrite in the liver</w:t>
            </w:r>
          </w:p>
          <w:p w14:paraId="25FB6435" w14:textId="25C5E158" w:rsidR="00A86C82" w:rsidRDefault="00A86C82" w:rsidP="00A86C82">
            <w:pPr>
              <w:pStyle w:val="Tabletextprimarysource"/>
              <w:numPr>
                <w:ilvl w:val="0"/>
                <w:numId w:val="1"/>
              </w:numPr>
            </w:pPr>
            <w:r>
              <w:t>40% absorption of inhaled doses of 20 and 154 ppm (rats, 6 h); 50% exhaled as</w:t>
            </w:r>
            <w:r w:rsidR="003C735C">
              <w:t xml:space="preserve"> CO</w:t>
            </w:r>
            <w:r w:rsidR="003C735C" w:rsidRPr="006527EC">
              <w:rPr>
                <w:vertAlign w:val="subscript"/>
              </w:rPr>
              <w:t>2</w:t>
            </w:r>
            <w:r>
              <w:t>, 15% in excreta within 48 h</w:t>
            </w:r>
            <w:r w:rsidR="00391970">
              <w:t>.</w:t>
            </w:r>
          </w:p>
          <w:p w14:paraId="3C01C0BB" w14:textId="77777777" w:rsidR="003C735C" w:rsidRDefault="003C735C" w:rsidP="008B6E76">
            <w:pPr>
              <w:pStyle w:val="Tabletextprimarysource"/>
            </w:pPr>
          </w:p>
          <w:p w14:paraId="36938586" w14:textId="2485CC77" w:rsidR="00AE35FE" w:rsidRPr="00DA352E" w:rsidRDefault="00AE35FE" w:rsidP="008B6E76">
            <w:pPr>
              <w:pStyle w:val="Tabletextprimarysource"/>
            </w:pPr>
            <w:r>
              <w:lastRenderedPageBreak/>
              <w:t>Insufficient data to recommend a TLV-STEL o</w:t>
            </w:r>
            <w:r w:rsidR="009C741C">
              <w:t>r notations for skin absorption</w:t>
            </w:r>
            <w:r>
              <w:t xml:space="preserve"> or sensitisation.</w:t>
            </w:r>
          </w:p>
        </w:tc>
      </w:tr>
      <w:tr w:rsidR="00C978F0" w:rsidRPr="00DA352E" w14:paraId="7B09C042" w14:textId="77777777" w:rsidTr="00EA105A">
        <w:trPr>
          <w:gridAfter w:val="1"/>
          <w:wAfter w:w="8" w:type="pct"/>
        </w:trPr>
        <w:tc>
          <w:tcPr>
            <w:tcW w:w="4992" w:type="pct"/>
            <w:shd w:val="clear" w:color="auto" w:fill="F2F2F2" w:themeFill="background1" w:themeFillShade="F2"/>
          </w:tcPr>
          <w:p w14:paraId="5513FE25" w14:textId="7D368795" w:rsidR="00C978F0" w:rsidRPr="00DA352E" w:rsidRDefault="00DA352E" w:rsidP="0051509C">
            <w:pPr>
              <w:pStyle w:val="Tablerowheadingitalic"/>
              <w:tabs>
                <w:tab w:val="clear" w:pos="2268"/>
                <w:tab w:val="clear" w:pos="5670"/>
                <w:tab w:val="left" w:pos="1418"/>
                <w:tab w:val="left" w:pos="2552"/>
              </w:tabs>
            </w:pPr>
            <w:r w:rsidRPr="00DA352E">
              <w:lastRenderedPageBreak/>
              <w:t>DFG</w:t>
            </w:r>
            <w:r w:rsidR="00916EC0" w:rsidRPr="003365A5">
              <w:t xml:space="preserve"> </w:t>
            </w:r>
            <w:r w:rsidR="00916EC0" w:rsidRPr="003365A5">
              <w:tab/>
            </w:r>
            <w:sdt>
              <w:sdtPr>
                <w:id w:val="272751712"/>
                <w:placeholder>
                  <w:docPart w:val="6918C77959FE4E2CB3B6BD78ABC69E19"/>
                </w:placeholder>
                <w:text/>
              </w:sdtPr>
              <w:sdtEndPr/>
              <w:sdtContent>
                <w:r w:rsidR="00C63093">
                  <w:t>1992</w:t>
                </w:r>
              </w:sdtContent>
            </w:sdt>
            <w:r w:rsidR="00916EC0" w:rsidRPr="003365A5">
              <w:tab/>
            </w:r>
            <w:r w:rsidR="0051509C">
              <w:tab/>
            </w:r>
            <w:sdt>
              <w:sdtPr>
                <w:alias w:val="DFG WES equivalent"/>
                <w:tag w:val="DFG WES equivalent"/>
                <w:id w:val="-736175395"/>
                <w:placeholder>
                  <w:docPart w:val="1ED9AEC91FDC4528B51A567B2B19EB9F"/>
                </w:placeholder>
              </w:sdtPr>
              <w:sdtEndPr/>
              <w:sdtContent>
                <w:r w:rsidR="00C63093">
                  <w:t>Not assigned</w:t>
                </w:r>
              </w:sdtContent>
            </w:sdt>
          </w:p>
        </w:tc>
      </w:tr>
      <w:tr w:rsidR="00C978F0" w:rsidRPr="00DA352E" w14:paraId="639C01F0" w14:textId="77777777" w:rsidTr="00EA105A">
        <w:trPr>
          <w:gridAfter w:val="1"/>
          <w:wAfter w:w="8" w:type="pct"/>
        </w:trPr>
        <w:tc>
          <w:tcPr>
            <w:tcW w:w="4992" w:type="pct"/>
          </w:tcPr>
          <w:p w14:paraId="1C55AF12" w14:textId="77777777" w:rsidR="00C978F0" w:rsidRDefault="003537ED" w:rsidP="003365A5">
            <w:pPr>
              <w:pStyle w:val="Tabletextprimarysource"/>
            </w:pPr>
            <w:r>
              <w:t>Summary of additional data:</w:t>
            </w:r>
          </w:p>
          <w:p w14:paraId="3AAB7412" w14:textId="5AA90D9E" w:rsidR="003537ED" w:rsidRDefault="00D83A20" w:rsidP="003365A5">
            <w:pPr>
              <w:pStyle w:val="Tabletextprimarysource"/>
            </w:pPr>
            <w:r>
              <w:t xml:space="preserve">MAK not </w:t>
            </w:r>
            <w:r w:rsidR="00391970">
              <w:t>assigned</w:t>
            </w:r>
            <w:r>
              <w:t xml:space="preserve"> based on positive liver tumorigenicity in rats and positive mutagenicity in bacteria and liver cells.</w:t>
            </w:r>
          </w:p>
          <w:p w14:paraId="4E9F1AD2" w14:textId="334376D0" w:rsidR="00D83A20" w:rsidRDefault="00D83A20" w:rsidP="003365A5">
            <w:pPr>
              <w:pStyle w:val="Tabletextprimarysource"/>
            </w:pPr>
            <w:r>
              <w:t>Human data:</w:t>
            </w:r>
          </w:p>
          <w:p w14:paraId="3E31D1B8" w14:textId="0AFA7341" w:rsidR="00EB6423" w:rsidRDefault="00EB6423" w:rsidP="00EB6423">
            <w:pPr>
              <w:pStyle w:val="Tabletextprimarysource"/>
              <w:numPr>
                <w:ilvl w:val="0"/>
                <w:numId w:val="1"/>
              </w:numPr>
            </w:pPr>
            <w:r>
              <w:t>No additional data presented</w:t>
            </w:r>
            <w:r w:rsidR="00391970">
              <w:t>.</w:t>
            </w:r>
          </w:p>
          <w:p w14:paraId="5D555E73" w14:textId="77777777" w:rsidR="00D83A20" w:rsidRDefault="00D83A20" w:rsidP="003365A5">
            <w:pPr>
              <w:pStyle w:val="Tabletextprimarysource"/>
            </w:pPr>
            <w:r>
              <w:t>Animal data:</w:t>
            </w:r>
          </w:p>
          <w:p w14:paraId="00C78243" w14:textId="06A5B2BB" w:rsidR="00D83A20" w:rsidRDefault="00D83A20" w:rsidP="00D83A20">
            <w:pPr>
              <w:pStyle w:val="Tabletextprimarysource"/>
              <w:numPr>
                <w:ilvl w:val="0"/>
                <w:numId w:val="1"/>
              </w:numPr>
            </w:pPr>
            <w:r>
              <w:t>Liver is target organ of carcinogenic activity as shown in controlled repeat oral dose study at 89 mg/kg</w:t>
            </w:r>
            <w:r w:rsidR="00B14C9F">
              <w:t>/d</w:t>
            </w:r>
            <w:r>
              <w:t xml:space="preserve"> (rats, n=22, 3 times/wk, 16 wk, 77 wk observation period); liver tumours reported in all animals and 4 had lung metastases</w:t>
            </w:r>
          </w:p>
          <w:p w14:paraId="678CFB70" w14:textId="69E16F7B" w:rsidR="00D83A20" w:rsidRDefault="00166558" w:rsidP="00166558">
            <w:pPr>
              <w:pStyle w:val="Tabletextprimarysource"/>
              <w:numPr>
                <w:ilvl w:val="0"/>
                <w:numId w:val="1"/>
              </w:numPr>
            </w:pPr>
            <w:r>
              <w:t xml:space="preserve">Dose-dependent liver carcinogenesis affirmed </w:t>
            </w:r>
            <w:r w:rsidR="008B7EE3">
              <w:t xml:space="preserve">at dose range 25–125 ppm </w:t>
            </w:r>
            <w:r>
              <w:t xml:space="preserve">in controlled repeat inhalation study with tumour promotion using 10 mg/kg </w:t>
            </w:r>
            <w:proofErr w:type="spellStart"/>
            <w:r>
              <w:t>Clophen</w:t>
            </w:r>
            <w:proofErr w:type="spellEnd"/>
            <w:r>
              <w:t xml:space="preserve"> A50 (rats, </w:t>
            </w:r>
            <w:r w:rsidR="008B7EE3">
              <w:t>6 h/d, 5</w:t>
            </w:r>
            <w:r w:rsidR="002B2104">
              <w:t> </w:t>
            </w:r>
            <w:r w:rsidR="008B7EE3">
              <w:t>d/wk, 3 wk</w:t>
            </w:r>
            <w:r>
              <w:t>)</w:t>
            </w:r>
          </w:p>
          <w:p w14:paraId="01EF2DBF" w14:textId="55013182" w:rsidR="00166558" w:rsidRDefault="00C64452" w:rsidP="00166558">
            <w:pPr>
              <w:pStyle w:val="Tabletextprimarysource"/>
              <w:numPr>
                <w:ilvl w:val="0"/>
                <w:numId w:val="1"/>
              </w:numPr>
            </w:pPr>
            <w:r>
              <w:t>Mutagenic mechanism of action in bacteria, rat hepatocytes and V79 cells suspected to be associated with ineffective r</w:t>
            </w:r>
            <w:r w:rsidR="00166558">
              <w:t xml:space="preserve">eductive metabolism </w:t>
            </w:r>
            <w:r>
              <w:t>to acetone oxime, which hinder DNA repair</w:t>
            </w:r>
            <w:r w:rsidR="005F4149">
              <w:t>:</w:t>
            </w:r>
          </w:p>
          <w:p w14:paraId="5C51DC24" w14:textId="77777777" w:rsidR="00C64452" w:rsidRDefault="00C64452" w:rsidP="00391970">
            <w:pPr>
              <w:pStyle w:val="Tabletextprimarysource"/>
              <w:numPr>
                <w:ilvl w:val="1"/>
                <w:numId w:val="1"/>
              </w:numPr>
              <w:ind w:left="1156"/>
            </w:pPr>
            <w:r>
              <w:t>DNA repair not impaired by metabolites of oxidative metabolism</w:t>
            </w:r>
          </w:p>
          <w:p w14:paraId="37E062ED" w14:textId="36127BAA" w:rsidR="006C2888" w:rsidRDefault="00C64452" w:rsidP="00391970">
            <w:pPr>
              <w:pStyle w:val="Tabletextprimarysource"/>
              <w:numPr>
                <w:ilvl w:val="1"/>
                <w:numId w:val="1"/>
              </w:numPr>
              <w:ind w:left="1156"/>
            </w:pPr>
            <w:r>
              <w:t>distributed evenly to all organs</w:t>
            </w:r>
            <w:r w:rsidR="006C2888">
              <w:t xml:space="preserve"> </w:t>
            </w:r>
            <w:r w:rsidR="006C2888">
              <w:rPr>
                <w:i/>
              </w:rPr>
              <w:t>in vivo</w:t>
            </w:r>
            <w:r w:rsidR="006C2888">
              <w:t>, but DNA damaging products likely to form only from metabolism in the liver (rats)</w:t>
            </w:r>
            <w:r>
              <w:t xml:space="preserve"> </w:t>
            </w:r>
          </w:p>
          <w:p w14:paraId="79CC1ACD" w14:textId="77777777" w:rsidR="00C64452" w:rsidRDefault="00C64452" w:rsidP="00391970">
            <w:pPr>
              <w:pStyle w:val="Tabletextprimarysource"/>
              <w:numPr>
                <w:ilvl w:val="1"/>
                <w:numId w:val="1"/>
              </w:numPr>
              <w:ind w:left="1156"/>
            </w:pPr>
            <w:r>
              <w:t xml:space="preserve">increased DNA repair observed in </w:t>
            </w:r>
            <w:r w:rsidR="006C2888">
              <w:t>rat liver cells</w:t>
            </w:r>
            <w:r>
              <w:rPr>
                <w:i/>
              </w:rPr>
              <w:t xml:space="preserve"> in vivo </w:t>
            </w:r>
            <w:r>
              <w:t>at 20–80 mg/kg</w:t>
            </w:r>
            <w:r w:rsidR="006C2888">
              <w:t>.</w:t>
            </w:r>
          </w:p>
          <w:p w14:paraId="4021969E" w14:textId="21C76721" w:rsidR="00946801" w:rsidRPr="00DA352E" w:rsidRDefault="00946801" w:rsidP="009F00CA">
            <w:pPr>
              <w:pStyle w:val="Tabletextprimarysource"/>
              <w:ind w:left="1156"/>
            </w:pPr>
          </w:p>
        </w:tc>
      </w:tr>
      <w:tr w:rsidR="00C978F0" w:rsidRPr="00DA352E" w14:paraId="609B7F94" w14:textId="77777777" w:rsidTr="00EA105A">
        <w:trPr>
          <w:gridAfter w:val="1"/>
          <w:wAfter w:w="8" w:type="pct"/>
        </w:trPr>
        <w:tc>
          <w:tcPr>
            <w:tcW w:w="4992" w:type="pct"/>
            <w:shd w:val="clear" w:color="auto" w:fill="F2F2F2" w:themeFill="background1" w:themeFillShade="F2"/>
          </w:tcPr>
          <w:p w14:paraId="73034C85" w14:textId="28FD7A12" w:rsidR="00C978F0" w:rsidRPr="00DA352E" w:rsidRDefault="00DA352E" w:rsidP="0051509C">
            <w:pPr>
              <w:pStyle w:val="Tablerowheadingitalic"/>
              <w:tabs>
                <w:tab w:val="clear" w:pos="2268"/>
                <w:tab w:val="clear" w:pos="5670"/>
                <w:tab w:val="left" w:pos="1418"/>
                <w:tab w:val="left" w:pos="2552"/>
              </w:tabs>
            </w:pPr>
            <w:r w:rsidRPr="00DA352E">
              <w:t>SCOEL</w:t>
            </w:r>
            <w:r w:rsidR="00916EC0" w:rsidRPr="003365A5">
              <w:t xml:space="preserve"> </w:t>
            </w:r>
            <w:r w:rsidR="00916EC0" w:rsidRPr="003365A5">
              <w:tab/>
            </w:r>
            <w:sdt>
              <w:sdtPr>
                <w:id w:val="-768699850"/>
                <w:placeholder>
                  <w:docPart w:val="FDC2A24E7D2549238DA6EE03BD0A6AE0"/>
                </w:placeholder>
                <w:text/>
              </w:sdtPr>
              <w:sdtEndPr/>
              <w:sdtContent>
                <w:r w:rsidR="006C2888">
                  <w:t>2017</w:t>
                </w:r>
              </w:sdtContent>
            </w:sdt>
            <w:r w:rsidR="00916EC0" w:rsidRPr="003365A5">
              <w:tab/>
            </w:r>
            <w:r w:rsidR="0051509C">
              <w:tab/>
            </w:r>
            <w:sdt>
              <w:sdtPr>
                <w:alias w:val="SCOEL WES equivalent"/>
                <w:tag w:val="SCOEL WES equivalent"/>
                <w:id w:val="-1474213062"/>
                <w:placeholder>
                  <w:docPart w:val="9E827C9D0DA949E385F2E9AB4264125E"/>
                </w:placeholder>
              </w:sdtPr>
              <w:sdtEndPr/>
              <w:sdtContent>
                <w:r w:rsidR="006C2888">
                  <w:t>Not assigned</w:t>
                </w:r>
              </w:sdtContent>
            </w:sdt>
          </w:p>
        </w:tc>
      </w:tr>
      <w:tr w:rsidR="00C978F0" w:rsidRPr="00DA352E" w14:paraId="134DFC23" w14:textId="77777777" w:rsidTr="00EA105A">
        <w:trPr>
          <w:gridAfter w:val="1"/>
          <w:wAfter w:w="8" w:type="pct"/>
        </w:trPr>
        <w:tc>
          <w:tcPr>
            <w:tcW w:w="4992" w:type="pct"/>
          </w:tcPr>
          <w:p w14:paraId="405419FD" w14:textId="77777777" w:rsidR="00C978F0" w:rsidRDefault="00450CCF" w:rsidP="003365A5">
            <w:pPr>
              <w:pStyle w:val="Tabletextprimarysource"/>
            </w:pPr>
            <w:r>
              <w:t>Summary of additional data:</w:t>
            </w:r>
          </w:p>
          <w:p w14:paraId="0740F1A3" w14:textId="087EAA36" w:rsidR="006F21DD" w:rsidRDefault="002B1BD3" w:rsidP="003365A5">
            <w:pPr>
              <w:pStyle w:val="Tabletextprimarysource"/>
            </w:pPr>
            <w:r>
              <w:t>TWA not assigned due to suspected genotoxic carcinogenicity. Kinetic studies indicate that two separate metabolic pathways are significant to observed liver carcinogenicity</w:t>
            </w:r>
            <w:r w:rsidR="006F21DD">
              <w:t>. Exact mechanism of action is unclear but cannot be excluded that it is relevant to human exposure.</w:t>
            </w:r>
          </w:p>
          <w:p w14:paraId="53C02C74" w14:textId="6BB76FCE" w:rsidR="00DF5BF5" w:rsidRDefault="00DF5BF5" w:rsidP="00DF5BF5">
            <w:pPr>
              <w:pStyle w:val="Tabletextprimarysource"/>
            </w:pPr>
            <w:r>
              <w:t xml:space="preserve">Due to likely non-threshold mechanism of action, cancer risk limit values are derived from a </w:t>
            </w:r>
            <w:proofErr w:type="gramStart"/>
            <w:r>
              <w:t>22</w:t>
            </w:r>
            <w:r w:rsidR="003C7B69">
              <w:t xml:space="preserve"> </w:t>
            </w:r>
            <w:r>
              <w:t>mo</w:t>
            </w:r>
            <w:proofErr w:type="gramEnd"/>
            <w:r>
              <w:t xml:space="preserve"> chronic inhalation study </w:t>
            </w:r>
            <w:r w:rsidR="003C7B69">
              <w:t>in</w:t>
            </w:r>
            <w:r>
              <w:t xml:space="preserve"> rats (also cited in ACGIH, 2018); tumour risk of 1:10,000 calculated as 0.017 ppm (0.0644 mg/m</w:t>
            </w:r>
            <w:r>
              <w:rPr>
                <w:vertAlign w:val="superscript"/>
              </w:rPr>
              <w:t>3</w:t>
            </w:r>
            <w:r>
              <w:t>).</w:t>
            </w:r>
          </w:p>
          <w:p w14:paraId="600E87BF" w14:textId="4C11D266" w:rsidR="009A2E1A" w:rsidRDefault="009A2E1A" w:rsidP="009A2E1A">
            <w:pPr>
              <w:pStyle w:val="Tabletextprimarysource"/>
              <w:numPr>
                <w:ilvl w:val="0"/>
                <w:numId w:val="1"/>
              </w:numPr>
            </w:pPr>
            <w:r>
              <w:t>BMD not calculable from available study</w:t>
            </w:r>
            <w:r w:rsidR="00EC4516">
              <w:t xml:space="preserve"> due to only 1 exposure group</w:t>
            </w:r>
          </w:p>
          <w:p w14:paraId="31BAC1D4" w14:textId="3E9BB7B7" w:rsidR="009A2E1A" w:rsidRDefault="009A2E1A" w:rsidP="009A2E1A">
            <w:pPr>
              <w:pStyle w:val="Tabletextprimarysource"/>
              <w:numPr>
                <w:ilvl w:val="0"/>
                <w:numId w:val="1"/>
              </w:numPr>
            </w:pPr>
            <w:r>
              <w:t>Extrapolation to lifetime study (104 wk) accounting for survival rates arrives at tumour incidence 25% (T25) dose of 25.3 ppm</w:t>
            </w:r>
            <w:r w:rsidR="006E399D">
              <w:t xml:space="preserve"> or 78.8 mg/m</w:t>
            </w:r>
            <w:r w:rsidR="006E399D">
              <w:rPr>
                <w:vertAlign w:val="superscript"/>
              </w:rPr>
              <w:t>3</w:t>
            </w:r>
            <w:r>
              <w:t xml:space="preserve"> (rats)</w:t>
            </w:r>
          </w:p>
          <w:p w14:paraId="267C0A06" w14:textId="7C641FEE" w:rsidR="006E399D" w:rsidRDefault="006E399D" w:rsidP="009A2E1A">
            <w:pPr>
              <w:pStyle w:val="Tabletextprimarysource"/>
              <w:numPr>
                <w:ilvl w:val="0"/>
                <w:numId w:val="1"/>
              </w:numPr>
            </w:pPr>
            <w:r>
              <w:t>Conversion to human T25 (hT25) assuming 75 yr lifespan and working 48 wk/yr for 40 yr and no interspecies adjustment arrives at hT25: 51.3 ppm or 160.1 mg/m</w:t>
            </w:r>
            <w:r>
              <w:rPr>
                <w:vertAlign w:val="superscript"/>
              </w:rPr>
              <w:t>3</w:t>
            </w:r>
          </w:p>
          <w:p w14:paraId="189BCC98" w14:textId="5ED2340D" w:rsidR="006E399D" w:rsidRDefault="006E399D" w:rsidP="009A2E1A">
            <w:pPr>
              <w:pStyle w:val="Tabletextprimarysource"/>
              <w:numPr>
                <w:ilvl w:val="0"/>
                <w:numId w:val="1"/>
              </w:numPr>
            </w:pPr>
            <w:r>
              <w:t xml:space="preserve">Linear extrapolation to a chosen risk number (R) by substituting 4 x hT25 x R arrives at a 1:10,000 risk number </w:t>
            </w:r>
            <w:r w:rsidR="00CF21D0">
              <w:t xml:space="preserve">of </w:t>
            </w:r>
            <w:r>
              <w:t>0.017 ppm or 0.0644 mg/m</w:t>
            </w:r>
            <w:r>
              <w:rPr>
                <w:vertAlign w:val="superscript"/>
              </w:rPr>
              <w:t>3</w:t>
            </w:r>
            <w:r w:rsidR="00391970">
              <w:t>.</w:t>
            </w:r>
          </w:p>
          <w:p w14:paraId="4123B907" w14:textId="62C17822" w:rsidR="00391970" w:rsidRDefault="00391970" w:rsidP="009A2E1A">
            <w:pPr>
              <w:pStyle w:val="Tabletextprimarysource"/>
              <w:numPr>
                <w:ilvl w:val="0"/>
                <w:numId w:val="1"/>
              </w:numPr>
            </w:pPr>
            <w:r>
              <w:t>Skin absorption study (10</w:t>
            </w:r>
            <w:r w:rsidR="003C7B69">
              <w:t xml:space="preserve"> </w:t>
            </w:r>
            <w:r>
              <w:t xml:space="preserve">min and 60 min) </w:t>
            </w:r>
            <w:r w:rsidR="00BC0683">
              <w:t>indicated high permeability</w:t>
            </w:r>
            <w:r w:rsidR="003C7B69">
              <w:t>; s</w:t>
            </w:r>
            <w:r w:rsidR="00BC0683">
              <w:t>kin notation recommended to minimise absorption of a genotoxic carcinogen.</w:t>
            </w:r>
          </w:p>
          <w:p w14:paraId="7C9FED4D" w14:textId="17A2987A" w:rsidR="00DF5BF5" w:rsidRDefault="00DF5BF5" w:rsidP="00DF5BF5">
            <w:pPr>
              <w:pStyle w:val="Tabletextprimarysource"/>
            </w:pPr>
            <w:r>
              <w:t>Animal data:</w:t>
            </w:r>
          </w:p>
          <w:p w14:paraId="29D933E9" w14:textId="723CA632" w:rsidR="005B4E29" w:rsidRDefault="00DF5BF5">
            <w:pPr>
              <w:pStyle w:val="Tabletextprimarysource"/>
              <w:numPr>
                <w:ilvl w:val="0"/>
                <w:numId w:val="1"/>
              </w:numPr>
            </w:pPr>
            <w:r>
              <w:t>Chronic 22</w:t>
            </w:r>
            <w:r w:rsidR="003C7B69">
              <w:t xml:space="preserve"> </w:t>
            </w:r>
            <w:r>
              <w:t xml:space="preserve">mo inhalation study at 25 ppm </w:t>
            </w:r>
            <w:r w:rsidR="003C7B69">
              <w:t>in</w:t>
            </w:r>
            <w:r>
              <w:t xml:space="preserve"> rats (also cited in ACGIH, 2018) re-examined; 25 ppm not considered NOAEL </w:t>
            </w:r>
            <w:r w:rsidR="009A2E1A">
              <w:t xml:space="preserve">(as cited </w:t>
            </w:r>
            <w:r w:rsidR="00FB3935">
              <w:t>in</w:t>
            </w:r>
            <w:r w:rsidR="009A2E1A">
              <w:t xml:space="preserve"> ACGIH, 2018) </w:t>
            </w:r>
            <w:r>
              <w:t xml:space="preserve">based on </w:t>
            </w:r>
            <w:r w:rsidR="009569A2">
              <w:t xml:space="preserve">adverse liver </w:t>
            </w:r>
            <w:r>
              <w:t>histopatholog</w:t>
            </w:r>
            <w:r w:rsidR="009569A2">
              <w:t>y</w:t>
            </w:r>
            <w:r w:rsidR="00AC07E1">
              <w:t xml:space="preserve"> (increased focal areas of hepatocellular nodules)</w:t>
            </w:r>
            <w:r w:rsidR="009569A2">
              <w:t xml:space="preserve"> </w:t>
            </w:r>
            <w:r w:rsidR="009A2E1A">
              <w:t>and low survival rate in treated group compared with control (56/250 versus 111/250) and considered to be consistent with carcinogenicity</w:t>
            </w:r>
            <w:r w:rsidR="00AA3B89">
              <w:t>.</w:t>
            </w:r>
          </w:p>
          <w:p w14:paraId="487A34F2" w14:textId="730F37B6" w:rsidR="003C7B69" w:rsidRPr="00DA352E" w:rsidRDefault="003C7B69" w:rsidP="006527EC">
            <w:pPr>
              <w:pStyle w:val="Tabletextprimarysource"/>
            </w:pPr>
          </w:p>
        </w:tc>
      </w:tr>
      <w:tr w:rsidR="00DA352E" w:rsidRPr="00DA352E" w14:paraId="5ABD649C" w14:textId="77777777" w:rsidTr="00EA105A">
        <w:trPr>
          <w:gridAfter w:val="1"/>
          <w:wAfter w:w="8" w:type="pct"/>
        </w:trPr>
        <w:tc>
          <w:tcPr>
            <w:tcW w:w="4992" w:type="pct"/>
            <w:shd w:val="clear" w:color="auto" w:fill="F2F2F2" w:themeFill="background1" w:themeFillShade="F2"/>
          </w:tcPr>
          <w:p w14:paraId="31CE847C" w14:textId="33759D05" w:rsidR="00DA352E" w:rsidRPr="00DA352E" w:rsidRDefault="00DA352E" w:rsidP="0051509C">
            <w:pPr>
              <w:pStyle w:val="Tablerowheadingitalic"/>
              <w:tabs>
                <w:tab w:val="clear" w:pos="2268"/>
                <w:tab w:val="clear" w:pos="5670"/>
                <w:tab w:val="left" w:pos="1418"/>
                <w:tab w:val="left" w:pos="2552"/>
              </w:tabs>
            </w:pPr>
            <w:r w:rsidRPr="00DA352E">
              <w:lastRenderedPageBreak/>
              <w:t>OARS/AIHA</w:t>
            </w:r>
            <w:r w:rsidR="00916EC0" w:rsidRPr="003365A5">
              <w:t xml:space="preserve"> </w:t>
            </w:r>
            <w:r w:rsidR="00916EC0" w:rsidRPr="003365A5">
              <w:tab/>
            </w:r>
            <w:sdt>
              <w:sdtPr>
                <w:id w:val="-936748013"/>
                <w:placeholder>
                  <w:docPart w:val="47E4EC2DB10B4B8E8A66F7A5C13653CB"/>
                </w:placeholder>
                <w:text/>
              </w:sdtPr>
              <w:sdtEndPr/>
              <w:sdtContent>
                <w:r w:rsidR="00C63093">
                  <w:t>NA</w:t>
                </w:r>
              </w:sdtContent>
            </w:sdt>
            <w:r w:rsidR="00916EC0" w:rsidRPr="003365A5">
              <w:tab/>
            </w:r>
            <w:r w:rsidR="0051509C">
              <w:tab/>
            </w:r>
            <w:sdt>
              <w:sdtPr>
                <w:alias w:val="OARS/AIHA WES equivalent"/>
                <w:tag w:val="OARS/AIHA WES equivalent"/>
                <w:id w:val="-1320338798"/>
                <w:placeholder>
                  <w:docPart w:val="5E4DD00C3A334F93BF5CC79754EBC5EA"/>
                </w:placeholder>
              </w:sdtPr>
              <w:sdtEndPr/>
              <w:sdtContent>
                <w:r w:rsidR="00C63093">
                  <w:t>NA</w:t>
                </w:r>
              </w:sdtContent>
            </w:sdt>
          </w:p>
        </w:tc>
      </w:tr>
      <w:tr w:rsidR="00DA352E" w:rsidRPr="00DA352E" w14:paraId="05394B98" w14:textId="77777777" w:rsidTr="00EA105A">
        <w:trPr>
          <w:gridAfter w:val="1"/>
          <w:wAfter w:w="8" w:type="pct"/>
        </w:trPr>
        <w:tc>
          <w:tcPr>
            <w:tcW w:w="4992" w:type="pct"/>
          </w:tcPr>
          <w:p w14:paraId="2EC98D2A" w14:textId="2217F1CB" w:rsidR="00DA352E" w:rsidRPr="00DA352E" w:rsidRDefault="00C63093" w:rsidP="003365A5">
            <w:pPr>
              <w:pStyle w:val="Tabletextprimarysource"/>
            </w:pPr>
            <w:r>
              <w:t>No report</w:t>
            </w:r>
            <w:r w:rsidR="00391970">
              <w:t>.</w:t>
            </w:r>
          </w:p>
        </w:tc>
      </w:tr>
      <w:tr w:rsidR="00DA352E" w:rsidRPr="00DA352E" w14:paraId="160EB883" w14:textId="77777777" w:rsidTr="00EA105A">
        <w:trPr>
          <w:gridAfter w:val="1"/>
          <w:wAfter w:w="8" w:type="pct"/>
        </w:trPr>
        <w:tc>
          <w:tcPr>
            <w:tcW w:w="4992" w:type="pct"/>
            <w:shd w:val="clear" w:color="auto" w:fill="F2F2F2" w:themeFill="background1" w:themeFillShade="F2"/>
          </w:tcPr>
          <w:p w14:paraId="0215B6B4" w14:textId="68065D08" w:rsidR="00DA352E" w:rsidRPr="00DA352E" w:rsidRDefault="00DA352E" w:rsidP="0051509C">
            <w:pPr>
              <w:pStyle w:val="Tablerowheadingitalic"/>
              <w:tabs>
                <w:tab w:val="clear" w:pos="2268"/>
                <w:tab w:val="clear" w:pos="5670"/>
                <w:tab w:val="left" w:pos="1418"/>
                <w:tab w:val="left" w:pos="2552"/>
              </w:tabs>
            </w:pPr>
            <w:r w:rsidRPr="00DA352E">
              <w:t>HCOTN</w:t>
            </w:r>
            <w:r w:rsidR="00916EC0" w:rsidRPr="003365A5">
              <w:t xml:space="preserve"> </w:t>
            </w:r>
            <w:r w:rsidR="00916EC0" w:rsidRPr="003365A5">
              <w:tab/>
            </w:r>
            <w:sdt>
              <w:sdtPr>
                <w:id w:val="1543090908"/>
                <w:placeholder>
                  <w:docPart w:val="EA1708404F1C4A3BB080A0D8EEB67D1D"/>
                </w:placeholder>
                <w:text/>
              </w:sdtPr>
              <w:sdtEndPr/>
              <w:sdtContent>
                <w:r w:rsidR="00C63093">
                  <w:t>1999</w:t>
                </w:r>
              </w:sdtContent>
            </w:sdt>
            <w:r w:rsidR="00916EC0" w:rsidRPr="003365A5">
              <w:tab/>
            </w:r>
            <w:r w:rsidR="0051509C">
              <w:tab/>
            </w:r>
            <w:sdt>
              <w:sdtPr>
                <w:alias w:val="HCOTN WES equivalent"/>
                <w:tag w:val="HCOTN WES equivalent"/>
                <w:id w:val="1471562734"/>
                <w:placeholder>
                  <w:docPart w:val="F3D4204BA37A4A21A656C76DA4274412"/>
                </w:placeholder>
              </w:sdtPr>
              <w:sdtEndPr/>
              <w:sdtContent>
                <w:r w:rsidR="00C63093">
                  <w:t>TWA: 1 ppm (3.6 mg/m</w:t>
                </w:r>
                <w:r w:rsidR="00C63093" w:rsidRPr="00C63093">
                  <w:rPr>
                    <w:vertAlign w:val="superscript"/>
                  </w:rPr>
                  <w:t>3</w:t>
                </w:r>
                <w:r w:rsidR="00C63093">
                  <w:t>)</w:t>
                </w:r>
              </w:sdtContent>
            </w:sdt>
          </w:p>
        </w:tc>
      </w:tr>
      <w:tr w:rsidR="00DA352E" w:rsidRPr="00DA352E" w14:paraId="3B767AF8" w14:textId="77777777" w:rsidTr="00EA105A">
        <w:trPr>
          <w:gridAfter w:val="1"/>
          <w:wAfter w:w="8" w:type="pct"/>
        </w:trPr>
        <w:tc>
          <w:tcPr>
            <w:tcW w:w="4992" w:type="pct"/>
          </w:tcPr>
          <w:p w14:paraId="0EDAF905" w14:textId="77777777" w:rsidR="00DA352E" w:rsidRDefault="006939D7" w:rsidP="003365A5">
            <w:pPr>
              <w:pStyle w:val="Tabletextprimarysource"/>
            </w:pPr>
            <w:r>
              <w:t>Summary of additional data:</w:t>
            </w:r>
          </w:p>
          <w:p w14:paraId="64955C5A" w14:textId="6DC51D72" w:rsidR="006939D7" w:rsidRDefault="00750C62" w:rsidP="003365A5">
            <w:pPr>
              <w:pStyle w:val="Tabletextprimarysource"/>
            </w:pPr>
            <w:proofErr w:type="gramStart"/>
            <w:r>
              <w:t>Sufficient</w:t>
            </w:r>
            <w:proofErr w:type="gramEnd"/>
            <w:r>
              <w:t xml:space="preserve"> evidence for carcinogenicity in rats, but not in humans; available epidemiological data inadequate for quantitative assessment. Incidence of liver tumours at 25 ppm in chronic inhalation study with rats (also cited in ACGIH, 2018 and SCOEL, 2017) used as starting point to </w:t>
            </w:r>
            <w:r w:rsidR="009B1C42">
              <w:t>calculate carcinogenic activity:</w:t>
            </w:r>
          </w:p>
          <w:p w14:paraId="33147DD9" w14:textId="58FBC6DE" w:rsidR="00750C62" w:rsidRDefault="009B1C42" w:rsidP="009B1C42">
            <w:pPr>
              <w:pStyle w:val="Tabletextprimarysource"/>
              <w:numPr>
                <w:ilvl w:val="0"/>
                <w:numId w:val="1"/>
              </w:numPr>
            </w:pPr>
            <w:r>
              <w:t>Calculated concentration attributable to lifetime carcinogenicity is 5.6 x 10</w:t>
            </w:r>
            <w:r w:rsidRPr="009B1C42">
              <w:rPr>
                <w:vertAlign w:val="superscript"/>
              </w:rPr>
              <w:t>-</w:t>
            </w:r>
            <w:r>
              <w:rPr>
                <w:vertAlign w:val="superscript"/>
              </w:rPr>
              <w:t>3</w:t>
            </w:r>
            <w:r>
              <w:t xml:space="preserve"> mg/m</w:t>
            </w:r>
            <w:r>
              <w:rPr>
                <w:vertAlign w:val="superscript"/>
              </w:rPr>
              <w:t xml:space="preserve">3 </w:t>
            </w:r>
            <w:r>
              <w:t>(rats)</w:t>
            </w:r>
            <w:r w:rsidR="005F4149">
              <w:t>:</w:t>
            </w:r>
          </w:p>
          <w:p w14:paraId="0862E2D2" w14:textId="11731E3C" w:rsidR="009B1C42" w:rsidRDefault="009B1C42" w:rsidP="000520C0">
            <w:pPr>
              <w:pStyle w:val="Tabletextprimarysource"/>
              <w:numPr>
                <w:ilvl w:val="1"/>
                <w:numId w:val="1"/>
              </w:numPr>
              <w:ind w:left="1156"/>
            </w:pPr>
            <w:r>
              <w:t>accounts for tumour incidence in exposed (13/249) and control animals (3/250), average rat lifespan (1,000 d), exposure period (7 h) and experimental period (665 d)</w:t>
            </w:r>
          </w:p>
          <w:p w14:paraId="61274EF6" w14:textId="4E09236A" w:rsidR="009B1C42" w:rsidRDefault="009B1C42" w:rsidP="009B1C42">
            <w:pPr>
              <w:pStyle w:val="Tabletextprimarysource"/>
              <w:numPr>
                <w:ilvl w:val="0"/>
                <w:numId w:val="1"/>
              </w:numPr>
            </w:pPr>
            <w:r>
              <w:t>Additional lifetime cancer risk in humans calculated from 5.6 x 10</w:t>
            </w:r>
            <w:r>
              <w:rPr>
                <w:vertAlign w:val="superscript"/>
              </w:rPr>
              <w:t>-3</w:t>
            </w:r>
            <w:r>
              <w:t xml:space="preserve"> mg/m</w:t>
            </w:r>
            <w:r>
              <w:rPr>
                <w:vertAlign w:val="superscript"/>
              </w:rPr>
              <w:t>3</w:t>
            </w:r>
            <w:r w:rsidR="005F4149">
              <w:t>:</w:t>
            </w:r>
          </w:p>
          <w:p w14:paraId="6F5EA00F" w14:textId="085BAC42" w:rsidR="009B1C42" w:rsidRDefault="0084599A" w:rsidP="004E0787">
            <w:pPr>
              <w:pStyle w:val="Tabletextprimarysource"/>
              <w:numPr>
                <w:ilvl w:val="1"/>
                <w:numId w:val="1"/>
              </w:numPr>
              <w:ind w:left="1156"/>
            </w:pPr>
            <w:r>
              <w:t>assuming working period (5 d/wk, 48 wk/y, 40 y), shift duration (8 h) and respiratory volume (10 m</w:t>
            </w:r>
            <w:r>
              <w:rPr>
                <w:vertAlign w:val="superscript"/>
              </w:rPr>
              <w:t>3</w:t>
            </w:r>
            <w:r>
              <w:t xml:space="preserve">) </w:t>
            </w:r>
          </w:p>
          <w:p w14:paraId="5BEEF385" w14:textId="2258E9B5" w:rsidR="0084599A" w:rsidRPr="009B1C42" w:rsidRDefault="0084599A" w:rsidP="004E0787">
            <w:pPr>
              <w:pStyle w:val="Tabletextprimarysource"/>
              <w:numPr>
                <w:ilvl w:val="1"/>
                <w:numId w:val="1"/>
              </w:numPr>
              <w:ind w:left="1156"/>
            </w:pPr>
            <w:r>
              <w:t>additional risk of 4 x 10</w:t>
            </w:r>
            <w:r>
              <w:rPr>
                <w:vertAlign w:val="superscript"/>
              </w:rPr>
              <w:t>-5</w:t>
            </w:r>
            <w:r>
              <w:t xml:space="preserve"> at 0.036 mg/m</w:t>
            </w:r>
            <w:r>
              <w:rPr>
                <w:vertAlign w:val="superscript"/>
              </w:rPr>
              <w:t>3</w:t>
            </w:r>
            <w:r>
              <w:t xml:space="preserve"> or 4 x 10</w:t>
            </w:r>
            <w:r>
              <w:rPr>
                <w:vertAlign w:val="superscript"/>
              </w:rPr>
              <w:t>-3</w:t>
            </w:r>
            <w:r>
              <w:t xml:space="preserve"> at 3.6 mg/m</w:t>
            </w:r>
            <w:r>
              <w:rPr>
                <w:vertAlign w:val="superscript"/>
              </w:rPr>
              <w:t>3</w:t>
            </w:r>
            <w:r w:rsidR="00391970">
              <w:t>.</w:t>
            </w:r>
          </w:p>
          <w:p w14:paraId="0A11BE7F" w14:textId="258B1AF1" w:rsidR="006939D7" w:rsidRDefault="006939D7" w:rsidP="003365A5">
            <w:pPr>
              <w:pStyle w:val="Tabletextprimarysource"/>
            </w:pPr>
            <w:r>
              <w:t>Human data:</w:t>
            </w:r>
          </w:p>
          <w:p w14:paraId="2CF17427" w14:textId="3FEC05E4" w:rsidR="006939D7" w:rsidRDefault="006939D7" w:rsidP="006939D7">
            <w:pPr>
              <w:pStyle w:val="Tabletextprimarysource"/>
              <w:numPr>
                <w:ilvl w:val="0"/>
                <w:numId w:val="1"/>
              </w:numPr>
            </w:pPr>
            <w:r>
              <w:t>Headache, nausea and anorexia at daily occupational exposure of 20–45 ppm; no effects at 10–30 ppm (4 h/d, 3 d/wk</w:t>
            </w:r>
            <w:r w:rsidR="008B7EE3">
              <w:t>, also cited in ACGIH, 2018</w:t>
            </w:r>
            <w:r>
              <w:t>)</w:t>
            </w:r>
            <w:r w:rsidR="00391970">
              <w:t>.</w:t>
            </w:r>
          </w:p>
          <w:p w14:paraId="3973DC74" w14:textId="27EA4EA8" w:rsidR="006939D7" w:rsidRDefault="006939D7" w:rsidP="003365A5">
            <w:pPr>
              <w:pStyle w:val="Tabletextprimarysource"/>
            </w:pPr>
            <w:r>
              <w:t>Animal data:</w:t>
            </w:r>
          </w:p>
          <w:p w14:paraId="29DBFC51" w14:textId="6D51B85E" w:rsidR="006939D7" w:rsidRDefault="006939D7" w:rsidP="006939D7">
            <w:pPr>
              <w:pStyle w:val="Tabletextprimarysource"/>
              <w:numPr>
                <w:ilvl w:val="0"/>
                <w:numId w:val="1"/>
              </w:numPr>
            </w:pPr>
            <w:r>
              <w:t>NOAEL: 10 mg/kg/d for liver damage in repeat gavage study (rats, 5 d/wk, 4 wk); LOAEL: 50 mg/kg/d</w:t>
            </w:r>
          </w:p>
          <w:p w14:paraId="4DC93802" w14:textId="0A3B6EBD" w:rsidR="006939D7" w:rsidRPr="00DA352E" w:rsidRDefault="006939D7" w:rsidP="006939D7">
            <w:pPr>
              <w:pStyle w:val="Tabletextprimarysource"/>
              <w:numPr>
                <w:ilvl w:val="0"/>
                <w:numId w:val="1"/>
              </w:numPr>
            </w:pPr>
            <w:r>
              <w:t xml:space="preserve">Generally non-mutagenic, but strong evidence for DNA repair inhibition </w:t>
            </w:r>
            <w:r>
              <w:rPr>
                <w:i/>
              </w:rPr>
              <w:t>in vitro</w:t>
            </w:r>
            <w:r>
              <w:t xml:space="preserve"> and </w:t>
            </w:r>
            <w:r>
              <w:rPr>
                <w:i/>
              </w:rPr>
              <w:t>in vivo</w:t>
            </w:r>
            <w:r>
              <w:t xml:space="preserve"> in rat hepatocytes</w:t>
            </w:r>
            <w:r w:rsidR="0084599A">
              <w:t>.</w:t>
            </w:r>
          </w:p>
        </w:tc>
      </w:tr>
    </w:tbl>
    <w:p w14:paraId="4B58588E" w14:textId="77777777" w:rsidR="00A20751" w:rsidRPr="004C23F4" w:rsidRDefault="00A20751" w:rsidP="003365A5">
      <w:pPr>
        <w:pStyle w:val="Heading3"/>
      </w:pPr>
      <w:bookmarkStart w:id="1" w:name="SecondSource"/>
      <w:r w:rsidRPr="004C23F4">
        <w:t xml:space="preserve">Secondary </w:t>
      </w:r>
      <w:r w:rsidR="0088798F">
        <w:t xml:space="preserve">source reports relied upon </w:t>
      </w:r>
    </w:p>
    <w:tbl>
      <w:tblPr>
        <w:tblStyle w:val="LightList"/>
        <w:tblW w:w="0" w:type="auto"/>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ook w:val="0620" w:firstRow="1" w:lastRow="0" w:firstColumn="0" w:lastColumn="0" w:noHBand="1" w:noVBand="1"/>
        <w:tblCaption w:val="Table"/>
        <w:tblDescription w:val="Listing secondary sources with reports"/>
      </w:tblPr>
      <w:tblGrid>
        <w:gridCol w:w="1486"/>
        <w:gridCol w:w="421"/>
        <w:gridCol w:w="661"/>
        <w:gridCol w:w="6458"/>
      </w:tblGrid>
      <w:tr w:rsidR="004966BF" w:rsidRPr="00EA105A" w14:paraId="7AAC2CFD" w14:textId="77777777" w:rsidTr="00EA105A">
        <w:trPr>
          <w:cnfStyle w:val="100000000000" w:firstRow="1" w:lastRow="0" w:firstColumn="0" w:lastColumn="0" w:oddVBand="0" w:evenVBand="0" w:oddHBand="0" w:evenHBand="0" w:firstRowFirstColumn="0" w:firstRowLastColumn="0" w:lastRowFirstColumn="0" w:lastRowLastColumn="0"/>
          <w:cantSplit/>
          <w:trHeight w:val="393"/>
          <w:tblHeader/>
        </w:trPr>
        <w:tc>
          <w:tcPr>
            <w:tcW w:w="1486" w:type="dxa"/>
            <w:shd w:val="clear" w:color="auto" w:fill="BFBFBF" w:themeFill="background1" w:themeFillShade="BF"/>
            <w:vAlign w:val="center"/>
          </w:tcPr>
          <w:p w14:paraId="174A1EF9" w14:textId="77777777" w:rsidR="004966BF" w:rsidRPr="00EA105A" w:rsidRDefault="004966BF" w:rsidP="00263255">
            <w:pPr>
              <w:pStyle w:val="Tableheader"/>
              <w:rPr>
                <w:b/>
              </w:rPr>
            </w:pPr>
            <w:r w:rsidRPr="00EA105A">
              <w:rPr>
                <w:b/>
              </w:rPr>
              <w:t>Source</w:t>
            </w:r>
          </w:p>
        </w:tc>
        <w:tc>
          <w:tcPr>
            <w:tcW w:w="421" w:type="dxa"/>
            <w:shd w:val="clear" w:color="auto" w:fill="BFBFBF" w:themeFill="background1" w:themeFillShade="BF"/>
            <w:vAlign w:val="center"/>
          </w:tcPr>
          <w:p w14:paraId="1192F2B4" w14:textId="77777777" w:rsidR="004966BF" w:rsidRPr="00EA105A" w:rsidRDefault="004966BF" w:rsidP="00263255">
            <w:pPr>
              <w:pStyle w:val="Tableheader"/>
              <w:rPr>
                <w:b/>
              </w:rPr>
            </w:pPr>
          </w:p>
        </w:tc>
        <w:tc>
          <w:tcPr>
            <w:tcW w:w="661" w:type="dxa"/>
            <w:shd w:val="clear" w:color="auto" w:fill="BFBFBF" w:themeFill="background1" w:themeFillShade="BF"/>
            <w:vAlign w:val="center"/>
          </w:tcPr>
          <w:p w14:paraId="4D75985D" w14:textId="77777777" w:rsidR="004966BF" w:rsidRPr="00EA105A" w:rsidRDefault="004966BF" w:rsidP="00263255">
            <w:pPr>
              <w:pStyle w:val="Tableheader"/>
              <w:rPr>
                <w:b/>
              </w:rPr>
            </w:pPr>
            <w:r w:rsidRPr="00EA105A">
              <w:rPr>
                <w:b/>
              </w:rPr>
              <w:t>Year</w:t>
            </w:r>
          </w:p>
        </w:tc>
        <w:tc>
          <w:tcPr>
            <w:tcW w:w="6458" w:type="dxa"/>
            <w:shd w:val="clear" w:color="auto" w:fill="BFBFBF" w:themeFill="background1" w:themeFillShade="BF"/>
            <w:vAlign w:val="center"/>
          </w:tcPr>
          <w:p w14:paraId="336311BC" w14:textId="77777777" w:rsidR="004966BF" w:rsidRPr="00EA105A" w:rsidRDefault="004966BF" w:rsidP="00263255">
            <w:pPr>
              <w:pStyle w:val="Tableheader"/>
              <w:rPr>
                <w:b/>
              </w:rPr>
            </w:pPr>
            <w:r w:rsidRPr="00EA105A">
              <w:rPr>
                <w:b/>
              </w:rPr>
              <w:t>Additional information</w:t>
            </w:r>
          </w:p>
        </w:tc>
      </w:tr>
      <w:tr w:rsidR="004966BF" w:rsidRPr="004C23F4" w14:paraId="1FE0E963" w14:textId="77777777" w:rsidTr="00EA105A">
        <w:trPr>
          <w:cantSplit/>
        </w:trPr>
        <w:tc>
          <w:tcPr>
            <w:tcW w:w="1486" w:type="dxa"/>
          </w:tcPr>
          <w:p w14:paraId="7B69D48B" w14:textId="77777777" w:rsidR="004966BF" w:rsidRPr="004C23F4" w:rsidRDefault="004966BF" w:rsidP="00224EE2">
            <w:pPr>
              <w:pStyle w:val="Tablefont"/>
            </w:pPr>
            <w:r>
              <w:t>NICNAS</w:t>
            </w:r>
          </w:p>
        </w:tc>
        <w:tc>
          <w:tcPr>
            <w:tcW w:w="421" w:type="dxa"/>
          </w:tcPr>
          <w:p w14:paraId="260BE104" w14:textId="09F1B1B2" w:rsidR="004966BF" w:rsidRPr="00CE617F" w:rsidRDefault="00FD6967" w:rsidP="00AB43C4">
            <w:pPr>
              <w:spacing w:before="40"/>
              <w:jc w:val="center"/>
              <w:rPr>
                <w:rStyle w:val="checkbox"/>
              </w:rPr>
            </w:pPr>
            <w:sdt>
              <w:sdtPr>
                <w:rPr>
                  <w:rStyle w:val="checkbox"/>
                </w:rPr>
                <w:id w:val="1234131032"/>
                <w:placeholder>
                  <w:docPart w:val="C2B44F29000D47BD8588D2D5E8DFA6C8"/>
                </w:placeholder>
                <w:dropDownList>
                  <w:listItem w:displayText="" w:value=""/>
                  <w:listItem w:displayText="" w:value=""/>
                  <w:listItem w:displayText="" w:value=""/>
                </w:dropDownList>
              </w:sdtPr>
              <w:sdtEndPr>
                <w:rPr>
                  <w:rStyle w:val="checkbox"/>
                </w:rPr>
              </w:sdtEndPr>
              <w:sdtContent>
                <w:r w:rsidR="007D536B">
                  <w:rPr>
                    <w:rStyle w:val="checkbox"/>
                  </w:rPr>
                  <w:t></w:t>
                </w:r>
              </w:sdtContent>
            </w:sdt>
          </w:p>
        </w:tc>
        <w:tc>
          <w:tcPr>
            <w:tcW w:w="661" w:type="dxa"/>
          </w:tcPr>
          <w:p w14:paraId="30C42E7F" w14:textId="5F7A3236" w:rsidR="004966BF" w:rsidRPr="004C23F4" w:rsidRDefault="007D536B" w:rsidP="00717D45">
            <w:pPr>
              <w:pStyle w:val="Tablefont"/>
              <w:rPr>
                <w:rStyle w:val="checkbox"/>
                <w:rFonts w:ascii="Arial" w:hAnsi="Arial" w:cs="Arial"/>
              </w:rPr>
            </w:pPr>
            <w:r>
              <w:rPr>
                <w:rStyle w:val="checkbox"/>
                <w:rFonts w:ascii="Arial" w:hAnsi="Arial" w:cs="Arial"/>
              </w:rPr>
              <w:t>2013</w:t>
            </w:r>
          </w:p>
        </w:tc>
        <w:tc>
          <w:tcPr>
            <w:tcW w:w="6458" w:type="dxa"/>
          </w:tcPr>
          <w:p w14:paraId="372F724B" w14:textId="6F58D4DF" w:rsidR="004C6EDB" w:rsidRPr="00490461" w:rsidRDefault="004C6EDB" w:rsidP="009F00CA">
            <w:pPr>
              <w:pStyle w:val="Tablefont"/>
              <w:numPr>
                <w:ilvl w:val="0"/>
                <w:numId w:val="1"/>
              </w:numPr>
              <w:spacing w:before="60" w:after="60"/>
              <w:ind w:hanging="357"/>
              <w:rPr>
                <w:rFonts w:cs="Arial"/>
              </w:rPr>
            </w:pPr>
            <w:r>
              <w:rPr>
                <w:rFonts w:cs="Arial"/>
                <w:color w:val="262626"/>
              </w:rPr>
              <w:t>Critical effects are carcinogenicity and potential</w:t>
            </w:r>
            <w:r>
              <w:rPr>
                <w:rFonts w:cs="Arial"/>
                <w:color w:val="BA1419"/>
              </w:rPr>
              <w:t> </w:t>
            </w:r>
            <w:r>
              <w:rPr>
                <w:rFonts w:cs="Arial"/>
                <w:color w:val="262626"/>
              </w:rPr>
              <w:t>mutagenic effects</w:t>
            </w:r>
            <w:r w:rsidR="00490461">
              <w:rPr>
                <w:rFonts w:cs="Arial"/>
                <w:color w:val="262626"/>
              </w:rPr>
              <w:t>;</w:t>
            </w:r>
            <w:r>
              <w:rPr>
                <w:rFonts w:cs="Arial"/>
                <w:color w:val="262626"/>
              </w:rPr>
              <w:t xml:space="preserve"> expected to have acute inhalation</w:t>
            </w:r>
            <w:r w:rsidR="00490461">
              <w:rPr>
                <w:rFonts w:cs="Arial"/>
                <w:color w:val="262626"/>
              </w:rPr>
              <w:t>al</w:t>
            </w:r>
            <w:r>
              <w:rPr>
                <w:rFonts w:cs="Arial"/>
                <w:color w:val="262626"/>
              </w:rPr>
              <w:t xml:space="preserve"> toxicity</w:t>
            </w:r>
          </w:p>
          <w:p w14:paraId="3DEB5870" w14:textId="4FA08182" w:rsidR="00490461" w:rsidRPr="00490461" w:rsidRDefault="00490461" w:rsidP="009F00CA">
            <w:pPr>
              <w:pStyle w:val="Tablefont"/>
              <w:numPr>
                <w:ilvl w:val="0"/>
                <w:numId w:val="1"/>
              </w:numPr>
              <w:spacing w:before="60" w:after="60"/>
              <w:ind w:hanging="357"/>
              <w:rPr>
                <w:rFonts w:cs="Arial"/>
              </w:rPr>
            </w:pPr>
            <w:r>
              <w:rPr>
                <w:rFonts w:cs="Arial"/>
                <w:color w:val="262626"/>
              </w:rPr>
              <w:t>Classified as category 2 carcinogen based on positive carcinogenicity in animal studies</w:t>
            </w:r>
            <w:r w:rsidR="005F4149">
              <w:rPr>
                <w:rFonts w:cs="Arial"/>
                <w:color w:val="262626"/>
              </w:rPr>
              <w:t>:</w:t>
            </w:r>
          </w:p>
          <w:p w14:paraId="29B78F3D" w14:textId="5B00E884" w:rsidR="00490461" w:rsidRDefault="00490461" w:rsidP="009F00CA">
            <w:pPr>
              <w:pStyle w:val="Tablefont"/>
              <w:numPr>
                <w:ilvl w:val="1"/>
                <w:numId w:val="1"/>
              </w:numPr>
              <w:spacing w:before="60" w:after="60"/>
              <w:ind w:left="1158" w:hanging="357"/>
              <w:rPr>
                <w:rStyle w:val="checkbox"/>
                <w:rFonts w:ascii="Arial" w:hAnsi="Arial" w:cs="Arial"/>
              </w:rPr>
            </w:pPr>
            <w:r>
              <w:rPr>
                <w:color w:val="262626"/>
              </w:rPr>
              <w:t>available epidemiological studies are inconclusive</w:t>
            </w:r>
          </w:p>
          <w:p w14:paraId="580D4C2A" w14:textId="39B705BE" w:rsidR="004C6EDB" w:rsidRDefault="004C6EDB" w:rsidP="009F00CA">
            <w:pPr>
              <w:pStyle w:val="Tablefont"/>
              <w:numPr>
                <w:ilvl w:val="0"/>
                <w:numId w:val="1"/>
              </w:numPr>
              <w:spacing w:before="60" w:after="60"/>
              <w:ind w:hanging="357"/>
              <w:rPr>
                <w:rStyle w:val="checkbox"/>
                <w:rFonts w:ascii="Arial" w:hAnsi="Arial" w:cs="Arial"/>
              </w:rPr>
            </w:pPr>
            <w:r>
              <w:rPr>
                <w:rStyle w:val="checkbox"/>
                <w:rFonts w:ascii="Arial" w:hAnsi="Arial" w:cs="Arial"/>
              </w:rPr>
              <w:t xml:space="preserve">Low potential for bioaccumulation; </w:t>
            </w:r>
            <w:r w:rsidR="00391970">
              <w:rPr>
                <w:rStyle w:val="checkbox"/>
                <w:rFonts w:ascii="Arial" w:hAnsi="Arial" w:cs="Arial"/>
              </w:rPr>
              <w:t>t</w:t>
            </w:r>
            <w:r w:rsidR="00391970" w:rsidRPr="00391970">
              <w:rPr>
                <w:rStyle w:val="checkbox"/>
                <w:rFonts w:ascii="Arial" w:hAnsi="Arial" w:cs="Arial"/>
                <w:vertAlign w:val="subscript"/>
              </w:rPr>
              <w:t>1/2</w:t>
            </w:r>
            <w:r w:rsidRPr="00391970">
              <w:rPr>
                <w:rStyle w:val="checkbox"/>
                <w:rFonts w:ascii="Arial" w:hAnsi="Arial" w:cs="Arial"/>
                <w:vertAlign w:val="subscript"/>
              </w:rPr>
              <w:t xml:space="preserve"> </w:t>
            </w:r>
            <w:r>
              <w:rPr>
                <w:rStyle w:val="checkbox"/>
                <w:rFonts w:ascii="Arial" w:hAnsi="Arial" w:cs="Arial"/>
              </w:rPr>
              <w:t>&lt;2 h (rats)</w:t>
            </w:r>
          </w:p>
          <w:p w14:paraId="20CBDB7A" w14:textId="111B1BFC" w:rsidR="004966BF" w:rsidRDefault="00F45764" w:rsidP="009F00CA">
            <w:pPr>
              <w:pStyle w:val="Tablefont"/>
              <w:numPr>
                <w:ilvl w:val="0"/>
                <w:numId w:val="1"/>
              </w:numPr>
              <w:spacing w:before="60" w:after="60"/>
              <w:ind w:hanging="357"/>
              <w:rPr>
                <w:rStyle w:val="checkbox"/>
                <w:rFonts w:ascii="Arial" w:hAnsi="Arial" w:cs="Arial"/>
              </w:rPr>
            </w:pPr>
            <w:r>
              <w:rPr>
                <w:rStyle w:val="checkbox"/>
                <w:rFonts w:ascii="Arial" w:hAnsi="Arial" w:cs="Arial"/>
              </w:rPr>
              <w:t xml:space="preserve">Limited dermal absorption </w:t>
            </w:r>
            <w:r w:rsidR="004C6EDB">
              <w:rPr>
                <w:rStyle w:val="checkbox"/>
                <w:rFonts w:ascii="Arial" w:hAnsi="Arial" w:cs="Arial"/>
              </w:rPr>
              <w:t>based on high recovery of dermal dose following dermal application experiment (monkeys, 12 h)</w:t>
            </w:r>
          </w:p>
          <w:p w14:paraId="71388205" w14:textId="4CCF4C69" w:rsidR="004C6EDB" w:rsidRPr="004C23F4" w:rsidRDefault="004C6EDB" w:rsidP="009F00CA">
            <w:pPr>
              <w:pStyle w:val="Tablefont"/>
              <w:numPr>
                <w:ilvl w:val="0"/>
                <w:numId w:val="1"/>
              </w:numPr>
              <w:spacing w:before="60" w:after="60"/>
              <w:ind w:hanging="357"/>
              <w:rPr>
                <w:rStyle w:val="checkbox"/>
                <w:rFonts w:ascii="Arial" w:hAnsi="Arial" w:cs="Arial"/>
              </w:rPr>
            </w:pPr>
            <w:r>
              <w:rPr>
                <w:rStyle w:val="checkbox"/>
                <w:rFonts w:ascii="Arial" w:hAnsi="Arial" w:cs="Arial"/>
              </w:rPr>
              <w:t>No signs of toxicity at 2,000 mg/kg as dermal dose on abraded skin (rabbits, 24 h)</w:t>
            </w:r>
            <w:r w:rsidR="00391970">
              <w:rPr>
                <w:rStyle w:val="checkbox"/>
                <w:rFonts w:ascii="Arial" w:hAnsi="Arial" w:cs="Arial"/>
              </w:rPr>
              <w:t>.</w:t>
            </w:r>
          </w:p>
        </w:tc>
      </w:tr>
      <w:tr w:rsidR="004966BF" w:rsidRPr="004C23F4" w14:paraId="239DF328" w14:textId="77777777" w:rsidTr="00EA105A">
        <w:trPr>
          <w:cantSplit/>
        </w:trPr>
        <w:tc>
          <w:tcPr>
            <w:tcW w:w="1486" w:type="dxa"/>
          </w:tcPr>
          <w:p w14:paraId="6F368D3D" w14:textId="77777777" w:rsidR="004966BF" w:rsidRPr="004C23F4" w:rsidRDefault="004966BF" w:rsidP="00224EE2">
            <w:pPr>
              <w:pStyle w:val="Tablefont"/>
            </w:pPr>
            <w:r>
              <w:t>IARC</w:t>
            </w:r>
          </w:p>
        </w:tc>
        <w:tc>
          <w:tcPr>
            <w:tcW w:w="421" w:type="dxa"/>
          </w:tcPr>
          <w:p w14:paraId="1AD5563F" w14:textId="7034511E" w:rsidR="004966BF" w:rsidRPr="00CE617F" w:rsidRDefault="00FD6967" w:rsidP="00AB43C4">
            <w:pPr>
              <w:spacing w:before="40"/>
              <w:jc w:val="center"/>
              <w:rPr>
                <w:rStyle w:val="checkbox"/>
              </w:rPr>
            </w:pPr>
            <w:sdt>
              <w:sdtPr>
                <w:rPr>
                  <w:rStyle w:val="checkbox"/>
                </w:rPr>
                <w:id w:val="1592279139"/>
                <w:placeholder>
                  <w:docPart w:val="20BC8D26515A4C11AC6304FB75A7CBAD"/>
                </w:placeholder>
                <w:dropDownList>
                  <w:listItem w:displayText="" w:value=""/>
                  <w:listItem w:displayText="" w:value=""/>
                  <w:listItem w:displayText="" w:value=""/>
                </w:dropDownList>
              </w:sdtPr>
              <w:sdtEndPr>
                <w:rPr>
                  <w:rStyle w:val="checkbox"/>
                </w:rPr>
              </w:sdtEndPr>
              <w:sdtContent>
                <w:r w:rsidR="00490461">
                  <w:rPr>
                    <w:rStyle w:val="checkbox"/>
                  </w:rPr>
                  <w:t></w:t>
                </w:r>
              </w:sdtContent>
            </w:sdt>
          </w:p>
        </w:tc>
        <w:tc>
          <w:tcPr>
            <w:tcW w:w="661" w:type="dxa"/>
          </w:tcPr>
          <w:p w14:paraId="055A76BF" w14:textId="6F0F5300" w:rsidR="004966BF" w:rsidRPr="004C23F4" w:rsidRDefault="00490461" w:rsidP="00717D45">
            <w:pPr>
              <w:pStyle w:val="Tablefont"/>
              <w:rPr>
                <w:rStyle w:val="checkbox"/>
                <w:rFonts w:ascii="Arial" w:hAnsi="Arial" w:cs="Arial"/>
              </w:rPr>
            </w:pPr>
            <w:r>
              <w:rPr>
                <w:rStyle w:val="checkbox"/>
                <w:rFonts w:ascii="Arial" w:hAnsi="Arial" w:cs="Arial"/>
              </w:rPr>
              <w:t>1999</w:t>
            </w:r>
          </w:p>
        </w:tc>
        <w:tc>
          <w:tcPr>
            <w:tcW w:w="6458" w:type="dxa"/>
          </w:tcPr>
          <w:p w14:paraId="494B2978" w14:textId="77777777" w:rsidR="004966BF" w:rsidRDefault="00490461" w:rsidP="009F00CA">
            <w:pPr>
              <w:pStyle w:val="Tablefont"/>
              <w:numPr>
                <w:ilvl w:val="0"/>
                <w:numId w:val="1"/>
              </w:numPr>
              <w:spacing w:before="60" w:after="60"/>
              <w:ind w:left="714" w:hanging="357"/>
              <w:rPr>
                <w:rStyle w:val="checkbox"/>
                <w:rFonts w:ascii="Arial" w:hAnsi="Arial" w:cs="Arial"/>
              </w:rPr>
            </w:pPr>
            <w:r>
              <w:rPr>
                <w:rStyle w:val="checkbox"/>
                <w:rFonts w:ascii="Arial" w:hAnsi="Arial" w:cs="Arial"/>
              </w:rPr>
              <w:t>No adequate epidemiological data available</w:t>
            </w:r>
          </w:p>
          <w:p w14:paraId="32544577" w14:textId="186C02D2" w:rsidR="00490461" w:rsidRDefault="00490461" w:rsidP="009F00CA">
            <w:pPr>
              <w:pStyle w:val="Tablefont"/>
              <w:numPr>
                <w:ilvl w:val="0"/>
                <w:numId w:val="1"/>
              </w:numPr>
              <w:spacing w:before="60" w:after="60"/>
              <w:ind w:left="714" w:hanging="357"/>
              <w:rPr>
                <w:rStyle w:val="checkbox"/>
                <w:rFonts w:ascii="Arial" w:hAnsi="Arial" w:cs="Arial"/>
              </w:rPr>
            </w:pPr>
            <w:r>
              <w:rPr>
                <w:rStyle w:val="checkbox"/>
                <w:rFonts w:ascii="Arial" w:hAnsi="Arial" w:cs="Arial"/>
              </w:rPr>
              <w:t xml:space="preserve">Carcinogenic in rats </w:t>
            </w:r>
            <w:r w:rsidRPr="006527EC">
              <w:rPr>
                <w:rStyle w:val="checkbox"/>
                <w:rFonts w:ascii="Arial" w:hAnsi="Arial" w:cs="Arial"/>
                <w:i/>
              </w:rPr>
              <w:t>via</w:t>
            </w:r>
            <w:r>
              <w:rPr>
                <w:rStyle w:val="checkbox"/>
                <w:rFonts w:ascii="Arial" w:hAnsi="Arial" w:cs="Arial"/>
              </w:rPr>
              <w:t xml:space="preserve"> oral and inhalational routes; liver cancers evidenced in 2 inhalation studies (also cited in ACGIH, 2018 and DFG, 1992)</w:t>
            </w:r>
          </w:p>
          <w:p w14:paraId="02B4E877" w14:textId="2C0F502B" w:rsidR="00111EED" w:rsidRDefault="00111EED" w:rsidP="009F00CA">
            <w:pPr>
              <w:pStyle w:val="Tablefont"/>
              <w:numPr>
                <w:ilvl w:val="0"/>
                <w:numId w:val="1"/>
              </w:numPr>
              <w:spacing w:before="60" w:after="60"/>
              <w:ind w:left="714" w:hanging="357"/>
              <w:rPr>
                <w:rStyle w:val="checkbox"/>
                <w:rFonts w:ascii="Arial" w:hAnsi="Arial" w:cs="Arial"/>
              </w:rPr>
            </w:pPr>
            <w:r>
              <w:rPr>
                <w:rStyle w:val="checkbox"/>
                <w:rFonts w:ascii="Arial" w:hAnsi="Arial" w:cs="Arial"/>
              </w:rPr>
              <w:t xml:space="preserve">Potential genotoxic mechanism of action hypothesised to act </w:t>
            </w:r>
            <w:r w:rsidRPr="006527EC">
              <w:rPr>
                <w:rStyle w:val="checkbox"/>
                <w:rFonts w:ascii="Arial" w:hAnsi="Arial" w:cs="Arial"/>
                <w:i/>
              </w:rPr>
              <w:t>via</w:t>
            </w:r>
            <w:r>
              <w:rPr>
                <w:rStyle w:val="checkbox"/>
                <w:rFonts w:ascii="Arial" w:hAnsi="Arial" w:cs="Arial"/>
              </w:rPr>
              <w:t xml:space="preserve"> metabolic formation of propane 2-nitronate, which is more mutagenic in </w:t>
            </w:r>
            <w:r>
              <w:rPr>
                <w:rStyle w:val="checkbox"/>
                <w:rFonts w:ascii="Arial" w:hAnsi="Arial" w:cs="Arial"/>
                <w:i/>
              </w:rPr>
              <w:t xml:space="preserve">Salmonella </w:t>
            </w:r>
            <w:r>
              <w:rPr>
                <w:rStyle w:val="checkbox"/>
                <w:rFonts w:ascii="Arial" w:hAnsi="Arial" w:cs="Arial"/>
              </w:rPr>
              <w:t>than 2-nitropropane</w:t>
            </w:r>
          </w:p>
          <w:p w14:paraId="7A8A3847" w14:textId="748CD2A5" w:rsidR="00490461" w:rsidRPr="00490461" w:rsidRDefault="00490461" w:rsidP="009F00CA">
            <w:pPr>
              <w:pStyle w:val="Tablefont"/>
              <w:numPr>
                <w:ilvl w:val="0"/>
                <w:numId w:val="1"/>
              </w:numPr>
              <w:spacing w:before="60" w:after="60"/>
              <w:ind w:left="714" w:hanging="357"/>
              <w:rPr>
                <w:rStyle w:val="checkbox"/>
                <w:rFonts w:ascii="Arial" w:hAnsi="Arial" w:cs="Arial"/>
              </w:rPr>
            </w:pPr>
            <w:r>
              <w:rPr>
                <w:rStyle w:val="checkbox"/>
                <w:rFonts w:ascii="Arial" w:hAnsi="Arial" w:cs="Arial"/>
              </w:rPr>
              <w:t>Classified as Group 2B carcinogen, possibly carcinogenic to humans</w:t>
            </w:r>
            <w:r w:rsidR="00391970">
              <w:rPr>
                <w:rStyle w:val="checkbox"/>
                <w:rFonts w:ascii="Arial" w:hAnsi="Arial" w:cs="Arial"/>
              </w:rPr>
              <w:t>.</w:t>
            </w:r>
          </w:p>
        </w:tc>
      </w:tr>
      <w:tr w:rsidR="004966BF" w:rsidRPr="004C23F4" w14:paraId="6C0738E0" w14:textId="77777777" w:rsidTr="00EA105A">
        <w:trPr>
          <w:cantSplit/>
        </w:trPr>
        <w:tc>
          <w:tcPr>
            <w:tcW w:w="1486" w:type="dxa"/>
          </w:tcPr>
          <w:p w14:paraId="29A499C7" w14:textId="77777777" w:rsidR="004966BF" w:rsidRPr="004C23F4" w:rsidRDefault="004966BF" w:rsidP="00224EE2">
            <w:pPr>
              <w:pStyle w:val="Tablefont"/>
            </w:pPr>
            <w:r>
              <w:t>US EPA</w:t>
            </w:r>
          </w:p>
        </w:tc>
        <w:tc>
          <w:tcPr>
            <w:tcW w:w="421" w:type="dxa"/>
          </w:tcPr>
          <w:p w14:paraId="2AAC2662" w14:textId="37519B7D" w:rsidR="004966BF" w:rsidRPr="00CE617F" w:rsidRDefault="00FD6967" w:rsidP="00AB43C4">
            <w:pPr>
              <w:spacing w:before="40"/>
              <w:jc w:val="center"/>
              <w:rPr>
                <w:rStyle w:val="checkbox"/>
              </w:rPr>
            </w:pPr>
            <w:sdt>
              <w:sdtPr>
                <w:rPr>
                  <w:rStyle w:val="checkbox"/>
                </w:rPr>
                <w:id w:val="1015498594"/>
                <w:placeholder>
                  <w:docPart w:val="CFFDE270CB50461B826B0194984892C5"/>
                </w:placeholder>
                <w:dropDownList>
                  <w:listItem w:displayText="" w:value=""/>
                  <w:listItem w:displayText="" w:value=""/>
                  <w:listItem w:displayText="" w:value=""/>
                </w:dropDownList>
              </w:sdtPr>
              <w:sdtEndPr>
                <w:rPr>
                  <w:rStyle w:val="checkbox"/>
                </w:rPr>
              </w:sdtEndPr>
              <w:sdtContent>
                <w:r w:rsidR="009C741C">
                  <w:rPr>
                    <w:rStyle w:val="checkbox"/>
                  </w:rPr>
                  <w:t></w:t>
                </w:r>
              </w:sdtContent>
            </w:sdt>
          </w:p>
        </w:tc>
        <w:tc>
          <w:tcPr>
            <w:tcW w:w="661" w:type="dxa"/>
          </w:tcPr>
          <w:p w14:paraId="29495532" w14:textId="0AA76975" w:rsidR="004966BF" w:rsidRPr="004C23F4" w:rsidRDefault="007D536B" w:rsidP="00717D45">
            <w:pPr>
              <w:pStyle w:val="Tablefont"/>
              <w:rPr>
                <w:rStyle w:val="checkbox"/>
                <w:rFonts w:ascii="Arial" w:hAnsi="Arial" w:cs="Arial"/>
              </w:rPr>
            </w:pPr>
            <w:r>
              <w:rPr>
                <w:rStyle w:val="checkbox"/>
                <w:rFonts w:ascii="Arial" w:hAnsi="Arial" w:cs="Arial"/>
              </w:rPr>
              <w:t>1991</w:t>
            </w:r>
          </w:p>
        </w:tc>
        <w:tc>
          <w:tcPr>
            <w:tcW w:w="6458" w:type="dxa"/>
          </w:tcPr>
          <w:p w14:paraId="7D561F99" w14:textId="7CC6A9B4" w:rsidR="004966BF" w:rsidRPr="004C23F4" w:rsidRDefault="007D536B" w:rsidP="00717D45">
            <w:pPr>
              <w:pStyle w:val="Tablefont"/>
              <w:rPr>
                <w:rStyle w:val="checkbox"/>
                <w:rFonts w:ascii="Arial" w:hAnsi="Arial" w:cs="Arial"/>
              </w:rPr>
            </w:pPr>
            <w:r>
              <w:rPr>
                <w:rStyle w:val="checkbox"/>
                <w:rFonts w:ascii="Arial" w:hAnsi="Arial" w:cs="Arial"/>
              </w:rPr>
              <w:t>No additional data</w:t>
            </w:r>
            <w:r w:rsidR="00391970">
              <w:rPr>
                <w:rStyle w:val="checkbox"/>
                <w:rFonts w:ascii="Arial" w:hAnsi="Arial" w:cs="Arial"/>
              </w:rPr>
              <w:t>.</w:t>
            </w:r>
          </w:p>
        </w:tc>
      </w:tr>
      <w:tr w:rsidR="004966BF" w:rsidRPr="004C23F4" w14:paraId="5CCD8671" w14:textId="77777777" w:rsidTr="00EA105A">
        <w:trPr>
          <w:cantSplit/>
        </w:trPr>
        <w:tc>
          <w:tcPr>
            <w:tcW w:w="1486" w:type="dxa"/>
          </w:tcPr>
          <w:p w14:paraId="6C1DD2CC" w14:textId="77777777" w:rsidR="004966BF" w:rsidRPr="004C23F4" w:rsidRDefault="004966BF" w:rsidP="00224EE2">
            <w:pPr>
              <w:pStyle w:val="Tablefont"/>
            </w:pPr>
            <w:r>
              <w:lastRenderedPageBreak/>
              <w:t>ECHA</w:t>
            </w:r>
          </w:p>
        </w:tc>
        <w:tc>
          <w:tcPr>
            <w:tcW w:w="421" w:type="dxa"/>
          </w:tcPr>
          <w:p w14:paraId="4F2CCBD4" w14:textId="54AC14CE" w:rsidR="004966BF" w:rsidRPr="00CE617F" w:rsidRDefault="00FD6967" w:rsidP="00AB43C4">
            <w:pPr>
              <w:spacing w:before="40"/>
              <w:jc w:val="center"/>
              <w:rPr>
                <w:rStyle w:val="checkbox"/>
              </w:rPr>
            </w:pPr>
            <w:sdt>
              <w:sdtPr>
                <w:rPr>
                  <w:rStyle w:val="checkbox"/>
                </w:rPr>
                <w:id w:val="-2066787458"/>
                <w:placeholder>
                  <w:docPart w:val="EA32968BF93744FAABC5FC124DBE04BD"/>
                </w:placeholder>
                <w:dropDownList>
                  <w:listItem w:displayText="" w:value=""/>
                  <w:listItem w:displayText="" w:value=""/>
                  <w:listItem w:displayText="" w:value=""/>
                </w:dropDownList>
              </w:sdtPr>
              <w:sdtEndPr>
                <w:rPr>
                  <w:rStyle w:val="checkbox"/>
                </w:rPr>
              </w:sdtEndPr>
              <w:sdtContent>
                <w:r w:rsidR="009C741C">
                  <w:rPr>
                    <w:rStyle w:val="checkbox"/>
                  </w:rPr>
                  <w:t></w:t>
                </w:r>
              </w:sdtContent>
            </w:sdt>
          </w:p>
        </w:tc>
        <w:tc>
          <w:tcPr>
            <w:tcW w:w="661" w:type="dxa"/>
          </w:tcPr>
          <w:p w14:paraId="04945744" w14:textId="2F6ADE3F" w:rsidR="004966BF" w:rsidRPr="004C23F4" w:rsidRDefault="007D536B" w:rsidP="00717D45">
            <w:pPr>
              <w:pStyle w:val="Tablefont"/>
              <w:rPr>
                <w:rStyle w:val="checkbox"/>
                <w:rFonts w:ascii="Arial" w:hAnsi="Arial" w:cs="Arial"/>
              </w:rPr>
            </w:pPr>
            <w:r>
              <w:rPr>
                <w:rStyle w:val="checkbox"/>
                <w:rFonts w:ascii="Arial" w:hAnsi="Arial" w:cs="Arial"/>
              </w:rPr>
              <w:t>2019</w:t>
            </w:r>
          </w:p>
        </w:tc>
        <w:tc>
          <w:tcPr>
            <w:tcW w:w="6458" w:type="dxa"/>
          </w:tcPr>
          <w:p w14:paraId="49E4779C" w14:textId="68BA766C" w:rsidR="004966BF" w:rsidRPr="004C23F4" w:rsidRDefault="007D536B" w:rsidP="00717D45">
            <w:pPr>
              <w:pStyle w:val="Tablefont"/>
              <w:rPr>
                <w:rStyle w:val="checkbox"/>
                <w:rFonts w:ascii="Arial" w:hAnsi="Arial" w:cs="Arial"/>
              </w:rPr>
            </w:pPr>
            <w:r>
              <w:rPr>
                <w:rStyle w:val="checkbox"/>
                <w:rFonts w:ascii="Arial" w:hAnsi="Arial" w:cs="Arial"/>
              </w:rPr>
              <w:t>No additional data</w:t>
            </w:r>
            <w:r w:rsidR="00391970">
              <w:rPr>
                <w:rStyle w:val="checkbox"/>
                <w:rFonts w:ascii="Arial" w:hAnsi="Arial" w:cs="Arial"/>
              </w:rPr>
              <w:t>.</w:t>
            </w:r>
          </w:p>
        </w:tc>
      </w:tr>
      <w:tr w:rsidR="004966BF" w:rsidRPr="004C23F4" w14:paraId="3634C3E1" w14:textId="77777777" w:rsidTr="00EA105A">
        <w:trPr>
          <w:cantSplit/>
        </w:trPr>
        <w:tc>
          <w:tcPr>
            <w:tcW w:w="1486" w:type="dxa"/>
          </w:tcPr>
          <w:p w14:paraId="53AB9708" w14:textId="77777777" w:rsidR="004966BF" w:rsidRPr="004C23F4" w:rsidRDefault="004966BF" w:rsidP="00224EE2">
            <w:pPr>
              <w:pStyle w:val="Tablefont"/>
            </w:pPr>
            <w:r>
              <w:t>OECD</w:t>
            </w:r>
          </w:p>
        </w:tc>
        <w:tc>
          <w:tcPr>
            <w:tcW w:w="421" w:type="dxa"/>
          </w:tcPr>
          <w:p w14:paraId="78CE0304" w14:textId="39590269" w:rsidR="004966BF" w:rsidRPr="00CE617F" w:rsidRDefault="00FD6967" w:rsidP="00AB43C4">
            <w:pPr>
              <w:spacing w:before="40"/>
              <w:jc w:val="center"/>
              <w:rPr>
                <w:rStyle w:val="checkbox"/>
              </w:rPr>
            </w:pPr>
            <w:sdt>
              <w:sdtPr>
                <w:rPr>
                  <w:rStyle w:val="checkbox"/>
                </w:rPr>
                <w:id w:val="-491947220"/>
                <w:placeholder>
                  <w:docPart w:val="320A77D155374054996F168A20882C28"/>
                </w:placeholder>
                <w:dropDownList>
                  <w:listItem w:displayText="" w:value=""/>
                  <w:listItem w:displayText="" w:value=""/>
                  <w:listItem w:displayText="" w:value=""/>
                </w:dropDownList>
              </w:sdtPr>
              <w:sdtEndPr>
                <w:rPr>
                  <w:rStyle w:val="checkbox"/>
                </w:rPr>
              </w:sdtEndPr>
              <w:sdtContent>
                <w:r w:rsidR="009C741C">
                  <w:rPr>
                    <w:rStyle w:val="checkbox"/>
                  </w:rPr>
                  <w:t></w:t>
                </w:r>
              </w:sdtContent>
            </w:sdt>
          </w:p>
        </w:tc>
        <w:tc>
          <w:tcPr>
            <w:tcW w:w="661" w:type="dxa"/>
          </w:tcPr>
          <w:p w14:paraId="1256ACFD" w14:textId="76ACDE02" w:rsidR="004966BF" w:rsidRPr="004C23F4" w:rsidRDefault="007D536B" w:rsidP="00717D45">
            <w:pPr>
              <w:pStyle w:val="Tablefont"/>
              <w:rPr>
                <w:rStyle w:val="checkbox"/>
                <w:rFonts w:ascii="Arial" w:hAnsi="Arial" w:cs="Arial"/>
              </w:rPr>
            </w:pPr>
            <w:r>
              <w:rPr>
                <w:rStyle w:val="checkbox"/>
                <w:rFonts w:ascii="Arial" w:hAnsi="Arial" w:cs="Arial"/>
              </w:rPr>
              <w:t>2010</w:t>
            </w:r>
          </w:p>
        </w:tc>
        <w:tc>
          <w:tcPr>
            <w:tcW w:w="6458" w:type="dxa"/>
          </w:tcPr>
          <w:p w14:paraId="22371531" w14:textId="637B6894" w:rsidR="004966BF" w:rsidRPr="004C23F4" w:rsidRDefault="007D536B" w:rsidP="00717D45">
            <w:pPr>
              <w:pStyle w:val="Tablefont"/>
              <w:rPr>
                <w:rStyle w:val="checkbox"/>
                <w:rFonts w:ascii="Arial" w:hAnsi="Arial" w:cs="Arial"/>
              </w:rPr>
            </w:pPr>
            <w:r>
              <w:rPr>
                <w:rStyle w:val="checkbox"/>
                <w:rFonts w:ascii="Arial" w:hAnsi="Arial" w:cs="Arial"/>
              </w:rPr>
              <w:t>No additional data</w:t>
            </w:r>
            <w:r w:rsidR="00391970">
              <w:rPr>
                <w:rStyle w:val="checkbox"/>
                <w:rFonts w:ascii="Arial" w:hAnsi="Arial" w:cs="Arial"/>
              </w:rPr>
              <w:t>.</w:t>
            </w:r>
          </w:p>
        </w:tc>
      </w:tr>
      <w:tr w:rsidR="004966BF" w:rsidRPr="004C23F4" w14:paraId="6FB9EA69" w14:textId="77777777" w:rsidTr="00EA105A">
        <w:trPr>
          <w:cantSplit/>
        </w:trPr>
        <w:tc>
          <w:tcPr>
            <w:tcW w:w="1486" w:type="dxa"/>
          </w:tcPr>
          <w:p w14:paraId="214B68BB" w14:textId="77777777" w:rsidR="004966BF" w:rsidRDefault="004966BF" w:rsidP="00224EE2">
            <w:pPr>
              <w:pStyle w:val="Tablefont"/>
            </w:pPr>
            <w:r>
              <w:t>US NIOSH</w:t>
            </w:r>
          </w:p>
        </w:tc>
        <w:tc>
          <w:tcPr>
            <w:tcW w:w="421" w:type="dxa"/>
          </w:tcPr>
          <w:p w14:paraId="64FD872D" w14:textId="519ADD2E" w:rsidR="004966BF" w:rsidRDefault="00FD6967" w:rsidP="00AB43C4">
            <w:pPr>
              <w:spacing w:before="40"/>
              <w:jc w:val="center"/>
              <w:rPr>
                <w:rStyle w:val="checkbox"/>
              </w:rPr>
            </w:pPr>
            <w:sdt>
              <w:sdtPr>
                <w:rPr>
                  <w:rStyle w:val="checkbox"/>
                </w:rPr>
                <w:id w:val="-1814863282"/>
                <w:placeholder>
                  <w:docPart w:val="EA51C8540A4D4F0A9062F5B1698DCBB0"/>
                </w:placeholder>
                <w:dropDownList>
                  <w:listItem w:displayText="" w:value=""/>
                  <w:listItem w:displayText="" w:value=""/>
                  <w:listItem w:displayText="" w:value=""/>
                </w:dropDownList>
              </w:sdtPr>
              <w:sdtEndPr>
                <w:rPr>
                  <w:rStyle w:val="checkbox"/>
                </w:rPr>
              </w:sdtEndPr>
              <w:sdtContent>
                <w:r w:rsidR="007D536B">
                  <w:rPr>
                    <w:rStyle w:val="checkbox"/>
                  </w:rPr>
                  <w:t></w:t>
                </w:r>
              </w:sdtContent>
            </w:sdt>
          </w:p>
        </w:tc>
        <w:tc>
          <w:tcPr>
            <w:tcW w:w="661" w:type="dxa"/>
          </w:tcPr>
          <w:p w14:paraId="6D37C0DB" w14:textId="2454C408" w:rsidR="004966BF" w:rsidRPr="004C23F4" w:rsidRDefault="007D536B" w:rsidP="00717D45">
            <w:pPr>
              <w:pStyle w:val="Tablefont"/>
              <w:rPr>
                <w:rStyle w:val="checkbox"/>
                <w:rFonts w:ascii="Arial" w:hAnsi="Arial" w:cs="Arial"/>
              </w:rPr>
            </w:pPr>
            <w:r>
              <w:rPr>
                <w:rStyle w:val="checkbox"/>
                <w:rFonts w:ascii="Arial" w:hAnsi="Arial" w:cs="Arial"/>
              </w:rPr>
              <w:t>1994</w:t>
            </w:r>
          </w:p>
        </w:tc>
        <w:tc>
          <w:tcPr>
            <w:tcW w:w="6458" w:type="dxa"/>
          </w:tcPr>
          <w:p w14:paraId="0EEE86E6" w14:textId="0AC7913D" w:rsidR="004966BF" w:rsidRPr="004C23F4" w:rsidRDefault="00490461" w:rsidP="00717D45">
            <w:pPr>
              <w:pStyle w:val="Tablefont"/>
              <w:rPr>
                <w:rStyle w:val="checkbox"/>
                <w:rFonts w:ascii="Arial" w:hAnsi="Arial" w:cs="Arial"/>
              </w:rPr>
            </w:pPr>
            <w:r w:rsidRPr="00490461">
              <w:rPr>
                <w:rFonts w:cs="Arial"/>
              </w:rPr>
              <w:t>IDLH based on acute inhalation toxicity data in animals</w:t>
            </w:r>
            <w:r w:rsidR="00B4643D">
              <w:rPr>
                <w:rFonts w:cs="Arial"/>
              </w:rPr>
              <w:t>.</w:t>
            </w:r>
          </w:p>
        </w:tc>
      </w:tr>
    </w:tbl>
    <w:p w14:paraId="4A62BB93" w14:textId="77777777" w:rsidR="007E2A4B" w:rsidRDefault="007E2A4B"/>
    <w:bookmarkEnd w:id="1"/>
    <w:p w14:paraId="48C2D2F0" w14:textId="77777777" w:rsidR="007E2A4B" w:rsidRDefault="007E2A4B" w:rsidP="007E2A4B">
      <w:pPr>
        <w:pStyle w:val="Heading3"/>
      </w:pPr>
      <w:r>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597"/>
        <w:gridCol w:w="2429"/>
      </w:tblGrid>
      <w:tr w:rsidR="002E0D61" w14:paraId="7681042F" w14:textId="77777777" w:rsidTr="00B4643D">
        <w:trPr>
          <w:trHeight w:val="454"/>
          <w:tblHeader/>
        </w:trPr>
        <w:tc>
          <w:tcPr>
            <w:tcW w:w="6597" w:type="dxa"/>
            <w:vAlign w:val="center"/>
          </w:tcPr>
          <w:p w14:paraId="75232789" w14:textId="77777777" w:rsidR="002E0D61" w:rsidRDefault="00B1422A" w:rsidP="00C3091E">
            <w:pPr>
              <w:pStyle w:val="Tablefont"/>
              <w:keepNext/>
              <w:keepLines/>
              <w:spacing w:before="40" w:after="40"/>
            </w:pPr>
            <w:bookmarkStart w:id="2" w:name="GCQuest"/>
            <w:r>
              <w:t>Is the chemical mutagenic</w:t>
            </w:r>
            <w:r w:rsidR="002E0D61">
              <w:t>?</w:t>
            </w:r>
          </w:p>
        </w:tc>
        <w:sdt>
          <w:sdtPr>
            <w:id w:val="319705052"/>
            <w:placeholder>
              <w:docPart w:val="0168237C60E6479CAFA3D9A1A8409B78"/>
            </w:placeholder>
            <w:comboBox>
              <w:listItem w:value="Choose an item."/>
              <w:listItem w:displayText="Yes" w:value="Yes"/>
              <w:listItem w:displayText="No" w:value="No"/>
              <w:listItem w:displayText="Insufficient data" w:value="Insufficient data"/>
            </w:comboBox>
          </w:sdtPr>
          <w:sdtEndPr/>
          <w:sdtContent>
            <w:tc>
              <w:tcPr>
                <w:tcW w:w="2429" w:type="dxa"/>
                <w:vAlign w:val="center"/>
              </w:tcPr>
              <w:p w14:paraId="60B0B79E" w14:textId="7B3C4A69" w:rsidR="002E0D61" w:rsidRDefault="00B4643D" w:rsidP="00C3091E">
                <w:pPr>
                  <w:pStyle w:val="Tablefont"/>
                  <w:keepNext/>
                  <w:keepLines/>
                  <w:spacing w:before="40" w:after="40"/>
                </w:pPr>
                <w:r>
                  <w:t>Yes</w:t>
                </w:r>
              </w:p>
            </w:tc>
          </w:sdtContent>
        </w:sdt>
      </w:tr>
      <w:tr w:rsidR="008A36CF" w14:paraId="7A79140F" w14:textId="77777777" w:rsidTr="00B4643D">
        <w:trPr>
          <w:trHeight w:val="454"/>
        </w:trPr>
        <w:tc>
          <w:tcPr>
            <w:tcW w:w="6597" w:type="dxa"/>
            <w:vAlign w:val="center"/>
          </w:tcPr>
          <w:p w14:paraId="4E8A6C78" w14:textId="77777777" w:rsidR="008A36CF" w:rsidRDefault="008A36CF" w:rsidP="008A36CF">
            <w:pPr>
              <w:pStyle w:val="Tablefont"/>
              <w:keepNext/>
              <w:keepLines/>
              <w:spacing w:before="40" w:after="40"/>
            </w:pPr>
            <w:r>
              <w:t>Is the chemical carcinogenic with a mutagenic mechanism of action?</w:t>
            </w:r>
          </w:p>
        </w:tc>
        <w:sdt>
          <w:sdtPr>
            <w:id w:val="-1035572737"/>
            <w:placeholder>
              <w:docPart w:val="5CBFEC560F894890BBD09B93174FFAE0"/>
            </w:placeholder>
            <w:comboBox>
              <w:listItem w:value="Choose an item."/>
              <w:listItem w:displayText="Yes" w:value="Yes"/>
              <w:listItem w:displayText="No" w:value="No"/>
              <w:listItem w:displayText="Insufficient data" w:value="Insufficient data"/>
              <w:listItem w:displayText="NA" w:value="NA"/>
            </w:comboBox>
          </w:sdtPr>
          <w:sdtEndPr/>
          <w:sdtContent>
            <w:tc>
              <w:tcPr>
                <w:tcW w:w="2429" w:type="dxa"/>
                <w:vAlign w:val="center"/>
              </w:tcPr>
              <w:p w14:paraId="2F7018ED" w14:textId="43CE4282" w:rsidR="008A36CF" w:rsidRDefault="00B4643D" w:rsidP="008A36CF">
                <w:pPr>
                  <w:pStyle w:val="Tablefont"/>
                  <w:keepNext/>
                  <w:keepLines/>
                  <w:spacing w:before="40" w:after="40"/>
                </w:pPr>
                <w:r>
                  <w:t>Insufficient data</w:t>
                </w:r>
              </w:p>
            </w:tc>
          </w:sdtContent>
        </w:sdt>
      </w:tr>
      <w:tr w:rsidR="003C7B69" w14:paraId="560D3417" w14:textId="77777777" w:rsidTr="00AE2CA2">
        <w:trPr>
          <w:trHeight w:val="454"/>
        </w:trPr>
        <w:sdt>
          <w:sdtPr>
            <w:rPr>
              <w:b/>
            </w:rPr>
            <w:id w:val="1830936485"/>
            <w:placeholder>
              <w:docPart w:val="97FFA4EACCCC40E5AA590261392056DA"/>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9026" w:type="dxa"/>
                <w:gridSpan w:val="2"/>
                <w:vAlign w:val="center"/>
              </w:tcPr>
              <w:p w14:paraId="2D489F1F" w14:textId="1F328ECE" w:rsidR="003C7B69" w:rsidRDefault="003C7B69" w:rsidP="008A36CF">
                <w:pPr>
                  <w:pStyle w:val="Tablefont"/>
                  <w:keepNext/>
                  <w:keepLines/>
                  <w:spacing w:before="40" w:after="40"/>
                </w:pPr>
                <w:r>
                  <w:rPr>
                    <w:b/>
                  </w:rPr>
                  <w:t>Insufficient data are available to determine if the chemical is a non-threshold based genotoxic carcinogen.</w:t>
                </w:r>
              </w:p>
            </w:tc>
          </w:sdtContent>
        </w:sdt>
      </w:tr>
    </w:tbl>
    <w:bookmarkEnd w:id="2"/>
    <w:p w14:paraId="4861A54A" w14:textId="77777777" w:rsidR="00687890" w:rsidRPr="004C23F4" w:rsidRDefault="00B479A9" w:rsidP="00474E33">
      <w:pPr>
        <w:pStyle w:val="Heading2"/>
      </w:pPr>
      <w:r w:rsidRPr="004C23F4">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20" w:firstRow="1" w:lastRow="0" w:firstColumn="0" w:lastColumn="0" w:noHBand="1" w:noVBand="1"/>
        <w:tblCaption w:val="Table"/>
        <w:tblDescription w:val="Listing notations"/>
      </w:tblPr>
      <w:tblGrid>
        <w:gridCol w:w="3153"/>
        <w:gridCol w:w="5873"/>
      </w:tblGrid>
      <w:tr w:rsidR="00687890" w:rsidRPr="00EA105A" w14:paraId="6C8E3F13" w14:textId="77777777" w:rsidTr="00EA105A">
        <w:trPr>
          <w:cnfStyle w:val="100000000000" w:firstRow="1" w:lastRow="0" w:firstColumn="0" w:lastColumn="0" w:oddVBand="0" w:evenVBand="0" w:oddHBand="0" w:evenHBand="0" w:firstRowFirstColumn="0" w:firstRowLastColumn="0" w:lastRowFirstColumn="0" w:lastRowLastColumn="0"/>
          <w:cantSplit/>
          <w:tblHeader/>
        </w:trPr>
        <w:tc>
          <w:tcPr>
            <w:tcW w:w="3153" w:type="dxa"/>
            <w:shd w:val="clear" w:color="auto" w:fill="BFBFBF" w:themeFill="background1" w:themeFillShade="BF"/>
            <w:vAlign w:val="center"/>
          </w:tcPr>
          <w:p w14:paraId="650ED61B" w14:textId="77777777" w:rsidR="00687890" w:rsidRPr="00EA105A" w:rsidRDefault="00687890" w:rsidP="00263255">
            <w:pPr>
              <w:pStyle w:val="Tableheader"/>
              <w:rPr>
                <w:b/>
              </w:rPr>
            </w:pPr>
            <w:bookmarkStart w:id="3" w:name="Notations"/>
            <w:r w:rsidRPr="00EA105A">
              <w:rPr>
                <w:b/>
              </w:rPr>
              <w:t>Source</w:t>
            </w:r>
          </w:p>
        </w:tc>
        <w:tc>
          <w:tcPr>
            <w:tcW w:w="5873" w:type="dxa"/>
            <w:shd w:val="clear" w:color="auto" w:fill="BFBFBF" w:themeFill="background1" w:themeFillShade="BF"/>
            <w:vAlign w:val="center"/>
          </w:tcPr>
          <w:p w14:paraId="0538BBEE" w14:textId="77777777" w:rsidR="00687890" w:rsidRPr="00EA105A" w:rsidRDefault="00687890" w:rsidP="00F4402E">
            <w:pPr>
              <w:pStyle w:val="Tableheader"/>
              <w:tabs>
                <w:tab w:val="right" w:pos="5272"/>
              </w:tabs>
              <w:rPr>
                <w:b/>
              </w:rPr>
            </w:pPr>
            <w:r w:rsidRPr="00EA105A">
              <w:rPr>
                <w:b/>
              </w:rPr>
              <w:t>Notations</w:t>
            </w:r>
            <w:r w:rsidR="003A2B94" w:rsidRPr="00EA105A">
              <w:rPr>
                <w:b/>
              </w:rPr>
              <w:tab/>
            </w:r>
          </w:p>
        </w:tc>
      </w:tr>
      <w:tr w:rsidR="00687890" w:rsidRPr="004C23F4" w14:paraId="68BD26A5" w14:textId="77777777" w:rsidTr="00EA105A">
        <w:trPr>
          <w:cantSplit/>
        </w:trPr>
        <w:tc>
          <w:tcPr>
            <w:tcW w:w="3153" w:type="dxa"/>
          </w:tcPr>
          <w:p w14:paraId="28169CC9" w14:textId="77777777" w:rsidR="004079B4" w:rsidRPr="004C23F4" w:rsidRDefault="00084513" w:rsidP="00F4402E">
            <w:pPr>
              <w:pStyle w:val="Tablefont"/>
            </w:pPr>
            <w:r w:rsidRPr="004C23F4">
              <w:t>SWA</w:t>
            </w:r>
          </w:p>
        </w:tc>
        <w:tc>
          <w:tcPr>
            <w:tcW w:w="5873" w:type="dxa"/>
          </w:tcPr>
          <w:p w14:paraId="06899F9E" w14:textId="30893DEC" w:rsidR="00687890" w:rsidRPr="00DD2F9B" w:rsidRDefault="00EC3263" w:rsidP="00DD2F9B">
            <w:pPr>
              <w:pStyle w:val="Tablefont"/>
            </w:pPr>
            <w:proofErr w:type="spellStart"/>
            <w:r w:rsidRPr="00EC3263">
              <w:t>Carc</w:t>
            </w:r>
            <w:proofErr w:type="spellEnd"/>
            <w:r>
              <w:t xml:space="preserve">. </w:t>
            </w:r>
            <w:r w:rsidRPr="00EC3263">
              <w:t>1B</w:t>
            </w:r>
          </w:p>
        </w:tc>
      </w:tr>
      <w:tr w:rsidR="007925F0" w:rsidRPr="004C23F4" w14:paraId="318D867B" w14:textId="77777777" w:rsidTr="00EA105A">
        <w:trPr>
          <w:cantSplit/>
        </w:trPr>
        <w:tc>
          <w:tcPr>
            <w:tcW w:w="3153" w:type="dxa"/>
          </w:tcPr>
          <w:p w14:paraId="3B807543" w14:textId="77777777" w:rsidR="004079B4" w:rsidRPr="004C23F4" w:rsidRDefault="007925F0" w:rsidP="00F4402E">
            <w:pPr>
              <w:pStyle w:val="Tablefont"/>
            </w:pPr>
            <w:r>
              <w:t>HCIS</w:t>
            </w:r>
          </w:p>
        </w:tc>
        <w:tc>
          <w:tcPr>
            <w:tcW w:w="5873" w:type="dxa"/>
          </w:tcPr>
          <w:p w14:paraId="4A1F65B4" w14:textId="41BD31F7" w:rsidR="007925F0" w:rsidRPr="00DD2F9B" w:rsidRDefault="009D5883" w:rsidP="00DD2F9B">
            <w:pPr>
              <w:pStyle w:val="Tablefont"/>
            </w:pPr>
            <w:r w:rsidRPr="009D5883">
              <w:t>Carcinogenicity – category 1B</w:t>
            </w:r>
          </w:p>
        </w:tc>
      </w:tr>
      <w:tr w:rsidR="00AF483F" w:rsidRPr="004C23F4" w14:paraId="00D14ED7" w14:textId="77777777" w:rsidTr="00EA105A">
        <w:trPr>
          <w:cantSplit/>
        </w:trPr>
        <w:tc>
          <w:tcPr>
            <w:tcW w:w="3153" w:type="dxa"/>
          </w:tcPr>
          <w:p w14:paraId="1D6CD93A" w14:textId="77777777" w:rsidR="00AF483F" w:rsidRPr="004C23F4" w:rsidRDefault="00AF483F" w:rsidP="00F4402E">
            <w:pPr>
              <w:pStyle w:val="Tablefont"/>
            </w:pPr>
            <w:r>
              <w:t>NICNAS</w:t>
            </w:r>
          </w:p>
        </w:tc>
        <w:tc>
          <w:tcPr>
            <w:tcW w:w="5873" w:type="dxa"/>
          </w:tcPr>
          <w:p w14:paraId="73D656EA" w14:textId="264E26FA" w:rsidR="00AF483F" w:rsidRPr="00DD2F9B" w:rsidRDefault="00661BEB" w:rsidP="00DD2F9B">
            <w:pPr>
              <w:pStyle w:val="Tablefont"/>
            </w:pPr>
            <w:proofErr w:type="spellStart"/>
            <w:r>
              <w:t>Carc</w:t>
            </w:r>
            <w:proofErr w:type="spellEnd"/>
            <w:r>
              <w:t>. Cat. 2</w:t>
            </w:r>
          </w:p>
        </w:tc>
      </w:tr>
      <w:tr w:rsidR="00687890" w:rsidRPr="004C23F4" w14:paraId="7DB745F5" w14:textId="77777777" w:rsidTr="00EA105A">
        <w:trPr>
          <w:cantSplit/>
        </w:trPr>
        <w:tc>
          <w:tcPr>
            <w:tcW w:w="3153" w:type="dxa"/>
          </w:tcPr>
          <w:p w14:paraId="78CA3D15" w14:textId="77777777" w:rsidR="004079B4" w:rsidRPr="004C23F4" w:rsidRDefault="00687890" w:rsidP="00F4402E">
            <w:pPr>
              <w:pStyle w:val="Tablefont"/>
            </w:pPr>
            <w:r w:rsidRPr="004C23F4">
              <w:t>EU Annex</w:t>
            </w:r>
          </w:p>
        </w:tc>
        <w:tc>
          <w:tcPr>
            <w:tcW w:w="5873" w:type="dxa"/>
          </w:tcPr>
          <w:p w14:paraId="01964A91" w14:textId="48071AA7" w:rsidR="00687890" w:rsidRPr="00DD2F9B" w:rsidRDefault="00661BEB" w:rsidP="00DD2F9B">
            <w:pPr>
              <w:pStyle w:val="Tablefont"/>
            </w:pPr>
            <w:r w:rsidRPr="00661BEB">
              <w:t>Carcinogenicity – category 1B</w:t>
            </w:r>
          </w:p>
        </w:tc>
      </w:tr>
      <w:tr w:rsidR="00661BEB" w:rsidRPr="004C23F4" w14:paraId="26B554F2" w14:textId="77777777" w:rsidTr="00EA105A">
        <w:trPr>
          <w:cantSplit/>
        </w:trPr>
        <w:tc>
          <w:tcPr>
            <w:tcW w:w="3153" w:type="dxa"/>
          </w:tcPr>
          <w:p w14:paraId="7B03CB6D" w14:textId="77777777" w:rsidR="00661BEB" w:rsidRDefault="00661BEB" w:rsidP="00661BEB">
            <w:pPr>
              <w:pStyle w:val="Tablefont"/>
            </w:pPr>
            <w:r>
              <w:t>ECHA</w:t>
            </w:r>
          </w:p>
        </w:tc>
        <w:tc>
          <w:tcPr>
            <w:tcW w:w="5873" w:type="dxa"/>
          </w:tcPr>
          <w:p w14:paraId="5BA010E7" w14:textId="20BBF7A1" w:rsidR="00661BEB" w:rsidRPr="00DD2F9B" w:rsidRDefault="00661BEB" w:rsidP="00661BEB">
            <w:pPr>
              <w:pStyle w:val="Tablefont"/>
            </w:pPr>
            <w:r w:rsidRPr="00661BEB">
              <w:t>Carcinogenicity – category 1B</w:t>
            </w:r>
          </w:p>
        </w:tc>
      </w:tr>
      <w:tr w:rsidR="00661BEB" w:rsidRPr="004C23F4" w14:paraId="39245614" w14:textId="77777777" w:rsidTr="00EA105A">
        <w:trPr>
          <w:cantSplit/>
        </w:trPr>
        <w:tc>
          <w:tcPr>
            <w:tcW w:w="3153" w:type="dxa"/>
          </w:tcPr>
          <w:p w14:paraId="15889864" w14:textId="77777777" w:rsidR="00661BEB" w:rsidRPr="004C23F4" w:rsidRDefault="00661BEB" w:rsidP="00661BEB">
            <w:pPr>
              <w:pStyle w:val="Tablefont"/>
            </w:pPr>
            <w:r>
              <w:t>ACGIH</w:t>
            </w:r>
          </w:p>
        </w:tc>
        <w:tc>
          <w:tcPr>
            <w:tcW w:w="5873" w:type="dxa"/>
          </w:tcPr>
          <w:p w14:paraId="344AEAF4" w14:textId="77777777" w:rsidR="00661BEB" w:rsidRPr="00DD2F9B" w:rsidRDefault="00661BEB" w:rsidP="00661BEB">
            <w:pPr>
              <w:pStyle w:val="Tablefont"/>
            </w:pPr>
            <w:r w:rsidRPr="00583B03">
              <w:t>Carcinogenicity – A3</w:t>
            </w:r>
          </w:p>
        </w:tc>
      </w:tr>
      <w:tr w:rsidR="00661BEB" w:rsidRPr="004C23F4" w14:paraId="3BE2C560" w14:textId="77777777" w:rsidTr="00EA105A">
        <w:trPr>
          <w:cantSplit/>
        </w:trPr>
        <w:tc>
          <w:tcPr>
            <w:tcW w:w="3153" w:type="dxa"/>
          </w:tcPr>
          <w:p w14:paraId="42070306" w14:textId="77777777" w:rsidR="00661BEB" w:rsidRPr="004C23F4" w:rsidRDefault="00661BEB" w:rsidP="00661BEB">
            <w:pPr>
              <w:pStyle w:val="Tablefont"/>
            </w:pPr>
            <w:r>
              <w:t>DFG</w:t>
            </w:r>
          </w:p>
        </w:tc>
        <w:tc>
          <w:tcPr>
            <w:tcW w:w="5873" w:type="dxa"/>
          </w:tcPr>
          <w:p w14:paraId="220BDB24" w14:textId="076BD34F" w:rsidR="00661BEB" w:rsidRPr="00DD2F9B" w:rsidRDefault="00BC0683" w:rsidP="00661BEB">
            <w:pPr>
              <w:pStyle w:val="Tablefont"/>
            </w:pPr>
            <w:r>
              <w:t>Carcinogenicity – 2</w:t>
            </w:r>
          </w:p>
        </w:tc>
      </w:tr>
      <w:tr w:rsidR="00661BEB" w:rsidRPr="004C23F4" w14:paraId="77302212" w14:textId="77777777" w:rsidTr="00EA105A">
        <w:trPr>
          <w:cantSplit/>
        </w:trPr>
        <w:tc>
          <w:tcPr>
            <w:tcW w:w="3153" w:type="dxa"/>
          </w:tcPr>
          <w:p w14:paraId="05BAD0CA" w14:textId="77777777" w:rsidR="00661BEB" w:rsidRPr="004C23F4" w:rsidRDefault="00661BEB" w:rsidP="00661BEB">
            <w:pPr>
              <w:pStyle w:val="Tablefont"/>
            </w:pPr>
            <w:r>
              <w:t>SCOEL</w:t>
            </w:r>
          </w:p>
        </w:tc>
        <w:tc>
          <w:tcPr>
            <w:tcW w:w="5873" w:type="dxa"/>
          </w:tcPr>
          <w:p w14:paraId="6AE891D9" w14:textId="12843F4B" w:rsidR="00661BEB" w:rsidRPr="00DD2F9B" w:rsidRDefault="00166015" w:rsidP="00166015">
            <w:r>
              <w:t>Carcinogenicity – A</w:t>
            </w:r>
            <w:r w:rsidR="001920B4">
              <w:t>, Skin</w:t>
            </w:r>
          </w:p>
        </w:tc>
      </w:tr>
      <w:tr w:rsidR="00661BEB" w:rsidRPr="004C23F4" w14:paraId="18B1363E" w14:textId="77777777" w:rsidTr="00EA105A">
        <w:trPr>
          <w:cantSplit/>
        </w:trPr>
        <w:tc>
          <w:tcPr>
            <w:tcW w:w="3153" w:type="dxa"/>
          </w:tcPr>
          <w:p w14:paraId="0C9810A4" w14:textId="77777777" w:rsidR="00661BEB" w:rsidRDefault="00661BEB" w:rsidP="00661BEB">
            <w:pPr>
              <w:pStyle w:val="Tablefont"/>
            </w:pPr>
            <w:r>
              <w:t>HCOTN</w:t>
            </w:r>
          </w:p>
        </w:tc>
        <w:tc>
          <w:tcPr>
            <w:tcW w:w="5873" w:type="dxa"/>
          </w:tcPr>
          <w:p w14:paraId="40C3200C" w14:textId="31A2F4B8" w:rsidR="00661BEB" w:rsidRPr="00DD2F9B" w:rsidRDefault="00661BEB" w:rsidP="00661BEB">
            <w:pPr>
              <w:pStyle w:val="Tablefont"/>
            </w:pPr>
            <w:r>
              <w:t>—</w:t>
            </w:r>
          </w:p>
        </w:tc>
      </w:tr>
      <w:tr w:rsidR="00661BEB" w:rsidRPr="004C23F4" w14:paraId="5205B768" w14:textId="77777777" w:rsidTr="00EA105A">
        <w:trPr>
          <w:cantSplit/>
        </w:trPr>
        <w:tc>
          <w:tcPr>
            <w:tcW w:w="3153" w:type="dxa"/>
          </w:tcPr>
          <w:p w14:paraId="617A9FBE" w14:textId="77777777" w:rsidR="00661BEB" w:rsidRDefault="00661BEB" w:rsidP="00661BEB">
            <w:pPr>
              <w:pStyle w:val="Tablefont"/>
            </w:pPr>
            <w:r>
              <w:t>IARC</w:t>
            </w:r>
          </w:p>
        </w:tc>
        <w:tc>
          <w:tcPr>
            <w:tcW w:w="5873" w:type="dxa"/>
          </w:tcPr>
          <w:p w14:paraId="384F3735" w14:textId="051F9CA9" w:rsidR="00661BEB" w:rsidRPr="00DD2F9B" w:rsidRDefault="00661BEB" w:rsidP="00661BEB">
            <w:pPr>
              <w:pStyle w:val="Tablefont"/>
            </w:pPr>
            <w:r w:rsidRPr="00661BEB">
              <w:t>Carcinogenicity – Group 2B</w:t>
            </w:r>
          </w:p>
        </w:tc>
      </w:tr>
      <w:tr w:rsidR="00661BEB" w:rsidRPr="004C23F4" w14:paraId="52677253" w14:textId="77777777" w:rsidTr="00EA105A">
        <w:trPr>
          <w:cantSplit/>
        </w:trPr>
        <w:tc>
          <w:tcPr>
            <w:tcW w:w="3153" w:type="dxa"/>
          </w:tcPr>
          <w:p w14:paraId="4059F1BD" w14:textId="77777777" w:rsidR="00661BEB" w:rsidRDefault="00661BEB" w:rsidP="00661BEB">
            <w:pPr>
              <w:pStyle w:val="Tablefont"/>
              <w:keepNext/>
            </w:pPr>
            <w:r>
              <w:t>US NIOSH</w:t>
            </w:r>
          </w:p>
        </w:tc>
        <w:tc>
          <w:tcPr>
            <w:tcW w:w="5873" w:type="dxa"/>
          </w:tcPr>
          <w:p w14:paraId="559BBB26" w14:textId="724EE8F4" w:rsidR="00661BEB" w:rsidRPr="00DD2F9B" w:rsidRDefault="00661BEB" w:rsidP="00661BEB">
            <w:pPr>
              <w:pStyle w:val="Tablefont"/>
              <w:keepNext/>
            </w:pPr>
            <w:r>
              <w:t>NA</w:t>
            </w:r>
          </w:p>
        </w:tc>
      </w:tr>
    </w:tbl>
    <w:bookmarkEnd w:id="3"/>
    <w:p w14:paraId="6599CBF7" w14:textId="77777777" w:rsidR="00485BFD" w:rsidRDefault="00485BFD" w:rsidP="00485BFD">
      <w:pPr>
        <w:pStyle w:val="Tablefooter"/>
      </w:pPr>
      <w:r>
        <w:t>NA = not applicable (a recommendation has not been made by this Agency); —</w:t>
      </w:r>
      <w:r w:rsidR="00D87570">
        <w:t xml:space="preserve"> = the Agency has assessed available data for this chemical but has not recommended any notations</w:t>
      </w:r>
    </w:p>
    <w:p w14:paraId="5832BF8F" w14:textId="77777777" w:rsidR="00474E33" w:rsidRDefault="00474E33" w:rsidP="00474E33">
      <w:pPr>
        <w:pStyle w:val="Heading3"/>
      </w:pPr>
      <w:r>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kin notation assessment calculation"/>
      </w:tblPr>
      <w:tblGrid>
        <w:gridCol w:w="9026"/>
      </w:tblGrid>
      <w:tr w:rsidR="00932DCE" w:rsidRPr="004C23F4" w14:paraId="488A7072" w14:textId="77777777" w:rsidTr="00EA6243">
        <w:trPr>
          <w:cantSplit/>
          <w:tblHeader/>
        </w:trPr>
        <w:tc>
          <w:tcPr>
            <w:tcW w:w="5000" w:type="pct"/>
            <w:shd w:val="clear" w:color="auto" w:fill="BFBFBF" w:themeFill="background1" w:themeFillShade="BF"/>
            <w:vAlign w:val="center"/>
          </w:tcPr>
          <w:p w14:paraId="2DEBC251" w14:textId="77777777" w:rsidR="00932DCE" w:rsidRPr="004C23F4" w:rsidRDefault="00932DCE" w:rsidP="00F4402E">
            <w:pPr>
              <w:pStyle w:val="Tableheader"/>
              <w:keepNext/>
              <w:tabs>
                <w:tab w:val="right" w:pos="8800"/>
              </w:tabs>
            </w:pPr>
            <w:bookmarkStart w:id="4" w:name="SkinNot"/>
            <w:r>
              <w:t>Calculation</w:t>
            </w:r>
            <w:r w:rsidR="00177CA1">
              <w:tab/>
            </w:r>
          </w:p>
        </w:tc>
      </w:tr>
      <w:tr w:rsidR="00932DCE" w:rsidRPr="004C23F4" w14:paraId="214DC137" w14:textId="77777777" w:rsidTr="00EA6243">
        <w:trPr>
          <w:cantSplit/>
          <w:tblHeader/>
        </w:trPr>
        <w:tc>
          <w:tcPr>
            <w:tcW w:w="5000" w:type="pct"/>
            <w:vAlign w:val="center"/>
          </w:tcPr>
          <w:tbl>
            <w:tblPr>
              <w:tblW w:w="8810" w:type="dxa"/>
              <w:tblLook w:val="04A0" w:firstRow="1" w:lastRow="0" w:firstColumn="1" w:lastColumn="0" w:noHBand="0" w:noVBand="1"/>
            </w:tblPr>
            <w:tblGrid>
              <w:gridCol w:w="3841"/>
              <w:gridCol w:w="871"/>
              <w:gridCol w:w="602"/>
              <w:gridCol w:w="1746"/>
              <w:gridCol w:w="1750"/>
            </w:tblGrid>
            <w:tr w:rsidR="00C64DD3" w:rsidRPr="00BC0683" w14:paraId="60635F5A" w14:textId="77777777" w:rsidTr="006527EC">
              <w:trPr>
                <w:trHeight w:val="332"/>
              </w:trPr>
              <w:tc>
                <w:tcPr>
                  <w:tcW w:w="3841" w:type="dxa"/>
                  <w:tcBorders>
                    <w:top w:val="nil"/>
                    <w:left w:val="nil"/>
                    <w:bottom w:val="nil"/>
                    <w:right w:val="nil"/>
                  </w:tcBorders>
                  <w:shd w:val="clear" w:color="000000" w:fill="C5D9F1"/>
                  <w:noWrap/>
                  <w:vAlign w:val="center"/>
                  <w:hideMark/>
                </w:tcPr>
                <w:p w14:paraId="6FBA621B" w14:textId="77777777" w:rsidR="00C64DD3" w:rsidRPr="00BC0683" w:rsidRDefault="00C64DD3" w:rsidP="00BC0683">
                  <w:pPr>
                    <w:spacing w:after="0" w:line="240" w:lineRule="auto"/>
                    <w:jc w:val="right"/>
                    <w:rPr>
                      <w:rFonts w:ascii="Segoe UI" w:eastAsia="Times New Roman" w:hAnsi="Segoe UI" w:cs="Segoe UI"/>
                      <w:color w:val="000000"/>
                      <w:sz w:val="18"/>
                      <w:szCs w:val="18"/>
                      <w:lang w:eastAsia="en-AU"/>
                    </w:rPr>
                  </w:pPr>
                  <w:r w:rsidRPr="00BC0683">
                    <w:rPr>
                      <w:rFonts w:ascii="Segoe UI" w:eastAsia="Times New Roman" w:hAnsi="Segoe UI" w:cs="Segoe UI"/>
                      <w:color w:val="000000"/>
                      <w:sz w:val="18"/>
                      <w:szCs w:val="18"/>
                      <w:lang w:eastAsia="en-AU"/>
                    </w:rPr>
                    <w:t>Adverse effects in human case study:</w:t>
                  </w:r>
                </w:p>
              </w:tc>
              <w:tc>
                <w:tcPr>
                  <w:tcW w:w="871" w:type="dxa"/>
                  <w:tcBorders>
                    <w:top w:val="nil"/>
                    <w:left w:val="nil"/>
                    <w:bottom w:val="nil"/>
                    <w:right w:val="nil"/>
                  </w:tcBorders>
                  <w:shd w:val="clear" w:color="000000" w:fill="C5D9F1"/>
                  <w:noWrap/>
                  <w:vAlign w:val="center"/>
                  <w:hideMark/>
                </w:tcPr>
                <w:p w14:paraId="5C52A4BC" w14:textId="77777777" w:rsidR="00C64DD3" w:rsidRPr="00BC0683" w:rsidRDefault="00C64DD3" w:rsidP="00BC0683">
                  <w:pPr>
                    <w:spacing w:after="0" w:line="240" w:lineRule="auto"/>
                    <w:jc w:val="center"/>
                    <w:rPr>
                      <w:rFonts w:ascii="Segoe UI" w:eastAsia="Times New Roman" w:hAnsi="Segoe UI" w:cs="Segoe UI"/>
                      <w:color w:val="000000"/>
                      <w:sz w:val="18"/>
                      <w:szCs w:val="18"/>
                      <w:lang w:eastAsia="en-AU"/>
                    </w:rPr>
                  </w:pPr>
                  <w:r w:rsidRPr="00BC0683">
                    <w:rPr>
                      <w:rFonts w:ascii="Segoe UI" w:eastAsia="Times New Roman" w:hAnsi="Segoe UI" w:cs="Segoe UI"/>
                      <w:color w:val="000000"/>
                      <w:sz w:val="18"/>
                      <w:szCs w:val="18"/>
                      <w:lang w:eastAsia="en-AU"/>
                    </w:rPr>
                    <w:t> </w:t>
                  </w:r>
                </w:p>
              </w:tc>
              <w:tc>
                <w:tcPr>
                  <w:tcW w:w="602" w:type="dxa"/>
                  <w:tcBorders>
                    <w:top w:val="nil"/>
                    <w:left w:val="nil"/>
                    <w:bottom w:val="nil"/>
                    <w:right w:val="nil"/>
                  </w:tcBorders>
                  <w:shd w:val="clear" w:color="000000" w:fill="C5D9F1"/>
                  <w:noWrap/>
                  <w:vAlign w:val="center"/>
                  <w:hideMark/>
                </w:tcPr>
                <w:p w14:paraId="6986B51C" w14:textId="77777777" w:rsidR="00C64DD3" w:rsidRPr="00BC0683" w:rsidRDefault="00C64DD3" w:rsidP="00BC0683">
                  <w:pPr>
                    <w:spacing w:after="0" w:line="240" w:lineRule="auto"/>
                    <w:rPr>
                      <w:rFonts w:ascii="Segoe UI" w:eastAsia="Times New Roman" w:hAnsi="Segoe UI" w:cs="Segoe UI"/>
                      <w:color w:val="C5D9F1"/>
                      <w:sz w:val="18"/>
                      <w:szCs w:val="18"/>
                      <w:lang w:eastAsia="en-AU"/>
                    </w:rPr>
                  </w:pPr>
                  <w:r w:rsidRPr="00BC0683">
                    <w:rPr>
                      <w:rFonts w:ascii="Segoe UI" w:eastAsia="Times New Roman" w:hAnsi="Segoe UI" w:cs="Segoe UI"/>
                      <w:color w:val="C5D9F1"/>
                      <w:sz w:val="18"/>
                      <w:szCs w:val="18"/>
                      <w:lang w:eastAsia="en-AU"/>
                    </w:rPr>
                    <w:t> </w:t>
                  </w:r>
                </w:p>
              </w:tc>
              <w:tc>
                <w:tcPr>
                  <w:tcW w:w="1746" w:type="dxa"/>
                  <w:tcBorders>
                    <w:top w:val="nil"/>
                    <w:left w:val="nil"/>
                    <w:bottom w:val="nil"/>
                    <w:right w:val="nil"/>
                  </w:tcBorders>
                  <w:shd w:val="clear" w:color="000000" w:fill="C5D9F1"/>
                  <w:noWrap/>
                  <w:vAlign w:val="center"/>
                  <w:hideMark/>
                </w:tcPr>
                <w:p w14:paraId="6FDED3D4" w14:textId="77777777" w:rsidR="00C64DD3" w:rsidRPr="00BC0683" w:rsidRDefault="00C64DD3" w:rsidP="00BC0683">
                  <w:pPr>
                    <w:spacing w:after="0" w:line="240" w:lineRule="auto"/>
                    <w:rPr>
                      <w:rFonts w:ascii="Segoe UI" w:eastAsia="Times New Roman" w:hAnsi="Segoe UI" w:cs="Segoe UI"/>
                      <w:color w:val="000000"/>
                      <w:sz w:val="18"/>
                      <w:szCs w:val="18"/>
                      <w:lang w:eastAsia="en-AU"/>
                    </w:rPr>
                  </w:pPr>
                  <w:r w:rsidRPr="00BC0683">
                    <w:rPr>
                      <w:rFonts w:ascii="Segoe UI" w:eastAsia="Times New Roman" w:hAnsi="Segoe UI" w:cs="Segoe UI"/>
                      <w:color w:val="000000"/>
                      <w:sz w:val="18"/>
                      <w:szCs w:val="18"/>
                      <w:lang w:eastAsia="en-AU"/>
                    </w:rPr>
                    <w:t> </w:t>
                  </w:r>
                </w:p>
              </w:tc>
              <w:tc>
                <w:tcPr>
                  <w:tcW w:w="1750" w:type="dxa"/>
                  <w:tcBorders>
                    <w:top w:val="nil"/>
                    <w:left w:val="nil"/>
                    <w:bottom w:val="nil"/>
                    <w:right w:val="nil"/>
                  </w:tcBorders>
                  <w:shd w:val="clear" w:color="000000" w:fill="C5D9F1"/>
                  <w:noWrap/>
                  <w:vAlign w:val="center"/>
                  <w:hideMark/>
                </w:tcPr>
                <w:p w14:paraId="527151FE" w14:textId="77777777" w:rsidR="00C64DD3" w:rsidRPr="00BC0683" w:rsidRDefault="00C64DD3" w:rsidP="00BC0683">
                  <w:pPr>
                    <w:spacing w:after="0" w:line="240" w:lineRule="auto"/>
                    <w:rPr>
                      <w:rFonts w:ascii="Segoe UI" w:eastAsia="Times New Roman" w:hAnsi="Segoe UI" w:cs="Segoe UI"/>
                      <w:color w:val="000000"/>
                      <w:sz w:val="18"/>
                      <w:szCs w:val="18"/>
                      <w:lang w:eastAsia="en-AU"/>
                    </w:rPr>
                  </w:pPr>
                  <w:r w:rsidRPr="00BC0683">
                    <w:rPr>
                      <w:rFonts w:ascii="Segoe UI" w:eastAsia="Times New Roman" w:hAnsi="Segoe UI" w:cs="Segoe UI"/>
                      <w:color w:val="000000"/>
                      <w:sz w:val="18"/>
                      <w:szCs w:val="18"/>
                      <w:lang w:eastAsia="en-AU"/>
                    </w:rPr>
                    <w:t> </w:t>
                  </w:r>
                </w:p>
              </w:tc>
            </w:tr>
            <w:tr w:rsidR="00C64DD3" w:rsidRPr="00BC0683" w14:paraId="2204C36D" w14:textId="77777777" w:rsidTr="006527EC">
              <w:trPr>
                <w:trHeight w:val="332"/>
              </w:trPr>
              <w:tc>
                <w:tcPr>
                  <w:tcW w:w="3841" w:type="dxa"/>
                  <w:tcBorders>
                    <w:top w:val="nil"/>
                    <w:left w:val="nil"/>
                    <w:bottom w:val="nil"/>
                    <w:right w:val="nil"/>
                  </w:tcBorders>
                  <w:shd w:val="clear" w:color="000000" w:fill="C5D9F1"/>
                  <w:noWrap/>
                  <w:vAlign w:val="center"/>
                  <w:hideMark/>
                </w:tcPr>
                <w:p w14:paraId="67DE0D78" w14:textId="77777777" w:rsidR="00C64DD3" w:rsidRPr="00BC0683" w:rsidRDefault="00C64DD3" w:rsidP="00BC0683">
                  <w:pPr>
                    <w:spacing w:after="0" w:line="240" w:lineRule="auto"/>
                    <w:jc w:val="right"/>
                    <w:rPr>
                      <w:rFonts w:ascii="Segoe UI" w:eastAsia="Times New Roman" w:hAnsi="Segoe UI" w:cs="Segoe UI"/>
                      <w:color w:val="000000"/>
                      <w:sz w:val="18"/>
                      <w:szCs w:val="18"/>
                      <w:lang w:eastAsia="en-AU"/>
                    </w:rPr>
                  </w:pPr>
                  <w:r w:rsidRPr="00BC0683">
                    <w:rPr>
                      <w:rFonts w:ascii="Segoe UI" w:eastAsia="Times New Roman" w:hAnsi="Segoe UI" w:cs="Segoe UI"/>
                      <w:color w:val="000000"/>
                      <w:sz w:val="18"/>
                      <w:szCs w:val="18"/>
                      <w:lang w:eastAsia="en-AU"/>
                    </w:rPr>
                    <w:t>Dermal LD</w:t>
                  </w:r>
                  <w:r w:rsidRPr="00BC0683">
                    <w:rPr>
                      <w:rFonts w:ascii="Segoe UI" w:eastAsia="Times New Roman" w:hAnsi="Segoe UI" w:cs="Segoe UI"/>
                      <w:color w:val="000000"/>
                      <w:sz w:val="18"/>
                      <w:szCs w:val="18"/>
                      <w:vertAlign w:val="subscript"/>
                      <w:lang w:eastAsia="en-AU"/>
                    </w:rPr>
                    <w:t>50</w:t>
                  </w:r>
                  <w:r w:rsidRPr="00BC0683">
                    <w:rPr>
                      <w:rFonts w:ascii="Segoe UI" w:eastAsia="Times New Roman" w:hAnsi="Segoe UI" w:cs="Segoe UI"/>
                      <w:color w:val="000000"/>
                      <w:sz w:val="18"/>
                      <w:szCs w:val="18"/>
                      <w:lang w:eastAsia="en-AU"/>
                    </w:rPr>
                    <w:t xml:space="preserve"> ≤1000 mg/kg:</w:t>
                  </w:r>
                </w:p>
              </w:tc>
              <w:tc>
                <w:tcPr>
                  <w:tcW w:w="871" w:type="dxa"/>
                  <w:tcBorders>
                    <w:top w:val="nil"/>
                    <w:left w:val="nil"/>
                    <w:bottom w:val="nil"/>
                    <w:right w:val="nil"/>
                  </w:tcBorders>
                  <w:shd w:val="clear" w:color="000000" w:fill="C5D9F1"/>
                  <w:noWrap/>
                  <w:vAlign w:val="center"/>
                  <w:hideMark/>
                </w:tcPr>
                <w:p w14:paraId="4CB7A2F6" w14:textId="77777777" w:rsidR="00C64DD3" w:rsidRPr="00BC0683" w:rsidRDefault="00C64DD3" w:rsidP="00BC0683">
                  <w:pPr>
                    <w:spacing w:after="0" w:line="240" w:lineRule="auto"/>
                    <w:jc w:val="center"/>
                    <w:rPr>
                      <w:rFonts w:ascii="Segoe UI" w:eastAsia="Times New Roman" w:hAnsi="Segoe UI" w:cs="Segoe UI"/>
                      <w:color w:val="000000"/>
                      <w:sz w:val="18"/>
                      <w:szCs w:val="18"/>
                      <w:lang w:eastAsia="en-AU"/>
                    </w:rPr>
                  </w:pPr>
                  <w:r w:rsidRPr="00BC0683">
                    <w:rPr>
                      <w:rFonts w:ascii="Segoe UI" w:eastAsia="Times New Roman" w:hAnsi="Segoe UI" w:cs="Segoe UI"/>
                      <w:color w:val="000000"/>
                      <w:sz w:val="18"/>
                      <w:szCs w:val="18"/>
                      <w:lang w:eastAsia="en-AU"/>
                    </w:rPr>
                    <w:t> </w:t>
                  </w:r>
                </w:p>
              </w:tc>
              <w:tc>
                <w:tcPr>
                  <w:tcW w:w="602" w:type="dxa"/>
                  <w:tcBorders>
                    <w:top w:val="nil"/>
                    <w:left w:val="nil"/>
                    <w:bottom w:val="nil"/>
                    <w:right w:val="nil"/>
                  </w:tcBorders>
                  <w:shd w:val="clear" w:color="000000" w:fill="C5D9F1"/>
                  <w:noWrap/>
                  <w:vAlign w:val="center"/>
                  <w:hideMark/>
                </w:tcPr>
                <w:p w14:paraId="3BF3A690" w14:textId="77777777" w:rsidR="00C64DD3" w:rsidRPr="00BC0683" w:rsidRDefault="00C64DD3" w:rsidP="00BC0683">
                  <w:pPr>
                    <w:spacing w:after="0" w:line="240" w:lineRule="auto"/>
                    <w:rPr>
                      <w:rFonts w:ascii="Segoe UI" w:eastAsia="Times New Roman" w:hAnsi="Segoe UI" w:cs="Segoe UI"/>
                      <w:color w:val="C5D9F1"/>
                      <w:sz w:val="18"/>
                      <w:szCs w:val="18"/>
                      <w:lang w:eastAsia="en-AU"/>
                    </w:rPr>
                  </w:pPr>
                  <w:r w:rsidRPr="00BC0683">
                    <w:rPr>
                      <w:rFonts w:ascii="Segoe UI" w:eastAsia="Times New Roman" w:hAnsi="Segoe UI" w:cs="Segoe UI"/>
                      <w:color w:val="C5D9F1"/>
                      <w:sz w:val="18"/>
                      <w:szCs w:val="18"/>
                      <w:lang w:eastAsia="en-AU"/>
                    </w:rPr>
                    <w:t> </w:t>
                  </w:r>
                </w:p>
              </w:tc>
              <w:tc>
                <w:tcPr>
                  <w:tcW w:w="1746" w:type="dxa"/>
                  <w:tcBorders>
                    <w:top w:val="nil"/>
                    <w:left w:val="nil"/>
                    <w:bottom w:val="nil"/>
                    <w:right w:val="nil"/>
                  </w:tcBorders>
                  <w:shd w:val="clear" w:color="000000" w:fill="C5D9F1"/>
                  <w:noWrap/>
                  <w:vAlign w:val="center"/>
                  <w:hideMark/>
                </w:tcPr>
                <w:p w14:paraId="0D49AB12" w14:textId="77777777" w:rsidR="00C64DD3" w:rsidRPr="00BC0683" w:rsidRDefault="00C64DD3" w:rsidP="00BC0683">
                  <w:pPr>
                    <w:spacing w:after="0" w:line="240" w:lineRule="auto"/>
                    <w:rPr>
                      <w:rFonts w:ascii="Segoe UI" w:eastAsia="Times New Roman" w:hAnsi="Segoe UI" w:cs="Segoe UI"/>
                      <w:color w:val="000000"/>
                      <w:sz w:val="18"/>
                      <w:szCs w:val="18"/>
                      <w:lang w:eastAsia="en-AU"/>
                    </w:rPr>
                  </w:pPr>
                  <w:r w:rsidRPr="00BC0683">
                    <w:rPr>
                      <w:rFonts w:ascii="Segoe UI" w:eastAsia="Times New Roman" w:hAnsi="Segoe UI" w:cs="Segoe UI"/>
                      <w:color w:val="000000"/>
                      <w:sz w:val="18"/>
                      <w:szCs w:val="18"/>
                      <w:lang w:eastAsia="en-AU"/>
                    </w:rPr>
                    <w:t> </w:t>
                  </w:r>
                </w:p>
              </w:tc>
              <w:tc>
                <w:tcPr>
                  <w:tcW w:w="1750" w:type="dxa"/>
                  <w:tcBorders>
                    <w:top w:val="nil"/>
                    <w:left w:val="nil"/>
                    <w:bottom w:val="nil"/>
                    <w:right w:val="nil"/>
                  </w:tcBorders>
                  <w:shd w:val="clear" w:color="000000" w:fill="C5D9F1"/>
                  <w:noWrap/>
                  <w:vAlign w:val="center"/>
                  <w:hideMark/>
                </w:tcPr>
                <w:p w14:paraId="5E349353" w14:textId="77777777" w:rsidR="00C64DD3" w:rsidRPr="00BC0683" w:rsidRDefault="00C64DD3" w:rsidP="00BC0683">
                  <w:pPr>
                    <w:spacing w:after="0" w:line="240" w:lineRule="auto"/>
                    <w:rPr>
                      <w:rFonts w:ascii="Segoe UI" w:eastAsia="Times New Roman" w:hAnsi="Segoe UI" w:cs="Segoe UI"/>
                      <w:color w:val="000000"/>
                      <w:sz w:val="18"/>
                      <w:szCs w:val="18"/>
                      <w:lang w:eastAsia="en-AU"/>
                    </w:rPr>
                  </w:pPr>
                  <w:r w:rsidRPr="00BC0683">
                    <w:rPr>
                      <w:rFonts w:ascii="Segoe UI" w:eastAsia="Times New Roman" w:hAnsi="Segoe UI" w:cs="Segoe UI"/>
                      <w:color w:val="000000"/>
                      <w:sz w:val="18"/>
                      <w:szCs w:val="18"/>
                      <w:lang w:eastAsia="en-AU"/>
                    </w:rPr>
                    <w:t> </w:t>
                  </w:r>
                </w:p>
              </w:tc>
            </w:tr>
            <w:tr w:rsidR="00C64DD3" w:rsidRPr="00BC0683" w14:paraId="0928E52D" w14:textId="77777777" w:rsidTr="006527EC">
              <w:trPr>
                <w:trHeight w:val="332"/>
              </w:trPr>
              <w:tc>
                <w:tcPr>
                  <w:tcW w:w="3841" w:type="dxa"/>
                  <w:tcBorders>
                    <w:top w:val="nil"/>
                    <w:left w:val="nil"/>
                    <w:bottom w:val="nil"/>
                    <w:right w:val="nil"/>
                  </w:tcBorders>
                  <w:shd w:val="clear" w:color="000000" w:fill="C5D9F1"/>
                  <w:noWrap/>
                  <w:vAlign w:val="center"/>
                  <w:hideMark/>
                </w:tcPr>
                <w:p w14:paraId="1F3A3272" w14:textId="77777777" w:rsidR="00C64DD3" w:rsidRPr="00BC0683" w:rsidRDefault="00C64DD3" w:rsidP="00BC0683">
                  <w:pPr>
                    <w:spacing w:after="0" w:line="240" w:lineRule="auto"/>
                    <w:jc w:val="right"/>
                    <w:rPr>
                      <w:rFonts w:ascii="Segoe UI" w:eastAsia="Times New Roman" w:hAnsi="Segoe UI" w:cs="Segoe UI"/>
                      <w:color w:val="000000"/>
                      <w:sz w:val="18"/>
                      <w:szCs w:val="18"/>
                      <w:lang w:eastAsia="en-AU"/>
                    </w:rPr>
                  </w:pPr>
                  <w:r w:rsidRPr="00BC0683">
                    <w:rPr>
                      <w:rFonts w:ascii="Segoe UI" w:eastAsia="Times New Roman" w:hAnsi="Segoe UI" w:cs="Segoe UI"/>
                      <w:color w:val="000000"/>
                      <w:sz w:val="18"/>
                      <w:szCs w:val="18"/>
                      <w:lang w:eastAsia="en-AU"/>
                    </w:rPr>
                    <w:t>Dermal repeat-dose NOAEL ≤200 mg/kg:</w:t>
                  </w:r>
                </w:p>
              </w:tc>
              <w:tc>
                <w:tcPr>
                  <w:tcW w:w="871" w:type="dxa"/>
                  <w:tcBorders>
                    <w:top w:val="nil"/>
                    <w:left w:val="nil"/>
                    <w:bottom w:val="nil"/>
                    <w:right w:val="nil"/>
                  </w:tcBorders>
                  <w:shd w:val="clear" w:color="000000" w:fill="C5D9F1"/>
                  <w:noWrap/>
                  <w:vAlign w:val="center"/>
                  <w:hideMark/>
                </w:tcPr>
                <w:p w14:paraId="16ADF4FE" w14:textId="77777777" w:rsidR="00C64DD3" w:rsidRPr="00BC0683" w:rsidRDefault="00C64DD3" w:rsidP="00BC0683">
                  <w:pPr>
                    <w:spacing w:after="0" w:line="240" w:lineRule="auto"/>
                    <w:jc w:val="center"/>
                    <w:rPr>
                      <w:rFonts w:ascii="Segoe UI" w:eastAsia="Times New Roman" w:hAnsi="Segoe UI" w:cs="Segoe UI"/>
                      <w:color w:val="000000"/>
                      <w:sz w:val="18"/>
                      <w:szCs w:val="18"/>
                      <w:lang w:eastAsia="en-AU"/>
                    </w:rPr>
                  </w:pPr>
                  <w:r w:rsidRPr="00BC0683">
                    <w:rPr>
                      <w:rFonts w:ascii="Segoe UI" w:eastAsia="Times New Roman" w:hAnsi="Segoe UI" w:cs="Segoe UI"/>
                      <w:color w:val="000000"/>
                      <w:sz w:val="18"/>
                      <w:szCs w:val="18"/>
                      <w:lang w:eastAsia="en-AU"/>
                    </w:rPr>
                    <w:t> </w:t>
                  </w:r>
                </w:p>
              </w:tc>
              <w:tc>
                <w:tcPr>
                  <w:tcW w:w="602" w:type="dxa"/>
                  <w:tcBorders>
                    <w:top w:val="nil"/>
                    <w:left w:val="nil"/>
                    <w:bottom w:val="nil"/>
                    <w:right w:val="nil"/>
                  </w:tcBorders>
                  <w:shd w:val="clear" w:color="000000" w:fill="C5D9F1"/>
                  <w:noWrap/>
                  <w:vAlign w:val="center"/>
                  <w:hideMark/>
                </w:tcPr>
                <w:p w14:paraId="2A9C62E1" w14:textId="77777777" w:rsidR="00C64DD3" w:rsidRPr="00BC0683" w:rsidRDefault="00C64DD3" w:rsidP="00BC0683">
                  <w:pPr>
                    <w:spacing w:after="0" w:line="240" w:lineRule="auto"/>
                    <w:rPr>
                      <w:rFonts w:ascii="Segoe UI" w:eastAsia="Times New Roman" w:hAnsi="Segoe UI" w:cs="Segoe UI"/>
                      <w:color w:val="C5D9F1"/>
                      <w:sz w:val="18"/>
                      <w:szCs w:val="18"/>
                      <w:lang w:eastAsia="en-AU"/>
                    </w:rPr>
                  </w:pPr>
                  <w:r w:rsidRPr="00BC0683">
                    <w:rPr>
                      <w:rFonts w:ascii="Segoe UI" w:eastAsia="Times New Roman" w:hAnsi="Segoe UI" w:cs="Segoe UI"/>
                      <w:color w:val="C5D9F1"/>
                      <w:sz w:val="18"/>
                      <w:szCs w:val="18"/>
                      <w:lang w:eastAsia="en-AU"/>
                    </w:rPr>
                    <w:t> </w:t>
                  </w:r>
                </w:p>
              </w:tc>
              <w:tc>
                <w:tcPr>
                  <w:tcW w:w="1746" w:type="dxa"/>
                  <w:tcBorders>
                    <w:top w:val="nil"/>
                    <w:left w:val="nil"/>
                    <w:bottom w:val="nil"/>
                    <w:right w:val="nil"/>
                  </w:tcBorders>
                  <w:shd w:val="clear" w:color="000000" w:fill="C5D9F1"/>
                  <w:noWrap/>
                  <w:vAlign w:val="center"/>
                  <w:hideMark/>
                </w:tcPr>
                <w:p w14:paraId="4C8A2AD4" w14:textId="77777777" w:rsidR="00C64DD3" w:rsidRPr="00BC0683" w:rsidRDefault="00C64DD3" w:rsidP="00BC0683">
                  <w:pPr>
                    <w:spacing w:after="0" w:line="240" w:lineRule="auto"/>
                    <w:rPr>
                      <w:rFonts w:ascii="Segoe UI" w:eastAsia="Times New Roman" w:hAnsi="Segoe UI" w:cs="Segoe UI"/>
                      <w:color w:val="000000"/>
                      <w:sz w:val="18"/>
                      <w:szCs w:val="18"/>
                      <w:lang w:eastAsia="en-AU"/>
                    </w:rPr>
                  </w:pPr>
                  <w:r w:rsidRPr="00BC0683">
                    <w:rPr>
                      <w:rFonts w:ascii="Segoe UI" w:eastAsia="Times New Roman" w:hAnsi="Segoe UI" w:cs="Segoe UI"/>
                      <w:color w:val="000000"/>
                      <w:sz w:val="18"/>
                      <w:szCs w:val="18"/>
                      <w:lang w:eastAsia="en-AU"/>
                    </w:rPr>
                    <w:t> </w:t>
                  </w:r>
                </w:p>
              </w:tc>
              <w:tc>
                <w:tcPr>
                  <w:tcW w:w="1750" w:type="dxa"/>
                  <w:tcBorders>
                    <w:top w:val="nil"/>
                    <w:left w:val="nil"/>
                    <w:bottom w:val="nil"/>
                    <w:right w:val="nil"/>
                  </w:tcBorders>
                  <w:shd w:val="clear" w:color="000000" w:fill="C5D9F1"/>
                  <w:noWrap/>
                  <w:vAlign w:val="center"/>
                  <w:hideMark/>
                </w:tcPr>
                <w:p w14:paraId="6B99DFBA" w14:textId="77777777" w:rsidR="00C64DD3" w:rsidRPr="00BC0683" w:rsidRDefault="00C64DD3" w:rsidP="00BC0683">
                  <w:pPr>
                    <w:spacing w:after="0" w:line="240" w:lineRule="auto"/>
                    <w:rPr>
                      <w:rFonts w:ascii="Segoe UI" w:eastAsia="Times New Roman" w:hAnsi="Segoe UI" w:cs="Segoe UI"/>
                      <w:color w:val="000000"/>
                      <w:sz w:val="18"/>
                      <w:szCs w:val="18"/>
                      <w:lang w:eastAsia="en-AU"/>
                    </w:rPr>
                  </w:pPr>
                  <w:r w:rsidRPr="00BC0683">
                    <w:rPr>
                      <w:rFonts w:ascii="Segoe UI" w:eastAsia="Times New Roman" w:hAnsi="Segoe UI" w:cs="Segoe UI"/>
                      <w:color w:val="000000"/>
                      <w:sz w:val="18"/>
                      <w:szCs w:val="18"/>
                      <w:lang w:eastAsia="en-AU"/>
                    </w:rPr>
                    <w:t> </w:t>
                  </w:r>
                </w:p>
              </w:tc>
            </w:tr>
            <w:tr w:rsidR="00C64DD3" w:rsidRPr="00BC0683" w14:paraId="12B224A6" w14:textId="77777777" w:rsidTr="006527EC">
              <w:trPr>
                <w:trHeight w:val="332"/>
              </w:trPr>
              <w:tc>
                <w:tcPr>
                  <w:tcW w:w="3841" w:type="dxa"/>
                  <w:tcBorders>
                    <w:top w:val="nil"/>
                    <w:left w:val="nil"/>
                    <w:bottom w:val="nil"/>
                    <w:right w:val="nil"/>
                  </w:tcBorders>
                  <w:shd w:val="clear" w:color="000000" w:fill="C5D9F1"/>
                  <w:noWrap/>
                  <w:vAlign w:val="center"/>
                  <w:hideMark/>
                </w:tcPr>
                <w:p w14:paraId="7E26C9D8" w14:textId="77777777" w:rsidR="00C64DD3" w:rsidRPr="00BC0683" w:rsidRDefault="00C64DD3" w:rsidP="00BC0683">
                  <w:pPr>
                    <w:spacing w:after="0" w:line="240" w:lineRule="auto"/>
                    <w:jc w:val="right"/>
                    <w:rPr>
                      <w:rFonts w:ascii="Segoe UI" w:eastAsia="Times New Roman" w:hAnsi="Segoe UI" w:cs="Segoe UI"/>
                      <w:color w:val="000000"/>
                      <w:sz w:val="18"/>
                      <w:szCs w:val="18"/>
                      <w:lang w:eastAsia="en-AU"/>
                    </w:rPr>
                  </w:pPr>
                  <w:r w:rsidRPr="00BC0683">
                    <w:rPr>
                      <w:rFonts w:ascii="Segoe UI" w:eastAsia="Times New Roman" w:hAnsi="Segoe UI" w:cs="Segoe UI"/>
                      <w:color w:val="000000"/>
                      <w:sz w:val="18"/>
                      <w:szCs w:val="18"/>
                      <w:lang w:eastAsia="en-AU"/>
                    </w:rPr>
                    <w:t>Dermal LD</w:t>
                  </w:r>
                  <w:r w:rsidRPr="00BC0683">
                    <w:rPr>
                      <w:rFonts w:ascii="Segoe UI" w:eastAsia="Times New Roman" w:hAnsi="Segoe UI" w:cs="Segoe UI"/>
                      <w:color w:val="000000"/>
                      <w:sz w:val="18"/>
                      <w:szCs w:val="18"/>
                      <w:vertAlign w:val="subscript"/>
                      <w:lang w:eastAsia="en-AU"/>
                    </w:rPr>
                    <w:t>50</w:t>
                  </w:r>
                  <w:r w:rsidRPr="00BC0683">
                    <w:rPr>
                      <w:rFonts w:ascii="Segoe UI" w:eastAsia="Times New Roman" w:hAnsi="Segoe UI" w:cs="Segoe UI"/>
                      <w:color w:val="000000"/>
                      <w:sz w:val="18"/>
                      <w:szCs w:val="18"/>
                      <w:lang w:eastAsia="en-AU"/>
                    </w:rPr>
                    <w:t>/Inhalation LD</w:t>
                  </w:r>
                  <w:r w:rsidRPr="00BC0683">
                    <w:rPr>
                      <w:rFonts w:ascii="Segoe UI" w:eastAsia="Times New Roman" w:hAnsi="Segoe UI" w:cs="Segoe UI"/>
                      <w:color w:val="000000"/>
                      <w:sz w:val="18"/>
                      <w:szCs w:val="18"/>
                      <w:vertAlign w:val="subscript"/>
                      <w:lang w:eastAsia="en-AU"/>
                    </w:rPr>
                    <w:t>50</w:t>
                  </w:r>
                  <w:r w:rsidRPr="00BC0683">
                    <w:rPr>
                      <w:rFonts w:ascii="Segoe UI" w:eastAsia="Times New Roman" w:hAnsi="Segoe UI" w:cs="Segoe UI"/>
                      <w:color w:val="000000"/>
                      <w:sz w:val="18"/>
                      <w:szCs w:val="18"/>
                      <w:lang w:eastAsia="en-AU"/>
                    </w:rPr>
                    <w:t xml:space="preserve"> &lt;10:</w:t>
                  </w:r>
                </w:p>
              </w:tc>
              <w:tc>
                <w:tcPr>
                  <w:tcW w:w="871" w:type="dxa"/>
                  <w:tcBorders>
                    <w:top w:val="nil"/>
                    <w:left w:val="nil"/>
                    <w:bottom w:val="nil"/>
                    <w:right w:val="nil"/>
                  </w:tcBorders>
                  <w:shd w:val="clear" w:color="000000" w:fill="C5D9F1"/>
                  <w:noWrap/>
                  <w:vAlign w:val="center"/>
                  <w:hideMark/>
                </w:tcPr>
                <w:p w14:paraId="311A63DC" w14:textId="77777777" w:rsidR="00C64DD3" w:rsidRPr="00BC0683" w:rsidRDefault="00C64DD3" w:rsidP="00BC0683">
                  <w:pPr>
                    <w:spacing w:after="0" w:line="240" w:lineRule="auto"/>
                    <w:jc w:val="center"/>
                    <w:rPr>
                      <w:rFonts w:ascii="Segoe UI" w:eastAsia="Times New Roman" w:hAnsi="Segoe UI" w:cs="Segoe UI"/>
                      <w:color w:val="000000"/>
                      <w:sz w:val="18"/>
                      <w:szCs w:val="18"/>
                      <w:lang w:eastAsia="en-AU"/>
                    </w:rPr>
                  </w:pPr>
                  <w:r w:rsidRPr="00BC0683">
                    <w:rPr>
                      <w:rFonts w:ascii="Segoe UI" w:eastAsia="Times New Roman" w:hAnsi="Segoe UI" w:cs="Segoe UI"/>
                      <w:color w:val="000000"/>
                      <w:sz w:val="18"/>
                      <w:szCs w:val="18"/>
                      <w:lang w:eastAsia="en-AU"/>
                    </w:rPr>
                    <w:t> </w:t>
                  </w:r>
                </w:p>
              </w:tc>
              <w:tc>
                <w:tcPr>
                  <w:tcW w:w="602" w:type="dxa"/>
                  <w:tcBorders>
                    <w:top w:val="nil"/>
                    <w:left w:val="nil"/>
                    <w:bottom w:val="nil"/>
                    <w:right w:val="nil"/>
                  </w:tcBorders>
                  <w:shd w:val="clear" w:color="000000" w:fill="C5D9F1"/>
                  <w:noWrap/>
                  <w:vAlign w:val="center"/>
                  <w:hideMark/>
                </w:tcPr>
                <w:p w14:paraId="5C75BEDE" w14:textId="77777777" w:rsidR="00C64DD3" w:rsidRPr="00BC0683" w:rsidRDefault="00C64DD3" w:rsidP="00BC0683">
                  <w:pPr>
                    <w:spacing w:after="0" w:line="240" w:lineRule="auto"/>
                    <w:rPr>
                      <w:rFonts w:ascii="Segoe UI" w:eastAsia="Times New Roman" w:hAnsi="Segoe UI" w:cs="Segoe UI"/>
                      <w:color w:val="C5D9F1"/>
                      <w:sz w:val="18"/>
                      <w:szCs w:val="18"/>
                      <w:lang w:eastAsia="en-AU"/>
                    </w:rPr>
                  </w:pPr>
                  <w:r w:rsidRPr="00BC0683">
                    <w:rPr>
                      <w:rFonts w:ascii="Segoe UI" w:eastAsia="Times New Roman" w:hAnsi="Segoe UI" w:cs="Segoe UI"/>
                      <w:color w:val="C5D9F1"/>
                      <w:sz w:val="18"/>
                      <w:szCs w:val="18"/>
                      <w:lang w:eastAsia="en-AU"/>
                    </w:rPr>
                    <w:t> </w:t>
                  </w:r>
                </w:p>
              </w:tc>
              <w:tc>
                <w:tcPr>
                  <w:tcW w:w="1746" w:type="dxa"/>
                  <w:tcBorders>
                    <w:top w:val="nil"/>
                    <w:left w:val="nil"/>
                    <w:bottom w:val="nil"/>
                    <w:right w:val="nil"/>
                  </w:tcBorders>
                  <w:shd w:val="clear" w:color="000000" w:fill="C5D9F1"/>
                  <w:noWrap/>
                  <w:vAlign w:val="center"/>
                  <w:hideMark/>
                </w:tcPr>
                <w:p w14:paraId="2C284396" w14:textId="77777777" w:rsidR="00C64DD3" w:rsidRPr="00BC0683" w:rsidRDefault="00C64DD3" w:rsidP="00BC0683">
                  <w:pPr>
                    <w:spacing w:after="0" w:line="240" w:lineRule="auto"/>
                    <w:rPr>
                      <w:rFonts w:ascii="Segoe UI" w:eastAsia="Times New Roman" w:hAnsi="Segoe UI" w:cs="Segoe UI"/>
                      <w:color w:val="000000"/>
                      <w:sz w:val="18"/>
                      <w:szCs w:val="18"/>
                      <w:lang w:eastAsia="en-AU"/>
                    </w:rPr>
                  </w:pPr>
                  <w:r w:rsidRPr="00BC0683">
                    <w:rPr>
                      <w:rFonts w:ascii="Segoe UI" w:eastAsia="Times New Roman" w:hAnsi="Segoe UI" w:cs="Segoe UI"/>
                      <w:color w:val="000000"/>
                      <w:sz w:val="18"/>
                      <w:szCs w:val="18"/>
                      <w:lang w:eastAsia="en-AU"/>
                    </w:rPr>
                    <w:t> </w:t>
                  </w:r>
                </w:p>
              </w:tc>
              <w:tc>
                <w:tcPr>
                  <w:tcW w:w="1750" w:type="dxa"/>
                  <w:tcBorders>
                    <w:top w:val="nil"/>
                    <w:left w:val="nil"/>
                    <w:bottom w:val="nil"/>
                    <w:right w:val="nil"/>
                  </w:tcBorders>
                  <w:shd w:val="clear" w:color="000000" w:fill="C5D9F1"/>
                  <w:noWrap/>
                  <w:vAlign w:val="center"/>
                  <w:hideMark/>
                </w:tcPr>
                <w:p w14:paraId="1FB58B6A" w14:textId="77777777" w:rsidR="00C64DD3" w:rsidRPr="00BC0683" w:rsidRDefault="00C64DD3" w:rsidP="00BC0683">
                  <w:pPr>
                    <w:spacing w:after="0" w:line="240" w:lineRule="auto"/>
                    <w:rPr>
                      <w:rFonts w:ascii="Segoe UI" w:eastAsia="Times New Roman" w:hAnsi="Segoe UI" w:cs="Segoe UI"/>
                      <w:color w:val="000000"/>
                      <w:sz w:val="18"/>
                      <w:szCs w:val="18"/>
                      <w:lang w:eastAsia="en-AU"/>
                    </w:rPr>
                  </w:pPr>
                  <w:r w:rsidRPr="00BC0683">
                    <w:rPr>
                      <w:rFonts w:ascii="Segoe UI" w:eastAsia="Times New Roman" w:hAnsi="Segoe UI" w:cs="Segoe UI"/>
                      <w:color w:val="000000"/>
                      <w:sz w:val="18"/>
                      <w:szCs w:val="18"/>
                      <w:lang w:eastAsia="en-AU"/>
                    </w:rPr>
                    <w:t> </w:t>
                  </w:r>
                </w:p>
              </w:tc>
            </w:tr>
            <w:tr w:rsidR="00C64DD3" w:rsidRPr="00BC0683" w14:paraId="253232A8" w14:textId="77777777" w:rsidTr="006527EC">
              <w:trPr>
                <w:trHeight w:val="332"/>
              </w:trPr>
              <w:tc>
                <w:tcPr>
                  <w:tcW w:w="3841" w:type="dxa"/>
                  <w:tcBorders>
                    <w:top w:val="nil"/>
                    <w:left w:val="nil"/>
                    <w:bottom w:val="nil"/>
                    <w:right w:val="nil"/>
                  </w:tcBorders>
                  <w:shd w:val="clear" w:color="000000" w:fill="C5D9F1"/>
                  <w:noWrap/>
                  <w:vAlign w:val="center"/>
                  <w:hideMark/>
                </w:tcPr>
                <w:p w14:paraId="210DFEE7" w14:textId="77777777" w:rsidR="00C64DD3" w:rsidRPr="00BC0683" w:rsidRDefault="00C64DD3" w:rsidP="00BC0683">
                  <w:pPr>
                    <w:spacing w:after="0" w:line="240" w:lineRule="auto"/>
                    <w:jc w:val="right"/>
                    <w:rPr>
                      <w:rFonts w:ascii="Segoe UI" w:eastAsia="Times New Roman" w:hAnsi="Segoe UI" w:cs="Segoe UI"/>
                      <w:i/>
                      <w:iCs/>
                      <w:color w:val="000000"/>
                      <w:sz w:val="18"/>
                      <w:szCs w:val="18"/>
                      <w:lang w:eastAsia="en-AU"/>
                    </w:rPr>
                  </w:pPr>
                  <w:r w:rsidRPr="00BC0683">
                    <w:rPr>
                      <w:rFonts w:ascii="Segoe UI" w:eastAsia="Times New Roman" w:hAnsi="Segoe UI" w:cs="Segoe UI"/>
                      <w:i/>
                      <w:iCs/>
                      <w:color w:val="000000"/>
                      <w:sz w:val="18"/>
                      <w:szCs w:val="18"/>
                      <w:lang w:eastAsia="en-AU"/>
                    </w:rPr>
                    <w:t>In vivo</w:t>
                  </w:r>
                  <w:r w:rsidRPr="00BC0683">
                    <w:rPr>
                      <w:rFonts w:ascii="Segoe UI" w:eastAsia="Times New Roman" w:hAnsi="Segoe UI" w:cs="Segoe UI"/>
                      <w:color w:val="000000"/>
                      <w:sz w:val="18"/>
                      <w:szCs w:val="18"/>
                      <w:lang w:eastAsia="en-AU"/>
                    </w:rPr>
                    <w:t xml:space="preserve"> dermal absorption rate &gt;10%:</w:t>
                  </w:r>
                </w:p>
              </w:tc>
              <w:tc>
                <w:tcPr>
                  <w:tcW w:w="871" w:type="dxa"/>
                  <w:tcBorders>
                    <w:top w:val="nil"/>
                    <w:left w:val="nil"/>
                    <w:bottom w:val="nil"/>
                    <w:right w:val="nil"/>
                  </w:tcBorders>
                  <w:shd w:val="clear" w:color="000000" w:fill="C5D9F1"/>
                  <w:noWrap/>
                  <w:vAlign w:val="center"/>
                  <w:hideMark/>
                </w:tcPr>
                <w:p w14:paraId="30F8A88E" w14:textId="77777777" w:rsidR="00C64DD3" w:rsidRPr="00BC0683" w:rsidRDefault="00C64DD3" w:rsidP="00BC0683">
                  <w:pPr>
                    <w:spacing w:after="0" w:line="240" w:lineRule="auto"/>
                    <w:jc w:val="center"/>
                    <w:rPr>
                      <w:rFonts w:ascii="Segoe UI" w:eastAsia="Times New Roman" w:hAnsi="Segoe UI" w:cs="Segoe UI"/>
                      <w:color w:val="000000"/>
                      <w:sz w:val="18"/>
                      <w:szCs w:val="18"/>
                      <w:lang w:eastAsia="en-AU"/>
                    </w:rPr>
                  </w:pPr>
                  <w:r w:rsidRPr="00BC0683">
                    <w:rPr>
                      <w:rFonts w:ascii="Segoe UI" w:eastAsia="Times New Roman" w:hAnsi="Segoe UI" w:cs="Segoe UI"/>
                      <w:color w:val="000000"/>
                      <w:sz w:val="18"/>
                      <w:szCs w:val="18"/>
                      <w:lang w:eastAsia="en-AU"/>
                    </w:rPr>
                    <w:t> </w:t>
                  </w:r>
                </w:p>
              </w:tc>
              <w:tc>
                <w:tcPr>
                  <w:tcW w:w="602" w:type="dxa"/>
                  <w:tcBorders>
                    <w:top w:val="nil"/>
                    <w:left w:val="nil"/>
                    <w:bottom w:val="nil"/>
                    <w:right w:val="nil"/>
                  </w:tcBorders>
                  <w:shd w:val="clear" w:color="000000" w:fill="C5D9F1"/>
                  <w:noWrap/>
                  <w:vAlign w:val="center"/>
                  <w:hideMark/>
                </w:tcPr>
                <w:p w14:paraId="4E6711BF" w14:textId="77777777" w:rsidR="00C64DD3" w:rsidRPr="00BC0683" w:rsidRDefault="00C64DD3" w:rsidP="00BC0683">
                  <w:pPr>
                    <w:spacing w:after="0" w:line="240" w:lineRule="auto"/>
                    <w:rPr>
                      <w:rFonts w:ascii="Segoe UI" w:eastAsia="Times New Roman" w:hAnsi="Segoe UI" w:cs="Segoe UI"/>
                      <w:color w:val="C5D9F1"/>
                      <w:sz w:val="18"/>
                      <w:szCs w:val="18"/>
                      <w:lang w:eastAsia="en-AU"/>
                    </w:rPr>
                  </w:pPr>
                  <w:r w:rsidRPr="00BC0683">
                    <w:rPr>
                      <w:rFonts w:ascii="Segoe UI" w:eastAsia="Times New Roman" w:hAnsi="Segoe UI" w:cs="Segoe UI"/>
                      <w:color w:val="C5D9F1"/>
                      <w:sz w:val="18"/>
                      <w:szCs w:val="18"/>
                      <w:lang w:eastAsia="en-AU"/>
                    </w:rPr>
                    <w:t> </w:t>
                  </w:r>
                </w:p>
              </w:tc>
              <w:tc>
                <w:tcPr>
                  <w:tcW w:w="1746" w:type="dxa"/>
                  <w:tcBorders>
                    <w:top w:val="nil"/>
                    <w:left w:val="nil"/>
                    <w:bottom w:val="nil"/>
                    <w:right w:val="nil"/>
                  </w:tcBorders>
                  <w:shd w:val="clear" w:color="000000" w:fill="C5D9F1"/>
                  <w:noWrap/>
                  <w:vAlign w:val="center"/>
                  <w:hideMark/>
                </w:tcPr>
                <w:p w14:paraId="6320B522" w14:textId="77777777" w:rsidR="00C64DD3" w:rsidRPr="00BC0683" w:rsidRDefault="00C64DD3" w:rsidP="00BC0683">
                  <w:pPr>
                    <w:spacing w:after="0" w:line="240" w:lineRule="auto"/>
                    <w:rPr>
                      <w:rFonts w:ascii="Segoe UI" w:eastAsia="Times New Roman" w:hAnsi="Segoe UI" w:cs="Segoe UI"/>
                      <w:color w:val="000000"/>
                      <w:sz w:val="18"/>
                      <w:szCs w:val="18"/>
                      <w:lang w:eastAsia="en-AU"/>
                    </w:rPr>
                  </w:pPr>
                  <w:r w:rsidRPr="00BC0683">
                    <w:rPr>
                      <w:rFonts w:ascii="Segoe UI" w:eastAsia="Times New Roman" w:hAnsi="Segoe UI" w:cs="Segoe UI"/>
                      <w:color w:val="000000"/>
                      <w:sz w:val="18"/>
                      <w:szCs w:val="18"/>
                      <w:lang w:eastAsia="en-AU"/>
                    </w:rPr>
                    <w:t> </w:t>
                  </w:r>
                </w:p>
              </w:tc>
              <w:tc>
                <w:tcPr>
                  <w:tcW w:w="1750" w:type="dxa"/>
                  <w:tcBorders>
                    <w:top w:val="nil"/>
                    <w:left w:val="nil"/>
                    <w:bottom w:val="nil"/>
                    <w:right w:val="nil"/>
                  </w:tcBorders>
                  <w:shd w:val="clear" w:color="000000" w:fill="C5D9F1"/>
                  <w:noWrap/>
                  <w:vAlign w:val="center"/>
                  <w:hideMark/>
                </w:tcPr>
                <w:p w14:paraId="78D1D701" w14:textId="77777777" w:rsidR="00C64DD3" w:rsidRPr="00BC0683" w:rsidRDefault="00C64DD3" w:rsidP="00BC0683">
                  <w:pPr>
                    <w:spacing w:after="0" w:line="240" w:lineRule="auto"/>
                    <w:rPr>
                      <w:rFonts w:ascii="Segoe UI" w:eastAsia="Times New Roman" w:hAnsi="Segoe UI" w:cs="Segoe UI"/>
                      <w:color w:val="000000"/>
                      <w:sz w:val="18"/>
                      <w:szCs w:val="18"/>
                      <w:lang w:eastAsia="en-AU"/>
                    </w:rPr>
                  </w:pPr>
                  <w:r w:rsidRPr="00BC0683">
                    <w:rPr>
                      <w:rFonts w:ascii="Segoe UI" w:eastAsia="Times New Roman" w:hAnsi="Segoe UI" w:cs="Segoe UI"/>
                      <w:color w:val="000000"/>
                      <w:sz w:val="18"/>
                      <w:szCs w:val="18"/>
                      <w:lang w:eastAsia="en-AU"/>
                    </w:rPr>
                    <w:t> </w:t>
                  </w:r>
                </w:p>
              </w:tc>
            </w:tr>
            <w:tr w:rsidR="00C64DD3" w:rsidRPr="00BC0683" w14:paraId="242AB6DA" w14:textId="77777777" w:rsidTr="006527EC">
              <w:trPr>
                <w:trHeight w:val="332"/>
              </w:trPr>
              <w:tc>
                <w:tcPr>
                  <w:tcW w:w="3841" w:type="dxa"/>
                  <w:tcBorders>
                    <w:top w:val="nil"/>
                    <w:left w:val="nil"/>
                    <w:bottom w:val="nil"/>
                    <w:right w:val="nil"/>
                  </w:tcBorders>
                  <w:shd w:val="clear" w:color="000000" w:fill="C5D9F1"/>
                  <w:noWrap/>
                  <w:vAlign w:val="center"/>
                  <w:hideMark/>
                </w:tcPr>
                <w:p w14:paraId="19927316" w14:textId="77777777" w:rsidR="00C64DD3" w:rsidRPr="00BC0683" w:rsidRDefault="00C64DD3" w:rsidP="00BC0683">
                  <w:pPr>
                    <w:spacing w:after="0" w:line="240" w:lineRule="auto"/>
                    <w:jc w:val="right"/>
                    <w:rPr>
                      <w:rFonts w:ascii="Segoe UI" w:eastAsia="Times New Roman" w:hAnsi="Segoe UI" w:cs="Segoe UI"/>
                      <w:color w:val="000000"/>
                      <w:sz w:val="18"/>
                      <w:szCs w:val="18"/>
                      <w:lang w:eastAsia="en-AU"/>
                    </w:rPr>
                  </w:pPr>
                  <w:r w:rsidRPr="00BC0683">
                    <w:rPr>
                      <w:rFonts w:ascii="Segoe UI" w:eastAsia="Times New Roman" w:hAnsi="Segoe UI" w:cs="Segoe UI"/>
                      <w:color w:val="000000"/>
                      <w:sz w:val="18"/>
                      <w:szCs w:val="18"/>
                      <w:lang w:eastAsia="en-AU"/>
                    </w:rPr>
                    <w:t>Estimated dermal exposure at WES &gt;10%:</w:t>
                  </w:r>
                </w:p>
              </w:tc>
              <w:tc>
                <w:tcPr>
                  <w:tcW w:w="871" w:type="dxa"/>
                  <w:tcBorders>
                    <w:top w:val="nil"/>
                    <w:left w:val="nil"/>
                    <w:bottom w:val="nil"/>
                    <w:right w:val="nil"/>
                  </w:tcBorders>
                  <w:shd w:val="clear" w:color="000000" w:fill="FFEB9C"/>
                  <w:noWrap/>
                  <w:vAlign w:val="center"/>
                  <w:hideMark/>
                </w:tcPr>
                <w:p w14:paraId="2255C2A6" w14:textId="77777777" w:rsidR="00C64DD3" w:rsidRPr="00BC0683" w:rsidRDefault="00C64DD3" w:rsidP="00BC0683">
                  <w:pPr>
                    <w:spacing w:after="0" w:line="240" w:lineRule="auto"/>
                    <w:jc w:val="center"/>
                    <w:rPr>
                      <w:rFonts w:ascii="Segoe UI" w:eastAsia="Times New Roman" w:hAnsi="Segoe UI" w:cs="Segoe UI"/>
                      <w:color w:val="9C6500"/>
                      <w:sz w:val="18"/>
                      <w:szCs w:val="18"/>
                      <w:lang w:eastAsia="en-AU"/>
                    </w:rPr>
                  </w:pPr>
                  <w:r w:rsidRPr="00BC0683">
                    <w:rPr>
                      <w:rFonts w:ascii="Segoe UI" w:eastAsia="Times New Roman" w:hAnsi="Segoe UI" w:cs="Segoe UI"/>
                      <w:color w:val="9C6500"/>
                      <w:sz w:val="18"/>
                      <w:szCs w:val="18"/>
                      <w:lang w:eastAsia="en-AU"/>
                    </w:rPr>
                    <w:t>yes</w:t>
                  </w:r>
                </w:p>
              </w:tc>
              <w:tc>
                <w:tcPr>
                  <w:tcW w:w="602" w:type="dxa"/>
                  <w:tcBorders>
                    <w:top w:val="nil"/>
                    <w:left w:val="nil"/>
                    <w:bottom w:val="nil"/>
                    <w:right w:val="nil"/>
                  </w:tcBorders>
                  <w:shd w:val="clear" w:color="000000" w:fill="C5D9F1"/>
                  <w:noWrap/>
                  <w:vAlign w:val="center"/>
                  <w:hideMark/>
                </w:tcPr>
                <w:p w14:paraId="4F1921DC" w14:textId="77777777" w:rsidR="00C64DD3" w:rsidRPr="00BC0683" w:rsidRDefault="00C64DD3" w:rsidP="00BC0683">
                  <w:pPr>
                    <w:spacing w:after="0" w:line="240" w:lineRule="auto"/>
                    <w:jc w:val="right"/>
                    <w:rPr>
                      <w:rFonts w:ascii="Segoe UI" w:eastAsia="Times New Roman" w:hAnsi="Segoe UI" w:cs="Segoe UI"/>
                      <w:color w:val="C5D9F1"/>
                      <w:sz w:val="18"/>
                      <w:szCs w:val="18"/>
                      <w:lang w:eastAsia="en-AU"/>
                    </w:rPr>
                  </w:pPr>
                  <w:r w:rsidRPr="00BC0683">
                    <w:rPr>
                      <w:rFonts w:ascii="Segoe UI" w:eastAsia="Times New Roman" w:hAnsi="Segoe UI" w:cs="Segoe UI"/>
                      <w:color w:val="C5D9F1"/>
                      <w:sz w:val="18"/>
                      <w:szCs w:val="18"/>
                      <w:lang w:eastAsia="en-AU"/>
                    </w:rPr>
                    <w:t>2.00</w:t>
                  </w:r>
                </w:p>
              </w:tc>
              <w:tc>
                <w:tcPr>
                  <w:tcW w:w="1746" w:type="dxa"/>
                  <w:tcBorders>
                    <w:top w:val="nil"/>
                    <w:left w:val="nil"/>
                    <w:bottom w:val="nil"/>
                    <w:right w:val="nil"/>
                  </w:tcBorders>
                  <w:shd w:val="clear" w:color="000000" w:fill="C5D9F1"/>
                  <w:noWrap/>
                  <w:vAlign w:val="center"/>
                  <w:hideMark/>
                </w:tcPr>
                <w:p w14:paraId="1234E0AC" w14:textId="77777777" w:rsidR="00C64DD3" w:rsidRPr="00BC0683" w:rsidRDefault="00C64DD3" w:rsidP="00BC0683">
                  <w:pPr>
                    <w:spacing w:after="0" w:line="240" w:lineRule="auto"/>
                    <w:rPr>
                      <w:rFonts w:ascii="Segoe UI" w:eastAsia="Times New Roman" w:hAnsi="Segoe UI" w:cs="Segoe UI"/>
                      <w:color w:val="000000"/>
                      <w:sz w:val="18"/>
                      <w:szCs w:val="18"/>
                      <w:lang w:eastAsia="en-AU"/>
                    </w:rPr>
                  </w:pPr>
                  <w:r w:rsidRPr="00BC0683">
                    <w:rPr>
                      <w:rFonts w:ascii="Segoe UI" w:eastAsia="Times New Roman" w:hAnsi="Segoe UI" w:cs="Segoe UI"/>
                      <w:color w:val="000000"/>
                      <w:sz w:val="18"/>
                      <w:szCs w:val="18"/>
                      <w:lang w:eastAsia="en-AU"/>
                    </w:rPr>
                    <w:t> </w:t>
                  </w:r>
                </w:p>
              </w:tc>
              <w:tc>
                <w:tcPr>
                  <w:tcW w:w="1750" w:type="dxa"/>
                  <w:tcBorders>
                    <w:top w:val="nil"/>
                    <w:left w:val="nil"/>
                    <w:bottom w:val="nil"/>
                    <w:right w:val="nil"/>
                  </w:tcBorders>
                  <w:shd w:val="clear" w:color="000000" w:fill="C5D9F1"/>
                  <w:noWrap/>
                  <w:vAlign w:val="center"/>
                  <w:hideMark/>
                </w:tcPr>
                <w:p w14:paraId="119BE19B" w14:textId="77777777" w:rsidR="00C64DD3" w:rsidRPr="00BC0683" w:rsidRDefault="00C64DD3" w:rsidP="00BC0683">
                  <w:pPr>
                    <w:spacing w:after="0" w:line="240" w:lineRule="auto"/>
                    <w:rPr>
                      <w:rFonts w:ascii="Segoe UI" w:eastAsia="Times New Roman" w:hAnsi="Segoe UI" w:cs="Segoe UI"/>
                      <w:color w:val="000000"/>
                      <w:sz w:val="18"/>
                      <w:szCs w:val="18"/>
                      <w:lang w:eastAsia="en-AU"/>
                    </w:rPr>
                  </w:pPr>
                  <w:r w:rsidRPr="00BC0683">
                    <w:rPr>
                      <w:rFonts w:ascii="Segoe UI" w:eastAsia="Times New Roman" w:hAnsi="Segoe UI" w:cs="Segoe UI"/>
                      <w:color w:val="000000"/>
                      <w:sz w:val="18"/>
                      <w:szCs w:val="18"/>
                      <w:lang w:eastAsia="en-AU"/>
                    </w:rPr>
                    <w:t> </w:t>
                  </w:r>
                </w:p>
              </w:tc>
            </w:tr>
            <w:tr w:rsidR="00C64DD3" w:rsidRPr="00BC0683" w14:paraId="49CC47B7" w14:textId="77777777" w:rsidTr="006527EC">
              <w:trPr>
                <w:trHeight w:val="332"/>
              </w:trPr>
              <w:tc>
                <w:tcPr>
                  <w:tcW w:w="3841" w:type="dxa"/>
                  <w:tcBorders>
                    <w:top w:val="nil"/>
                    <w:left w:val="nil"/>
                    <w:bottom w:val="nil"/>
                    <w:right w:val="nil"/>
                  </w:tcBorders>
                  <w:shd w:val="clear" w:color="000000" w:fill="C5D9F1"/>
                  <w:noWrap/>
                  <w:vAlign w:val="center"/>
                  <w:hideMark/>
                </w:tcPr>
                <w:p w14:paraId="23190A2C" w14:textId="77777777" w:rsidR="00C64DD3" w:rsidRPr="00BC0683" w:rsidRDefault="00C64DD3" w:rsidP="00BC0683">
                  <w:pPr>
                    <w:spacing w:after="0" w:line="240" w:lineRule="auto"/>
                    <w:jc w:val="right"/>
                    <w:rPr>
                      <w:rFonts w:ascii="Segoe UI" w:eastAsia="Times New Roman" w:hAnsi="Segoe UI" w:cs="Segoe UI"/>
                      <w:color w:val="000000"/>
                      <w:sz w:val="18"/>
                      <w:szCs w:val="18"/>
                      <w:lang w:eastAsia="en-AU"/>
                    </w:rPr>
                  </w:pPr>
                  <w:r w:rsidRPr="00BC0683">
                    <w:rPr>
                      <w:rFonts w:ascii="Segoe UI" w:eastAsia="Times New Roman" w:hAnsi="Segoe UI" w:cs="Segoe UI"/>
                      <w:color w:val="000000"/>
                      <w:sz w:val="18"/>
                      <w:szCs w:val="18"/>
                      <w:lang w:eastAsia="en-AU"/>
                    </w:rPr>
                    <w:t> </w:t>
                  </w:r>
                </w:p>
              </w:tc>
              <w:tc>
                <w:tcPr>
                  <w:tcW w:w="871" w:type="dxa"/>
                  <w:tcBorders>
                    <w:top w:val="nil"/>
                    <w:left w:val="nil"/>
                    <w:bottom w:val="nil"/>
                    <w:right w:val="nil"/>
                  </w:tcBorders>
                  <w:shd w:val="clear" w:color="000000" w:fill="C5D9F1"/>
                  <w:noWrap/>
                  <w:vAlign w:val="center"/>
                  <w:hideMark/>
                </w:tcPr>
                <w:p w14:paraId="12A80E48" w14:textId="77777777" w:rsidR="00C64DD3" w:rsidRPr="00BC0683" w:rsidRDefault="00C64DD3" w:rsidP="00BC0683">
                  <w:pPr>
                    <w:spacing w:after="0" w:line="240" w:lineRule="auto"/>
                    <w:jc w:val="center"/>
                    <w:rPr>
                      <w:rFonts w:ascii="Segoe UI" w:eastAsia="Times New Roman" w:hAnsi="Segoe UI" w:cs="Segoe UI"/>
                      <w:color w:val="000000"/>
                      <w:sz w:val="18"/>
                      <w:szCs w:val="18"/>
                      <w:lang w:eastAsia="en-AU"/>
                    </w:rPr>
                  </w:pPr>
                  <w:r w:rsidRPr="00BC0683">
                    <w:rPr>
                      <w:rFonts w:ascii="Segoe UI" w:eastAsia="Times New Roman" w:hAnsi="Segoe UI" w:cs="Segoe UI"/>
                      <w:color w:val="000000"/>
                      <w:sz w:val="18"/>
                      <w:szCs w:val="18"/>
                      <w:lang w:eastAsia="en-AU"/>
                    </w:rPr>
                    <w:t> </w:t>
                  </w:r>
                </w:p>
              </w:tc>
              <w:tc>
                <w:tcPr>
                  <w:tcW w:w="4098" w:type="dxa"/>
                  <w:gridSpan w:val="3"/>
                  <w:tcBorders>
                    <w:top w:val="nil"/>
                    <w:left w:val="nil"/>
                    <w:bottom w:val="nil"/>
                    <w:right w:val="nil"/>
                  </w:tcBorders>
                  <w:shd w:val="clear" w:color="000000" w:fill="C5D9F1"/>
                  <w:noWrap/>
                  <w:vAlign w:val="center"/>
                  <w:hideMark/>
                </w:tcPr>
                <w:p w14:paraId="6F91F26E" w14:textId="77777777" w:rsidR="00C64DD3" w:rsidRPr="00BC0683" w:rsidRDefault="00C64DD3" w:rsidP="00BC0683">
                  <w:pPr>
                    <w:spacing w:after="0" w:line="240" w:lineRule="auto"/>
                    <w:jc w:val="right"/>
                    <w:rPr>
                      <w:rFonts w:ascii="Segoe UI" w:eastAsia="Times New Roman" w:hAnsi="Segoe UI" w:cs="Segoe UI"/>
                      <w:color w:val="C5D9F1"/>
                      <w:sz w:val="18"/>
                      <w:szCs w:val="18"/>
                      <w:lang w:eastAsia="en-AU"/>
                    </w:rPr>
                  </w:pPr>
                  <w:r w:rsidRPr="00BC0683">
                    <w:rPr>
                      <w:rFonts w:ascii="Segoe UI" w:eastAsia="Times New Roman" w:hAnsi="Segoe UI" w:cs="Segoe UI"/>
                      <w:color w:val="C5D9F1"/>
                      <w:sz w:val="18"/>
                      <w:szCs w:val="18"/>
                      <w:lang w:eastAsia="en-AU"/>
                    </w:rPr>
                    <w:t>2</w:t>
                  </w:r>
                </w:p>
                <w:p w14:paraId="1B8148A3" w14:textId="36582BB8" w:rsidR="00C64DD3" w:rsidRPr="00BC0683" w:rsidRDefault="00C64DD3" w:rsidP="00BC0683">
                  <w:pPr>
                    <w:spacing w:after="0" w:line="240" w:lineRule="auto"/>
                    <w:rPr>
                      <w:rFonts w:ascii="Segoe UI" w:eastAsia="Times New Roman" w:hAnsi="Segoe UI" w:cs="Segoe UI"/>
                      <w:b/>
                      <w:bCs/>
                      <w:color w:val="000000"/>
                      <w:sz w:val="18"/>
                      <w:szCs w:val="18"/>
                      <w:lang w:eastAsia="en-AU"/>
                    </w:rPr>
                  </w:pPr>
                  <w:r w:rsidRPr="00BC0683">
                    <w:rPr>
                      <w:rFonts w:ascii="Segoe UI" w:eastAsia="Times New Roman" w:hAnsi="Segoe UI" w:cs="Segoe UI"/>
                      <w:b/>
                      <w:bCs/>
                      <w:color w:val="000000"/>
                      <w:sz w:val="18"/>
                      <w:szCs w:val="18"/>
                      <w:lang w:eastAsia="en-AU"/>
                    </w:rPr>
                    <w:t>insufficient data to assign a skin notation</w:t>
                  </w:r>
                </w:p>
              </w:tc>
            </w:tr>
          </w:tbl>
          <w:p w14:paraId="0208A926" w14:textId="5F8B3355" w:rsidR="00932DCE" w:rsidRPr="004C23F4" w:rsidRDefault="00932DCE" w:rsidP="00F9496B">
            <w:pPr>
              <w:pStyle w:val="Tablefont"/>
            </w:pPr>
          </w:p>
        </w:tc>
      </w:tr>
    </w:tbl>
    <w:bookmarkEnd w:id="4"/>
    <w:p w14:paraId="3EFA2D7B" w14:textId="77777777" w:rsidR="00EB3D1B" w:rsidRDefault="00EB3D1B" w:rsidP="00EB3D1B">
      <w:pPr>
        <w:pStyle w:val="Heading3"/>
      </w:pPr>
      <w:r>
        <w:lastRenderedPageBreak/>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8"/>
        <w:gridCol w:w="4758"/>
      </w:tblGrid>
      <w:tr w:rsidR="00EB3D1B" w14:paraId="66A49C43" w14:textId="77777777" w:rsidTr="00610F2E">
        <w:trPr>
          <w:trHeight w:val="454"/>
          <w:tblHeader/>
        </w:trPr>
        <w:tc>
          <w:tcPr>
            <w:tcW w:w="4361" w:type="dxa"/>
            <w:vAlign w:val="center"/>
          </w:tcPr>
          <w:p w14:paraId="1EAF91A4" w14:textId="77777777" w:rsidR="00EB3D1B" w:rsidRDefault="00EB3D1B" w:rsidP="00D87570">
            <w:pPr>
              <w:pStyle w:val="Tablefont"/>
            </w:pPr>
            <w:r>
              <w:t xml:space="preserve">Is there a </w:t>
            </w:r>
            <w:r w:rsidR="006E5D05">
              <w:t>suitable</w:t>
            </w:r>
            <w:r>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14:paraId="5072FEC5" w14:textId="0FA99941" w:rsidR="00EB3D1B" w:rsidRDefault="00661BEB" w:rsidP="00EB3D1B">
                <w:pPr>
                  <w:pStyle w:val="Tablefont"/>
                </w:pPr>
                <w:r>
                  <w:t>Yes</w:t>
                </w:r>
              </w:p>
            </w:tc>
          </w:sdtContent>
        </w:sdt>
      </w:tr>
    </w:tbl>
    <w:p w14:paraId="540BA83B" w14:textId="77777777" w:rsidR="00687890" w:rsidRPr="004C23F4" w:rsidRDefault="00B479A9" w:rsidP="00474E33">
      <w:pPr>
        <w:pStyle w:val="Heading2"/>
      </w:pPr>
      <w:r w:rsidRPr="004C23F4">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6"/>
        <w:gridCol w:w="5030"/>
      </w:tblGrid>
      <w:tr w:rsidR="001B79E5" w:rsidRPr="004C23F4" w14:paraId="23A58D97" w14:textId="77777777" w:rsidTr="00EA6243">
        <w:trPr>
          <w:cantSplit/>
          <w:tblHeader/>
        </w:trPr>
        <w:tc>
          <w:tcPr>
            <w:tcW w:w="4077" w:type="dxa"/>
            <w:vAlign w:val="center"/>
          </w:tcPr>
          <w:p w14:paraId="5E41BCDE" w14:textId="77777777" w:rsidR="001B79E5" w:rsidRDefault="001B79E5" w:rsidP="00A31D99">
            <w:pPr>
              <w:pStyle w:val="Tablefont"/>
            </w:pPr>
            <w:r>
              <w:t>Molecular weight:</w:t>
            </w:r>
          </w:p>
        </w:tc>
        <w:sdt>
          <w:sdtPr>
            <w:id w:val="2058126578"/>
            <w:placeholder>
              <w:docPart w:val="0DAD3FB9ACEF4778B961F088737E2361"/>
            </w:placeholder>
          </w:sdtPr>
          <w:sdtEndPr/>
          <w:sdtContent>
            <w:tc>
              <w:tcPr>
                <w:tcW w:w="5165" w:type="dxa"/>
                <w:vAlign w:val="center"/>
              </w:tcPr>
              <w:p w14:paraId="1AF77DE5" w14:textId="2AE80809" w:rsidR="001B79E5" w:rsidRDefault="00714BD2" w:rsidP="001B79E5">
                <w:pPr>
                  <w:pStyle w:val="Tablefont"/>
                </w:pPr>
                <w:r>
                  <w:t>89.09</w:t>
                </w:r>
              </w:p>
            </w:tc>
          </w:sdtContent>
        </w:sdt>
      </w:tr>
      <w:tr w:rsidR="00A31D99" w:rsidRPr="004C23F4" w14:paraId="2B046E52" w14:textId="77777777" w:rsidTr="00EA6243">
        <w:trPr>
          <w:cantSplit/>
          <w:tblHeader/>
        </w:trPr>
        <w:tc>
          <w:tcPr>
            <w:tcW w:w="4077" w:type="dxa"/>
            <w:vAlign w:val="center"/>
          </w:tcPr>
          <w:p w14:paraId="213593B4" w14:textId="77777777" w:rsidR="00A31D99" w:rsidRPr="00263255" w:rsidRDefault="00A31D99" w:rsidP="00A31D99">
            <w:pPr>
              <w:pStyle w:val="Tablefont"/>
            </w:pPr>
            <w:r>
              <w:t>Conversion factors at 25</w:t>
            </w:r>
            <w:r>
              <w:rPr>
                <w:rFonts w:cs="Arial"/>
              </w:rPr>
              <w:t>°</w:t>
            </w:r>
            <w:r>
              <w:t xml:space="preserve">C and 101.3 kPa: </w:t>
            </w:r>
          </w:p>
        </w:tc>
        <w:tc>
          <w:tcPr>
            <w:tcW w:w="5165" w:type="dxa"/>
            <w:vAlign w:val="center"/>
          </w:tcPr>
          <w:p w14:paraId="1F701C8F" w14:textId="0D37836B" w:rsidR="00A31D99" w:rsidRDefault="00A0643F" w:rsidP="00A174CC">
            <w:pPr>
              <w:pStyle w:val="Tablefont"/>
            </w:pPr>
            <w:r>
              <w:t xml:space="preserve">1 ppm = </w:t>
            </w:r>
            <w:sdt>
              <w:sdtPr>
                <w:id w:val="-371151491"/>
                <w:placeholder>
                  <w:docPart w:val="A7231FB73EFF4B2B92EB3BD21C0CEA01"/>
                </w:placeholder>
              </w:sdtPr>
              <w:sdtEndPr/>
              <w:sdtContent>
                <w:r w:rsidR="006C2888">
                  <w:t>3.6</w:t>
                </w:r>
              </w:sdtContent>
            </w:sdt>
            <w:r>
              <w:t xml:space="preserve"> mg/m</w:t>
            </w:r>
            <w:r w:rsidRPr="00D83761">
              <w:rPr>
                <w:vertAlign w:val="superscript"/>
              </w:rPr>
              <w:t>3</w:t>
            </w:r>
            <w:r>
              <w:t>; 1 mg/m</w:t>
            </w:r>
            <w:r w:rsidRPr="00D83761">
              <w:rPr>
                <w:vertAlign w:val="superscript"/>
              </w:rPr>
              <w:t>3</w:t>
            </w:r>
            <w:r>
              <w:t xml:space="preserve"> = </w:t>
            </w:r>
            <w:sdt>
              <w:sdtPr>
                <w:id w:val="-1913150218"/>
                <w:placeholder>
                  <w:docPart w:val="5D98FA8C84704C71B6F1557317AE5303"/>
                </w:placeholder>
              </w:sdtPr>
              <w:sdtEndPr/>
              <w:sdtContent>
                <w:sdt>
                  <w:sdtPr>
                    <w:id w:val="1019659740"/>
                    <w:placeholder>
                      <w:docPart w:val="B575EC11450A462C8A96A338DF98D555"/>
                    </w:placeholder>
                  </w:sdtPr>
                  <w:sdtEndPr/>
                  <w:sdtContent>
                    <w:r w:rsidR="006C2888">
                      <w:t>0.28</w:t>
                    </w:r>
                  </w:sdtContent>
                </w:sdt>
              </w:sdtContent>
            </w:sdt>
            <w:r>
              <w:t xml:space="preserve"> ppm</w:t>
            </w:r>
          </w:p>
        </w:tc>
      </w:tr>
      <w:tr w:rsidR="00687890" w:rsidRPr="004C23F4" w14:paraId="1E746FBF" w14:textId="77777777" w:rsidTr="00EA6243">
        <w:trPr>
          <w:cantSplit/>
          <w:tblHeader/>
        </w:trPr>
        <w:tc>
          <w:tcPr>
            <w:tcW w:w="4077" w:type="dxa"/>
            <w:vAlign w:val="center"/>
          </w:tcPr>
          <w:p w14:paraId="6409077E" w14:textId="77777777" w:rsidR="00687890" w:rsidRPr="00263255" w:rsidRDefault="00687890" w:rsidP="00263255">
            <w:pPr>
              <w:pStyle w:val="Tablefont"/>
            </w:pPr>
            <w:r w:rsidRPr="00263255">
              <w:t>This chemical is used as a pesticide:</w:t>
            </w:r>
          </w:p>
        </w:tc>
        <w:sdt>
          <w:sdtPr>
            <w:id w:val="1704441067"/>
            <w14:checkbox>
              <w14:checked w14:val="0"/>
              <w14:checkedState w14:val="00FC" w14:font="Wingdings"/>
              <w14:uncheckedState w14:val="2610" w14:font="MS Gothic"/>
            </w14:checkbox>
          </w:sdtPr>
          <w:sdtEndPr/>
          <w:sdtContent>
            <w:tc>
              <w:tcPr>
                <w:tcW w:w="5165" w:type="dxa"/>
                <w:vAlign w:val="center"/>
              </w:tcPr>
              <w:p w14:paraId="49716675" w14:textId="77777777" w:rsidR="00687890" w:rsidRPr="004C23F4" w:rsidRDefault="00E46BCB" w:rsidP="00717D45">
                <w:pPr>
                  <w:pStyle w:val="Tablefont"/>
                </w:pPr>
                <w:r w:rsidRPr="004C23F4">
                  <w:rPr>
                    <w:rFonts w:ascii="MS Gothic" w:eastAsia="MS Gothic" w:hAnsi="MS Gothic" w:cs="MS Gothic" w:hint="eastAsia"/>
                  </w:rPr>
                  <w:t>☐</w:t>
                </w:r>
              </w:p>
            </w:tc>
          </w:sdtContent>
        </w:sdt>
      </w:tr>
      <w:tr w:rsidR="00687890" w:rsidRPr="004C23F4" w14:paraId="045DABC7" w14:textId="77777777" w:rsidTr="00EA6243">
        <w:trPr>
          <w:cantSplit/>
        </w:trPr>
        <w:tc>
          <w:tcPr>
            <w:tcW w:w="4077" w:type="dxa"/>
            <w:vAlign w:val="center"/>
          </w:tcPr>
          <w:p w14:paraId="73EFB2AC" w14:textId="77777777" w:rsidR="00687890" w:rsidRPr="00263255" w:rsidRDefault="00687890" w:rsidP="00263255">
            <w:pPr>
              <w:pStyle w:val="Tablefont"/>
            </w:pPr>
            <w:r w:rsidRPr="00263255">
              <w:t>This chemical is a biological product:</w:t>
            </w:r>
          </w:p>
        </w:tc>
        <w:sdt>
          <w:sdtPr>
            <w:id w:val="-659616774"/>
            <w14:checkbox>
              <w14:checked w14:val="0"/>
              <w14:checkedState w14:val="00FC" w14:font="Wingdings"/>
              <w14:uncheckedState w14:val="2610" w14:font="MS Gothic"/>
            </w14:checkbox>
          </w:sdtPr>
          <w:sdtEndPr/>
          <w:sdtContent>
            <w:tc>
              <w:tcPr>
                <w:tcW w:w="5165" w:type="dxa"/>
                <w:vAlign w:val="center"/>
              </w:tcPr>
              <w:p w14:paraId="4DA66AD7" w14:textId="77777777" w:rsidR="00687890" w:rsidRPr="004C23F4" w:rsidRDefault="00A20751" w:rsidP="00717D45">
                <w:pPr>
                  <w:pStyle w:val="Tablefont"/>
                </w:pPr>
                <w:r w:rsidRPr="004C23F4">
                  <w:rPr>
                    <w:rFonts w:ascii="MS Gothic" w:eastAsia="MS Gothic" w:hAnsi="MS Gothic" w:cs="MS Gothic" w:hint="eastAsia"/>
                  </w:rPr>
                  <w:t>☐</w:t>
                </w:r>
              </w:p>
            </w:tc>
          </w:sdtContent>
        </w:sdt>
      </w:tr>
      <w:tr w:rsidR="00687890" w:rsidRPr="004C23F4" w14:paraId="68D7CFCE" w14:textId="77777777" w:rsidTr="00EA6243">
        <w:trPr>
          <w:cantSplit/>
        </w:trPr>
        <w:tc>
          <w:tcPr>
            <w:tcW w:w="4077" w:type="dxa"/>
            <w:vAlign w:val="center"/>
          </w:tcPr>
          <w:p w14:paraId="18939377" w14:textId="77777777" w:rsidR="00687890" w:rsidRPr="00263255" w:rsidRDefault="00687890" w:rsidP="00263255">
            <w:pPr>
              <w:pStyle w:val="Tablefont"/>
            </w:pPr>
            <w:r w:rsidRPr="00263255">
              <w:t>This chemical is a by-product of a process:</w:t>
            </w:r>
          </w:p>
        </w:tc>
        <w:sdt>
          <w:sdtPr>
            <w:id w:val="-863134491"/>
            <w14:checkbox>
              <w14:checked w14:val="0"/>
              <w14:checkedState w14:val="00FC" w14:font="Wingdings"/>
              <w14:uncheckedState w14:val="2610" w14:font="MS Gothic"/>
            </w14:checkbox>
          </w:sdtPr>
          <w:sdtEndPr/>
          <w:sdtContent>
            <w:tc>
              <w:tcPr>
                <w:tcW w:w="5165" w:type="dxa"/>
                <w:vAlign w:val="center"/>
              </w:tcPr>
              <w:p w14:paraId="708CE91C" w14:textId="77777777" w:rsidR="00687890" w:rsidRPr="004C23F4" w:rsidRDefault="00687890" w:rsidP="00717D45">
                <w:pPr>
                  <w:pStyle w:val="Tablefont"/>
                </w:pPr>
                <w:r w:rsidRPr="004C23F4">
                  <w:rPr>
                    <w:rFonts w:ascii="MS Gothic" w:eastAsia="MS Gothic" w:hAnsi="MS Gothic" w:cs="MS Gothic" w:hint="eastAsia"/>
                  </w:rPr>
                  <w:t>☐</w:t>
                </w:r>
              </w:p>
            </w:tc>
          </w:sdtContent>
        </w:sdt>
      </w:tr>
      <w:tr w:rsidR="00E06F40" w:rsidRPr="004C23F4" w14:paraId="16389FC8" w14:textId="77777777" w:rsidTr="00EA6243">
        <w:trPr>
          <w:cantSplit/>
        </w:trPr>
        <w:tc>
          <w:tcPr>
            <w:tcW w:w="4077" w:type="dxa"/>
            <w:vAlign w:val="center"/>
          </w:tcPr>
          <w:p w14:paraId="3A4BFCC2" w14:textId="77777777" w:rsidR="00E06F40" w:rsidRPr="00263255" w:rsidRDefault="00E06F40" w:rsidP="00084513">
            <w:pPr>
              <w:pStyle w:val="Tablefont"/>
            </w:pPr>
            <w:r w:rsidRPr="00263255">
              <w:t xml:space="preserve">A biological exposure index has been recommended by </w:t>
            </w:r>
            <w:r w:rsidR="00084513">
              <w:t>these agencies</w:t>
            </w:r>
            <w:r w:rsidRPr="00263255">
              <w:t>:</w:t>
            </w:r>
          </w:p>
        </w:tc>
        <w:tc>
          <w:tcPr>
            <w:tcW w:w="5165" w:type="dxa"/>
            <w:vAlign w:val="center"/>
          </w:tcPr>
          <w:p w14:paraId="102C8009" w14:textId="77777777" w:rsidR="00E06F40" w:rsidRPr="00A006A0" w:rsidRDefault="00FD6967" w:rsidP="00B40C60">
            <w:pPr>
              <w:pStyle w:val="Tablefont"/>
              <w:tabs>
                <w:tab w:val="left" w:pos="1310"/>
                <w:tab w:val="left" w:pos="2444"/>
                <w:tab w:val="left" w:pos="3861"/>
              </w:tabs>
            </w:pPr>
            <w:sdt>
              <w:sdtPr>
                <w:id w:val="92759666"/>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ACGIH</w:t>
            </w:r>
            <w:r w:rsidR="00E06F40">
              <w:tab/>
            </w:r>
            <w:sdt>
              <w:sdtPr>
                <w:id w:val="129367724"/>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DFG</w:t>
            </w:r>
            <w:r w:rsidR="00E06F40">
              <w:tab/>
            </w:r>
            <w:sdt>
              <w:sdtPr>
                <w:id w:val="-1535876012"/>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SCOEL</w:t>
            </w:r>
            <w:r w:rsidR="00E06F40">
              <w:tab/>
            </w:r>
          </w:p>
        </w:tc>
      </w:tr>
    </w:tbl>
    <w:p w14:paraId="15566C36" w14:textId="77777777" w:rsidR="007F1005" w:rsidRPr="004C23F4" w:rsidRDefault="007F1005" w:rsidP="00EB3D1B">
      <w:pPr>
        <w:pStyle w:val="Heading2"/>
        <w:keepLines/>
      </w:pPr>
      <w:r w:rsidRPr="004C23F4">
        <w:t xml:space="preserve">Workplace exposure </w:t>
      </w:r>
      <w:r w:rsidR="00B479A9" w:rsidRPr="004C23F4">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4C23F4" w14:paraId="7815BF5A" w14:textId="77777777" w:rsidTr="00F053FA">
        <w:trPr>
          <w:tblHeader/>
        </w:trPr>
        <w:tc>
          <w:tcPr>
            <w:tcW w:w="4077" w:type="dxa"/>
            <w:shd w:val="clear" w:color="auto" w:fill="BFBFBF" w:themeFill="background1" w:themeFillShade="BF"/>
            <w:vAlign w:val="center"/>
          </w:tcPr>
          <w:p w14:paraId="2F822212" w14:textId="77777777" w:rsidR="00224EE2" w:rsidRPr="004C23F4" w:rsidRDefault="00224EE2" w:rsidP="00EB3D1B">
            <w:pPr>
              <w:pStyle w:val="Tableheader"/>
              <w:keepNext/>
              <w:keepLines/>
            </w:pPr>
            <w:bookmarkStart w:id="5" w:name="History" w:colFirst="0" w:colLast="1"/>
            <w:r>
              <w:t>Year</w:t>
            </w:r>
          </w:p>
        </w:tc>
        <w:tc>
          <w:tcPr>
            <w:tcW w:w="5165" w:type="dxa"/>
            <w:shd w:val="clear" w:color="auto" w:fill="BFBFBF" w:themeFill="background1" w:themeFillShade="BF"/>
            <w:vAlign w:val="center"/>
          </w:tcPr>
          <w:p w14:paraId="2E61C6D6" w14:textId="77777777" w:rsidR="00224EE2" w:rsidRPr="004C23F4" w:rsidRDefault="00224EE2" w:rsidP="00EB3D1B">
            <w:pPr>
              <w:pStyle w:val="Tableheader"/>
              <w:keepNext/>
              <w:keepLines/>
            </w:pPr>
            <w:r>
              <w:t>Standard</w:t>
            </w:r>
          </w:p>
        </w:tc>
      </w:tr>
      <w:tr w:rsidR="007F1005" w:rsidRPr="004C23F4" w14:paraId="10103C9F" w14:textId="77777777" w:rsidTr="00F053FA">
        <w:trPr>
          <w:tblHeader/>
        </w:trPr>
        <w:sdt>
          <w:sdtPr>
            <w:id w:val="-25557549"/>
            <w:showingPlcHdr/>
            <w:text/>
          </w:sdtPr>
          <w:sdtEndPr/>
          <w:sdtContent>
            <w:tc>
              <w:tcPr>
                <w:tcW w:w="4077" w:type="dxa"/>
                <w:vAlign w:val="center"/>
              </w:tcPr>
              <w:p w14:paraId="755AE810" w14:textId="77777777" w:rsidR="007F1005" w:rsidRPr="004C23F4" w:rsidRDefault="00131092" w:rsidP="00EB3D1B">
                <w:pPr>
                  <w:pStyle w:val="Tablefont"/>
                  <w:keepLines/>
                </w:pPr>
                <w:r w:rsidRPr="004C23F4">
                  <w:rPr>
                    <w:rStyle w:val="PlaceholderText"/>
                    <w:rFonts w:cs="Arial"/>
                  </w:rPr>
                  <w:t>Click here to enter year</w:t>
                </w:r>
              </w:p>
            </w:tc>
          </w:sdtContent>
        </w:sdt>
        <w:tc>
          <w:tcPr>
            <w:tcW w:w="5165" w:type="dxa"/>
            <w:vAlign w:val="center"/>
          </w:tcPr>
          <w:p w14:paraId="3B859E21" w14:textId="77777777" w:rsidR="007F1005" w:rsidRPr="004C23F4" w:rsidRDefault="007F1005" w:rsidP="00EB3D1B">
            <w:pPr>
              <w:pStyle w:val="Tablefont"/>
              <w:keepLines/>
            </w:pPr>
          </w:p>
        </w:tc>
      </w:tr>
    </w:tbl>
    <w:bookmarkEnd w:id="5"/>
    <w:p w14:paraId="59F25110" w14:textId="77777777" w:rsidR="00F87D92" w:rsidRDefault="00F87D92" w:rsidP="00EF7F78">
      <w:pPr>
        <w:pStyle w:val="Heading2"/>
        <w:tabs>
          <w:tab w:val="right" w:pos="8505"/>
        </w:tabs>
      </w:pPr>
      <w:r>
        <w:t>References</w:t>
      </w:r>
      <w:r w:rsidR="00EF7F78">
        <w:tab/>
      </w:r>
    </w:p>
    <w:p w14:paraId="401CC095" w14:textId="77777777" w:rsidR="007F1005" w:rsidRDefault="006650FE" w:rsidP="00084859">
      <w:r>
        <w:t>American Conference of Industrial Hygienists (ACGIH</w:t>
      </w:r>
      <w:r>
        <w:rPr>
          <w:vertAlign w:val="superscript"/>
        </w:rPr>
        <w:t>®</w:t>
      </w:r>
      <w:r>
        <w:t>) (201</w:t>
      </w:r>
      <w:r w:rsidR="00F67BBB">
        <w:t>8</w:t>
      </w:r>
      <w:r>
        <w:t>) TLVs</w:t>
      </w:r>
      <w:r>
        <w:rPr>
          <w:vertAlign w:val="superscript"/>
        </w:rPr>
        <w:t>®</w:t>
      </w:r>
      <w:r>
        <w:t xml:space="preserve"> and BEIs</w:t>
      </w:r>
      <w:r>
        <w:rPr>
          <w:vertAlign w:val="superscript"/>
        </w:rPr>
        <w:t>®</w:t>
      </w:r>
      <w:r>
        <w:t xml:space="preserve"> with 7</w:t>
      </w:r>
      <w:r>
        <w:rPr>
          <w:vertAlign w:val="superscript"/>
        </w:rPr>
        <w:t>th</w:t>
      </w:r>
      <w:r>
        <w:t xml:space="preserve"> Edition Documentation, CD-ROM, Single User Version. Copyright 201</w:t>
      </w:r>
      <w:r w:rsidR="00F67BBB">
        <w:t>8</w:t>
      </w:r>
      <w:r>
        <w:t xml:space="preserve">. Reprinted with permission. See the </w:t>
      </w:r>
      <w:hyperlink r:id="rId17" w:history="1">
        <w:r>
          <w:rPr>
            <w:rStyle w:val="Hyperlink"/>
            <w:i/>
          </w:rPr>
          <w:t>TLVs</w:t>
        </w:r>
        <w:r>
          <w:rPr>
            <w:rStyle w:val="Hyperlink"/>
            <w:i/>
            <w:vertAlign w:val="superscript"/>
          </w:rPr>
          <w:t>®</w:t>
        </w:r>
        <w:r>
          <w:rPr>
            <w:rStyle w:val="Hyperlink"/>
            <w:i/>
          </w:rPr>
          <w:t xml:space="preserve"> and BEIs</w:t>
        </w:r>
        <w:r>
          <w:rPr>
            <w:rStyle w:val="Hyperlink"/>
            <w:i/>
            <w:vertAlign w:val="superscript"/>
          </w:rPr>
          <w:t>®</w:t>
        </w:r>
        <w:r>
          <w:rPr>
            <w:rStyle w:val="Hyperlink"/>
            <w:i/>
          </w:rPr>
          <w:t xml:space="preserve"> Guidelines section</w:t>
        </w:r>
      </w:hyperlink>
      <w:r>
        <w:t xml:space="preserve"> on the ACGIH website.</w:t>
      </w:r>
    </w:p>
    <w:p w14:paraId="2A14F1F1" w14:textId="2305AAEB" w:rsidR="008E4F1F" w:rsidRDefault="008E4F1F" w:rsidP="008E4F1F">
      <w:r w:rsidRPr="002022B6">
        <w:t>Deutsche Forschungsgemeinschaft (DFG)</w:t>
      </w:r>
      <w:r>
        <w:t xml:space="preserve"> (</w:t>
      </w:r>
      <w:r w:rsidR="00714BD2">
        <w:t>1992</w:t>
      </w:r>
      <w:r>
        <w:t xml:space="preserve">) </w:t>
      </w:r>
      <w:r w:rsidR="00714BD2" w:rsidRPr="00714BD2">
        <w:t>2-Nitropropane</w:t>
      </w:r>
      <w:r>
        <w:t xml:space="preserve"> – MAK value documentation.</w:t>
      </w:r>
    </w:p>
    <w:p w14:paraId="2B7ACE57" w14:textId="42DEE50C" w:rsidR="00C85A73" w:rsidRDefault="00C85A73" w:rsidP="008E4F1F">
      <w:r w:rsidRPr="00C85A73">
        <w:t>European Chemicals Agency Regulation (ECHA) No 1907/2006 of the European Parliament and of the Council of 18 December 2006 concerning the Registration, Evaluation, Authorisation and Restriction of Chemicals (REACH).</w:t>
      </w:r>
    </w:p>
    <w:p w14:paraId="0C8F68CD" w14:textId="4B382ED6" w:rsidR="008E4F1F" w:rsidRDefault="008E4F1F" w:rsidP="008E4F1F">
      <w:pPr>
        <w:rPr>
          <w:b/>
        </w:rPr>
      </w:pPr>
      <w:r w:rsidRPr="002022B6">
        <w:t>Health Council of the Netherlands</w:t>
      </w:r>
      <w:r>
        <w:t xml:space="preserve"> (HCOTN) (</w:t>
      </w:r>
      <w:r w:rsidR="00C32507">
        <w:t>1999</w:t>
      </w:r>
      <w:r>
        <w:t xml:space="preserve">) </w:t>
      </w:r>
      <w:r w:rsidR="00C32507" w:rsidRPr="00C32507">
        <w:t>2-Nitropropane</w:t>
      </w:r>
      <w:r w:rsidRPr="005F7416">
        <w:t xml:space="preserve">. </w:t>
      </w:r>
      <w:r w:rsidR="00C32507" w:rsidRPr="00C32507">
        <w:t>Health based calculated occupational cancer risk values</w:t>
      </w:r>
      <w:r w:rsidRPr="005F7416">
        <w:t xml:space="preserve">. The Hague: Health Council of the Netherlands; publication no. </w:t>
      </w:r>
      <w:r w:rsidR="00C32507">
        <w:t>1999/13OSH</w:t>
      </w:r>
      <w:r>
        <w:t>.</w:t>
      </w:r>
    </w:p>
    <w:p w14:paraId="4E964607" w14:textId="4BC35397" w:rsidR="00C32507" w:rsidRDefault="00C32507" w:rsidP="008E4F1F">
      <w:r w:rsidRPr="00C32507">
        <w:t>International Agency for Research on Cancer (IARC) (1999) Volume 71</w:t>
      </w:r>
      <w:r w:rsidR="008E1E21">
        <w:t>,</w:t>
      </w:r>
      <w:r w:rsidR="00AA3FB7">
        <w:t xml:space="preserve"> R</w:t>
      </w:r>
      <w:r w:rsidRPr="00C32507">
        <w:t>e-evaluation of some organic chemicals, hydrazine and hydrogen peroxide. IARC Monographs on the evaluation of the carcinogenic risk to humans.</w:t>
      </w:r>
    </w:p>
    <w:p w14:paraId="4176003A" w14:textId="08AFB3EF" w:rsidR="008E4F1F" w:rsidRDefault="008E4F1F" w:rsidP="008E4F1F">
      <w:r w:rsidRPr="002022B6">
        <w:t>National Industrial Chemicals Notification and Assessment Scheme (NICNAS)</w:t>
      </w:r>
      <w:r>
        <w:t xml:space="preserve"> (</w:t>
      </w:r>
      <w:r w:rsidR="00C32507">
        <w:t>2013</w:t>
      </w:r>
      <w:r>
        <w:t xml:space="preserve">) </w:t>
      </w:r>
      <w:r w:rsidR="00C32507" w:rsidRPr="00C32507">
        <w:t>Propane, 2-nitro</w:t>
      </w:r>
      <w:r w:rsidRPr="0071660C">
        <w:t xml:space="preserve">: Human health </w:t>
      </w:r>
      <w:sdt>
        <w:sdtPr>
          <w:id w:val="-1295753243"/>
          <w:temporary/>
          <w:showingPlcHdr/>
        </w:sdtPr>
        <w:sdtEndPr/>
        <w:sdtContent>
          <w:r w:rsidRPr="00C32507">
            <w:t>tier II</w:t>
          </w:r>
        </w:sdtContent>
      </w:sdt>
      <w:r>
        <w:t xml:space="preserve"> </w:t>
      </w:r>
      <w:r w:rsidRPr="0071660C">
        <w:t>assessment</w:t>
      </w:r>
      <w:r>
        <w:t xml:space="preserve"> – IMAP report.</w:t>
      </w:r>
    </w:p>
    <w:p w14:paraId="579691F8" w14:textId="743C62BE" w:rsidR="009C741C" w:rsidRPr="009C741C" w:rsidRDefault="009C741C" w:rsidP="008E4F1F">
      <w:r w:rsidRPr="00E819F5">
        <w:t>Organisation for Economic Cooperation and Development (OECD) (</w:t>
      </w:r>
      <w:r>
        <w:t>2010</w:t>
      </w:r>
      <w:r w:rsidRPr="00E819F5">
        <w:t xml:space="preserve">) SIDS </w:t>
      </w:r>
      <w:r>
        <w:t>Final</w:t>
      </w:r>
      <w:r w:rsidRPr="00E819F5">
        <w:t xml:space="preserve"> assessment profile –</w:t>
      </w:r>
      <w:r>
        <w:t>Nitroparaffins</w:t>
      </w:r>
      <w:r w:rsidRPr="00E819F5">
        <w:t>.</w:t>
      </w:r>
    </w:p>
    <w:p w14:paraId="342B6C14" w14:textId="6728B517" w:rsidR="00BC0683" w:rsidRDefault="00BC0683" w:rsidP="00BC0683">
      <w:r w:rsidRPr="00C85A73">
        <w:t>Tenth Adaptation to Technical Progress Commission Regulation (EU) No 2017/776 amending, for the purposes of its adaptation to technical and scientific progress, Regulation (EC) No 1272/2008 of the European Parliament and of the Council on classification, labelling and packaging of substances and mixtures (the CLP Regulation).</w:t>
      </w:r>
    </w:p>
    <w:p w14:paraId="1FB8143D" w14:textId="1B2A3B74" w:rsidR="009C741C" w:rsidRPr="00C85A73" w:rsidRDefault="009C741C" w:rsidP="00BC0683">
      <w:r>
        <w:lastRenderedPageBreak/>
        <w:t xml:space="preserve">US Environmental Protection Authority (US EPA) (1991) </w:t>
      </w:r>
      <w:r w:rsidRPr="003448DD">
        <w:t>Integrated R</w:t>
      </w:r>
      <w:r>
        <w:t xml:space="preserve">isk Information System (IRIS) </w:t>
      </w:r>
      <w:r w:rsidRPr="003448DD">
        <w:t>Chemical Assessment Summary</w:t>
      </w:r>
      <w:r>
        <w:t xml:space="preserve"> – 2-ntropropane.</w:t>
      </w:r>
    </w:p>
    <w:p w14:paraId="66F379D3" w14:textId="0F5B018D" w:rsidR="008E4F1F" w:rsidRDefault="008E4F1F" w:rsidP="008E4F1F">
      <w:pPr>
        <w:rPr>
          <w:b/>
        </w:rPr>
      </w:pPr>
      <w:r w:rsidRPr="00D86E03">
        <w:t>US National Institute for Occupational Safety and Health (NIOSH)</w:t>
      </w:r>
      <w:r>
        <w:t xml:space="preserve"> (</w:t>
      </w:r>
      <w:sdt>
        <w:sdtPr>
          <w:id w:val="-1194999823"/>
          <w:temporary/>
          <w:showingPlcHdr/>
        </w:sdtPr>
        <w:sdtEndPr/>
        <w:sdtContent>
          <w:r w:rsidRPr="00C32507">
            <w:t>1994</w:t>
          </w:r>
        </w:sdtContent>
      </w:sdt>
      <w:r>
        <w:t xml:space="preserve">) Immediately dangerous to life or health concentrations – </w:t>
      </w:r>
      <w:r w:rsidR="00C32507">
        <w:t>2-n</w:t>
      </w:r>
      <w:r w:rsidR="00C32507" w:rsidRPr="00C32507">
        <w:t>itropropane</w:t>
      </w:r>
      <w:r>
        <w:t>.</w:t>
      </w:r>
    </w:p>
    <w:p w14:paraId="25957BCE" w14:textId="77777777" w:rsidR="008E4F1F" w:rsidRPr="00351FE0" w:rsidRDefault="008E4F1F" w:rsidP="00084859"/>
    <w:sectPr w:rsidR="008E4F1F" w:rsidRPr="00351FE0" w:rsidSect="00B87D4C">
      <w:headerReference w:type="even" r:id="rId18"/>
      <w:headerReference w:type="default" r:id="rId19"/>
      <w:headerReference w:type="first" r:id="rId20"/>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BF45A" w14:textId="77777777" w:rsidR="00FC61A8" w:rsidRDefault="00FC61A8" w:rsidP="00F43AD5">
      <w:pPr>
        <w:spacing w:after="0" w:line="240" w:lineRule="auto"/>
      </w:pPr>
      <w:r>
        <w:separator/>
      </w:r>
    </w:p>
  </w:endnote>
  <w:endnote w:type="continuationSeparator" w:id="0">
    <w:p w14:paraId="40CC0B6D" w14:textId="77777777" w:rsidR="00FC61A8" w:rsidRDefault="00FC61A8"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54AA3" w14:textId="77777777" w:rsidR="00FD6967" w:rsidRDefault="00FD6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787447"/>
      <w:docPartObj>
        <w:docPartGallery w:val="Page Numbers (Bottom of Page)"/>
        <w:docPartUnique/>
      </w:docPartObj>
    </w:sdtPr>
    <w:sdtEndPr>
      <w:rPr>
        <w:noProof/>
        <w:sz w:val="18"/>
        <w:szCs w:val="18"/>
      </w:rPr>
    </w:sdtEndPr>
    <w:sdtContent>
      <w:p w14:paraId="54E3A932" w14:textId="60A7F30B" w:rsidR="00AE2CA2" w:rsidRDefault="00AE2CA2" w:rsidP="0034744C">
        <w:pPr>
          <w:pStyle w:val="Footer"/>
          <w:rPr>
            <w:sz w:val="18"/>
            <w:szCs w:val="18"/>
          </w:rPr>
        </w:pPr>
        <w:r>
          <w:rPr>
            <w:b/>
            <w:sz w:val="18"/>
            <w:szCs w:val="18"/>
          </w:rPr>
          <w:t>2-Nitropropane (</w:t>
        </w:r>
        <w:r w:rsidRPr="003F2535">
          <w:rPr>
            <w:b/>
            <w:sz w:val="18"/>
            <w:szCs w:val="18"/>
          </w:rPr>
          <w:t>79-46-9</w:t>
        </w:r>
        <w:r>
          <w:rPr>
            <w:b/>
            <w:sz w:val="18"/>
            <w:szCs w:val="18"/>
          </w:rPr>
          <w:t>)</w:t>
        </w:r>
        <w:r w:rsidRPr="00F43AD5">
          <w:rPr>
            <w:sz w:val="18"/>
            <w:szCs w:val="18"/>
          </w:rPr>
          <w:br/>
          <w:t xml:space="preserve">Safe Work Australia </w:t>
        </w:r>
        <w:r w:rsidRPr="00F43AD5">
          <w:rPr>
            <w:rFonts w:ascii="Courier New" w:hAnsi="Courier New" w:cs="Courier New"/>
            <w:sz w:val="18"/>
            <w:szCs w:val="18"/>
          </w:rPr>
          <w:t>—</w:t>
        </w:r>
        <w:r>
          <w:rPr>
            <w:sz w:val="18"/>
            <w:szCs w:val="18"/>
          </w:rPr>
          <w:t xml:space="preserve"> 2020</w:t>
        </w:r>
      </w:p>
      <w:p w14:paraId="3CDEBB48" w14:textId="7ADBB7A8" w:rsidR="00AE2CA2" w:rsidRPr="00F43AD5" w:rsidRDefault="00AE2CA2" w:rsidP="00A27E2D">
        <w:pPr>
          <w:pStyle w:val="Footer"/>
          <w:jc w:val="right"/>
          <w:rPr>
            <w:sz w:val="18"/>
            <w:szCs w:val="18"/>
          </w:rPr>
        </w:pPr>
        <w:r w:rsidRPr="00F43AD5">
          <w:rPr>
            <w:sz w:val="18"/>
            <w:szCs w:val="18"/>
          </w:rPr>
          <w:fldChar w:fldCharType="begin"/>
        </w:r>
        <w:r w:rsidRPr="00F43AD5">
          <w:rPr>
            <w:sz w:val="18"/>
            <w:szCs w:val="18"/>
          </w:rPr>
          <w:instrText xml:space="preserve"> PAGE   \* MERGEFORMAT </w:instrText>
        </w:r>
        <w:r w:rsidRPr="00F43AD5">
          <w:rPr>
            <w:sz w:val="18"/>
            <w:szCs w:val="18"/>
          </w:rPr>
          <w:fldChar w:fldCharType="separate"/>
        </w:r>
        <w:r w:rsidR="0015748D">
          <w:rPr>
            <w:noProof/>
            <w:sz w:val="18"/>
            <w:szCs w:val="18"/>
          </w:rPr>
          <w:t>1</w:t>
        </w:r>
        <w:r w:rsidRPr="00F43AD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A087E" w14:textId="77777777" w:rsidR="00FD6967" w:rsidRDefault="00FD6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DF3CC" w14:textId="77777777" w:rsidR="00FC61A8" w:rsidRDefault="00FC61A8" w:rsidP="00F43AD5">
      <w:pPr>
        <w:spacing w:after="0" w:line="240" w:lineRule="auto"/>
      </w:pPr>
      <w:r>
        <w:separator/>
      </w:r>
    </w:p>
  </w:footnote>
  <w:footnote w:type="continuationSeparator" w:id="0">
    <w:p w14:paraId="2EFD8EE0" w14:textId="77777777" w:rsidR="00FC61A8" w:rsidRDefault="00FC61A8"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61152" w14:textId="55FA00E4" w:rsidR="00FD6967" w:rsidRDefault="00FD6967">
    <w:pPr>
      <w:pStyle w:val="Header"/>
    </w:pPr>
    <w:r>
      <w:rPr>
        <w:noProof/>
      </w:rPr>
      <w:pict w14:anchorId="0E405B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319204" o:spid="_x0000_s14338"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8EBB9" w14:textId="5B18333F" w:rsidR="00AE2CA2" w:rsidRDefault="00FD6967" w:rsidP="00F43AD5">
    <w:pPr>
      <w:pStyle w:val="Header"/>
      <w:jc w:val="right"/>
    </w:pPr>
    <w:r>
      <w:rPr>
        <w:noProof/>
      </w:rPr>
      <w:pict w14:anchorId="26B3C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319205" o:spid="_x0000_s14339" type="#_x0000_t136" style="position:absolute;left:0;text-align:left;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r w:rsidR="00AE2CA2">
      <w:rPr>
        <w:noProof/>
        <w:lang w:eastAsia="en-AU"/>
      </w:rPr>
      <w:drawing>
        <wp:inline distT="0" distB="0" distL="0" distR="0" wp14:anchorId="00DBA816" wp14:editId="05CC09CB">
          <wp:extent cx="2938272" cy="594360"/>
          <wp:effectExtent l="0" t="0" r="0" b="0"/>
          <wp:docPr id="2" name="Picture 2" descr="Safe Work Australia logo"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272" cy="594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08746" w14:textId="64D96446" w:rsidR="00FD6967" w:rsidRDefault="00FD6967">
    <w:pPr>
      <w:pStyle w:val="Header"/>
    </w:pPr>
    <w:r>
      <w:rPr>
        <w:noProof/>
      </w:rPr>
      <w:pict w14:anchorId="5F5898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319203" o:spid="_x0000_s14337"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57D1F" w14:textId="498A1C4E" w:rsidR="00FD6967" w:rsidRDefault="00FD6967">
    <w:pPr>
      <w:pStyle w:val="Header"/>
    </w:pPr>
    <w:r>
      <w:rPr>
        <w:noProof/>
      </w:rPr>
      <w:pict w14:anchorId="64D139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319207" o:spid="_x0000_s14341" type="#_x0000_t136" style="position:absolute;margin-left:0;margin-top:0;width:454.5pt;height:181.8pt;rotation:315;z-index:-25164902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C2C2D" w14:textId="20E64840" w:rsidR="00AE2CA2" w:rsidRDefault="00FD6967" w:rsidP="00F43AD5">
    <w:pPr>
      <w:pStyle w:val="Header"/>
      <w:jc w:val="right"/>
    </w:pPr>
    <w:r>
      <w:rPr>
        <w:noProof/>
      </w:rPr>
      <w:pict w14:anchorId="1707CA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319208" o:spid="_x0000_s14342" type="#_x0000_t136" style="position:absolute;left:0;text-align:left;margin-left:0;margin-top:0;width:454.5pt;height:181.8pt;rotation:315;z-index:-251646976;mso-position-horizontal:center;mso-position-horizontal-relative:margin;mso-position-vertical:center;mso-position-vertical-relative:margin" o:allowincell="f" fillcolor="silver" stroked="f">
          <v:fill opacity=".5"/>
          <v:textpath style="font-family:&quot;Arial&quot;;font-size:1pt" string="DRAFT"/>
        </v:shape>
      </w:pict>
    </w:r>
    <w:r w:rsidR="00EA105A">
      <w:rPr>
        <w:noProof/>
      </w:rPr>
      <w:drawing>
        <wp:inline distT="0" distB="0" distL="0" distR="0" wp14:anchorId="387643DF" wp14:editId="2C16873F">
          <wp:extent cx="2938145" cy="594360"/>
          <wp:effectExtent l="0" t="0" r="0" b="0"/>
          <wp:docPr id="1" name="Picture 1" descr="Safe Work Australia logo" title="Image"/>
          <wp:cNvGraphicFramePr/>
          <a:graphic xmlns:a="http://schemas.openxmlformats.org/drawingml/2006/main">
            <a:graphicData uri="http://schemas.openxmlformats.org/drawingml/2006/picture">
              <pic:pic xmlns:pic="http://schemas.openxmlformats.org/drawingml/2006/picture">
                <pic:nvPicPr>
                  <pic:cNvPr id="2" name="Picture 2"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145" cy="59436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9A6F7" w14:textId="166A8DB3" w:rsidR="00FD6967" w:rsidRDefault="00FD6967">
    <w:pPr>
      <w:pStyle w:val="Header"/>
    </w:pPr>
    <w:r>
      <w:rPr>
        <w:noProof/>
      </w:rPr>
      <w:pict w14:anchorId="6BAE3D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319206" o:spid="_x0000_s14340" type="#_x0000_t136" style="position:absolute;margin-left:0;margin-top:0;width:454.5pt;height:181.8pt;rotation:315;z-index:-251651072;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A7B41"/>
    <w:multiLevelType w:val="hybridMultilevel"/>
    <w:tmpl w:val="054C8EFA"/>
    <w:lvl w:ilvl="0" w:tplc="8EFA9404">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1F70F3C"/>
    <w:multiLevelType w:val="hybridMultilevel"/>
    <w:tmpl w:val="ACB4FF8C"/>
    <w:lvl w:ilvl="0" w:tplc="1E2A9ED4">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4343"/>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AppendixName" w:val="Appendix"/>
  </w:docVars>
  <w:rsids>
    <w:rsidRoot w:val="00610F2E"/>
    <w:rsid w:val="00000109"/>
    <w:rsid w:val="00007B80"/>
    <w:rsid w:val="00013A22"/>
    <w:rsid w:val="00014C3F"/>
    <w:rsid w:val="00017C82"/>
    <w:rsid w:val="00032B88"/>
    <w:rsid w:val="00037E52"/>
    <w:rsid w:val="00046DF5"/>
    <w:rsid w:val="00052060"/>
    <w:rsid w:val="000520C0"/>
    <w:rsid w:val="0005574A"/>
    <w:rsid w:val="00055FE1"/>
    <w:rsid w:val="00056EC2"/>
    <w:rsid w:val="00060B48"/>
    <w:rsid w:val="000650B0"/>
    <w:rsid w:val="00067F32"/>
    <w:rsid w:val="00071807"/>
    <w:rsid w:val="000803E1"/>
    <w:rsid w:val="00084513"/>
    <w:rsid w:val="00084859"/>
    <w:rsid w:val="00090350"/>
    <w:rsid w:val="000907CE"/>
    <w:rsid w:val="00092A76"/>
    <w:rsid w:val="00092D94"/>
    <w:rsid w:val="000A48C2"/>
    <w:rsid w:val="000B0868"/>
    <w:rsid w:val="000B3E12"/>
    <w:rsid w:val="000B3E78"/>
    <w:rsid w:val="000B7B48"/>
    <w:rsid w:val="000C096D"/>
    <w:rsid w:val="000C139A"/>
    <w:rsid w:val="000C2053"/>
    <w:rsid w:val="000C248C"/>
    <w:rsid w:val="000D291C"/>
    <w:rsid w:val="000E5A54"/>
    <w:rsid w:val="000E63D3"/>
    <w:rsid w:val="000E67CF"/>
    <w:rsid w:val="0010076C"/>
    <w:rsid w:val="0010461E"/>
    <w:rsid w:val="00106FAA"/>
    <w:rsid w:val="00111EED"/>
    <w:rsid w:val="00113443"/>
    <w:rsid w:val="001144B1"/>
    <w:rsid w:val="001269A7"/>
    <w:rsid w:val="00131092"/>
    <w:rsid w:val="00140E6A"/>
    <w:rsid w:val="001451FB"/>
    <w:rsid w:val="00146545"/>
    <w:rsid w:val="00146B75"/>
    <w:rsid w:val="0015266D"/>
    <w:rsid w:val="0015288A"/>
    <w:rsid w:val="0015748D"/>
    <w:rsid w:val="00160F47"/>
    <w:rsid w:val="00166015"/>
    <w:rsid w:val="00166558"/>
    <w:rsid w:val="00172DF4"/>
    <w:rsid w:val="00177CA1"/>
    <w:rsid w:val="00183823"/>
    <w:rsid w:val="00183942"/>
    <w:rsid w:val="001905F8"/>
    <w:rsid w:val="001915F6"/>
    <w:rsid w:val="001920B4"/>
    <w:rsid w:val="001A009E"/>
    <w:rsid w:val="001A1287"/>
    <w:rsid w:val="001A3859"/>
    <w:rsid w:val="001A3C9D"/>
    <w:rsid w:val="001A43F8"/>
    <w:rsid w:val="001A73E9"/>
    <w:rsid w:val="001B79E5"/>
    <w:rsid w:val="001C699B"/>
    <w:rsid w:val="001D56F0"/>
    <w:rsid w:val="001D663B"/>
    <w:rsid w:val="001D7B41"/>
    <w:rsid w:val="001E46DA"/>
    <w:rsid w:val="001E7D80"/>
    <w:rsid w:val="001F4B6C"/>
    <w:rsid w:val="001F62CB"/>
    <w:rsid w:val="001F6ED0"/>
    <w:rsid w:val="001F72E6"/>
    <w:rsid w:val="001F73C5"/>
    <w:rsid w:val="002046A6"/>
    <w:rsid w:val="00204956"/>
    <w:rsid w:val="00213640"/>
    <w:rsid w:val="00221547"/>
    <w:rsid w:val="002216FC"/>
    <w:rsid w:val="00222533"/>
    <w:rsid w:val="00222F30"/>
    <w:rsid w:val="00224EE2"/>
    <w:rsid w:val="00227EC7"/>
    <w:rsid w:val="00244AD1"/>
    <w:rsid w:val="002463BC"/>
    <w:rsid w:val="002465CE"/>
    <w:rsid w:val="0025734A"/>
    <w:rsid w:val="00263255"/>
    <w:rsid w:val="00274652"/>
    <w:rsid w:val="00276494"/>
    <w:rsid w:val="00277B0C"/>
    <w:rsid w:val="002978A6"/>
    <w:rsid w:val="002B1A2C"/>
    <w:rsid w:val="002B1BD3"/>
    <w:rsid w:val="002B2104"/>
    <w:rsid w:val="002C34F2"/>
    <w:rsid w:val="002C58FF"/>
    <w:rsid w:val="002C7AFE"/>
    <w:rsid w:val="002D05D2"/>
    <w:rsid w:val="002E0D61"/>
    <w:rsid w:val="002E4C7B"/>
    <w:rsid w:val="0030740C"/>
    <w:rsid w:val="00315833"/>
    <w:rsid w:val="003215EE"/>
    <w:rsid w:val="003224BF"/>
    <w:rsid w:val="003241A8"/>
    <w:rsid w:val="003253F0"/>
    <w:rsid w:val="003337DA"/>
    <w:rsid w:val="00334EFB"/>
    <w:rsid w:val="00335CDE"/>
    <w:rsid w:val="003365A5"/>
    <w:rsid w:val="00347192"/>
    <w:rsid w:val="0034744C"/>
    <w:rsid w:val="00351FE0"/>
    <w:rsid w:val="00352615"/>
    <w:rsid w:val="003537ED"/>
    <w:rsid w:val="0035412B"/>
    <w:rsid w:val="003567A8"/>
    <w:rsid w:val="00362895"/>
    <w:rsid w:val="00370DBF"/>
    <w:rsid w:val="00386093"/>
    <w:rsid w:val="003904A4"/>
    <w:rsid w:val="00391841"/>
    <w:rsid w:val="00391970"/>
    <w:rsid w:val="00391B6D"/>
    <w:rsid w:val="00393484"/>
    <w:rsid w:val="00394922"/>
    <w:rsid w:val="0039532F"/>
    <w:rsid w:val="003A0E32"/>
    <w:rsid w:val="003A2B94"/>
    <w:rsid w:val="003B387D"/>
    <w:rsid w:val="003C0D58"/>
    <w:rsid w:val="003C735C"/>
    <w:rsid w:val="003C7B69"/>
    <w:rsid w:val="003D0266"/>
    <w:rsid w:val="003D4FA3"/>
    <w:rsid w:val="003E0807"/>
    <w:rsid w:val="003E51FB"/>
    <w:rsid w:val="003E6B39"/>
    <w:rsid w:val="003F07E1"/>
    <w:rsid w:val="003F2535"/>
    <w:rsid w:val="004030BC"/>
    <w:rsid w:val="00403F7D"/>
    <w:rsid w:val="00406785"/>
    <w:rsid w:val="004079B4"/>
    <w:rsid w:val="00417A56"/>
    <w:rsid w:val="00420957"/>
    <w:rsid w:val="00422A10"/>
    <w:rsid w:val="00430179"/>
    <w:rsid w:val="004414B5"/>
    <w:rsid w:val="00444482"/>
    <w:rsid w:val="00444B42"/>
    <w:rsid w:val="00445E44"/>
    <w:rsid w:val="004509E2"/>
    <w:rsid w:val="00450CCF"/>
    <w:rsid w:val="004515EE"/>
    <w:rsid w:val="004529F0"/>
    <w:rsid w:val="00460A03"/>
    <w:rsid w:val="00472A11"/>
    <w:rsid w:val="00472AAD"/>
    <w:rsid w:val="00474E33"/>
    <w:rsid w:val="00476803"/>
    <w:rsid w:val="00485BFD"/>
    <w:rsid w:val="004867A2"/>
    <w:rsid w:val="004873F2"/>
    <w:rsid w:val="00490461"/>
    <w:rsid w:val="00490D4C"/>
    <w:rsid w:val="00493A35"/>
    <w:rsid w:val="0049527A"/>
    <w:rsid w:val="004966BF"/>
    <w:rsid w:val="00497984"/>
    <w:rsid w:val="004A5088"/>
    <w:rsid w:val="004C1E3F"/>
    <w:rsid w:val="004C1EE7"/>
    <w:rsid w:val="004C23F4"/>
    <w:rsid w:val="004C3475"/>
    <w:rsid w:val="004C58B6"/>
    <w:rsid w:val="004C6EDB"/>
    <w:rsid w:val="004D16A3"/>
    <w:rsid w:val="004D48A0"/>
    <w:rsid w:val="004D4AA1"/>
    <w:rsid w:val="004D6D68"/>
    <w:rsid w:val="004E0787"/>
    <w:rsid w:val="004E5BF2"/>
    <w:rsid w:val="004E5EDD"/>
    <w:rsid w:val="004F448A"/>
    <w:rsid w:val="004F493D"/>
    <w:rsid w:val="004F65E8"/>
    <w:rsid w:val="0050005E"/>
    <w:rsid w:val="00502B88"/>
    <w:rsid w:val="00504380"/>
    <w:rsid w:val="005142C4"/>
    <w:rsid w:val="0051509C"/>
    <w:rsid w:val="005272E2"/>
    <w:rsid w:val="0053108F"/>
    <w:rsid w:val="00532B56"/>
    <w:rsid w:val="00534B10"/>
    <w:rsid w:val="005446A2"/>
    <w:rsid w:val="00544D2F"/>
    <w:rsid w:val="00550C0A"/>
    <w:rsid w:val="00551BD8"/>
    <w:rsid w:val="00573BC5"/>
    <w:rsid w:val="00581055"/>
    <w:rsid w:val="00583B03"/>
    <w:rsid w:val="005864B4"/>
    <w:rsid w:val="00591E38"/>
    <w:rsid w:val="005A19C5"/>
    <w:rsid w:val="005A20DB"/>
    <w:rsid w:val="005A3034"/>
    <w:rsid w:val="005A462D"/>
    <w:rsid w:val="005B253B"/>
    <w:rsid w:val="005B4E29"/>
    <w:rsid w:val="005B771D"/>
    <w:rsid w:val="005C5D16"/>
    <w:rsid w:val="005D3193"/>
    <w:rsid w:val="005D4A6E"/>
    <w:rsid w:val="005E6979"/>
    <w:rsid w:val="005E75CB"/>
    <w:rsid w:val="005F324D"/>
    <w:rsid w:val="005F4149"/>
    <w:rsid w:val="006013C1"/>
    <w:rsid w:val="0060669E"/>
    <w:rsid w:val="00606EC6"/>
    <w:rsid w:val="00610F2E"/>
    <w:rsid w:val="00611399"/>
    <w:rsid w:val="00624C4E"/>
    <w:rsid w:val="00625200"/>
    <w:rsid w:val="006363A8"/>
    <w:rsid w:val="00636DB7"/>
    <w:rsid w:val="00650073"/>
    <w:rsid w:val="00650905"/>
    <w:rsid w:val="006527EC"/>
    <w:rsid w:val="006532ED"/>
    <w:rsid w:val="006549F2"/>
    <w:rsid w:val="006567B7"/>
    <w:rsid w:val="00657BFB"/>
    <w:rsid w:val="00661BEB"/>
    <w:rsid w:val="00662B16"/>
    <w:rsid w:val="0066333C"/>
    <w:rsid w:val="006639B4"/>
    <w:rsid w:val="006650FE"/>
    <w:rsid w:val="0067305D"/>
    <w:rsid w:val="00677D9B"/>
    <w:rsid w:val="006867F3"/>
    <w:rsid w:val="00687890"/>
    <w:rsid w:val="006901A2"/>
    <w:rsid w:val="00690368"/>
    <w:rsid w:val="0069079C"/>
    <w:rsid w:val="00690B53"/>
    <w:rsid w:val="006939D7"/>
    <w:rsid w:val="00695B72"/>
    <w:rsid w:val="006B160A"/>
    <w:rsid w:val="006B4E6C"/>
    <w:rsid w:val="006B50B6"/>
    <w:rsid w:val="006C2888"/>
    <w:rsid w:val="006C775C"/>
    <w:rsid w:val="006D79EA"/>
    <w:rsid w:val="006E399D"/>
    <w:rsid w:val="006E4861"/>
    <w:rsid w:val="006E5D05"/>
    <w:rsid w:val="006F21DD"/>
    <w:rsid w:val="00701053"/>
    <w:rsid w:val="00701507"/>
    <w:rsid w:val="00714021"/>
    <w:rsid w:val="00714BD2"/>
    <w:rsid w:val="00716A0F"/>
    <w:rsid w:val="00717D45"/>
    <w:rsid w:val="007208F7"/>
    <w:rsid w:val="007218AF"/>
    <w:rsid w:val="007365D1"/>
    <w:rsid w:val="00740E0E"/>
    <w:rsid w:val="00744E3B"/>
    <w:rsid w:val="00750212"/>
    <w:rsid w:val="00750C62"/>
    <w:rsid w:val="00752332"/>
    <w:rsid w:val="00754779"/>
    <w:rsid w:val="0075716D"/>
    <w:rsid w:val="00765F14"/>
    <w:rsid w:val="00770E31"/>
    <w:rsid w:val="007770F1"/>
    <w:rsid w:val="00783FB1"/>
    <w:rsid w:val="00784D1D"/>
    <w:rsid w:val="00785CDD"/>
    <w:rsid w:val="00791847"/>
    <w:rsid w:val="007925F0"/>
    <w:rsid w:val="007939B3"/>
    <w:rsid w:val="0079509C"/>
    <w:rsid w:val="00796708"/>
    <w:rsid w:val="007A1C83"/>
    <w:rsid w:val="007B1B42"/>
    <w:rsid w:val="007B3C65"/>
    <w:rsid w:val="007C30EB"/>
    <w:rsid w:val="007D536B"/>
    <w:rsid w:val="007E009E"/>
    <w:rsid w:val="007E063C"/>
    <w:rsid w:val="007E2A4B"/>
    <w:rsid w:val="007E307D"/>
    <w:rsid w:val="007E6A4E"/>
    <w:rsid w:val="007E6C94"/>
    <w:rsid w:val="007F1005"/>
    <w:rsid w:val="007F25E0"/>
    <w:rsid w:val="007F5328"/>
    <w:rsid w:val="00804F5A"/>
    <w:rsid w:val="00810C6D"/>
    <w:rsid w:val="00812887"/>
    <w:rsid w:val="00824401"/>
    <w:rsid w:val="00826F21"/>
    <w:rsid w:val="00834CC8"/>
    <w:rsid w:val="00835E00"/>
    <w:rsid w:val="00837113"/>
    <w:rsid w:val="008414E4"/>
    <w:rsid w:val="008438A0"/>
    <w:rsid w:val="00843E21"/>
    <w:rsid w:val="0084508E"/>
    <w:rsid w:val="0084599A"/>
    <w:rsid w:val="00856114"/>
    <w:rsid w:val="00857A8A"/>
    <w:rsid w:val="008630EE"/>
    <w:rsid w:val="00864D13"/>
    <w:rsid w:val="00871CD5"/>
    <w:rsid w:val="008745A2"/>
    <w:rsid w:val="008768A8"/>
    <w:rsid w:val="00883EEA"/>
    <w:rsid w:val="0088798F"/>
    <w:rsid w:val="00887E4B"/>
    <w:rsid w:val="008915C8"/>
    <w:rsid w:val="008A36CF"/>
    <w:rsid w:val="008A3BC4"/>
    <w:rsid w:val="008B403C"/>
    <w:rsid w:val="008B6E76"/>
    <w:rsid w:val="008B7983"/>
    <w:rsid w:val="008B7EE3"/>
    <w:rsid w:val="008C2511"/>
    <w:rsid w:val="008D026D"/>
    <w:rsid w:val="008D23AB"/>
    <w:rsid w:val="008D4B8B"/>
    <w:rsid w:val="008D5A78"/>
    <w:rsid w:val="008E1E21"/>
    <w:rsid w:val="008E4F1F"/>
    <w:rsid w:val="008E7B64"/>
    <w:rsid w:val="008F5DCD"/>
    <w:rsid w:val="00900951"/>
    <w:rsid w:val="009118A6"/>
    <w:rsid w:val="00916909"/>
    <w:rsid w:val="00916EC0"/>
    <w:rsid w:val="00920467"/>
    <w:rsid w:val="00921DE7"/>
    <w:rsid w:val="0093041A"/>
    <w:rsid w:val="00930714"/>
    <w:rsid w:val="00931B03"/>
    <w:rsid w:val="009323B9"/>
    <w:rsid w:val="00932DCE"/>
    <w:rsid w:val="0093327E"/>
    <w:rsid w:val="00934028"/>
    <w:rsid w:val="0093760E"/>
    <w:rsid w:val="00946044"/>
    <w:rsid w:val="0094660B"/>
    <w:rsid w:val="00946801"/>
    <w:rsid w:val="00946A33"/>
    <w:rsid w:val="0095260E"/>
    <w:rsid w:val="009569A2"/>
    <w:rsid w:val="009578DD"/>
    <w:rsid w:val="00961124"/>
    <w:rsid w:val="009621B6"/>
    <w:rsid w:val="00974F2D"/>
    <w:rsid w:val="00977524"/>
    <w:rsid w:val="00977E88"/>
    <w:rsid w:val="00984920"/>
    <w:rsid w:val="0099303A"/>
    <w:rsid w:val="009971C2"/>
    <w:rsid w:val="009A1254"/>
    <w:rsid w:val="009A2E1A"/>
    <w:rsid w:val="009B1C42"/>
    <w:rsid w:val="009B2FF2"/>
    <w:rsid w:val="009B380C"/>
    <w:rsid w:val="009B4843"/>
    <w:rsid w:val="009B6543"/>
    <w:rsid w:val="009C199D"/>
    <w:rsid w:val="009C278F"/>
    <w:rsid w:val="009C2B94"/>
    <w:rsid w:val="009C5874"/>
    <w:rsid w:val="009C741C"/>
    <w:rsid w:val="009D3B5A"/>
    <w:rsid w:val="009D5883"/>
    <w:rsid w:val="009E0C05"/>
    <w:rsid w:val="009E0D1C"/>
    <w:rsid w:val="009E2214"/>
    <w:rsid w:val="009E355A"/>
    <w:rsid w:val="009E63E2"/>
    <w:rsid w:val="009F00CA"/>
    <w:rsid w:val="009F04D2"/>
    <w:rsid w:val="009F05CF"/>
    <w:rsid w:val="009F0F3A"/>
    <w:rsid w:val="009F3A72"/>
    <w:rsid w:val="00A01D0C"/>
    <w:rsid w:val="00A0643F"/>
    <w:rsid w:val="00A067EE"/>
    <w:rsid w:val="00A10FCE"/>
    <w:rsid w:val="00A12CBF"/>
    <w:rsid w:val="00A16D91"/>
    <w:rsid w:val="00A174CC"/>
    <w:rsid w:val="00A2073D"/>
    <w:rsid w:val="00A20751"/>
    <w:rsid w:val="00A27E2D"/>
    <w:rsid w:val="00A31D99"/>
    <w:rsid w:val="00A357BA"/>
    <w:rsid w:val="00A35ADC"/>
    <w:rsid w:val="00A402A3"/>
    <w:rsid w:val="00A53681"/>
    <w:rsid w:val="00A5728D"/>
    <w:rsid w:val="00A633D4"/>
    <w:rsid w:val="00A6461A"/>
    <w:rsid w:val="00A84504"/>
    <w:rsid w:val="00A8672F"/>
    <w:rsid w:val="00A86C82"/>
    <w:rsid w:val="00A93057"/>
    <w:rsid w:val="00A968B0"/>
    <w:rsid w:val="00AA3B89"/>
    <w:rsid w:val="00AA3FB7"/>
    <w:rsid w:val="00AB2672"/>
    <w:rsid w:val="00AB2817"/>
    <w:rsid w:val="00AB43C4"/>
    <w:rsid w:val="00AC07E1"/>
    <w:rsid w:val="00AC32E7"/>
    <w:rsid w:val="00AC3A9F"/>
    <w:rsid w:val="00AC6D2F"/>
    <w:rsid w:val="00AD75A1"/>
    <w:rsid w:val="00AE2745"/>
    <w:rsid w:val="00AE2CA2"/>
    <w:rsid w:val="00AE2F64"/>
    <w:rsid w:val="00AE35FE"/>
    <w:rsid w:val="00AE5730"/>
    <w:rsid w:val="00AF42CB"/>
    <w:rsid w:val="00AF483F"/>
    <w:rsid w:val="00AF5E07"/>
    <w:rsid w:val="00AF5F06"/>
    <w:rsid w:val="00B00A25"/>
    <w:rsid w:val="00B01C7B"/>
    <w:rsid w:val="00B04B20"/>
    <w:rsid w:val="00B1422A"/>
    <w:rsid w:val="00B14C9F"/>
    <w:rsid w:val="00B1765C"/>
    <w:rsid w:val="00B213C4"/>
    <w:rsid w:val="00B40C60"/>
    <w:rsid w:val="00B4643D"/>
    <w:rsid w:val="00B479A9"/>
    <w:rsid w:val="00B52EDF"/>
    <w:rsid w:val="00B66261"/>
    <w:rsid w:val="00B71188"/>
    <w:rsid w:val="00B76A41"/>
    <w:rsid w:val="00B87D4C"/>
    <w:rsid w:val="00B93646"/>
    <w:rsid w:val="00BA0B38"/>
    <w:rsid w:val="00BA1DBB"/>
    <w:rsid w:val="00BA4510"/>
    <w:rsid w:val="00BA529A"/>
    <w:rsid w:val="00BB612A"/>
    <w:rsid w:val="00BC0683"/>
    <w:rsid w:val="00BC1CD5"/>
    <w:rsid w:val="00BC42CB"/>
    <w:rsid w:val="00BD499F"/>
    <w:rsid w:val="00BD56DE"/>
    <w:rsid w:val="00BF2406"/>
    <w:rsid w:val="00BF42EB"/>
    <w:rsid w:val="00C06E43"/>
    <w:rsid w:val="00C16315"/>
    <w:rsid w:val="00C3091E"/>
    <w:rsid w:val="00C32507"/>
    <w:rsid w:val="00C40FF1"/>
    <w:rsid w:val="00C419E2"/>
    <w:rsid w:val="00C5020E"/>
    <w:rsid w:val="00C57452"/>
    <w:rsid w:val="00C61EDF"/>
    <w:rsid w:val="00C6239D"/>
    <w:rsid w:val="00C63093"/>
    <w:rsid w:val="00C64452"/>
    <w:rsid w:val="00C64DD3"/>
    <w:rsid w:val="00C65910"/>
    <w:rsid w:val="00C6594B"/>
    <w:rsid w:val="00C66DC4"/>
    <w:rsid w:val="00C67FFB"/>
    <w:rsid w:val="00C7155E"/>
    <w:rsid w:val="00C71D1E"/>
    <w:rsid w:val="00C71D7D"/>
    <w:rsid w:val="00C74833"/>
    <w:rsid w:val="00C850A0"/>
    <w:rsid w:val="00C85A73"/>
    <w:rsid w:val="00C85A86"/>
    <w:rsid w:val="00C978F0"/>
    <w:rsid w:val="00CA58FE"/>
    <w:rsid w:val="00CB1CB1"/>
    <w:rsid w:val="00CB6BC1"/>
    <w:rsid w:val="00CB6CB8"/>
    <w:rsid w:val="00CC1A68"/>
    <w:rsid w:val="00CC2123"/>
    <w:rsid w:val="00CD0C8C"/>
    <w:rsid w:val="00CD2BFD"/>
    <w:rsid w:val="00CE5AD6"/>
    <w:rsid w:val="00CE617F"/>
    <w:rsid w:val="00CE78EF"/>
    <w:rsid w:val="00CF21D0"/>
    <w:rsid w:val="00D048F7"/>
    <w:rsid w:val="00D0517E"/>
    <w:rsid w:val="00D140FC"/>
    <w:rsid w:val="00D16592"/>
    <w:rsid w:val="00D21D8C"/>
    <w:rsid w:val="00D31357"/>
    <w:rsid w:val="00D33220"/>
    <w:rsid w:val="00D334D1"/>
    <w:rsid w:val="00D356D7"/>
    <w:rsid w:val="00D40CB0"/>
    <w:rsid w:val="00D419B8"/>
    <w:rsid w:val="00D44C89"/>
    <w:rsid w:val="00D516CD"/>
    <w:rsid w:val="00D6527D"/>
    <w:rsid w:val="00D668E6"/>
    <w:rsid w:val="00D70670"/>
    <w:rsid w:val="00D7399E"/>
    <w:rsid w:val="00D74D80"/>
    <w:rsid w:val="00D76624"/>
    <w:rsid w:val="00D83A20"/>
    <w:rsid w:val="00D87570"/>
    <w:rsid w:val="00D91CB9"/>
    <w:rsid w:val="00D937A9"/>
    <w:rsid w:val="00D97989"/>
    <w:rsid w:val="00D97D8D"/>
    <w:rsid w:val="00DA352E"/>
    <w:rsid w:val="00DC7694"/>
    <w:rsid w:val="00DD1BF6"/>
    <w:rsid w:val="00DD2F9B"/>
    <w:rsid w:val="00DE2513"/>
    <w:rsid w:val="00DE26E8"/>
    <w:rsid w:val="00DE5629"/>
    <w:rsid w:val="00DE59C4"/>
    <w:rsid w:val="00DF5BF5"/>
    <w:rsid w:val="00DF6F36"/>
    <w:rsid w:val="00E0084C"/>
    <w:rsid w:val="00E025AB"/>
    <w:rsid w:val="00E02B23"/>
    <w:rsid w:val="00E06F40"/>
    <w:rsid w:val="00E07CE8"/>
    <w:rsid w:val="00E17FB8"/>
    <w:rsid w:val="00E26A07"/>
    <w:rsid w:val="00E32595"/>
    <w:rsid w:val="00E37CFD"/>
    <w:rsid w:val="00E41A26"/>
    <w:rsid w:val="00E46BCB"/>
    <w:rsid w:val="00E471EB"/>
    <w:rsid w:val="00E51CAF"/>
    <w:rsid w:val="00E60F04"/>
    <w:rsid w:val="00E62AAC"/>
    <w:rsid w:val="00E67C2F"/>
    <w:rsid w:val="00E67EF5"/>
    <w:rsid w:val="00E759BC"/>
    <w:rsid w:val="00E804EA"/>
    <w:rsid w:val="00E80A71"/>
    <w:rsid w:val="00E82337"/>
    <w:rsid w:val="00E833A3"/>
    <w:rsid w:val="00E92499"/>
    <w:rsid w:val="00E949AF"/>
    <w:rsid w:val="00E96077"/>
    <w:rsid w:val="00EA0A06"/>
    <w:rsid w:val="00EA105A"/>
    <w:rsid w:val="00EA6243"/>
    <w:rsid w:val="00EA74AB"/>
    <w:rsid w:val="00EB3129"/>
    <w:rsid w:val="00EB3D1B"/>
    <w:rsid w:val="00EB6423"/>
    <w:rsid w:val="00EC3263"/>
    <w:rsid w:val="00EC4516"/>
    <w:rsid w:val="00ED1D89"/>
    <w:rsid w:val="00ED66BC"/>
    <w:rsid w:val="00EF233A"/>
    <w:rsid w:val="00EF303E"/>
    <w:rsid w:val="00EF3A40"/>
    <w:rsid w:val="00EF7F78"/>
    <w:rsid w:val="00F01B08"/>
    <w:rsid w:val="00F01C4D"/>
    <w:rsid w:val="00F053FA"/>
    <w:rsid w:val="00F10C97"/>
    <w:rsid w:val="00F11C71"/>
    <w:rsid w:val="00F16019"/>
    <w:rsid w:val="00F20E68"/>
    <w:rsid w:val="00F22093"/>
    <w:rsid w:val="00F236DF"/>
    <w:rsid w:val="00F43AD5"/>
    <w:rsid w:val="00F4402E"/>
    <w:rsid w:val="00F45764"/>
    <w:rsid w:val="00F559DA"/>
    <w:rsid w:val="00F56DD0"/>
    <w:rsid w:val="00F6491C"/>
    <w:rsid w:val="00F67BBB"/>
    <w:rsid w:val="00F87D92"/>
    <w:rsid w:val="00F90AA7"/>
    <w:rsid w:val="00F92498"/>
    <w:rsid w:val="00F9496B"/>
    <w:rsid w:val="00F970C9"/>
    <w:rsid w:val="00FA06A8"/>
    <w:rsid w:val="00FA3DF5"/>
    <w:rsid w:val="00FA741F"/>
    <w:rsid w:val="00FB3935"/>
    <w:rsid w:val="00FB4E07"/>
    <w:rsid w:val="00FB67AA"/>
    <w:rsid w:val="00FB755A"/>
    <w:rsid w:val="00FC60A2"/>
    <w:rsid w:val="00FC61A8"/>
    <w:rsid w:val="00FD1871"/>
    <w:rsid w:val="00FD3110"/>
    <w:rsid w:val="00FD6967"/>
    <w:rsid w:val="00FE7A92"/>
    <w:rsid w:val="00FF413C"/>
    <w:rsid w:val="00FF5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43"/>
    <o:shapelayout v:ext="edit">
      <o:idmap v:ext="edit" data="1"/>
    </o:shapelayout>
  </w:shapeDefaults>
  <w:decimalSymbol w:val="."/>
  <w:listSeparator w:val=","/>
  <w14:docId w14:val="4998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semiHidden/>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table" w:styleId="LightShading-Accent2">
    <w:name w:val="Light Shading Accent 2"/>
    <w:aliases w:val="SWA Table Style"/>
    <w:basedOn w:val="TableNormal"/>
    <w:uiPriority w:val="60"/>
    <w:rsid w:val="008E4F1F"/>
    <w:pPr>
      <w:spacing w:before="120" w:after="120" w:line="240" w:lineRule="auto"/>
    </w:pPr>
    <w:rPr>
      <w:sz w:val="22"/>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styleId="CommentReference">
    <w:name w:val="annotation reference"/>
    <w:basedOn w:val="DefaultParagraphFont"/>
    <w:uiPriority w:val="99"/>
    <w:semiHidden/>
    <w:unhideWhenUsed/>
    <w:rsid w:val="00583B03"/>
    <w:rPr>
      <w:sz w:val="16"/>
      <w:szCs w:val="16"/>
    </w:rPr>
  </w:style>
  <w:style w:type="paragraph" w:styleId="CommentText">
    <w:name w:val="annotation text"/>
    <w:basedOn w:val="Normal"/>
    <w:link w:val="CommentTextChar"/>
    <w:uiPriority w:val="99"/>
    <w:semiHidden/>
    <w:unhideWhenUsed/>
    <w:rsid w:val="00583B03"/>
    <w:pPr>
      <w:spacing w:line="240" w:lineRule="auto"/>
    </w:pPr>
    <w:rPr>
      <w:szCs w:val="20"/>
    </w:rPr>
  </w:style>
  <w:style w:type="character" w:customStyle="1" w:styleId="CommentTextChar">
    <w:name w:val="Comment Text Char"/>
    <w:basedOn w:val="DefaultParagraphFont"/>
    <w:link w:val="CommentText"/>
    <w:uiPriority w:val="99"/>
    <w:semiHidden/>
    <w:rsid w:val="00583B03"/>
    <w:rPr>
      <w:szCs w:val="20"/>
    </w:rPr>
  </w:style>
  <w:style w:type="paragraph" w:styleId="CommentSubject">
    <w:name w:val="annotation subject"/>
    <w:basedOn w:val="CommentText"/>
    <w:next w:val="CommentText"/>
    <w:link w:val="CommentSubjectChar"/>
    <w:uiPriority w:val="99"/>
    <w:semiHidden/>
    <w:unhideWhenUsed/>
    <w:rsid w:val="00583B03"/>
    <w:rPr>
      <w:b/>
      <w:bCs/>
    </w:rPr>
  </w:style>
  <w:style w:type="character" w:customStyle="1" w:styleId="CommentSubjectChar">
    <w:name w:val="Comment Subject Char"/>
    <w:basedOn w:val="CommentTextChar"/>
    <w:link w:val="CommentSubject"/>
    <w:uiPriority w:val="99"/>
    <w:semiHidden/>
    <w:rsid w:val="00583B03"/>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98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cgih.org/tlv-bei-guidelines/policies-procedures-present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FDC2A24E7D2549238DA6EE03BD0A6AE0"/>
        <w:category>
          <w:name w:val="General"/>
          <w:gallery w:val="placeholder"/>
        </w:category>
        <w:types>
          <w:type w:val="bbPlcHdr"/>
        </w:types>
        <w:behaviors>
          <w:behavior w:val="content"/>
        </w:behaviors>
        <w:guid w:val="{B8AA2BDC-5672-4815-991F-0CE2DEE74014}"/>
      </w:docPartPr>
      <w:docPartBody>
        <w:p w:rsidR="00D21A9F" w:rsidRDefault="00D21A9F">
          <w:pPr>
            <w:pStyle w:val="FDC2A24E7D2549238DA6EE03BD0A6AE0"/>
          </w:pPr>
          <w:r>
            <w:rPr>
              <w:rStyle w:val="PlaceholderText"/>
            </w:rPr>
            <w:t>Y</w:t>
          </w:r>
          <w:r w:rsidRPr="003365A5">
            <w:rPr>
              <w:rStyle w:val="PlaceholderText"/>
            </w:rPr>
            <w:t>ear</w:t>
          </w:r>
        </w:p>
      </w:docPartBody>
    </w:docPart>
    <w:docPart>
      <w:docPartPr>
        <w:name w:val="9E827C9D0DA949E385F2E9AB4264125E"/>
        <w:category>
          <w:name w:val="General"/>
          <w:gallery w:val="placeholder"/>
        </w:category>
        <w:types>
          <w:type w:val="bbPlcHdr"/>
        </w:types>
        <w:behaviors>
          <w:behavior w:val="content"/>
        </w:behaviors>
        <w:guid w:val="{014BB1BA-B22F-4B62-9CED-7D4A7A141414}"/>
      </w:docPartPr>
      <w:docPartBody>
        <w:p w:rsidR="00D21A9F" w:rsidRDefault="00D21A9F">
          <w:pPr>
            <w:pStyle w:val="9E827C9D0DA949E385F2E9AB4264125E"/>
          </w:pPr>
          <w:r w:rsidRPr="0051509C">
            <w:rPr>
              <w:rStyle w:val="PlaceholderText"/>
            </w:rPr>
            <w:t>Click here to enter standard</w:t>
          </w:r>
        </w:p>
      </w:docPartBody>
    </w:docPart>
    <w:docPart>
      <w:docPartPr>
        <w:name w:val="47E4EC2DB10B4B8E8A66F7A5C13653CB"/>
        <w:category>
          <w:name w:val="General"/>
          <w:gallery w:val="placeholder"/>
        </w:category>
        <w:types>
          <w:type w:val="bbPlcHdr"/>
        </w:types>
        <w:behaviors>
          <w:behavior w:val="content"/>
        </w:behaviors>
        <w:guid w:val="{B5D78905-5FB3-41F1-93DC-9CC4E0026343}"/>
      </w:docPartPr>
      <w:docPartBody>
        <w:p w:rsidR="00D21A9F" w:rsidRDefault="00D21A9F">
          <w:pPr>
            <w:pStyle w:val="47E4EC2DB10B4B8E8A66F7A5C13653CB"/>
          </w:pPr>
          <w:r>
            <w:rPr>
              <w:rStyle w:val="PlaceholderText"/>
            </w:rPr>
            <w:t>Y</w:t>
          </w:r>
          <w:r w:rsidRPr="003365A5">
            <w:rPr>
              <w:rStyle w:val="PlaceholderText"/>
            </w:rPr>
            <w:t>ear</w:t>
          </w:r>
        </w:p>
      </w:docPartBody>
    </w:docPart>
    <w:docPart>
      <w:docPartPr>
        <w:name w:val="5E4DD00C3A334F93BF5CC79754EBC5EA"/>
        <w:category>
          <w:name w:val="General"/>
          <w:gallery w:val="placeholder"/>
        </w:category>
        <w:types>
          <w:type w:val="bbPlcHdr"/>
        </w:types>
        <w:behaviors>
          <w:behavior w:val="content"/>
        </w:behaviors>
        <w:guid w:val="{604CD032-152D-43ED-B301-B773F4E16730}"/>
      </w:docPartPr>
      <w:docPartBody>
        <w:p w:rsidR="00D21A9F" w:rsidRDefault="00D21A9F">
          <w:pPr>
            <w:pStyle w:val="5E4DD00C3A334F93BF5CC79754EBC5EA"/>
          </w:pPr>
          <w:r w:rsidRPr="0051509C">
            <w:rPr>
              <w:rStyle w:val="PlaceholderText"/>
            </w:rPr>
            <w:t>Click here to enter standard</w:t>
          </w:r>
        </w:p>
      </w:docPartBody>
    </w:docPart>
    <w:docPart>
      <w:docPartPr>
        <w:name w:val="EA1708404F1C4A3BB080A0D8EEB67D1D"/>
        <w:category>
          <w:name w:val="General"/>
          <w:gallery w:val="placeholder"/>
        </w:category>
        <w:types>
          <w:type w:val="bbPlcHdr"/>
        </w:types>
        <w:behaviors>
          <w:behavior w:val="content"/>
        </w:behaviors>
        <w:guid w:val="{7EF895B6-0ED1-45DE-89C6-97EC2AC4C0B7}"/>
      </w:docPartPr>
      <w:docPartBody>
        <w:p w:rsidR="00D21A9F" w:rsidRDefault="00D21A9F">
          <w:pPr>
            <w:pStyle w:val="EA1708404F1C4A3BB080A0D8EEB67D1D"/>
          </w:pPr>
          <w:r>
            <w:rPr>
              <w:rStyle w:val="PlaceholderText"/>
            </w:rPr>
            <w:t>Y</w:t>
          </w:r>
          <w:r w:rsidRPr="003365A5">
            <w:rPr>
              <w:rStyle w:val="PlaceholderText"/>
            </w:rPr>
            <w:t>ear</w:t>
          </w:r>
        </w:p>
      </w:docPartBody>
    </w:docPart>
    <w:docPart>
      <w:docPartPr>
        <w:name w:val="F3D4204BA37A4A21A656C76DA4274412"/>
        <w:category>
          <w:name w:val="General"/>
          <w:gallery w:val="placeholder"/>
        </w:category>
        <w:types>
          <w:type w:val="bbPlcHdr"/>
        </w:types>
        <w:behaviors>
          <w:behavior w:val="content"/>
        </w:behaviors>
        <w:guid w:val="{C0DD64BC-C0C9-4379-B1B0-F8982B824A8E}"/>
      </w:docPartPr>
      <w:docPartBody>
        <w:p w:rsidR="00D21A9F" w:rsidRDefault="00D21A9F">
          <w:pPr>
            <w:pStyle w:val="F3D4204BA37A4A21A656C76DA4274412"/>
          </w:pPr>
          <w:r w:rsidRPr="0051509C">
            <w:rPr>
              <w:rStyle w:val="PlaceholderText"/>
            </w:rPr>
            <w:t>Click here to enter standard</w:t>
          </w:r>
        </w:p>
      </w:docPartBody>
    </w:docPart>
    <w:docPart>
      <w:docPartPr>
        <w:name w:val="C2B44F29000D47BD8588D2D5E8DFA6C8"/>
        <w:category>
          <w:name w:val="General"/>
          <w:gallery w:val="placeholder"/>
        </w:category>
        <w:types>
          <w:type w:val="bbPlcHdr"/>
        </w:types>
        <w:behaviors>
          <w:behavior w:val="content"/>
        </w:behaviors>
        <w:guid w:val="{9D2592D5-75B8-4D64-A901-EB344ED20046}"/>
      </w:docPartPr>
      <w:docPartBody>
        <w:p w:rsidR="00D21A9F" w:rsidRDefault="00D21A9F">
          <w:pPr>
            <w:pStyle w:val="C2B44F29000D47BD8588D2D5E8DFA6C8"/>
          </w:pPr>
          <w:r w:rsidRPr="00724F1C">
            <w:rPr>
              <w:rStyle w:val="PlaceholderText"/>
            </w:rPr>
            <w:t>Choose an item.</w:t>
          </w:r>
        </w:p>
      </w:docPartBody>
    </w:docPart>
    <w:docPart>
      <w:docPartPr>
        <w:name w:val="20BC8D26515A4C11AC6304FB75A7CBAD"/>
        <w:category>
          <w:name w:val="General"/>
          <w:gallery w:val="placeholder"/>
        </w:category>
        <w:types>
          <w:type w:val="bbPlcHdr"/>
        </w:types>
        <w:behaviors>
          <w:behavior w:val="content"/>
        </w:behaviors>
        <w:guid w:val="{95AF72BE-1073-48D1-A613-18F5D94AD94A}"/>
      </w:docPartPr>
      <w:docPartBody>
        <w:p w:rsidR="00D21A9F" w:rsidRDefault="00D21A9F">
          <w:pPr>
            <w:pStyle w:val="20BC8D26515A4C11AC6304FB75A7CBAD"/>
          </w:pPr>
          <w:r w:rsidRPr="00724F1C">
            <w:rPr>
              <w:rStyle w:val="PlaceholderText"/>
            </w:rPr>
            <w:t>Choose an item.</w:t>
          </w:r>
        </w:p>
      </w:docPartBody>
    </w:docPart>
    <w:docPart>
      <w:docPartPr>
        <w:name w:val="CFFDE270CB50461B826B0194984892C5"/>
        <w:category>
          <w:name w:val="General"/>
          <w:gallery w:val="placeholder"/>
        </w:category>
        <w:types>
          <w:type w:val="bbPlcHdr"/>
        </w:types>
        <w:behaviors>
          <w:behavior w:val="content"/>
        </w:behaviors>
        <w:guid w:val="{FD5D30F8-F751-45C7-BEFB-A7D3397CEB99}"/>
      </w:docPartPr>
      <w:docPartBody>
        <w:p w:rsidR="00D21A9F" w:rsidRDefault="00D21A9F">
          <w:pPr>
            <w:pStyle w:val="CFFDE270CB50461B826B0194984892C5"/>
          </w:pPr>
          <w:r w:rsidRPr="00724F1C">
            <w:rPr>
              <w:rStyle w:val="PlaceholderText"/>
            </w:rPr>
            <w:t>Choose an item.</w:t>
          </w:r>
        </w:p>
      </w:docPartBody>
    </w:docPart>
    <w:docPart>
      <w:docPartPr>
        <w:name w:val="EA32968BF93744FAABC5FC124DBE04BD"/>
        <w:category>
          <w:name w:val="General"/>
          <w:gallery w:val="placeholder"/>
        </w:category>
        <w:types>
          <w:type w:val="bbPlcHdr"/>
        </w:types>
        <w:behaviors>
          <w:behavior w:val="content"/>
        </w:behaviors>
        <w:guid w:val="{E83D2459-1556-46A4-AC27-2E79E2305DAC}"/>
      </w:docPartPr>
      <w:docPartBody>
        <w:p w:rsidR="00D21A9F" w:rsidRDefault="00D21A9F">
          <w:pPr>
            <w:pStyle w:val="EA32968BF93744FAABC5FC124DBE04BD"/>
          </w:pPr>
          <w:r w:rsidRPr="00724F1C">
            <w:rPr>
              <w:rStyle w:val="PlaceholderText"/>
            </w:rPr>
            <w:t>Choose an item.</w:t>
          </w:r>
        </w:p>
      </w:docPartBody>
    </w:docPart>
    <w:docPart>
      <w:docPartPr>
        <w:name w:val="320A77D155374054996F168A20882C28"/>
        <w:category>
          <w:name w:val="General"/>
          <w:gallery w:val="placeholder"/>
        </w:category>
        <w:types>
          <w:type w:val="bbPlcHdr"/>
        </w:types>
        <w:behaviors>
          <w:behavior w:val="content"/>
        </w:behaviors>
        <w:guid w:val="{F4DC0181-19B2-490D-83F0-D85D1689E2A9}"/>
      </w:docPartPr>
      <w:docPartBody>
        <w:p w:rsidR="00D21A9F" w:rsidRDefault="00D21A9F">
          <w:pPr>
            <w:pStyle w:val="320A77D155374054996F168A20882C28"/>
          </w:pPr>
          <w:r w:rsidRPr="00724F1C">
            <w:rPr>
              <w:rStyle w:val="PlaceholderText"/>
            </w:rPr>
            <w:t>Choose an item.</w:t>
          </w:r>
        </w:p>
      </w:docPartBody>
    </w:docPart>
    <w:docPart>
      <w:docPartPr>
        <w:name w:val="EA51C8540A4D4F0A9062F5B1698DCBB0"/>
        <w:category>
          <w:name w:val="General"/>
          <w:gallery w:val="placeholder"/>
        </w:category>
        <w:types>
          <w:type w:val="bbPlcHdr"/>
        </w:types>
        <w:behaviors>
          <w:behavior w:val="content"/>
        </w:behaviors>
        <w:guid w:val="{5A1D35A6-51B4-4D9C-B1D2-B881B06F755D}"/>
      </w:docPartPr>
      <w:docPartBody>
        <w:p w:rsidR="00D21A9F" w:rsidRDefault="00D21A9F">
          <w:pPr>
            <w:pStyle w:val="EA51C8540A4D4F0A9062F5B1698DCBB0"/>
          </w:pPr>
          <w:r w:rsidRPr="00724F1C">
            <w:rPr>
              <w:rStyle w:val="PlaceholderText"/>
            </w:rPr>
            <w:t>Choose an item.</w:t>
          </w:r>
        </w:p>
      </w:docPartBody>
    </w:docPart>
    <w:docPart>
      <w:docPartPr>
        <w:name w:val="0168237C60E6479CAFA3D9A1A8409B78"/>
        <w:category>
          <w:name w:val="General"/>
          <w:gallery w:val="placeholder"/>
        </w:category>
        <w:types>
          <w:type w:val="bbPlcHdr"/>
        </w:types>
        <w:behaviors>
          <w:behavior w:val="content"/>
        </w:behaviors>
        <w:guid w:val="{C7BCB098-81C9-4E32-956E-CDD3A6DFECE7}"/>
      </w:docPartPr>
      <w:docPartBody>
        <w:p w:rsidR="00D21A9F" w:rsidRDefault="00D21A9F">
          <w:pPr>
            <w:pStyle w:val="0168237C60E6479CAFA3D9A1A8409B78"/>
          </w:pPr>
          <w:r w:rsidRPr="00F4402E">
            <w:rPr>
              <w:rStyle w:val="PlaceholderText"/>
              <w:color w:val="FFFFFF" w:themeColor="background1"/>
            </w:rPr>
            <w:t>Choose an item.</w:t>
          </w:r>
        </w:p>
      </w:docPartBody>
    </w:docPart>
    <w:docPart>
      <w:docPartPr>
        <w:name w:val="5CBFEC560F894890BBD09B93174FFAE0"/>
        <w:category>
          <w:name w:val="General"/>
          <w:gallery w:val="placeholder"/>
        </w:category>
        <w:types>
          <w:type w:val="bbPlcHdr"/>
        </w:types>
        <w:behaviors>
          <w:behavior w:val="content"/>
        </w:behaviors>
        <w:guid w:val="{7DD8AA47-26C1-43F2-BE0B-3C03EF3669BD}"/>
      </w:docPartPr>
      <w:docPartBody>
        <w:p w:rsidR="00D21A9F" w:rsidRDefault="00D21A9F">
          <w:pPr>
            <w:pStyle w:val="5CBFEC560F894890BBD09B93174FFAE0"/>
          </w:pPr>
          <w:r w:rsidRPr="00F4402E">
            <w:rPr>
              <w:rStyle w:val="PlaceholderText"/>
              <w:color w:val="FFFFFF" w:themeColor="background1"/>
            </w:rPr>
            <w:t>Choose an item.</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33712D085CB5466489810EFEE73457FC"/>
        <w:category>
          <w:name w:val="General"/>
          <w:gallery w:val="placeholder"/>
        </w:category>
        <w:types>
          <w:type w:val="bbPlcHdr"/>
        </w:types>
        <w:behaviors>
          <w:behavior w:val="content"/>
        </w:behaviors>
        <w:guid w:val="{CD0B8011-5527-4612-8BC2-7C824BC54AF4}"/>
      </w:docPartPr>
      <w:docPartBody>
        <w:p w:rsidR="001337D8" w:rsidRDefault="003922BC" w:rsidP="003922BC">
          <w:pPr>
            <w:pStyle w:val="33712D085CB5466489810EFEE73457FC"/>
          </w:pPr>
          <w:r w:rsidRPr="0051509C">
            <w:rPr>
              <w:rStyle w:val="PlaceholderText"/>
            </w:rPr>
            <w:t>Click here to enter standard</w:t>
          </w:r>
        </w:p>
      </w:docPartBody>
    </w:docPart>
    <w:docPart>
      <w:docPartPr>
        <w:name w:val="B575EC11450A462C8A96A338DF98D555"/>
        <w:category>
          <w:name w:val="General"/>
          <w:gallery w:val="placeholder"/>
        </w:category>
        <w:types>
          <w:type w:val="bbPlcHdr"/>
        </w:types>
        <w:behaviors>
          <w:behavior w:val="content"/>
        </w:behaviors>
        <w:guid w:val="{6EA0737E-F260-4457-9958-3FD844680760}"/>
      </w:docPartPr>
      <w:docPartBody>
        <w:p w:rsidR="001659BB" w:rsidRDefault="00345783" w:rsidP="00345783">
          <w:pPr>
            <w:pStyle w:val="B575EC11450A462C8A96A338DF98D555"/>
          </w:pPr>
          <w:r>
            <w:rPr>
              <w:rStyle w:val="PlaceholderText"/>
            </w:rPr>
            <w:t>Number</w:t>
          </w:r>
        </w:p>
      </w:docPartBody>
    </w:docPart>
    <w:docPart>
      <w:docPartPr>
        <w:name w:val="0D4BA0135E55467D87E320F6E3BEE06D"/>
        <w:category>
          <w:name w:val="General"/>
          <w:gallery w:val="placeholder"/>
        </w:category>
        <w:types>
          <w:type w:val="bbPlcHdr"/>
        </w:types>
        <w:behaviors>
          <w:behavior w:val="content"/>
        </w:behaviors>
        <w:guid w:val="{10339F80-D834-4414-80C4-A986F1917E50}"/>
      </w:docPartPr>
      <w:docPartBody>
        <w:p w:rsidR="00550B1C" w:rsidRDefault="001659BB" w:rsidP="001659BB">
          <w:pPr>
            <w:pStyle w:val="0D4BA0135E55467D87E320F6E3BEE06D"/>
          </w:pPr>
          <w:r>
            <w:rPr>
              <w:rStyle w:val="PlaceholderText"/>
            </w:rPr>
            <w:t>Has this value changed?</w:t>
          </w:r>
        </w:p>
      </w:docPartBody>
    </w:docPart>
    <w:docPart>
      <w:docPartPr>
        <w:name w:val="97FFA4EACCCC40E5AA590261392056DA"/>
        <w:category>
          <w:name w:val="General"/>
          <w:gallery w:val="placeholder"/>
        </w:category>
        <w:types>
          <w:type w:val="bbPlcHdr"/>
        </w:types>
        <w:behaviors>
          <w:behavior w:val="content"/>
        </w:behaviors>
        <w:guid w:val="{42C42EAA-B13D-49D7-A170-81015F7F3E4D}"/>
      </w:docPartPr>
      <w:docPartBody>
        <w:p w:rsidR="00E67921" w:rsidRDefault="0055092C" w:rsidP="0055092C">
          <w:pPr>
            <w:pStyle w:val="97FFA4EACCCC40E5AA590261392056DA"/>
          </w:pPr>
          <w:r w:rsidRPr="001D56F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9F"/>
    <w:rsid w:val="001337D8"/>
    <w:rsid w:val="001659BB"/>
    <w:rsid w:val="00345783"/>
    <w:rsid w:val="00347D16"/>
    <w:rsid w:val="003922BC"/>
    <w:rsid w:val="003E0149"/>
    <w:rsid w:val="0055092C"/>
    <w:rsid w:val="00550B1C"/>
    <w:rsid w:val="005E583E"/>
    <w:rsid w:val="008C64CA"/>
    <w:rsid w:val="009E13F0"/>
    <w:rsid w:val="00D21A9F"/>
    <w:rsid w:val="00DE01F4"/>
    <w:rsid w:val="00E679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13F0"/>
    <w:rPr>
      <w:color w:val="808080"/>
    </w:rPr>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B5CFDE21C857404F9FEFED685E085F4D">
    <w:name w:val="B5CFDE21C857404F9FEFED685E085F4D"/>
    <w:rsid w:val="00347D16"/>
    <w:rPr>
      <w:lang w:val="en-US" w:eastAsia="en-US"/>
    </w:rPr>
  </w:style>
  <w:style w:type="paragraph" w:customStyle="1" w:styleId="6BB57C39631949C4B4C47D3978D25A26">
    <w:name w:val="6BB57C39631949C4B4C47D3978D25A26"/>
    <w:rsid w:val="00347D16"/>
    <w:rPr>
      <w:lang w:val="en-US" w:eastAsia="en-US"/>
    </w:rPr>
  </w:style>
  <w:style w:type="paragraph" w:customStyle="1" w:styleId="F6336CC4CFA040E9B9321C7AA205723D">
    <w:name w:val="F6336CC4CFA040E9B9321C7AA205723D"/>
    <w:rsid w:val="00347D16"/>
    <w:rPr>
      <w:lang w:val="en-US" w:eastAsia="en-US"/>
    </w:rPr>
  </w:style>
  <w:style w:type="paragraph" w:customStyle="1" w:styleId="58AB8EB8E0694D709F78DDDDFF8053AF">
    <w:name w:val="58AB8EB8E0694D709F78DDDDFF8053AF"/>
    <w:rsid w:val="00347D16"/>
    <w:rPr>
      <w:lang w:val="en-US" w:eastAsia="en-US"/>
    </w:rPr>
  </w:style>
  <w:style w:type="paragraph" w:customStyle="1" w:styleId="D83A27157E294A98BF103E9BA5C24469">
    <w:name w:val="D83A27157E294A98BF103E9BA5C24469"/>
    <w:rsid w:val="00347D16"/>
    <w:rPr>
      <w:lang w:val="en-US" w:eastAsia="en-US"/>
    </w:rPr>
  </w:style>
  <w:style w:type="paragraph" w:customStyle="1" w:styleId="C02304FCE5E444CC91858DC7F6B36569">
    <w:name w:val="C02304FCE5E444CC91858DC7F6B36569"/>
    <w:rsid w:val="00347D16"/>
    <w:rPr>
      <w:lang w:val="en-US" w:eastAsia="en-US"/>
    </w:rPr>
  </w:style>
  <w:style w:type="paragraph" w:customStyle="1" w:styleId="0CA242CE4A894B91804C854EFF498506">
    <w:name w:val="0CA242CE4A894B91804C854EFF498506"/>
    <w:rsid w:val="00347D16"/>
    <w:rPr>
      <w:lang w:val="en-US" w:eastAsia="en-US"/>
    </w:rPr>
  </w:style>
  <w:style w:type="paragraph" w:customStyle="1" w:styleId="E4C65E42AA1B46E49036B1117E798206">
    <w:name w:val="E4C65E42AA1B46E49036B1117E798206"/>
    <w:rsid w:val="00347D16"/>
    <w:rPr>
      <w:lang w:val="en-US" w:eastAsia="en-US"/>
    </w:rPr>
  </w:style>
  <w:style w:type="paragraph" w:customStyle="1" w:styleId="765596AF291C401F8FF734B196C5B66D">
    <w:name w:val="765596AF291C401F8FF734B196C5B66D"/>
    <w:rsid w:val="00347D16"/>
    <w:rPr>
      <w:lang w:val="en-US" w:eastAsia="en-US"/>
    </w:rPr>
  </w:style>
  <w:style w:type="paragraph" w:customStyle="1" w:styleId="E1F508F611B14EAD81A9E7706A8B0D6B">
    <w:name w:val="E1F508F611B14EAD81A9E7706A8B0D6B"/>
    <w:rsid w:val="00347D16"/>
    <w:rPr>
      <w:lang w:val="en-US" w:eastAsia="en-US"/>
    </w:rPr>
  </w:style>
  <w:style w:type="paragraph" w:customStyle="1" w:styleId="34F7093F5FBF4BA8A1CB5E44087BC282">
    <w:name w:val="34F7093F5FBF4BA8A1CB5E44087BC282"/>
    <w:rsid w:val="00347D16"/>
    <w:rPr>
      <w:lang w:val="en-US" w:eastAsia="en-US"/>
    </w:rPr>
  </w:style>
  <w:style w:type="paragraph" w:customStyle="1" w:styleId="26FC8EB56520491CACA9FCEB0ECBEB87">
    <w:name w:val="26FC8EB56520491CACA9FCEB0ECBEB87"/>
    <w:rsid w:val="00347D16"/>
    <w:rPr>
      <w:lang w:val="en-US" w:eastAsia="en-US"/>
    </w:rPr>
  </w:style>
  <w:style w:type="paragraph" w:customStyle="1" w:styleId="BD790799C48E499DAA3B2110345ED3D6">
    <w:name w:val="BD790799C48E499DAA3B2110345ED3D6"/>
    <w:rsid w:val="00347D16"/>
    <w:rPr>
      <w:lang w:val="en-US" w:eastAsia="en-US"/>
    </w:rPr>
  </w:style>
  <w:style w:type="paragraph" w:customStyle="1" w:styleId="3449B0DC08A1430EB9AEF6ED75130148">
    <w:name w:val="3449B0DC08A1430EB9AEF6ED75130148"/>
    <w:rsid w:val="00347D16"/>
    <w:rPr>
      <w:lang w:val="en-US" w:eastAsia="en-US"/>
    </w:rPr>
  </w:style>
  <w:style w:type="paragraph" w:customStyle="1" w:styleId="D8858E08CDF0401CB750E98F7CA8DE9B">
    <w:name w:val="D8858E08CDF0401CB750E98F7CA8DE9B"/>
    <w:rsid w:val="00347D16"/>
    <w:rPr>
      <w:lang w:val="en-US" w:eastAsia="en-US"/>
    </w:rPr>
  </w:style>
  <w:style w:type="paragraph" w:customStyle="1" w:styleId="3E37342461F94466AC5FC31DE44A5773">
    <w:name w:val="3E37342461F94466AC5FC31DE44A5773"/>
    <w:rsid w:val="00347D16"/>
    <w:rPr>
      <w:lang w:val="en-US" w:eastAsia="en-US"/>
    </w:rPr>
  </w:style>
  <w:style w:type="paragraph" w:customStyle="1" w:styleId="FF4B5AA193D14B4CA9A1E95ECAB9F3C9">
    <w:name w:val="FF4B5AA193D14B4CA9A1E95ECAB9F3C9"/>
    <w:rsid w:val="00347D16"/>
    <w:rPr>
      <w:lang w:val="en-US" w:eastAsia="en-US"/>
    </w:rPr>
  </w:style>
  <w:style w:type="paragraph" w:customStyle="1" w:styleId="C0C66143CD704D439CDB5BE6C54F4B45">
    <w:name w:val="C0C66143CD704D439CDB5BE6C54F4B45"/>
    <w:rsid w:val="00347D16"/>
    <w:rPr>
      <w:lang w:val="en-US" w:eastAsia="en-US"/>
    </w:rPr>
  </w:style>
  <w:style w:type="paragraph" w:customStyle="1" w:styleId="E035055C98A7460090CF375CCF93B664">
    <w:name w:val="E035055C98A7460090CF375CCF93B664"/>
    <w:rsid w:val="00347D16"/>
    <w:rPr>
      <w:lang w:val="en-US" w:eastAsia="en-US"/>
    </w:rPr>
  </w:style>
  <w:style w:type="paragraph" w:customStyle="1" w:styleId="44ABE665556845C0BEFD555ED8765A6C">
    <w:name w:val="44ABE665556845C0BEFD555ED8765A6C"/>
    <w:rsid w:val="00347D16"/>
    <w:rPr>
      <w:lang w:val="en-US" w:eastAsia="en-US"/>
    </w:rPr>
  </w:style>
  <w:style w:type="paragraph" w:customStyle="1" w:styleId="4435E3CDB9FB44189EC6DC83A9A444D6">
    <w:name w:val="4435E3CDB9FB44189EC6DC83A9A444D6"/>
    <w:rsid w:val="00347D16"/>
    <w:rPr>
      <w:lang w:val="en-US" w:eastAsia="en-US"/>
    </w:rPr>
  </w:style>
  <w:style w:type="paragraph" w:customStyle="1" w:styleId="1CC15CBB93EB481CB8D82FFE5BFD2D9B">
    <w:name w:val="1CC15CBB93EB481CB8D82FFE5BFD2D9B"/>
    <w:rsid w:val="00347D16"/>
    <w:rPr>
      <w:lang w:val="en-US" w:eastAsia="en-US"/>
    </w:rPr>
  </w:style>
  <w:style w:type="paragraph" w:customStyle="1" w:styleId="E715A9059B4D4192BFF43F02640F6538">
    <w:name w:val="E715A9059B4D4192BFF43F02640F6538"/>
    <w:rsid w:val="00347D16"/>
    <w:rPr>
      <w:lang w:val="en-US" w:eastAsia="en-US"/>
    </w:rPr>
  </w:style>
  <w:style w:type="paragraph" w:customStyle="1" w:styleId="0BA82130F7D946FFA18908296418232F">
    <w:name w:val="0BA82130F7D946FFA18908296418232F"/>
    <w:rsid w:val="00347D16"/>
    <w:rPr>
      <w:lang w:val="en-US" w:eastAsia="en-US"/>
    </w:rPr>
  </w:style>
  <w:style w:type="paragraph" w:customStyle="1" w:styleId="29CEDC1DEFB64CBCB141AE461C60BD40">
    <w:name w:val="29CEDC1DEFB64CBCB141AE461C60BD40"/>
    <w:rsid w:val="00347D16"/>
    <w:rPr>
      <w:lang w:val="en-US" w:eastAsia="en-US"/>
    </w:rPr>
  </w:style>
  <w:style w:type="paragraph" w:customStyle="1" w:styleId="1FE3EE30DD3940DB82381ABC845380CB">
    <w:name w:val="1FE3EE30DD3940DB82381ABC845380CB"/>
    <w:rsid w:val="00347D16"/>
    <w:rPr>
      <w:lang w:val="en-US" w:eastAsia="en-US"/>
    </w:rPr>
  </w:style>
  <w:style w:type="paragraph" w:customStyle="1" w:styleId="6159E7D7E1784F989FAB17CA95A66931">
    <w:name w:val="6159E7D7E1784F989FAB17CA95A66931"/>
    <w:rsid w:val="00347D16"/>
    <w:rPr>
      <w:lang w:val="en-US" w:eastAsia="en-US"/>
    </w:rPr>
  </w:style>
  <w:style w:type="paragraph" w:customStyle="1" w:styleId="A7967B9552E94A109AFB97AE998EDBEC">
    <w:name w:val="A7967B9552E94A109AFB97AE998EDBEC"/>
    <w:rsid w:val="00347D16"/>
    <w:rPr>
      <w:lang w:val="en-US" w:eastAsia="en-US"/>
    </w:rPr>
  </w:style>
  <w:style w:type="paragraph" w:customStyle="1" w:styleId="85303D690FD640D08170C75075190C4B">
    <w:name w:val="85303D690FD640D08170C75075190C4B"/>
    <w:rsid w:val="00347D16"/>
    <w:rPr>
      <w:lang w:val="en-US" w:eastAsia="en-US"/>
    </w:rPr>
  </w:style>
  <w:style w:type="paragraph" w:customStyle="1" w:styleId="A070BFA618804340AABDA79FF681FE29">
    <w:name w:val="A070BFA618804340AABDA79FF681FE29"/>
    <w:rsid w:val="00347D16"/>
    <w:rPr>
      <w:lang w:val="en-US" w:eastAsia="en-US"/>
    </w:rPr>
  </w:style>
  <w:style w:type="paragraph" w:customStyle="1" w:styleId="364F05E0071B464399205E1EA7EF0B93">
    <w:name w:val="364F05E0071B464399205E1EA7EF0B93"/>
    <w:rsid w:val="00347D16"/>
    <w:rPr>
      <w:lang w:val="en-US" w:eastAsia="en-US"/>
    </w:rPr>
  </w:style>
  <w:style w:type="paragraph" w:customStyle="1" w:styleId="2CB4F544E2C14C8FA4754C0EF86EDCBB">
    <w:name w:val="2CB4F544E2C14C8FA4754C0EF86EDCBB"/>
    <w:rsid w:val="00347D16"/>
    <w:rPr>
      <w:lang w:val="en-US" w:eastAsia="en-US"/>
    </w:rPr>
  </w:style>
  <w:style w:type="paragraph" w:customStyle="1" w:styleId="FB0307FD2095404C9CFBE1E594ADF091">
    <w:name w:val="FB0307FD2095404C9CFBE1E594ADF091"/>
    <w:rsid w:val="00347D16"/>
    <w:rPr>
      <w:lang w:val="en-US" w:eastAsia="en-US"/>
    </w:rPr>
  </w:style>
  <w:style w:type="paragraph" w:customStyle="1" w:styleId="A076971D269D49F190680C4D26C5D6D6">
    <w:name w:val="A076971D269D49F190680C4D26C5D6D6"/>
    <w:rsid w:val="00347D16"/>
    <w:rPr>
      <w:lang w:val="en-US" w:eastAsia="en-US"/>
    </w:rPr>
  </w:style>
  <w:style w:type="paragraph" w:customStyle="1" w:styleId="33712D085CB5466489810EFEE73457FC">
    <w:name w:val="33712D085CB5466489810EFEE73457FC"/>
    <w:rsid w:val="003922BC"/>
    <w:rPr>
      <w:lang w:val="en-US" w:eastAsia="en-US"/>
    </w:rPr>
  </w:style>
  <w:style w:type="paragraph" w:customStyle="1" w:styleId="B575EC11450A462C8A96A338DF98D555">
    <w:name w:val="B575EC11450A462C8A96A338DF98D555"/>
    <w:rsid w:val="00345783"/>
  </w:style>
  <w:style w:type="paragraph" w:customStyle="1" w:styleId="0D4BA0135E55467D87E320F6E3BEE06D">
    <w:name w:val="0D4BA0135E55467D87E320F6E3BEE06D"/>
    <w:rsid w:val="001659BB"/>
  </w:style>
  <w:style w:type="paragraph" w:customStyle="1" w:styleId="97FFA4EACCCC40E5AA590261392056DA">
    <w:name w:val="97FFA4EACCCC40E5AA590261392056DA"/>
    <w:rsid w:val="0055092C"/>
  </w:style>
  <w:style w:type="paragraph" w:customStyle="1" w:styleId="0E23A11626194871AF77DBDC70906906">
    <w:name w:val="0E23A11626194871AF77DBDC70906906"/>
    <w:rsid w:val="009E13F0"/>
  </w:style>
  <w:style w:type="paragraph" w:customStyle="1" w:styleId="9D280F6B889342D58629A5EE470FD98B">
    <w:name w:val="9D280F6B889342D58629A5EE470FD98B"/>
    <w:rsid w:val="009E13F0"/>
  </w:style>
  <w:style w:type="paragraph" w:customStyle="1" w:styleId="F807B125C97041048BFD219322302C80">
    <w:name w:val="F807B125C97041048BFD219322302C80"/>
    <w:rsid w:val="009E13F0"/>
  </w:style>
  <w:style w:type="paragraph" w:customStyle="1" w:styleId="63AA84AD3D9647F1AD71BE58DC64A153">
    <w:name w:val="63AA84AD3D9647F1AD71BE58DC64A153"/>
    <w:rsid w:val="009E13F0"/>
  </w:style>
  <w:style w:type="paragraph" w:customStyle="1" w:styleId="93F71E0B2220403CA0EEFB2297EAC2BC">
    <w:name w:val="93F71E0B2220403CA0EEFB2297EAC2BC"/>
    <w:rsid w:val="009E13F0"/>
  </w:style>
  <w:style w:type="paragraph" w:customStyle="1" w:styleId="3A2D705EC0FD438AAE14E5BBCCFB564A">
    <w:name w:val="3A2D705EC0FD438AAE14E5BBCCFB564A"/>
    <w:rsid w:val="009E13F0"/>
  </w:style>
  <w:style w:type="paragraph" w:customStyle="1" w:styleId="AFF29EB7454249DEA52363A2AD74F372">
    <w:name w:val="AFF29EB7454249DEA52363A2AD74F372"/>
    <w:rsid w:val="009E13F0"/>
  </w:style>
  <w:style w:type="paragraph" w:customStyle="1" w:styleId="9E95ACDE1FCF4F7E8DFC889864968F5F">
    <w:name w:val="9E95ACDE1FCF4F7E8DFC889864968F5F"/>
    <w:rsid w:val="009E13F0"/>
  </w:style>
  <w:style w:type="paragraph" w:customStyle="1" w:styleId="596711EFB5B54111A27DDFA759D81639">
    <w:name w:val="596711EFB5B54111A27DDFA759D81639"/>
    <w:rsid w:val="009E13F0"/>
  </w:style>
  <w:style w:type="paragraph" w:customStyle="1" w:styleId="4C4E65457EE240E98C2D059A3D6BA05C">
    <w:name w:val="4C4E65457EE240E98C2D059A3D6BA05C"/>
    <w:rsid w:val="009E13F0"/>
  </w:style>
  <w:style w:type="paragraph" w:customStyle="1" w:styleId="469A59C666FC47518813A7AE6B8B6E0D">
    <w:name w:val="469A59C666FC47518813A7AE6B8B6E0D"/>
    <w:rsid w:val="009E13F0"/>
  </w:style>
  <w:style w:type="paragraph" w:customStyle="1" w:styleId="D7FF25A44C464185B8583EA440D2AA6D">
    <w:name w:val="D7FF25A44C464185B8583EA440D2AA6D"/>
    <w:rsid w:val="009E13F0"/>
  </w:style>
  <w:style w:type="paragraph" w:customStyle="1" w:styleId="DBE091C84156444FB4A18F7DBE25DF1B">
    <w:name w:val="DBE091C84156444FB4A18F7DBE25DF1B"/>
    <w:rsid w:val="009E13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2833B9C0B50D4EB62CF206B9DF4D6F" ma:contentTypeVersion="4" ma:contentTypeDescription="Create a new document." ma:contentTypeScope="" ma:versionID="064d7b978d02efd1e6483567367d0895">
  <xsd:schema xmlns:xsd="http://www.w3.org/2001/XMLSchema" xmlns:xs="http://www.w3.org/2001/XMLSchema" xmlns:p="http://schemas.microsoft.com/office/2006/metadata/properties" xmlns:ns2="bf54d604-3e62-4e70-ba33-9e9084b96a66" targetNamespace="http://schemas.microsoft.com/office/2006/metadata/properties" ma:root="true" ma:fieldsID="d17ff28f510e71dda79b4a1724ec235d" ns2:_="">
    <xsd:import namespace="bf54d604-3e62-4e70-ba33-9e9084b96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d604-3e62-4e70-ba33-9e9084b9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ABD09-D631-4BAC-B4B5-9FF25BE81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d604-3e62-4e70-ba33-9e9084b9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567B6E-9C50-4D33-A655-1F15A8EBFCD8}">
  <ds:schemaRefs>
    <ds:schemaRef ds:uri="http://schemas.microsoft.com/office/2006/documentManagement/types"/>
    <ds:schemaRef ds:uri="http://www.w3.org/XML/1998/namespace"/>
    <ds:schemaRef ds:uri="http://schemas.microsoft.com/office/2006/metadata/properties"/>
    <ds:schemaRef ds:uri="bf54d604-3e62-4e70-ba33-9e9084b96a66"/>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2136788-B21E-42D5-9485-7C7543DB1F0A}">
  <ds:schemaRefs>
    <ds:schemaRef ds:uri="http://schemas.microsoft.com/sharepoint/v3/contenttype/forms"/>
  </ds:schemaRefs>
</ds:datastoreItem>
</file>

<file path=customXml/itemProps4.xml><?xml version="1.0" encoding="utf-8"?>
<ds:datastoreItem xmlns:ds="http://schemas.openxmlformats.org/officeDocument/2006/customXml" ds:itemID="{91DA64EC-6567-4339-9F0C-26A6596A0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2159</Words>
  <Characters>12311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2020-02-17T00:13:00Z</dcterms:created>
  <dcterms:modified xsi:type="dcterms:W3CDTF">2020-03-12T23:04:00Z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0x010100EC2833B9C0B50D4EB62CF206B9DF4D6F</vt:lpwstr>
  </property>
</Properties>
</file>