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3654795E" w14:textId="77777777" w:rsidR="00BD499F" w:rsidRPr="004C23F4" w:rsidRDefault="00927504" w:rsidP="00B40C60">
          <w:pPr>
            <w:pStyle w:val="Heading1"/>
            <w:jc w:val="center"/>
            <w:rPr>
              <w:rFonts w:ascii="Arial" w:hAnsi="Arial" w:cs="Arial"/>
            </w:rPr>
          </w:pPr>
          <w:r w:rsidRPr="00927504">
            <w:rPr>
              <w:rFonts w:ascii="Arial" w:hAnsi="Arial" w:cs="Arial"/>
            </w:rPr>
            <w:t>Methacrylic acid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1"/>
        <w:gridCol w:w="5045"/>
      </w:tblGrid>
      <w:tr w:rsidR="00F43AD5" w:rsidRPr="004C23F4" w14:paraId="17DA436E" w14:textId="77777777" w:rsidTr="00B76A41">
        <w:trPr>
          <w:cantSplit/>
          <w:tblHeader/>
        </w:trPr>
        <w:tc>
          <w:tcPr>
            <w:tcW w:w="4077" w:type="dxa"/>
          </w:tcPr>
          <w:p w14:paraId="61C0E5BC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403A4E4A" w14:textId="77777777" w:rsidR="00F43AD5" w:rsidRPr="00717D45" w:rsidRDefault="00107FC8" w:rsidP="00B76A41">
            <w:pPr>
              <w:pStyle w:val="Tablefont"/>
            </w:pPr>
            <w:r w:rsidRPr="00107FC8">
              <w:t>79-41-4</w:t>
            </w:r>
          </w:p>
        </w:tc>
      </w:tr>
      <w:tr w:rsidR="00F43AD5" w:rsidRPr="004C23F4" w14:paraId="3A0E5C4B" w14:textId="77777777" w:rsidTr="00B76A41">
        <w:trPr>
          <w:cantSplit/>
        </w:trPr>
        <w:tc>
          <w:tcPr>
            <w:tcW w:w="4077" w:type="dxa"/>
          </w:tcPr>
          <w:p w14:paraId="2B597E9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235975F1" w14:textId="77777777" w:rsidR="00F43AD5" w:rsidRPr="00BA1F15" w:rsidRDefault="00107FC8" w:rsidP="00B76A41">
            <w:pPr>
              <w:pStyle w:val="Tablefont"/>
            </w:pPr>
            <w:r>
              <w:t>2-Methylpropenoic acid</w:t>
            </w:r>
            <w:r w:rsidR="00BA1F15">
              <w:t>,</w:t>
            </w:r>
            <w:r w:rsidR="00BA1F15" w:rsidRPr="00054F39">
              <w:t xml:space="preserve"> </w:t>
            </w:r>
            <w:r w:rsidR="00BA1F15">
              <w:t>2-p</w:t>
            </w:r>
            <w:r w:rsidR="00BA1F15" w:rsidRPr="00054F39">
              <w:t>ropenoic acid, 2-methyl</w:t>
            </w:r>
          </w:p>
        </w:tc>
      </w:tr>
      <w:tr w:rsidR="00F43AD5" w:rsidRPr="004C23F4" w14:paraId="5C263984" w14:textId="77777777" w:rsidTr="00B76A41">
        <w:trPr>
          <w:cantSplit/>
        </w:trPr>
        <w:tc>
          <w:tcPr>
            <w:tcW w:w="4077" w:type="dxa"/>
          </w:tcPr>
          <w:p w14:paraId="53F7767F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5789CA64" w14:textId="77777777" w:rsidR="00F43AD5" w:rsidRPr="00717D45" w:rsidRDefault="00107FC8" w:rsidP="00B76A41">
            <w:pPr>
              <w:pStyle w:val="Tablefont"/>
            </w:pPr>
            <w:r>
              <w:t>C</w:t>
            </w:r>
            <w:r w:rsidRPr="00107FC8">
              <w:rPr>
                <w:vertAlign w:val="subscript"/>
              </w:rPr>
              <w:t>4</w:t>
            </w:r>
            <w:r>
              <w:t>H</w:t>
            </w:r>
            <w:r w:rsidRPr="00107FC8">
              <w:rPr>
                <w:vertAlign w:val="subscript"/>
              </w:rPr>
              <w:t>6</w:t>
            </w:r>
            <w:r>
              <w:t>O</w:t>
            </w:r>
            <w:r w:rsidRPr="00107FC8">
              <w:rPr>
                <w:vertAlign w:val="subscript"/>
              </w:rPr>
              <w:t>2</w:t>
            </w:r>
          </w:p>
        </w:tc>
      </w:tr>
      <w:tr w:rsidR="00F43AD5" w:rsidRPr="004C23F4" w14:paraId="099C9018" w14:textId="77777777" w:rsidTr="00B76A41">
        <w:trPr>
          <w:cantSplit/>
        </w:trPr>
        <w:tc>
          <w:tcPr>
            <w:tcW w:w="4077" w:type="dxa"/>
          </w:tcPr>
          <w:p w14:paraId="417958F7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6756D7AA" w14:textId="77777777" w:rsidR="00F43AD5" w:rsidRPr="00107FC8" w:rsidRDefault="00107FC8" w:rsidP="00B76A41">
            <w:pPr>
              <w:pStyle w:val="Tablerowheading"/>
              <w:rPr>
                <w:b w:val="0"/>
              </w:rPr>
            </w:pPr>
            <w:r w:rsidRPr="00107FC8">
              <w:rPr>
                <w:b w:val="0"/>
              </w:rPr>
              <w:t>—</w:t>
            </w:r>
          </w:p>
        </w:tc>
      </w:tr>
    </w:tbl>
    <w:p w14:paraId="56509B72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C463DD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7"/>
        <w:gridCol w:w="5019"/>
      </w:tblGrid>
      <w:tr w:rsidR="002C7AFE" w:rsidRPr="004C23F4" w14:paraId="7402369F" w14:textId="77777777" w:rsidTr="00481AC4">
        <w:trPr>
          <w:cantSplit/>
          <w:tblHeader/>
        </w:trPr>
        <w:tc>
          <w:tcPr>
            <w:tcW w:w="4007" w:type="dxa"/>
            <w:vAlign w:val="center"/>
          </w:tcPr>
          <w:p w14:paraId="6D683D20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9" w:type="dxa"/>
          </w:tcPr>
          <w:p w14:paraId="52FDF739" w14:textId="77777777" w:rsidR="002C7AFE" w:rsidRPr="00EB3D1B" w:rsidRDefault="00C463D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20 ppm</w:t>
            </w:r>
            <w:r w:rsidR="00C771D3">
              <w:rPr>
                <w:b/>
              </w:rPr>
              <w:t xml:space="preserve"> (</w:t>
            </w:r>
            <w:r w:rsidR="00C771D3" w:rsidRPr="00C771D3">
              <w:rPr>
                <w:b/>
              </w:rPr>
              <w:t>70 mg/m</w:t>
            </w:r>
            <w:r w:rsidR="00C771D3" w:rsidRPr="00C771D3">
              <w:rPr>
                <w:b/>
                <w:vertAlign w:val="superscript"/>
              </w:rPr>
              <w:t>3</w:t>
            </w:r>
            <w:r w:rsidR="00C771D3">
              <w:rPr>
                <w:b/>
              </w:rPr>
              <w:t>)</w:t>
            </w:r>
          </w:p>
        </w:tc>
      </w:tr>
      <w:tr w:rsidR="002C7AFE" w:rsidRPr="004C23F4" w14:paraId="4B177787" w14:textId="77777777" w:rsidTr="00481AC4">
        <w:trPr>
          <w:cantSplit/>
        </w:trPr>
        <w:tc>
          <w:tcPr>
            <w:tcW w:w="4007" w:type="dxa"/>
            <w:vAlign w:val="center"/>
          </w:tcPr>
          <w:p w14:paraId="13F667B4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19" w:type="dxa"/>
          </w:tcPr>
          <w:p w14:paraId="6EF51444" w14:textId="77777777" w:rsidR="002C7AFE" w:rsidRPr="00EB3D1B" w:rsidRDefault="00C463D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2C2B8F03" w14:textId="77777777" w:rsidTr="00481AC4">
        <w:trPr>
          <w:cantSplit/>
        </w:trPr>
        <w:tc>
          <w:tcPr>
            <w:tcW w:w="4007" w:type="dxa"/>
            <w:vAlign w:val="center"/>
          </w:tcPr>
          <w:p w14:paraId="5E515593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19" w:type="dxa"/>
          </w:tcPr>
          <w:p w14:paraId="714CD8F1" w14:textId="77777777" w:rsidR="002C7AFE" w:rsidRPr="00EB3D1B" w:rsidRDefault="00C463D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7F8B2802" w14:textId="77777777" w:rsidTr="00481AC4">
        <w:trPr>
          <w:cantSplit/>
        </w:trPr>
        <w:tc>
          <w:tcPr>
            <w:tcW w:w="4007" w:type="dxa"/>
          </w:tcPr>
          <w:p w14:paraId="1E1A2A80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19" w:type="dxa"/>
          </w:tcPr>
          <w:p w14:paraId="6CDD441E" w14:textId="77777777" w:rsidR="002C7AFE" w:rsidRPr="00EB3D1B" w:rsidRDefault="00C463DD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706A76DB" w14:textId="77777777" w:rsidTr="00481AC4">
        <w:trPr>
          <w:cantSplit/>
        </w:trPr>
        <w:tc>
          <w:tcPr>
            <w:tcW w:w="4007" w:type="dxa"/>
            <w:vAlign w:val="center"/>
          </w:tcPr>
          <w:p w14:paraId="188AD156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19" w:type="dxa"/>
          </w:tcPr>
          <w:p w14:paraId="208D866B" w14:textId="77777777" w:rsidR="002C7AFE" w:rsidRPr="00481AC4" w:rsidRDefault="00107FC8" w:rsidP="00017C82">
            <w:pPr>
              <w:pStyle w:val="Tablefont"/>
              <w:rPr>
                <w:b/>
              </w:rPr>
            </w:pPr>
            <w:r w:rsidRPr="00481AC4">
              <w:rPr>
                <w:b/>
              </w:rPr>
              <w:t>—</w:t>
            </w:r>
          </w:p>
        </w:tc>
      </w:tr>
      <w:tr w:rsidR="00481AC4" w:rsidRPr="004C23F4" w14:paraId="2F3BD592" w14:textId="77777777" w:rsidTr="000B028E">
        <w:trPr>
          <w:cantSplit/>
        </w:trPr>
        <w:tc>
          <w:tcPr>
            <w:tcW w:w="9026" w:type="dxa"/>
            <w:gridSpan w:val="2"/>
            <w:vAlign w:val="center"/>
          </w:tcPr>
          <w:p w14:paraId="3F5EB468" w14:textId="77777777" w:rsidR="00481AC4" w:rsidRPr="00C463DD" w:rsidRDefault="00481AC4" w:rsidP="00017C82">
            <w:pPr>
              <w:pStyle w:val="Tablefont"/>
            </w:pPr>
            <w:r>
              <w:rPr>
                <w:b/>
              </w:rPr>
              <w:t>Sampling and analy</w:t>
            </w:r>
            <w:r w:rsidRPr="00481AC4">
              <w:rPr>
                <w:b/>
              </w:rPr>
              <w:t>sis:</w:t>
            </w:r>
            <w:r w:rsidRPr="00481AC4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F2759923F36141B79ECB1E0551CCA586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Pr="00481AC4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257D0913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48D1D8DF" w14:textId="0D474E00" w:rsidR="006639B4" w:rsidRPr="004C23F4" w:rsidRDefault="00C463DD" w:rsidP="000C139A">
      <w:pPr>
        <w:rPr>
          <w:rFonts w:cs="Arial"/>
        </w:rPr>
      </w:pPr>
      <w:r w:rsidRPr="00C463DD">
        <w:rPr>
          <w:rFonts w:cs="Arial"/>
        </w:rPr>
        <w:t xml:space="preserve">A TWA of </w:t>
      </w:r>
      <w:r>
        <w:rPr>
          <w:rFonts w:cs="Arial"/>
        </w:rPr>
        <w:t>20 ppm (70</w:t>
      </w:r>
      <w:r w:rsidRPr="00C463DD">
        <w:rPr>
          <w:rFonts w:cs="Arial"/>
        </w:rPr>
        <w:t xml:space="preserve"> mg/m</w:t>
      </w:r>
      <w:r w:rsidRPr="00C463DD">
        <w:rPr>
          <w:rFonts w:cs="Arial"/>
          <w:vertAlign w:val="superscript"/>
        </w:rPr>
        <w:t>3</w:t>
      </w:r>
      <w:r>
        <w:rPr>
          <w:rFonts w:cs="Arial"/>
        </w:rPr>
        <w:t xml:space="preserve">) is recommended </w:t>
      </w:r>
      <w:r w:rsidRPr="00C463DD">
        <w:rPr>
          <w:rFonts w:cs="Arial"/>
        </w:rPr>
        <w:t xml:space="preserve">to protect </w:t>
      </w:r>
      <w:r w:rsidR="00D90674">
        <w:rPr>
          <w:rFonts w:cs="Arial"/>
        </w:rPr>
        <w:t xml:space="preserve">eye and </w:t>
      </w:r>
      <w:r>
        <w:rPr>
          <w:rFonts w:cs="Arial"/>
        </w:rPr>
        <w:t>upper respiratory tract irritation in exposed workers.</w:t>
      </w:r>
    </w:p>
    <w:p w14:paraId="3579BAFA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20DE208" w14:textId="77777777" w:rsidR="003050BB" w:rsidRDefault="00A671ED" w:rsidP="006639B4">
      <w:pPr>
        <w:rPr>
          <w:rFonts w:cs="Arial"/>
        </w:rPr>
      </w:pPr>
      <w:r>
        <w:rPr>
          <w:rFonts w:cs="Arial"/>
        </w:rPr>
        <w:t xml:space="preserve">Methacrylic acid is used as a monomer in polymer production. </w:t>
      </w:r>
    </w:p>
    <w:p w14:paraId="169C6EC6" w14:textId="6CFDA219" w:rsidR="003D2660" w:rsidRDefault="00A671ED" w:rsidP="006639B4">
      <w:pPr>
        <w:rPr>
          <w:rFonts w:cs="Arial"/>
        </w:rPr>
      </w:pPr>
      <w:r>
        <w:rPr>
          <w:rFonts w:cs="Arial"/>
        </w:rPr>
        <w:t xml:space="preserve">Critical effects </w:t>
      </w:r>
      <w:r w:rsidR="003050BB">
        <w:rPr>
          <w:rFonts w:cs="Arial"/>
        </w:rPr>
        <w:t xml:space="preserve">of exposure </w:t>
      </w:r>
      <w:r>
        <w:rPr>
          <w:rFonts w:cs="Arial"/>
        </w:rPr>
        <w:t xml:space="preserve">are irritation of the </w:t>
      </w:r>
      <w:r w:rsidR="0089742E">
        <w:rPr>
          <w:rFonts w:cs="Arial"/>
        </w:rPr>
        <w:t xml:space="preserve">upper respiratory tract, </w:t>
      </w:r>
      <w:r>
        <w:rPr>
          <w:rFonts w:cs="Arial"/>
        </w:rPr>
        <w:t>eyes</w:t>
      </w:r>
      <w:r w:rsidR="0089742E">
        <w:rPr>
          <w:rFonts w:cs="Arial"/>
        </w:rPr>
        <w:t xml:space="preserve"> and</w:t>
      </w:r>
      <w:r>
        <w:rPr>
          <w:rFonts w:cs="Arial"/>
        </w:rPr>
        <w:t xml:space="preserve"> skin</w:t>
      </w:r>
      <w:r w:rsidR="00C837A5">
        <w:rPr>
          <w:rFonts w:cs="Arial"/>
        </w:rPr>
        <w:t>.</w:t>
      </w:r>
      <w:r w:rsidR="003050BB">
        <w:rPr>
          <w:rFonts w:cs="Arial"/>
        </w:rPr>
        <w:t xml:space="preserve"> </w:t>
      </w:r>
      <w:r w:rsidR="000D2DA2">
        <w:rPr>
          <w:rFonts w:cs="Arial"/>
        </w:rPr>
        <w:t xml:space="preserve"> </w:t>
      </w:r>
      <w:r w:rsidR="008C7B54">
        <w:rPr>
          <w:rFonts w:cs="Arial"/>
        </w:rPr>
        <w:t xml:space="preserve">Human exposure data </w:t>
      </w:r>
      <w:r w:rsidR="00A1703D">
        <w:rPr>
          <w:rFonts w:cs="Arial"/>
        </w:rPr>
        <w:t>are</w:t>
      </w:r>
      <w:r w:rsidR="008C7B54">
        <w:rPr>
          <w:rFonts w:cs="Arial"/>
        </w:rPr>
        <w:t xml:space="preserve"> limited.</w:t>
      </w:r>
      <w:r w:rsidR="006F05D1">
        <w:rPr>
          <w:rFonts w:cs="Arial"/>
        </w:rPr>
        <w:t xml:space="preserve"> </w:t>
      </w:r>
      <w:r w:rsidR="00C463DD">
        <w:rPr>
          <w:rFonts w:cs="Arial"/>
        </w:rPr>
        <w:t xml:space="preserve">Poorly documented </w:t>
      </w:r>
      <w:r w:rsidR="005425B4">
        <w:rPr>
          <w:rFonts w:cs="Arial"/>
        </w:rPr>
        <w:t xml:space="preserve">reports indicate </w:t>
      </w:r>
      <w:r w:rsidR="00C463DD">
        <w:rPr>
          <w:rFonts w:cs="Arial"/>
        </w:rPr>
        <w:t xml:space="preserve">skin toxicity and corneal damage are associated with occupational exposures </w:t>
      </w:r>
      <w:r w:rsidR="00F80E10">
        <w:rPr>
          <w:rFonts w:cs="Arial"/>
        </w:rPr>
        <w:t>at</w:t>
      </w:r>
      <w:r w:rsidR="00C463DD">
        <w:rPr>
          <w:rFonts w:cs="Arial"/>
        </w:rPr>
        <w:t xml:space="preserve"> 113 ppm (ACGIH, 2018).</w:t>
      </w:r>
      <w:r w:rsidR="006F05D1">
        <w:rPr>
          <w:rFonts w:cs="Arial"/>
        </w:rPr>
        <w:t xml:space="preserve"> </w:t>
      </w:r>
      <w:r w:rsidR="008C7B54">
        <w:rPr>
          <w:rFonts w:cs="Arial"/>
        </w:rPr>
        <w:t xml:space="preserve">A </w:t>
      </w:r>
      <w:r w:rsidR="001450EB">
        <w:rPr>
          <w:rFonts w:cs="Arial"/>
        </w:rPr>
        <w:t xml:space="preserve">NOAEC </w:t>
      </w:r>
      <w:r w:rsidR="008C7B54">
        <w:rPr>
          <w:rFonts w:cs="Arial"/>
        </w:rPr>
        <w:t>of 100</w:t>
      </w:r>
      <w:r w:rsidR="00A61C16">
        <w:rPr>
          <w:rFonts w:cs="Arial"/>
        </w:rPr>
        <w:t> </w:t>
      </w:r>
      <w:r w:rsidR="008C7B54">
        <w:rPr>
          <w:rFonts w:cs="Arial"/>
        </w:rPr>
        <w:t xml:space="preserve">ppm for slight hyperplasia of the nasal epithelium with a corresponding </w:t>
      </w:r>
      <w:r w:rsidR="001450EB">
        <w:rPr>
          <w:rFonts w:cs="Arial"/>
        </w:rPr>
        <w:t xml:space="preserve">LOAEC </w:t>
      </w:r>
      <w:r w:rsidR="008C7B54">
        <w:rPr>
          <w:rFonts w:cs="Arial"/>
        </w:rPr>
        <w:t>of 350 ppm i</w:t>
      </w:r>
      <w:r w:rsidR="006F05D1">
        <w:rPr>
          <w:rFonts w:cs="Arial"/>
        </w:rPr>
        <w:t xml:space="preserve">s reported in a </w:t>
      </w:r>
      <w:r w:rsidR="00687E4E">
        <w:rPr>
          <w:rFonts w:cs="Arial"/>
        </w:rPr>
        <w:t>90-day</w:t>
      </w:r>
      <w:r w:rsidR="006F05D1">
        <w:rPr>
          <w:rFonts w:cs="Arial"/>
        </w:rPr>
        <w:t xml:space="preserve"> inhalation study </w:t>
      </w:r>
      <w:r w:rsidR="00C837A5">
        <w:rPr>
          <w:rFonts w:cs="Arial"/>
        </w:rPr>
        <w:t>in</w:t>
      </w:r>
      <w:r w:rsidR="006F05D1">
        <w:rPr>
          <w:rFonts w:cs="Arial"/>
        </w:rPr>
        <w:t xml:space="preserve"> rats</w:t>
      </w:r>
      <w:r w:rsidR="00C463DD">
        <w:rPr>
          <w:rFonts w:cs="Arial"/>
        </w:rPr>
        <w:t xml:space="preserve"> (DFG, 2016)</w:t>
      </w:r>
      <w:r w:rsidR="006F05D1">
        <w:rPr>
          <w:rFonts w:cs="Arial"/>
        </w:rPr>
        <w:t xml:space="preserve">. A comparable endpoint is reported </w:t>
      </w:r>
      <w:r w:rsidR="00C837A5">
        <w:rPr>
          <w:rFonts w:cs="Arial"/>
        </w:rPr>
        <w:t xml:space="preserve">in mice with a </w:t>
      </w:r>
      <w:r w:rsidR="001450EB">
        <w:rPr>
          <w:rFonts w:cs="Arial"/>
        </w:rPr>
        <w:t xml:space="preserve">NOAEC </w:t>
      </w:r>
      <w:r w:rsidR="00C837A5">
        <w:rPr>
          <w:rFonts w:cs="Arial"/>
        </w:rPr>
        <w:t>of 20 ppm. Ho</w:t>
      </w:r>
      <w:r w:rsidR="00F80E10">
        <w:rPr>
          <w:rFonts w:cs="Arial"/>
        </w:rPr>
        <w:t>wever</w:t>
      </w:r>
      <w:r w:rsidR="009247B5">
        <w:rPr>
          <w:rFonts w:cs="Arial"/>
        </w:rPr>
        <w:t>,</w:t>
      </w:r>
      <w:r w:rsidR="00F80E10">
        <w:rPr>
          <w:rFonts w:cs="Arial"/>
        </w:rPr>
        <w:t xml:space="preserve"> </w:t>
      </w:r>
      <w:r w:rsidR="006F05D1">
        <w:rPr>
          <w:rFonts w:cs="Arial"/>
        </w:rPr>
        <w:t xml:space="preserve">mice </w:t>
      </w:r>
      <w:r w:rsidR="00E95EEE">
        <w:rPr>
          <w:rFonts w:cs="Arial"/>
        </w:rPr>
        <w:t xml:space="preserve">and rats are considered </w:t>
      </w:r>
      <w:r w:rsidR="006F05D1">
        <w:rPr>
          <w:rFonts w:cs="Arial"/>
        </w:rPr>
        <w:t xml:space="preserve">more susceptible to </w:t>
      </w:r>
      <w:r w:rsidR="003050BB">
        <w:rPr>
          <w:rFonts w:cs="Arial"/>
        </w:rPr>
        <w:t xml:space="preserve">the effects of </w:t>
      </w:r>
      <w:r w:rsidR="006F05D1">
        <w:rPr>
          <w:rFonts w:cs="Arial"/>
        </w:rPr>
        <w:t xml:space="preserve">inhalational exposure than </w:t>
      </w:r>
      <w:r w:rsidR="0055745C">
        <w:rPr>
          <w:rFonts w:cs="Arial"/>
        </w:rPr>
        <w:t xml:space="preserve">humans </w:t>
      </w:r>
      <w:r w:rsidR="0089742E">
        <w:rPr>
          <w:rFonts w:cs="Arial"/>
        </w:rPr>
        <w:t xml:space="preserve">due to anatomical differences of the nasal cavity </w:t>
      </w:r>
      <w:r w:rsidR="006F05D1">
        <w:rPr>
          <w:rFonts w:cs="Arial"/>
        </w:rPr>
        <w:t>(DFG</w:t>
      </w:r>
      <w:r w:rsidR="00C463DD">
        <w:rPr>
          <w:rFonts w:cs="Arial"/>
        </w:rPr>
        <w:t>, 2016</w:t>
      </w:r>
      <w:r w:rsidR="006F05D1">
        <w:rPr>
          <w:rFonts w:cs="Arial"/>
        </w:rPr>
        <w:t xml:space="preserve">). </w:t>
      </w:r>
    </w:p>
    <w:p w14:paraId="0A5266CB" w14:textId="632861CA" w:rsidR="008C7B54" w:rsidRPr="004C23F4" w:rsidRDefault="006F05D1" w:rsidP="006639B4">
      <w:pPr>
        <w:rPr>
          <w:rFonts w:cs="Arial"/>
        </w:rPr>
      </w:pPr>
      <w:r>
        <w:rPr>
          <w:rFonts w:cs="Arial"/>
        </w:rPr>
        <w:t xml:space="preserve">The </w:t>
      </w:r>
      <w:r w:rsidR="009247B5">
        <w:rPr>
          <w:rFonts w:cs="Arial"/>
        </w:rPr>
        <w:t>TWA of 20 ppm</w:t>
      </w:r>
      <w:r w:rsidR="00924B7D">
        <w:rPr>
          <w:rFonts w:cs="Arial"/>
        </w:rPr>
        <w:t xml:space="preserve"> </w:t>
      </w:r>
      <w:r w:rsidR="000B028E">
        <w:rPr>
          <w:rFonts w:cs="Arial"/>
        </w:rPr>
        <w:t xml:space="preserve">is </w:t>
      </w:r>
      <w:r w:rsidR="00687E4E">
        <w:rPr>
          <w:rFonts w:cs="Arial"/>
        </w:rPr>
        <w:t xml:space="preserve">recommended to be retained and is </w:t>
      </w:r>
      <w:r w:rsidR="000F3A60">
        <w:rPr>
          <w:rFonts w:cs="Arial"/>
        </w:rPr>
        <w:t xml:space="preserve">expected to be protective of </w:t>
      </w:r>
      <w:r w:rsidR="00B75C45">
        <w:rPr>
          <w:rFonts w:cs="Arial"/>
        </w:rPr>
        <w:t>local irritation reported in workers</w:t>
      </w:r>
      <w:r w:rsidR="00F613C4">
        <w:rPr>
          <w:rFonts w:cs="Arial"/>
        </w:rPr>
        <w:t xml:space="preserve"> exposed</w:t>
      </w:r>
      <w:r w:rsidR="00B75C45">
        <w:rPr>
          <w:rFonts w:cs="Arial"/>
        </w:rPr>
        <w:t xml:space="preserve"> at 113 ppm (ACGIH, 2018) and is</w:t>
      </w:r>
      <w:r w:rsidR="000F3A60">
        <w:rPr>
          <w:rFonts w:cs="Arial"/>
        </w:rPr>
        <w:t xml:space="preserve"> </w:t>
      </w:r>
      <w:r w:rsidR="00B75C45">
        <w:rPr>
          <w:rFonts w:cs="Arial"/>
        </w:rPr>
        <w:t>supported by</w:t>
      </w:r>
      <w:r w:rsidR="000F3A60">
        <w:rPr>
          <w:rFonts w:cs="Arial"/>
        </w:rPr>
        <w:t xml:space="preserve"> a NOAEC </w:t>
      </w:r>
      <w:r w:rsidR="00B75C45">
        <w:rPr>
          <w:rFonts w:cs="Arial"/>
        </w:rPr>
        <w:t>of 100 </w:t>
      </w:r>
      <w:r w:rsidR="000F3A60">
        <w:rPr>
          <w:rFonts w:cs="Arial"/>
        </w:rPr>
        <w:t xml:space="preserve">ppm </w:t>
      </w:r>
      <w:r w:rsidR="00B75C45">
        <w:rPr>
          <w:rFonts w:cs="Arial"/>
        </w:rPr>
        <w:t xml:space="preserve">for this endpoint in rats </w:t>
      </w:r>
      <w:r w:rsidR="00F224F5">
        <w:rPr>
          <w:rFonts w:cs="Arial"/>
        </w:rPr>
        <w:t>(</w:t>
      </w:r>
      <w:r w:rsidR="000F3A60">
        <w:rPr>
          <w:rFonts w:cs="Arial"/>
        </w:rPr>
        <w:t xml:space="preserve">DFG, </w:t>
      </w:r>
      <w:r w:rsidR="00F224F5">
        <w:rPr>
          <w:rFonts w:cs="Arial"/>
        </w:rPr>
        <w:t>2016)</w:t>
      </w:r>
      <w:r w:rsidR="00C463DD">
        <w:rPr>
          <w:rFonts w:cs="Arial"/>
        </w:rPr>
        <w:t xml:space="preserve">. The </w:t>
      </w:r>
      <w:r w:rsidR="00D90674">
        <w:rPr>
          <w:rFonts w:cs="Arial"/>
        </w:rPr>
        <w:t>TWA</w:t>
      </w:r>
      <w:r w:rsidR="00C463DD">
        <w:rPr>
          <w:rFonts w:cs="Arial"/>
        </w:rPr>
        <w:t xml:space="preserve"> is also expected to be protective of potential systemic effects, which were observed as reduced body weight gain in animals at inhalational doses above 200</w:t>
      </w:r>
      <w:r w:rsidR="00C771D3">
        <w:rPr>
          <w:rFonts w:cs="Arial"/>
        </w:rPr>
        <w:t> </w:t>
      </w:r>
      <w:r w:rsidR="00C463DD">
        <w:rPr>
          <w:rFonts w:cs="Arial"/>
        </w:rPr>
        <w:t>ppm (DFG, 2016)</w:t>
      </w:r>
      <w:r w:rsidR="00D90674">
        <w:rPr>
          <w:rFonts w:cs="Arial"/>
        </w:rPr>
        <w:t>.</w:t>
      </w:r>
    </w:p>
    <w:p w14:paraId="163E2A74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69EF5A29" w14:textId="77777777" w:rsidR="00107FC8" w:rsidRDefault="00107FC8" w:rsidP="00107FC8">
      <w:pPr>
        <w:rPr>
          <w:rFonts w:cs="Arial"/>
        </w:rPr>
      </w:pPr>
      <w:r>
        <w:rPr>
          <w:rFonts w:cs="Arial"/>
        </w:rPr>
        <w:t>Not classified as a carcinogen according to the Globally Harmonized System of Classification and Labelling o</w:t>
      </w:r>
      <w:r w:rsidR="008A53D5">
        <w:rPr>
          <w:rFonts w:cs="Arial"/>
        </w:rPr>
        <w:t>f</w:t>
      </w:r>
      <w:r>
        <w:rPr>
          <w:rFonts w:cs="Arial"/>
        </w:rPr>
        <w:t xml:space="preserve"> Chemicals (GHS). </w:t>
      </w:r>
    </w:p>
    <w:p w14:paraId="1E62D5AD" w14:textId="77777777" w:rsidR="00107FC8" w:rsidRDefault="00107FC8" w:rsidP="00107FC8">
      <w:pPr>
        <w:rPr>
          <w:rFonts w:cs="Arial"/>
        </w:rPr>
      </w:pPr>
      <w:r>
        <w:rPr>
          <w:rFonts w:cs="Arial"/>
        </w:rPr>
        <w:t xml:space="preserve">Not classified as a skin </w:t>
      </w:r>
      <w:r w:rsidR="008A53D5">
        <w:rPr>
          <w:rFonts w:cs="Arial"/>
        </w:rPr>
        <w:t xml:space="preserve">sensitiser </w:t>
      </w:r>
      <w:r>
        <w:rPr>
          <w:rFonts w:cs="Arial"/>
        </w:rPr>
        <w:t>or respiratory sensitiser according to the GHS.</w:t>
      </w:r>
    </w:p>
    <w:p w14:paraId="50AC0E36" w14:textId="77777777" w:rsidR="00107FC8" w:rsidRDefault="00C771D3" w:rsidP="00107FC8">
      <w:pPr>
        <w:rPr>
          <w:rFonts w:cs="Arial"/>
        </w:rPr>
      </w:pPr>
      <w:r>
        <w:rPr>
          <w:rFonts w:cs="Arial"/>
        </w:rPr>
        <w:t>There are i</w:t>
      </w:r>
      <w:r w:rsidR="00107FC8">
        <w:rPr>
          <w:rFonts w:cs="Arial"/>
        </w:rPr>
        <w:t xml:space="preserve">nsufficient </w:t>
      </w:r>
      <w:r>
        <w:rPr>
          <w:rFonts w:cs="Arial"/>
        </w:rPr>
        <w:t>data</w:t>
      </w:r>
      <w:r w:rsidR="00107FC8">
        <w:rPr>
          <w:rFonts w:cs="Arial"/>
        </w:rPr>
        <w:t xml:space="preserve"> to recommend a skin notation.</w:t>
      </w:r>
    </w:p>
    <w:p w14:paraId="5D18033C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D40FD2B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413D5BC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814AD3" w14:paraId="570F041F" w14:textId="77777777" w:rsidTr="00814AD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69F780A4" w14:textId="77777777" w:rsidR="00C978F0" w:rsidRPr="00814AD3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  <w:rPr>
                <w:b/>
              </w:rPr>
            </w:pPr>
            <w:r w:rsidRPr="00814AD3">
              <w:rPr>
                <w:b/>
              </w:rPr>
              <w:t>Source</w:t>
            </w:r>
            <w:r w:rsidR="00DA352E" w:rsidRPr="00814AD3">
              <w:rPr>
                <w:b/>
              </w:rPr>
              <w:tab/>
              <w:t>Year set</w:t>
            </w:r>
            <w:r w:rsidR="00DA352E" w:rsidRPr="00814AD3">
              <w:rPr>
                <w:b/>
              </w:rPr>
              <w:tab/>
              <w:t>Standard</w:t>
            </w:r>
            <w:r w:rsidR="00974F2D" w:rsidRPr="00814AD3">
              <w:rPr>
                <w:b/>
              </w:rPr>
              <w:tab/>
            </w:r>
          </w:p>
        </w:tc>
      </w:tr>
      <w:tr w:rsidR="00DE26E8" w:rsidRPr="003365A5" w14:paraId="750149C1" w14:textId="77777777" w:rsidTr="00814AD3">
        <w:tc>
          <w:tcPr>
            <w:tcW w:w="5000" w:type="pct"/>
            <w:gridSpan w:val="2"/>
            <w:shd w:val="clear" w:color="auto" w:fill="F2F2F2" w:themeFill="background1" w:themeFillShade="F2"/>
          </w:tcPr>
          <w:p w14:paraId="761DEC5B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107FC8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107FC8">
                  <w:t>TWA: 20 ppm (70 mg/m</w:t>
                </w:r>
                <w:r w:rsidR="00107FC8" w:rsidRPr="00107FC8">
                  <w:rPr>
                    <w:vertAlign w:val="superscript"/>
                  </w:rPr>
                  <w:t>3</w:t>
                </w:r>
                <w:r w:rsidR="00107FC8">
                  <w:t>)</w:t>
                </w:r>
              </w:sdtContent>
            </w:sdt>
          </w:p>
        </w:tc>
      </w:tr>
      <w:tr w:rsidR="00C978F0" w:rsidRPr="00DA352E" w14:paraId="784918EE" w14:textId="77777777" w:rsidTr="00814AD3">
        <w:trPr>
          <w:gridAfter w:val="1"/>
          <w:wAfter w:w="8" w:type="pct"/>
        </w:trPr>
        <w:tc>
          <w:tcPr>
            <w:tcW w:w="4992" w:type="pct"/>
          </w:tcPr>
          <w:p w14:paraId="4D776421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059C008A" w14:textId="77777777" w:rsidTr="00814AD3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274E6596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107FC8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107FC8">
                  <w:t>TLV-TWA: 20 ppm (70 mg/m</w:t>
                </w:r>
                <w:r w:rsidR="00107FC8" w:rsidRPr="00107FC8">
                  <w:rPr>
                    <w:vertAlign w:val="superscript"/>
                  </w:rPr>
                  <w:t>3</w:t>
                </w:r>
                <w:r w:rsidR="00107FC8">
                  <w:t>)</w:t>
                </w:r>
              </w:sdtContent>
            </w:sdt>
          </w:p>
        </w:tc>
      </w:tr>
      <w:tr w:rsidR="00C978F0" w:rsidRPr="00DA352E" w14:paraId="214FBAD7" w14:textId="77777777" w:rsidTr="00814AD3">
        <w:trPr>
          <w:gridAfter w:val="1"/>
          <w:wAfter w:w="8" w:type="pct"/>
        </w:trPr>
        <w:tc>
          <w:tcPr>
            <w:tcW w:w="4992" w:type="pct"/>
          </w:tcPr>
          <w:p w14:paraId="4CCD67D4" w14:textId="77777777" w:rsidR="00C978F0" w:rsidRDefault="00A671ED" w:rsidP="003365A5">
            <w:pPr>
              <w:pStyle w:val="Tabletextprimarysource"/>
            </w:pPr>
            <w:r>
              <w:t xml:space="preserve">TLV-TWA intended to minimise potential for eye and skin irritation. </w:t>
            </w:r>
          </w:p>
          <w:p w14:paraId="7F15049B" w14:textId="77777777" w:rsidR="00A671ED" w:rsidRDefault="00A671ED" w:rsidP="003365A5">
            <w:pPr>
              <w:pStyle w:val="Tabletextprimarysource"/>
            </w:pPr>
            <w:r>
              <w:t>Summary of data:</w:t>
            </w:r>
          </w:p>
          <w:p w14:paraId="645EB148" w14:textId="783DC3F0" w:rsidR="00A671ED" w:rsidRDefault="00A671ED" w:rsidP="003365A5">
            <w:pPr>
              <w:pStyle w:val="Tabletextprimarysource"/>
            </w:pPr>
            <w:r>
              <w:t>Human and animal exposure data are lim</w:t>
            </w:r>
            <w:r w:rsidR="008151F8">
              <w:t xml:space="preserve">ited and indicate 20 ppm is protective of reported acute irritation effects and is supported </w:t>
            </w:r>
            <w:r>
              <w:t>by ana</w:t>
            </w:r>
            <w:r w:rsidR="008151F8">
              <w:t xml:space="preserve">logy to more toxic acrylic acid, which has a TLV-TWA of </w:t>
            </w:r>
            <w:r w:rsidR="003050BB">
              <w:t>2 </w:t>
            </w:r>
            <w:r w:rsidR="008151F8">
              <w:t>ppm.</w:t>
            </w:r>
          </w:p>
          <w:p w14:paraId="1FC4047B" w14:textId="77777777" w:rsidR="00A671ED" w:rsidRDefault="00A671ED" w:rsidP="003365A5">
            <w:pPr>
              <w:pStyle w:val="Tabletextprimarysource"/>
            </w:pPr>
            <w:r>
              <w:t>Human data:</w:t>
            </w:r>
          </w:p>
          <w:p w14:paraId="3DEC96AF" w14:textId="77777777" w:rsidR="00A671ED" w:rsidRDefault="008151F8" w:rsidP="008151F8">
            <w:pPr>
              <w:pStyle w:val="Tabletextprimarysource"/>
              <w:numPr>
                <w:ilvl w:val="0"/>
                <w:numId w:val="2"/>
              </w:numPr>
            </w:pPr>
            <w:r>
              <w:t>Contact sensitisation reported in small number of workers (not specified) in 37 studied cases</w:t>
            </w:r>
          </w:p>
          <w:p w14:paraId="3991857A" w14:textId="73120E33" w:rsidR="003050BB" w:rsidRDefault="008151F8" w:rsidP="008151F8">
            <w:pPr>
              <w:pStyle w:val="Tabletextprimarysource"/>
              <w:numPr>
                <w:ilvl w:val="0"/>
                <w:numId w:val="2"/>
              </w:numPr>
            </w:pPr>
            <w:r>
              <w:t xml:space="preserve">No respiratory symptoms, skin toxicity and severe corneal burns </w:t>
            </w:r>
            <w:r w:rsidR="00E75D74">
              <w:t xml:space="preserve">reported </w:t>
            </w:r>
            <w:r>
              <w:t xml:space="preserve">in medical examinations of acutely exposed </w:t>
            </w:r>
            <w:r w:rsidR="00C771D3">
              <w:t xml:space="preserve">plant </w:t>
            </w:r>
            <w:r>
              <w:t>workers</w:t>
            </w:r>
            <w:r w:rsidR="002B7BF0">
              <w:t>:</w:t>
            </w:r>
            <w:r>
              <w:t xml:space="preserve"> </w:t>
            </w:r>
          </w:p>
          <w:p w14:paraId="385D93A9" w14:textId="62527F62" w:rsidR="008151F8" w:rsidRDefault="008151F8" w:rsidP="003050BB">
            <w:pPr>
              <w:pStyle w:val="Tabletextprimarysource"/>
              <w:numPr>
                <w:ilvl w:val="0"/>
                <w:numId w:val="5"/>
              </w:numPr>
            </w:pPr>
            <w:r>
              <w:t xml:space="preserve">air concentrations </w:t>
            </w:r>
            <w:r w:rsidR="003050BB">
              <w:rPr>
                <w:rFonts w:cs="Arial"/>
              </w:rPr>
              <w:t>≤</w:t>
            </w:r>
            <w:r>
              <w:t>113 ppm (no further information provided)</w:t>
            </w:r>
            <w:r w:rsidR="008A53D5">
              <w:t>.</w:t>
            </w:r>
          </w:p>
          <w:p w14:paraId="78F69D4C" w14:textId="77777777" w:rsidR="00A671ED" w:rsidRDefault="00A671ED" w:rsidP="003365A5">
            <w:pPr>
              <w:pStyle w:val="Tabletextprimarysource"/>
            </w:pPr>
            <w:r>
              <w:t>Animal data:</w:t>
            </w:r>
          </w:p>
          <w:p w14:paraId="27FD63D2" w14:textId="77777777" w:rsidR="00A671ED" w:rsidRDefault="00A671ED" w:rsidP="00A671ED">
            <w:pPr>
              <w:pStyle w:val="Tabletextprimarysource"/>
              <w:numPr>
                <w:ilvl w:val="0"/>
                <w:numId w:val="1"/>
              </w:numPr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 xml:space="preserve">: 1,020–5,080 mg/kg (guinea pigs, </w:t>
            </w:r>
            <w:r w:rsidR="00BA1F15">
              <w:t xml:space="preserve">dermal </w:t>
            </w:r>
            <w:r>
              <w:t>occlusive, 24 h)</w:t>
            </w:r>
          </w:p>
          <w:p w14:paraId="0F8A77DF" w14:textId="1F2D8495" w:rsidR="003050BB" w:rsidRDefault="00A671ED" w:rsidP="00A671ED">
            <w:pPr>
              <w:pStyle w:val="Tabletextprimarysource"/>
              <w:numPr>
                <w:ilvl w:val="0"/>
                <w:numId w:val="1"/>
              </w:numPr>
            </w:pPr>
            <w:r>
              <w:t>Causes severe eye and skin irritation (guinea pigs)</w:t>
            </w:r>
            <w:r w:rsidR="002B7BF0">
              <w:t>:</w:t>
            </w:r>
            <w:r>
              <w:t xml:space="preserve"> </w:t>
            </w:r>
          </w:p>
          <w:p w14:paraId="3EEB48D4" w14:textId="5174F93D" w:rsidR="00A671ED" w:rsidRDefault="00A671ED" w:rsidP="003050BB">
            <w:pPr>
              <w:pStyle w:val="Tabletextprimarysource"/>
              <w:numPr>
                <w:ilvl w:val="0"/>
                <w:numId w:val="5"/>
              </w:numPr>
            </w:pPr>
            <w:r>
              <w:t>eye contact causes blindness</w:t>
            </w:r>
          </w:p>
          <w:p w14:paraId="6355C92D" w14:textId="77777777" w:rsidR="00A671ED" w:rsidRDefault="00A671ED" w:rsidP="00A671ED">
            <w:pPr>
              <w:pStyle w:val="Tabletextprimarysource"/>
              <w:numPr>
                <w:ilvl w:val="0"/>
                <w:numId w:val="1"/>
              </w:numPr>
            </w:pPr>
            <w:r>
              <w:t>Oral LD</w:t>
            </w:r>
            <w:r>
              <w:rPr>
                <w:vertAlign w:val="subscript"/>
              </w:rPr>
              <w:t>50</w:t>
            </w:r>
            <w:r>
              <w:t>: 1,600 mg/kg (mice), 2,260 mg/kg (rats)</w:t>
            </w:r>
          </w:p>
          <w:p w14:paraId="6D13AD38" w14:textId="75F251D1" w:rsidR="00A671ED" w:rsidRDefault="00A671ED" w:rsidP="00A671ED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Eye irritation and </w:t>
            </w:r>
            <w:r w:rsidR="00687E4E">
              <w:t xml:space="preserve">body weight </w:t>
            </w:r>
            <w:r>
              <w:t>loss at 1,300 ppm (rats, 5 h</w:t>
            </w:r>
            <w:r w:rsidR="00CC0497">
              <w:t>/d</w:t>
            </w:r>
            <w:r>
              <w:t>, 5</w:t>
            </w:r>
            <w:r w:rsidR="00CC0497">
              <w:t> d</w:t>
            </w:r>
            <w:r>
              <w:t>)</w:t>
            </w:r>
            <w:r w:rsidR="00F80E10">
              <w:t>:</w:t>
            </w:r>
          </w:p>
          <w:p w14:paraId="26E9306F" w14:textId="00E4909D" w:rsidR="00A671ED" w:rsidRDefault="00A671ED" w:rsidP="00C837A5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 xml:space="preserve">no abnormal findings in </w:t>
            </w:r>
            <w:r w:rsidR="00CC0497">
              <w:t>urinary or haematological</w:t>
            </w:r>
            <w:r>
              <w:t xml:space="preserve"> parameters</w:t>
            </w:r>
            <w:r w:rsidR="00CC0497">
              <w:t>, clinical chemistry</w:t>
            </w:r>
            <w:r>
              <w:t xml:space="preserve"> or gross examination at necropsy</w:t>
            </w:r>
            <w:r w:rsidR="00CC0497">
              <w:t xml:space="preserve"> reported in 2 separate studies </w:t>
            </w:r>
            <w:r w:rsidR="000B028E">
              <w:t>with</w:t>
            </w:r>
            <w:r w:rsidR="00CC0497">
              <w:t xml:space="preserve"> this dose regimen</w:t>
            </w:r>
          </w:p>
          <w:p w14:paraId="5AF3EC29" w14:textId="2578226B" w:rsidR="00385C00" w:rsidRDefault="00CC0497" w:rsidP="007B5E5B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Slight renal congestion at 300 ppm reported in </w:t>
            </w:r>
            <w:r w:rsidR="00385C00">
              <w:t>sub</w:t>
            </w:r>
            <w:r w:rsidR="009247B5">
              <w:t>-</w:t>
            </w:r>
            <w:r w:rsidR="00385C00">
              <w:t xml:space="preserve">chronic </w:t>
            </w:r>
            <w:r>
              <w:t xml:space="preserve">inhalation </w:t>
            </w:r>
            <w:r w:rsidR="00385C00">
              <w:t>study (rats, 6</w:t>
            </w:r>
            <w:r w:rsidR="008A53D5">
              <w:t xml:space="preserve"> </w:t>
            </w:r>
            <w:r w:rsidR="00385C00">
              <w:t>h/d, 20</w:t>
            </w:r>
            <w:r>
              <w:t> </w:t>
            </w:r>
            <w:r w:rsidR="00385C00">
              <w:t>d)</w:t>
            </w:r>
          </w:p>
          <w:p w14:paraId="5AB7D8EE" w14:textId="2DAD98C4" w:rsidR="00385C00" w:rsidRDefault="00034380" w:rsidP="00E65EC9">
            <w:pPr>
              <w:pStyle w:val="Tabletextprimarysource"/>
              <w:numPr>
                <w:ilvl w:val="0"/>
                <w:numId w:val="1"/>
              </w:numPr>
            </w:pPr>
            <w:r>
              <w:t>Given</w:t>
            </w:r>
            <w:r w:rsidR="00CC0497">
              <w:t xml:space="preserve"> these</w:t>
            </w:r>
            <w:r w:rsidR="00385C00">
              <w:t xml:space="preserve"> </w:t>
            </w:r>
            <w:r w:rsidR="00CC0497">
              <w:t xml:space="preserve">acute and sub-chronic inhalation </w:t>
            </w:r>
            <w:r w:rsidR="00385C00">
              <w:t>data</w:t>
            </w:r>
            <w:r>
              <w:t>,</w:t>
            </w:r>
            <w:r w:rsidR="00385C00">
              <w:t xml:space="preserve"> </w:t>
            </w:r>
            <w:r>
              <w:t xml:space="preserve">cited article recommends a provisional OEL of 20 ppm </w:t>
            </w:r>
            <w:r w:rsidR="009A00FC">
              <w:t>following application of</w:t>
            </w:r>
            <w:r w:rsidR="0053301A">
              <w:t xml:space="preserve"> </w:t>
            </w:r>
            <w:r w:rsidR="00CC0497">
              <w:t>a</w:t>
            </w:r>
            <w:r w:rsidR="00687E4E">
              <w:t>n</w:t>
            </w:r>
            <w:r w:rsidR="00CC0497">
              <w:t xml:space="preserve"> </w:t>
            </w:r>
            <w:r w:rsidR="004A08B6">
              <w:t>UF</w:t>
            </w:r>
            <w:r w:rsidR="00CC0497">
              <w:t xml:space="preserve"> </w:t>
            </w:r>
            <w:r w:rsidR="00E65EC9">
              <w:t>(</w:t>
            </w:r>
            <w:r>
              <w:t xml:space="preserve">no further information on </w:t>
            </w:r>
            <w:r w:rsidR="00E65EC9">
              <w:t xml:space="preserve">derivation of OEL </w:t>
            </w:r>
            <w:r w:rsidR="009A00FC">
              <w:t xml:space="preserve">or </w:t>
            </w:r>
            <w:r w:rsidR="004A08B6">
              <w:t>UF</w:t>
            </w:r>
            <w:r w:rsidR="00E65EC9">
              <w:t xml:space="preserve"> </w:t>
            </w:r>
            <w:r w:rsidR="009A00FC">
              <w:t>provided</w:t>
            </w:r>
            <w:r w:rsidR="00E65EC9">
              <w:t>)</w:t>
            </w:r>
          </w:p>
          <w:p w14:paraId="3ADAEAB7" w14:textId="7A2D575C" w:rsidR="003050BB" w:rsidRDefault="00385C00" w:rsidP="00E65EC9">
            <w:pPr>
              <w:pStyle w:val="Tabletextprimarysource"/>
              <w:numPr>
                <w:ilvl w:val="0"/>
                <w:numId w:val="1"/>
              </w:numPr>
            </w:pPr>
            <w:r>
              <w:t>Slight alveolar haemorrhaging and granularity in liver cytoplasm, no adverse haematological or gross pathological effects at 5 or 10 mg/kg/d in repeat oral dose study (rats, 10 doses)</w:t>
            </w:r>
            <w:r w:rsidR="002B7BF0">
              <w:t>:</w:t>
            </w:r>
            <w:r>
              <w:t xml:space="preserve"> </w:t>
            </w:r>
          </w:p>
          <w:p w14:paraId="5A09FBD9" w14:textId="1A333DEA" w:rsidR="00385C00" w:rsidRDefault="00385C00" w:rsidP="003050BB">
            <w:pPr>
              <w:pStyle w:val="Tabletextprimarysource"/>
              <w:numPr>
                <w:ilvl w:val="0"/>
                <w:numId w:val="6"/>
              </w:numPr>
            </w:pPr>
            <w:r>
              <w:t>histopathological lesions attributed to corrosivity of the compound</w:t>
            </w:r>
          </w:p>
          <w:p w14:paraId="4C0FA86C" w14:textId="6F299E23" w:rsidR="00A671ED" w:rsidRDefault="00A671ED" w:rsidP="008151F8">
            <w:pPr>
              <w:pStyle w:val="Tabletextprimarysource"/>
              <w:numPr>
                <w:ilvl w:val="0"/>
                <w:numId w:val="1"/>
              </w:numPr>
            </w:pPr>
            <w:r>
              <w:t>Major metabolite of methyl acrylate, considered responsible for degeneration of nasal mucosa in exposed rodents (no further details provided)</w:t>
            </w:r>
          </w:p>
          <w:p w14:paraId="0FBD02FD" w14:textId="77777777" w:rsidR="00A34119" w:rsidRDefault="00A34119" w:rsidP="008151F8">
            <w:pPr>
              <w:pStyle w:val="Tabletextprimarysource"/>
              <w:numPr>
                <w:ilvl w:val="0"/>
                <w:numId w:val="1"/>
              </w:numPr>
            </w:pPr>
            <w:r>
              <w:t>No mutagenicity or ADME data presented</w:t>
            </w:r>
            <w:r w:rsidR="008A53D5">
              <w:t>.</w:t>
            </w:r>
          </w:p>
          <w:p w14:paraId="61286FE3" w14:textId="77777777" w:rsidR="00F80E10" w:rsidRDefault="00F80E10" w:rsidP="003365A5">
            <w:pPr>
              <w:pStyle w:val="Tabletextprimarysource"/>
            </w:pPr>
          </w:p>
          <w:p w14:paraId="67593858" w14:textId="77777777" w:rsidR="00A671ED" w:rsidRDefault="00A671ED" w:rsidP="003365A5">
            <w:pPr>
              <w:pStyle w:val="Tabletextprimarysource"/>
            </w:pPr>
            <w:r>
              <w:t>Insufficient data available to recommend a TLV-STEL or notations for carcinogenicity, skin absorption or sensitisation.</w:t>
            </w:r>
          </w:p>
          <w:p w14:paraId="64D382D9" w14:textId="77777777" w:rsidR="00F80E10" w:rsidRPr="00DA352E" w:rsidRDefault="00F80E10" w:rsidP="003365A5">
            <w:pPr>
              <w:pStyle w:val="Tabletextprimarysource"/>
            </w:pPr>
          </w:p>
        </w:tc>
      </w:tr>
      <w:tr w:rsidR="00C978F0" w:rsidRPr="00DA352E" w14:paraId="72CB060F" w14:textId="77777777" w:rsidTr="00814AD3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ABF9530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107FC8">
                  <w:t>2015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107FC8">
                  <w:t>MAK: 50 ppm (180 mg/m</w:t>
                </w:r>
                <w:r w:rsidR="00107FC8" w:rsidRPr="00107FC8">
                  <w:rPr>
                    <w:vertAlign w:val="superscript"/>
                  </w:rPr>
                  <w:t>3</w:t>
                </w:r>
                <w:r w:rsidR="00107FC8">
                  <w:t>)</w:t>
                </w:r>
              </w:sdtContent>
            </w:sdt>
          </w:p>
        </w:tc>
      </w:tr>
      <w:tr w:rsidR="00C978F0" w:rsidRPr="00DA352E" w14:paraId="6F4804BC" w14:textId="77777777" w:rsidTr="00814AD3">
        <w:trPr>
          <w:gridAfter w:val="1"/>
          <w:wAfter w:w="8" w:type="pct"/>
        </w:trPr>
        <w:tc>
          <w:tcPr>
            <w:tcW w:w="4992" w:type="pct"/>
          </w:tcPr>
          <w:p w14:paraId="71B4736B" w14:textId="77777777" w:rsidR="00627B89" w:rsidRDefault="00627B89" w:rsidP="003365A5">
            <w:pPr>
              <w:pStyle w:val="Tabletextprimarysource"/>
            </w:pPr>
            <w:r>
              <w:t>Summary of additional data:</w:t>
            </w:r>
          </w:p>
          <w:p w14:paraId="18B96E13" w14:textId="0FD7977D" w:rsidR="0053301A" w:rsidRDefault="00054F58" w:rsidP="003365A5">
            <w:pPr>
              <w:pStyle w:val="Tabletextprimarysource"/>
            </w:pPr>
            <w:r>
              <w:t xml:space="preserve">MAK </w:t>
            </w:r>
            <w:r w:rsidR="0053301A">
              <w:t>based on</w:t>
            </w:r>
            <w:r>
              <w:t xml:space="preserve"> </w:t>
            </w:r>
            <w:r w:rsidR="000B028E">
              <w:t xml:space="preserve">NOAEC </w:t>
            </w:r>
            <w:r>
              <w:t>of 100 ppm</w:t>
            </w:r>
            <w:r w:rsidR="00741215">
              <w:t xml:space="preserve"> </w:t>
            </w:r>
            <w:r>
              <w:t xml:space="preserve">and corresponding </w:t>
            </w:r>
            <w:r w:rsidR="000B028E">
              <w:t xml:space="preserve">LOAEC </w:t>
            </w:r>
            <w:r>
              <w:t>of 350 ppm for slight hyperplasia in respiratory epithelia in rats exposed by inhalation for 90 d</w:t>
            </w:r>
            <w:r w:rsidR="00741215">
              <w:t xml:space="preserve">. </w:t>
            </w:r>
            <w:r>
              <w:t xml:space="preserve">MAK </w:t>
            </w:r>
            <w:r w:rsidR="00741215">
              <w:t xml:space="preserve">of 50 ppm derived </w:t>
            </w:r>
            <w:r>
              <w:t xml:space="preserve">by </w:t>
            </w:r>
            <w:r w:rsidR="000B028E">
              <w:t xml:space="preserve">applying a </w:t>
            </w:r>
            <w:r w:rsidR="000B028E">
              <w:lastRenderedPageBreak/>
              <w:t xml:space="preserve">factor of 2 to </w:t>
            </w:r>
            <w:r>
              <w:t xml:space="preserve">the </w:t>
            </w:r>
            <w:r w:rsidR="000B028E">
              <w:t xml:space="preserve">NOAEC </w:t>
            </w:r>
            <w:r w:rsidR="00741215">
              <w:t xml:space="preserve">of 100 ppm </w:t>
            </w:r>
            <w:r w:rsidR="000B028E">
              <w:t xml:space="preserve">and is considered sufficient based on </w:t>
            </w:r>
            <w:r w:rsidR="00741215">
              <w:t xml:space="preserve">the minimal effects </w:t>
            </w:r>
            <w:r w:rsidR="000B028E">
              <w:t>observed at the LOAEC</w:t>
            </w:r>
            <w:r>
              <w:t xml:space="preserve">. </w:t>
            </w:r>
          </w:p>
          <w:p w14:paraId="32BCC762" w14:textId="647D51D3" w:rsidR="00C978F0" w:rsidRDefault="00054F58" w:rsidP="003365A5">
            <w:pPr>
              <w:pStyle w:val="Tabletextprimarysource"/>
            </w:pPr>
            <w:r>
              <w:t>The MAK is higher than that of acrylic acid (10</w:t>
            </w:r>
            <w:r w:rsidR="002F1F3F">
              <w:t> </w:t>
            </w:r>
            <w:r>
              <w:t>ppm), which is supported by the higher median RD</w:t>
            </w:r>
            <w:r>
              <w:rPr>
                <w:vertAlign w:val="subscript"/>
              </w:rPr>
              <w:t>50</w:t>
            </w:r>
            <w:r>
              <w:t xml:space="preserve"> in mice for methacrylic acid (22,000 ppm) compared with that of acrylic acid (685 ppm).</w:t>
            </w:r>
          </w:p>
          <w:p w14:paraId="0F39C9A7" w14:textId="5EEAA994" w:rsidR="00307824" w:rsidRDefault="00627B89" w:rsidP="003365A5">
            <w:pPr>
              <w:pStyle w:val="Tabletextprimarysource"/>
            </w:pPr>
            <w:r>
              <w:t xml:space="preserve">Carcinogenicity notation not assigned by analogy to methacrylic acid methyl ester, of which methacrylic acid is the major metabolite and demonstrates no carcinogenicity in animals or genotoxicity </w:t>
            </w:r>
            <w:r>
              <w:rPr>
                <w:i/>
              </w:rPr>
              <w:t>in vivo</w:t>
            </w:r>
            <w:r>
              <w:t>.</w:t>
            </w:r>
          </w:p>
          <w:p w14:paraId="36F9D759" w14:textId="77777777" w:rsidR="00627B89" w:rsidRDefault="00627B89" w:rsidP="003365A5">
            <w:pPr>
              <w:pStyle w:val="Tabletextprimarysource"/>
            </w:pPr>
            <w:r>
              <w:t>Dermal exposure route considered negligible in relation to MAK based on analogy to dermal absorption data of acrylic acid.</w:t>
            </w:r>
          </w:p>
          <w:p w14:paraId="29C73658" w14:textId="77777777" w:rsidR="00627B89" w:rsidRDefault="00627B89" w:rsidP="003365A5">
            <w:pPr>
              <w:pStyle w:val="Tabletextprimarysource"/>
            </w:pPr>
            <w:r>
              <w:t>No sensitiser notation assigned based on negative results in animals and inconclusive results in humans.</w:t>
            </w:r>
          </w:p>
          <w:p w14:paraId="5A7C8C9C" w14:textId="77777777" w:rsidR="00627B89" w:rsidRDefault="00627B89" w:rsidP="003365A5">
            <w:pPr>
              <w:pStyle w:val="Tabletextprimarysource"/>
            </w:pPr>
            <w:r>
              <w:t>Human data:</w:t>
            </w:r>
          </w:p>
          <w:p w14:paraId="033769DA" w14:textId="3B063CD7" w:rsidR="003050BB" w:rsidRDefault="00CA1847" w:rsidP="00CA1847">
            <w:pPr>
              <w:pStyle w:val="Tabletextprimarysource"/>
              <w:numPr>
                <w:ilvl w:val="0"/>
                <w:numId w:val="1"/>
              </w:numPr>
            </w:pPr>
            <w:r>
              <w:t>Modelled retention of 78% of inhaled dose at 10–80 ppm</w:t>
            </w:r>
            <w:r w:rsidR="002B7BF0">
              <w:t>:</w:t>
            </w:r>
            <w:r>
              <w:t xml:space="preserve"> </w:t>
            </w:r>
          </w:p>
          <w:p w14:paraId="772B10D0" w14:textId="15A2021A" w:rsidR="00CA1847" w:rsidRDefault="00CA1847" w:rsidP="003050BB">
            <w:pPr>
              <w:pStyle w:val="Tabletextprimarysource"/>
              <w:numPr>
                <w:ilvl w:val="0"/>
                <w:numId w:val="6"/>
              </w:numPr>
            </w:pPr>
            <w:r>
              <w:t xml:space="preserve">simulated blood half-life </w:t>
            </w:r>
            <w:r>
              <w:rPr>
                <w:rFonts w:cs="Arial"/>
              </w:rPr>
              <w:t>≈</w:t>
            </w:r>
            <w:r>
              <w:t>2.5</w:t>
            </w:r>
            <w:r w:rsidR="008A53D5">
              <w:t xml:space="preserve"> </w:t>
            </w:r>
            <w:r>
              <w:t>min</w:t>
            </w:r>
          </w:p>
          <w:p w14:paraId="4A30FB17" w14:textId="77777777" w:rsidR="00302BC5" w:rsidRDefault="00302BC5" w:rsidP="00CA1847">
            <w:pPr>
              <w:pStyle w:val="Tabletextprimarysource"/>
              <w:numPr>
                <w:ilvl w:val="0"/>
                <w:numId w:val="1"/>
              </w:numPr>
            </w:pPr>
            <w:r>
              <w:t>Dermal absorption</w:t>
            </w:r>
            <w:r w:rsidR="008C7B54">
              <w:t xml:space="preserve"> rate</w:t>
            </w:r>
            <w:r>
              <w:t xml:space="preserve"> of </w:t>
            </w:r>
            <w:r w:rsidR="008C7B54">
              <w:t xml:space="preserve">4% aqueous </w:t>
            </w:r>
            <w:r>
              <w:t xml:space="preserve">acrylic acid </w:t>
            </w:r>
            <w:r w:rsidR="008C7B54">
              <w:t>28.9 µg/cm</w:t>
            </w:r>
            <w:r w:rsidR="008C7B54">
              <w:rPr>
                <w:vertAlign w:val="superscript"/>
              </w:rPr>
              <w:t>2</w:t>
            </w:r>
            <w:r w:rsidR="008C7B54">
              <w:t>/h used as analogy to assess skin notation</w:t>
            </w:r>
            <w:r w:rsidR="008A53D5">
              <w:t>.</w:t>
            </w:r>
          </w:p>
          <w:p w14:paraId="541D8130" w14:textId="77777777" w:rsidR="00627B89" w:rsidRDefault="00627B89" w:rsidP="003365A5">
            <w:pPr>
              <w:pStyle w:val="Tabletextprimarysource"/>
            </w:pPr>
            <w:r>
              <w:t>Animal data:</w:t>
            </w:r>
          </w:p>
          <w:p w14:paraId="0AF1F47E" w14:textId="04D8368C" w:rsidR="00CA1847" w:rsidRDefault="00CA1847" w:rsidP="00627B89">
            <w:pPr>
              <w:pStyle w:val="Tabletextprimarysource"/>
              <w:numPr>
                <w:ilvl w:val="0"/>
                <w:numId w:val="1"/>
              </w:numPr>
            </w:pPr>
            <w:r>
              <w:t>95% of inhaled doses deposit in the upper respiratory tract and cause</w:t>
            </w:r>
            <w:r w:rsidR="003050BB">
              <w:t>s</w:t>
            </w:r>
            <w:r>
              <w:t xml:space="preserve"> irritation</w:t>
            </w:r>
          </w:p>
          <w:p w14:paraId="7F3D4862" w14:textId="77777777" w:rsidR="00CA1847" w:rsidRDefault="00CA1847" w:rsidP="00627B89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Blood half-life of 10 or 20 mg/kg ip injection </w:t>
            </w:r>
            <w:r>
              <w:rPr>
                <w:rFonts w:cs="Arial"/>
              </w:rPr>
              <w:t>≈</w:t>
            </w:r>
            <w:r>
              <w:t>1.7 min</w:t>
            </w:r>
          </w:p>
          <w:p w14:paraId="6D0EC3CC" w14:textId="77777777" w:rsidR="000D629C" w:rsidRDefault="000D629C" w:rsidP="000D629C">
            <w:pPr>
              <w:pStyle w:val="Tabletextprimarysource"/>
              <w:numPr>
                <w:ilvl w:val="0"/>
                <w:numId w:val="1"/>
              </w:numPr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softHyphen/>
              <w:t>: 1988 ppm (rats, 4 h)</w:t>
            </w:r>
          </w:p>
          <w:p w14:paraId="6A7A4E09" w14:textId="77777777" w:rsidR="004971CD" w:rsidRDefault="004971CD" w:rsidP="004971CD">
            <w:pPr>
              <w:pStyle w:val="Tabletextprimarysource"/>
              <w:numPr>
                <w:ilvl w:val="0"/>
                <w:numId w:val="1"/>
              </w:numPr>
            </w:pPr>
            <w:r>
              <w:t>RD</w:t>
            </w:r>
            <w:r>
              <w:rPr>
                <w:vertAlign w:val="subscript"/>
              </w:rPr>
              <w:t>50</w:t>
            </w:r>
            <w:r>
              <w:t>: 22,000 ppm (mice, 30 min); mild sensory irritation at 4,900 ppm, moderate to severe at 9,400 ppm</w:t>
            </w:r>
          </w:p>
          <w:p w14:paraId="7110A2E2" w14:textId="1EF275F5" w:rsidR="004971CD" w:rsidRDefault="004971CD" w:rsidP="004971CD">
            <w:pPr>
              <w:pStyle w:val="Tabletextprimarysource"/>
              <w:numPr>
                <w:ilvl w:val="0"/>
                <w:numId w:val="1"/>
              </w:numPr>
            </w:pPr>
            <w:r>
              <w:t>Available dermal application/penetration studies used undiluted or concentrated substance, unsuitable for assessment of occupational exposure due to high corrosiv</w:t>
            </w:r>
            <w:r w:rsidR="005425B4">
              <w:t>e nature</w:t>
            </w:r>
          </w:p>
          <w:p w14:paraId="1293B0E9" w14:textId="29619C88" w:rsidR="003050BB" w:rsidRDefault="0072443D" w:rsidP="000D629C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NOAEL: 100 ppm for nasal epithelium hyperplasia and </w:t>
            </w:r>
            <w:r w:rsidR="009247B5">
              <w:t>b</w:t>
            </w:r>
            <w:r w:rsidR="002B7BF0">
              <w:t xml:space="preserve">ody </w:t>
            </w:r>
            <w:r w:rsidR="003050BB">
              <w:t>w</w:t>
            </w:r>
            <w:r w:rsidR="002B7BF0">
              <w:t>eight</w:t>
            </w:r>
            <w:r>
              <w:t xml:space="preserve"> loss in sub</w:t>
            </w:r>
            <w:r w:rsidR="009247B5">
              <w:t>-</w:t>
            </w:r>
            <w:r>
              <w:t>chronic inhalation study (rats, 6 h/d, 5 d/</w:t>
            </w:r>
            <w:proofErr w:type="spellStart"/>
            <w:r>
              <w:t>wk</w:t>
            </w:r>
            <w:proofErr w:type="spellEnd"/>
            <w:r>
              <w:t>, 90 d)</w:t>
            </w:r>
            <w:r w:rsidR="002B7BF0">
              <w:t>:</w:t>
            </w:r>
            <w:r w:rsidR="001C38ED">
              <w:t xml:space="preserve"> </w:t>
            </w:r>
          </w:p>
          <w:p w14:paraId="26459C5C" w14:textId="2E3E3ECD" w:rsidR="0072443D" w:rsidRDefault="001C38ED" w:rsidP="003050BB">
            <w:pPr>
              <w:pStyle w:val="Tabletextprimarysource"/>
              <w:numPr>
                <w:ilvl w:val="0"/>
                <w:numId w:val="6"/>
              </w:numPr>
            </w:pPr>
            <w:r>
              <w:t>LOAEL of 350 ppm</w:t>
            </w:r>
          </w:p>
          <w:p w14:paraId="37434EA4" w14:textId="42CF856B" w:rsidR="004971CD" w:rsidRDefault="000073CD" w:rsidP="00C837A5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 xml:space="preserve">another </w:t>
            </w:r>
            <w:r w:rsidR="001C38ED">
              <w:t>study with NOAEL: 20 ppm degeneration of</w:t>
            </w:r>
            <w:r w:rsidR="00BA1F15">
              <w:t xml:space="preserve"> the</w:t>
            </w:r>
            <w:r w:rsidR="001C38ED">
              <w:t xml:space="preserve"> nasal epithelium (mice, 6 h/d, 5 d/wk, 90 d) not used in assessment due to anatomical differences in nasal cavity of mice compared with humans, which increased severity of reported effects</w:t>
            </w:r>
          </w:p>
          <w:p w14:paraId="2C2CBD46" w14:textId="3AD448D3" w:rsidR="004971CD" w:rsidRDefault="004971CD" w:rsidP="00627B89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 substance-specific fertility studies available, no adverse effects </w:t>
            </w:r>
            <w:r w:rsidR="003050BB">
              <w:t>in</w:t>
            </w:r>
            <w:r>
              <w:t xml:space="preserve"> genitals or effects on sperm motility/morphology observed in 90</w:t>
            </w:r>
            <w:r w:rsidR="008A53D5">
              <w:t xml:space="preserve"> </w:t>
            </w:r>
            <w:r>
              <w:t>d inhalation studies with rats</w:t>
            </w:r>
            <w:r w:rsidR="00F80E10">
              <w:t>:</w:t>
            </w:r>
          </w:p>
          <w:p w14:paraId="4B65FC26" w14:textId="3575F8C0" w:rsidR="004971CD" w:rsidRDefault="004971CD" w:rsidP="00C837A5">
            <w:pPr>
              <w:pStyle w:val="Tabletextprimarysource"/>
              <w:numPr>
                <w:ilvl w:val="1"/>
                <w:numId w:val="1"/>
              </w:numPr>
              <w:ind w:left="1094" w:hanging="357"/>
            </w:pPr>
            <w:r>
              <w:t>no effects on fertility or development at 50–400 mg/kg in 2</w:t>
            </w:r>
            <w:r w:rsidR="008A53D5">
              <w:t xml:space="preserve"> </w:t>
            </w:r>
            <w:r>
              <w:t>gen repeat gavage study with methacrylic acid methyl ester (rats)</w:t>
            </w:r>
          </w:p>
          <w:p w14:paraId="34633C1D" w14:textId="77777777" w:rsidR="003050BB" w:rsidRDefault="00CA1847" w:rsidP="00627B89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NOAEL: 300 ppm, highest tested dose, </w:t>
            </w:r>
            <w:r w:rsidR="00627B89">
              <w:t>for developmental toxicity (rats</w:t>
            </w:r>
            <w:r w:rsidR="004971CD">
              <w:t xml:space="preserve">, 6 h/d, gestation </w:t>
            </w:r>
            <w:r w:rsidR="00F80E10">
              <w:br/>
            </w:r>
            <w:r w:rsidR="004971CD">
              <w:t>6–20</w:t>
            </w:r>
            <w:r w:rsidR="00F80E10">
              <w:t xml:space="preserve"> d</w:t>
            </w:r>
            <w:r w:rsidR="00627B89">
              <w:t>)</w:t>
            </w:r>
            <w:r w:rsidR="00C463DD">
              <w:t xml:space="preserve">; </w:t>
            </w:r>
          </w:p>
          <w:p w14:paraId="22870FDA" w14:textId="64EACC2A" w:rsidR="00627B89" w:rsidRDefault="00C463DD" w:rsidP="003050BB">
            <w:pPr>
              <w:pStyle w:val="Tabletextprimarysource"/>
              <w:numPr>
                <w:ilvl w:val="0"/>
                <w:numId w:val="7"/>
              </w:numPr>
            </w:pPr>
            <w:r>
              <w:t xml:space="preserve">maternal NOAEL: 200 ppm for reduced </w:t>
            </w:r>
            <w:r w:rsidR="00687E4E">
              <w:t xml:space="preserve">body weight </w:t>
            </w:r>
            <w:r>
              <w:t xml:space="preserve">gain </w:t>
            </w:r>
          </w:p>
          <w:p w14:paraId="18161137" w14:textId="77777777" w:rsidR="003050BB" w:rsidRDefault="00A34119" w:rsidP="00627B89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Non-mutagenic </w:t>
            </w:r>
            <w:r>
              <w:rPr>
                <w:i/>
              </w:rPr>
              <w:t>in vitro</w:t>
            </w:r>
            <w:r>
              <w:t xml:space="preserve"> in bacteria; methacrylic acid methyl ester is clastogenic </w:t>
            </w:r>
            <w:r>
              <w:rPr>
                <w:i/>
              </w:rPr>
              <w:t>in vitro</w:t>
            </w:r>
            <w:r>
              <w:t xml:space="preserve"> at cytotoxic concentrations, </w:t>
            </w:r>
          </w:p>
          <w:p w14:paraId="3277F410" w14:textId="1DCEAAB2" w:rsidR="00A34119" w:rsidRDefault="00A34119" w:rsidP="003050BB">
            <w:pPr>
              <w:pStyle w:val="Tabletextprimarysource"/>
              <w:numPr>
                <w:ilvl w:val="0"/>
                <w:numId w:val="7"/>
              </w:numPr>
            </w:pPr>
            <w:r>
              <w:t xml:space="preserve">non-mutagenic </w:t>
            </w:r>
            <w:r>
              <w:rPr>
                <w:i/>
              </w:rPr>
              <w:t>in vivo</w:t>
            </w:r>
            <w:r>
              <w:t xml:space="preserve"> in dominant lethal and micronucleus tests</w:t>
            </w:r>
            <w:r w:rsidR="008A53D5">
              <w:t>.</w:t>
            </w:r>
          </w:p>
          <w:p w14:paraId="3EDAE9CC" w14:textId="77777777" w:rsidR="00F80E10" w:rsidRPr="00054F58" w:rsidRDefault="00F80E10" w:rsidP="00C837A5">
            <w:pPr>
              <w:pStyle w:val="Tabletextprimarysource"/>
            </w:pPr>
          </w:p>
        </w:tc>
      </w:tr>
      <w:tr w:rsidR="00C978F0" w:rsidRPr="00DA352E" w14:paraId="1764D691" w14:textId="77777777" w:rsidTr="00814AD3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38EA8108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AB3B4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AB3B41">
                  <w:t>NA</w:t>
                </w:r>
                <w:proofErr w:type="spellEnd"/>
              </w:sdtContent>
            </w:sdt>
          </w:p>
        </w:tc>
      </w:tr>
      <w:tr w:rsidR="00C978F0" w:rsidRPr="00DA352E" w14:paraId="0EB932D5" w14:textId="77777777" w:rsidTr="00814AD3">
        <w:trPr>
          <w:gridAfter w:val="1"/>
          <w:wAfter w:w="8" w:type="pct"/>
        </w:trPr>
        <w:tc>
          <w:tcPr>
            <w:tcW w:w="4992" w:type="pct"/>
          </w:tcPr>
          <w:p w14:paraId="1288372B" w14:textId="77777777" w:rsidR="00C978F0" w:rsidRPr="00DA352E" w:rsidRDefault="00AB3B41" w:rsidP="003365A5">
            <w:pPr>
              <w:pStyle w:val="Tabletextprimarysource"/>
            </w:pPr>
            <w:r>
              <w:t>No report</w:t>
            </w:r>
            <w:r w:rsidR="008A53D5">
              <w:t>.</w:t>
            </w:r>
          </w:p>
        </w:tc>
      </w:tr>
      <w:tr w:rsidR="00DA352E" w:rsidRPr="00DA352E" w14:paraId="324B9E2B" w14:textId="77777777" w:rsidTr="00814AD3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1DFD06B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AB3B4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AB3B41">
                  <w:t>NA</w:t>
                </w:r>
                <w:proofErr w:type="spellEnd"/>
              </w:sdtContent>
            </w:sdt>
          </w:p>
        </w:tc>
      </w:tr>
      <w:tr w:rsidR="00DA352E" w:rsidRPr="00DA352E" w14:paraId="0216C43B" w14:textId="77777777" w:rsidTr="00814AD3">
        <w:trPr>
          <w:gridAfter w:val="1"/>
          <w:wAfter w:w="8" w:type="pct"/>
        </w:trPr>
        <w:tc>
          <w:tcPr>
            <w:tcW w:w="4992" w:type="pct"/>
          </w:tcPr>
          <w:p w14:paraId="19FFB6DC" w14:textId="77777777" w:rsidR="00DA352E" w:rsidRPr="00DA352E" w:rsidRDefault="00AB3B41" w:rsidP="003365A5">
            <w:pPr>
              <w:pStyle w:val="Tabletextprimarysource"/>
            </w:pPr>
            <w:r>
              <w:t>No report</w:t>
            </w:r>
            <w:r w:rsidR="008A53D5">
              <w:t>.</w:t>
            </w:r>
          </w:p>
        </w:tc>
      </w:tr>
      <w:tr w:rsidR="00DA352E" w:rsidRPr="00DA352E" w14:paraId="54887181" w14:textId="77777777" w:rsidTr="00814AD3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3E72C8A7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AB3B41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proofErr w:type="spellStart"/>
                <w:r w:rsidR="00AB3B41">
                  <w:t>NA</w:t>
                </w:r>
                <w:proofErr w:type="spellEnd"/>
              </w:sdtContent>
            </w:sdt>
          </w:p>
        </w:tc>
      </w:tr>
      <w:tr w:rsidR="00DA352E" w:rsidRPr="00DA352E" w14:paraId="29CF30CF" w14:textId="77777777" w:rsidTr="00814AD3">
        <w:trPr>
          <w:gridAfter w:val="1"/>
          <w:wAfter w:w="8" w:type="pct"/>
        </w:trPr>
        <w:tc>
          <w:tcPr>
            <w:tcW w:w="4992" w:type="pct"/>
          </w:tcPr>
          <w:p w14:paraId="1177539C" w14:textId="77777777" w:rsidR="00DA352E" w:rsidRPr="00DA352E" w:rsidRDefault="00AB3B41" w:rsidP="003365A5">
            <w:pPr>
              <w:pStyle w:val="Tabletextprimarysource"/>
            </w:pPr>
            <w:r>
              <w:t>No report</w:t>
            </w:r>
            <w:r w:rsidR="008A53D5">
              <w:t>.</w:t>
            </w:r>
          </w:p>
        </w:tc>
      </w:tr>
    </w:tbl>
    <w:p w14:paraId="0C904454" w14:textId="77777777" w:rsidR="00A20751" w:rsidRPr="004C23F4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1"/>
        <w:gridCol w:w="422"/>
        <w:gridCol w:w="661"/>
        <w:gridCol w:w="6452"/>
      </w:tblGrid>
      <w:tr w:rsidR="004966BF" w:rsidRPr="00814AD3" w14:paraId="4AAD19A4" w14:textId="77777777" w:rsidTr="00814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1" w:type="dxa"/>
            <w:shd w:val="clear" w:color="auto" w:fill="BFBFBF" w:themeFill="background1" w:themeFillShade="BF"/>
            <w:vAlign w:val="center"/>
          </w:tcPr>
          <w:p w14:paraId="1599F6CD" w14:textId="77777777" w:rsidR="004966BF" w:rsidRPr="00814AD3" w:rsidRDefault="004966BF" w:rsidP="00263255">
            <w:pPr>
              <w:pStyle w:val="Tableheader"/>
              <w:rPr>
                <w:b/>
              </w:rPr>
            </w:pPr>
            <w:r w:rsidRPr="00814AD3">
              <w:rPr>
                <w:b/>
              </w:rPr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4E9DD75C" w14:textId="77777777" w:rsidR="004966BF" w:rsidRPr="00814AD3" w:rsidRDefault="004966BF" w:rsidP="00263255">
            <w:pPr>
              <w:pStyle w:val="Tableheader"/>
              <w:rPr>
                <w:b/>
              </w:rPr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185BC9CD" w14:textId="77777777" w:rsidR="004966BF" w:rsidRPr="00814AD3" w:rsidRDefault="004966BF" w:rsidP="00263255">
            <w:pPr>
              <w:pStyle w:val="Tableheader"/>
              <w:rPr>
                <w:b/>
              </w:rPr>
            </w:pPr>
            <w:r w:rsidRPr="00814AD3">
              <w:rPr>
                <w:b/>
              </w:rPr>
              <w:t>Year</w:t>
            </w:r>
          </w:p>
        </w:tc>
        <w:tc>
          <w:tcPr>
            <w:tcW w:w="6452" w:type="dxa"/>
            <w:shd w:val="clear" w:color="auto" w:fill="BFBFBF" w:themeFill="background1" w:themeFillShade="BF"/>
            <w:vAlign w:val="center"/>
          </w:tcPr>
          <w:p w14:paraId="14598E19" w14:textId="77777777" w:rsidR="004966BF" w:rsidRPr="00814AD3" w:rsidRDefault="004966BF" w:rsidP="00263255">
            <w:pPr>
              <w:pStyle w:val="Tableheader"/>
              <w:rPr>
                <w:b/>
              </w:rPr>
            </w:pPr>
            <w:r w:rsidRPr="00814AD3">
              <w:rPr>
                <w:b/>
              </w:rPr>
              <w:t>Additional information</w:t>
            </w:r>
          </w:p>
        </w:tc>
      </w:tr>
      <w:tr w:rsidR="004966BF" w:rsidRPr="004C23F4" w14:paraId="15BF81A2" w14:textId="77777777" w:rsidTr="00814AD3">
        <w:trPr>
          <w:cantSplit/>
        </w:trPr>
        <w:tc>
          <w:tcPr>
            <w:tcW w:w="1491" w:type="dxa"/>
          </w:tcPr>
          <w:p w14:paraId="6DBD8A22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2" w:type="dxa"/>
          </w:tcPr>
          <w:p w14:paraId="1B69273A" w14:textId="77777777" w:rsidR="004966BF" w:rsidRPr="00CE617F" w:rsidRDefault="00814AD3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264423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2C128CB3" w14:textId="77777777" w:rsidR="004966BF" w:rsidRPr="004C23F4" w:rsidRDefault="00C463DD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2018</w:t>
            </w:r>
          </w:p>
        </w:tc>
        <w:tc>
          <w:tcPr>
            <w:tcW w:w="6452" w:type="dxa"/>
          </w:tcPr>
          <w:p w14:paraId="0C7C7D00" w14:textId="1C33AEDC" w:rsidR="003050BB" w:rsidRDefault="00824ECF" w:rsidP="00C837A5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No systemic toxicity, </w:t>
            </w:r>
          </w:p>
          <w:p w14:paraId="5EAC8472" w14:textId="51E9AC1C" w:rsidR="00824ECF" w:rsidRDefault="00824ECF" w:rsidP="003050BB">
            <w:pPr>
              <w:pStyle w:val="Tablefont"/>
              <w:numPr>
                <w:ilvl w:val="0"/>
                <w:numId w:val="7"/>
              </w:numPr>
              <w:spacing w:before="60" w:after="6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irritational effects reported for 9.6% solution in acetone at 150–600 mg/kg </w:t>
            </w:r>
            <w:r w:rsidR="00C463DD">
              <w:rPr>
                <w:rStyle w:val="checkbox"/>
                <w:rFonts w:ascii="Arial" w:hAnsi="Arial" w:cs="Arial"/>
              </w:rPr>
              <w:t xml:space="preserve">in repeat dermal application study </w:t>
            </w:r>
            <w:r>
              <w:rPr>
                <w:rStyle w:val="checkbox"/>
                <w:rFonts w:ascii="Arial" w:hAnsi="Arial" w:cs="Arial"/>
              </w:rPr>
              <w:t xml:space="preserve">(mice, </w:t>
            </w:r>
            <w:r w:rsidR="00C463DD">
              <w:rPr>
                <w:rStyle w:val="checkbox"/>
                <w:rFonts w:ascii="Arial" w:hAnsi="Arial" w:cs="Arial"/>
              </w:rPr>
              <w:t xml:space="preserve">9 exposures, </w:t>
            </w:r>
            <w:r>
              <w:rPr>
                <w:rStyle w:val="checkbox"/>
                <w:rFonts w:ascii="Arial" w:hAnsi="Arial" w:cs="Arial"/>
              </w:rPr>
              <w:t>3 wk)</w:t>
            </w:r>
          </w:p>
          <w:p w14:paraId="1B61E5F4" w14:textId="62EA9786" w:rsidR="00DD1E9C" w:rsidRPr="004C23F4" w:rsidRDefault="00824ECF" w:rsidP="003050BB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No evidence for carcinogenicity in chronic inhalation study with methyl methacrylate, metabolised to methacrylic acid, </w:t>
            </w:r>
            <w:r w:rsidR="003050BB">
              <w:rPr>
                <w:rStyle w:val="checkbox"/>
                <w:rFonts w:ascii="Arial" w:hAnsi="Arial" w:cs="Arial"/>
              </w:rPr>
              <w:t>≤</w:t>
            </w:r>
            <w:r>
              <w:rPr>
                <w:rStyle w:val="checkbox"/>
                <w:rFonts w:ascii="Arial" w:hAnsi="Arial" w:cs="Arial"/>
              </w:rPr>
              <w:t>1,000 ppm (rats, n=50/sex/group, 6 h/d, 5 d/wk, 2 yr)</w:t>
            </w:r>
            <w:r w:rsidR="008A53D5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688FACCE" w14:textId="77777777" w:rsidTr="00814AD3">
        <w:trPr>
          <w:cantSplit/>
        </w:trPr>
        <w:tc>
          <w:tcPr>
            <w:tcW w:w="1491" w:type="dxa"/>
          </w:tcPr>
          <w:p w14:paraId="6EDCDBF8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2" w:type="dxa"/>
          </w:tcPr>
          <w:p w14:paraId="29EFBB2C" w14:textId="77777777" w:rsidR="004966BF" w:rsidRPr="00CE617F" w:rsidRDefault="00814AD3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264423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CEC470C" w14:textId="77777777" w:rsidR="004966BF" w:rsidRPr="004C23F4" w:rsidRDefault="00264423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2019</w:t>
            </w:r>
          </w:p>
        </w:tc>
        <w:tc>
          <w:tcPr>
            <w:tcW w:w="6452" w:type="dxa"/>
          </w:tcPr>
          <w:p w14:paraId="29E501C1" w14:textId="1EA742E6" w:rsidR="003050BB" w:rsidRDefault="00824ECF" w:rsidP="00C837A5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Upper respiratory tract irritation is most sensitive end</w:t>
            </w:r>
            <w:r w:rsidR="00687E4E">
              <w:rPr>
                <w:rStyle w:val="checkbox"/>
                <w:rFonts w:ascii="Arial" w:hAnsi="Arial" w:cs="Arial"/>
              </w:rPr>
              <w:t xml:space="preserve"> </w:t>
            </w:r>
            <w:r>
              <w:rPr>
                <w:rStyle w:val="checkbox"/>
                <w:rFonts w:ascii="Arial" w:hAnsi="Arial" w:cs="Arial"/>
              </w:rPr>
              <w:t>point</w:t>
            </w:r>
            <w:r w:rsidR="00687E4E">
              <w:rPr>
                <w:rStyle w:val="checkbox"/>
                <w:rFonts w:ascii="Arial" w:hAnsi="Arial" w:cs="Arial"/>
              </w:rPr>
              <w:t xml:space="preserve">: </w:t>
            </w:r>
          </w:p>
          <w:p w14:paraId="3F6E7CD0" w14:textId="47770BE1" w:rsidR="00824ECF" w:rsidRDefault="00824ECF" w:rsidP="003050BB">
            <w:pPr>
              <w:pStyle w:val="Tablefont"/>
              <w:numPr>
                <w:ilvl w:val="0"/>
                <w:numId w:val="7"/>
              </w:numPr>
              <w:spacing w:before="60" w:after="6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occurs before systemic toxicity </w:t>
            </w:r>
            <w:r w:rsidR="00264423">
              <w:rPr>
                <w:rStyle w:val="checkbox"/>
                <w:rFonts w:ascii="Arial" w:hAnsi="Arial" w:cs="Arial"/>
              </w:rPr>
              <w:t xml:space="preserve">manifested as reduced </w:t>
            </w:r>
            <w:r w:rsidR="00687E4E">
              <w:t>body weight</w:t>
            </w:r>
            <w:r w:rsidR="00264423">
              <w:rPr>
                <w:rStyle w:val="checkbox"/>
                <w:rFonts w:ascii="Arial" w:hAnsi="Arial" w:cs="Arial"/>
              </w:rPr>
              <w:t xml:space="preserve"> gain in 2</w:t>
            </w:r>
            <w:r w:rsidR="008A53D5">
              <w:rPr>
                <w:rStyle w:val="checkbox"/>
                <w:rFonts w:ascii="Arial" w:hAnsi="Arial" w:cs="Arial"/>
              </w:rPr>
              <w:t xml:space="preserve"> </w:t>
            </w:r>
            <w:r w:rsidR="00264423">
              <w:rPr>
                <w:rStyle w:val="checkbox"/>
                <w:rFonts w:ascii="Arial" w:hAnsi="Arial" w:cs="Arial"/>
              </w:rPr>
              <w:t>yr chronic inhalation study with methyl methacrylate (rats)</w:t>
            </w:r>
          </w:p>
          <w:p w14:paraId="0CB70F4F" w14:textId="0706E4D3" w:rsidR="00264423" w:rsidRDefault="00824ECF" w:rsidP="00C837A5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 xml:space="preserve">Long-term inhalation DNEL calculated from NOAEL of </w:t>
            </w:r>
            <w:r w:rsidR="003050BB">
              <w:rPr>
                <w:rStyle w:val="checkbox"/>
                <w:rFonts w:ascii="Arial" w:hAnsi="Arial" w:cs="Arial"/>
              </w:rPr>
              <w:t>100 </w:t>
            </w:r>
            <w:r>
              <w:rPr>
                <w:rStyle w:val="checkbox"/>
                <w:rFonts w:ascii="Arial" w:hAnsi="Arial" w:cs="Arial"/>
              </w:rPr>
              <w:t>ppm for nasal epithelium hyperpla</w:t>
            </w:r>
            <w:r w:rsidR="00264423">
              <w:rPr>
                <w:rStyle w:val="checkbox"/>
                <w:rFonts w:ascii="Arial" w:hAnsi="Arial" w:cs="Arial"/>
              </w:rPr>
              <w:t>sia (rats, 90 d, also cited in DFG, 2016)</w:t>
            </w:r>
          </w:p>
          <w:p w14:paraId="642D1F26" w14:textId="3D0F8DF5" w:rsidR="003050BB" w:rsidRDefault="00264423" w:rsidP="002F1F3F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Overall assessment factor of 11.9 applied to account for scaling exposure duration, inter- and intraspecies differences and exposure duration</w:t>
            </w:r>
            <w:r w:rsidR="00687E4E">
              <w:rPr>
                <w:rStyle w:val="checkbox"/>
                <w:rFonts w:ascii="Arial" w:hAnsi="Arial" w:cs="Arial"/>
              </w:rPr>
              <w:t>: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</w:p>
          <w:p w14:paraId="65D2F1B5" w14:textId="59170BD0" w:rsidR="004966BF" w:rsidRPr="004C23F4" w:rsidRDefault="00264423" w:rsidP="003050BB">
            <w:pPr>
              <w:pStyle w:val="Tablefont"/>
              <w:numPr>
                <w:ilvl w:val="0"/>
                <w:numId w:val="7"/>
              </w:numPr>
              <w:spacing w:before="60" w:after="6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DNEL: 8.4 ppm</w:t>
            </w:r>
            <w:r w:rsidR="008A53D5">
              <w:rPr>
                <w:rStyle w:val="checkbox"/>
                <w:rFonts w:ascii="Arial" w:hAnsi="Arial" w:cs="Arial"/>
              </w:rPr>
              <w:t>.</w:t>
            </w:r>
          </w:p>
        </w:tc>
        <w:bookmarkStart w:id="1" w:name="_GoBack"/>
        <w:bookmarkEnd w:id="1"/>
      </w:tr>
    </w:tbl>
    <w:bookmarkEnd w:id="0"/>
    <w:p w14:paraId="6AE544EF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501846ED" w14:textId="77777777" w:rsidTr="00264423">
        <w:trPr>
          <w:trHeight w:val="454"/>
          <w:tblHeader/>
        </w:trPr>
        <w:tc>
          <w:tcPr>
            <w:tcW w:w="6603" w:type="dxa"/>
            <w:vAlign w:val="center"/>
          </w:tcPr>
          <w:p w14:paraId="7892667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371640F" w14:textId="77777777" w:rsidR="002E0D61" w:rsidRDefault="00264423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6F66C63A" w14:textId="77777777" w:rsidTr="00264423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4E65C3C5" w14:textId="77777777" w:rsidR="008A36CF" w:rsidRPr="006901A2" w:rsidRDefault="00264423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311435F5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54CF912F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814AD3" w14:paraId="43978BBD" w14:textId="77777777" w:rsidTr="00814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3A01AA7E" w14:textId="77777777" w:rsidR="00687890" w:rsidRPr="00814AD3" w:rsidRDefault="00687890" w:rsidP="00263255">
            <w:pPr>
              <w:pStyle w:val="Tableheader"/>
              <w:rPr>
                <w:b/>
              </w:rPr>
            </w:pPr>
            <w:bookmarkStart w:id="3" w:name="Notations"/>
            <w:r w:rsidRPr="00814AD3">
              <w:rPr>
                <w:b/>
              </w:rPr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6CF66542" w14:textId="77777777" w:rsidR="00687890" w:rsidRPr="00814AD3" w:rsidRDefault="00687890" w:rsidP="00F4402E">
            <w:pPr>
              <w:pStyle w:val="Tableheader"/>
              <w:tabs>
                <w:tab w:val="right" w:pos="5272"/>
              </w:tabs>
              <w:rPr>
                <w:b/>
              </w:rPr>
            </w:pPr>
            <w:r w:rsidRPr="00814AD3">
              <w:rPr>
                <w:b/>
              </w:rPr>
              <w:t>Notations</w:t>
            </w:r>
            <w:r w:rsidR="003A2B94" w:rsidRPr="00814AD3">
              <w:rPr>
                <w:b/>
              </w:rPr>
              <w:tab/>
            </w:r>
          </w:p>
        </w:tc>
      </w:tr>
      <w:tr w:rsidR="00687890" w:rsidRPr="004C23F4" w14:paraId="005005D8" w14:textId="77777777" w:rsidTr="00814AD3">
        <w:trPr>
          <w:cantSplit/>
        </w:trPr>
        <w:tc>
          <w:tcPr>
            <w:tcW w:w="3227" w:type="dxa"/>
          </w:tcPr>
          <w:p w14:paraId="27D8A7C1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DA865A3" w14:textId="77777777" w:rsidR="00687890" w:rsidRPr="00DD2F9B" w:rsidRDefault="00AB3B41" w:rsidP="00DD2F9B">
            <w:pPr>
              <w:pStyle w:val="Tablefont"/>
            </w:pPr>
            <w:r w:rsidRPr="00AB3B41">
              <w:t>—</w:t>
            </w:r>
          </w:p>
        </w:tc>
      </w:tr>
      <w:tr w:rsidR="007925F0" w:rsidRPr="004C23F4" w14:paraId="4BEBB78D" w14:textId="77777777" w:rsidTr="00814AD3">
        <w:trPr>
          <w:cantSplit/>
        </w:trPr>
        <w:tc>
          <w:tcPr>
            <w:tcW w:w="3227" w:type="dxa"/>
          </w:tcPr>
          <w:p w14:paraId="18FCEAF7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39CEC1C0" w14:textId="77777777" w:rsidR="007925F0" w:rsidRPr="00DD2F9B" w:rsidRDefault="00AB3B41" w:rsidP="00DD2F9B">
            <w:pPr>
              <w:pStyle w:val="Tablefont"/>
            </w:pPr>
            <w:r w:rsidRPr="00AB3B41">
              <w:t>—</w:t>
            </w:r>
          </w:p>
        </w:tc>
      </w:tr>
      <w:tr w:rsidR="00AF483F" w:rsidRPr="004C23F4" w14:paraId="1F586B63" w14:textId="77777777" w:rsidTr="00814AD3">
        <w:trPr>
          <w:cantSplit/>
        </w:trPr>
        <w:tc>
          <w:tcPr>
            <w:tcW w:w="3227" w:type="dxa"/>
          </w:tcPr>
          <w:p w14:paraId="2CED6F3F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2BD18141" w14:textId="77777777" w:rsidR="00AF483F" w:rsidRPr="00DD2F9B" w:rsidRDefault="00AB3B41" w:rsidP="00DD2F9B">
            <w:pPr>
              <w:pStyle w:val="Tablefont"/>
            </w:pPr>
            <w:r w:rsidRPr="00AB3B41">
              <w:t>—</w:t>
            </w:r>
          </w:p>
        </w:tc>
      </w:tr>
      <w:tr w:rsidR="00687890" w:rsidRPr="004C23F4" w14:paraId="6A6C3954" w14:textId="77777777" w:rsidTr="00814AD3">
        <w:trPr>
          <w:cantSplit/>
        </w:trPr>
        <w:tc>
          <w:tcPr>
            <w:tcW w:w="3227" w:type="dxa"/>
          </w:tcPr>
          <w:p w14:paraId="1E1C8777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4785932E" w14:textId="77777777" w:rsidR="00687890" w:rsidRPr="00DD2F9B" w:rsidRDefault="00AB3B41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5D89D4E2" w14:textId="77777777" w:rsidTr="00814AD3">
        <w:trPr>
          <w:cantSplit/>
        </w:trPr>
        <w:tc>
          <w:tcPr>
            <w:tcW w:w="3227" w:type="dxa"/>
          </w:tcPr>
          <w:p w14:paraId="54E041C0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3A4754B7" w14:textId="77777777" w:rsidR="00E41A26" w:rsidRPr="00DD2F9B" w:rsidRDefault="00AB3B41" w:rsidP="00DD2F9B">
            <w:pPr>
              <w:pStyle w:val="Tablefont"/>
            </w:pPr>
            <w:r w:rsidRPr="00AB3B41">
              <w:t>—</w:t>
            </w:r>
          </w:p>
        </w:tc>
      </w:tr>
      <w:tr w:rsidR="002E0D61" w:rsidRPr="004C23F4" w14:paraId="3A8C6BCB" w14:textId="77777777" w:rsidTr="00814AD3">
        <w:trPr>
          <w:cantSplit/>
        </w:trPr>
        <w:tc>
          <w:tcPr>
            <w:tcW w:w="3227" w:type="dxa"/>
          </w:tcPr>
          <w:p w14:paraId="0BB8CB3B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B5943D7" w14:textId="77777777" w:rsidR="002E0D61" w:rsidRPr="00DD2F9B" w:rsidRDefault="00AB3B41" w:rsidP="00DD2F9B">
            <w:pPr>
              <w:pStyle w:val="Tablefont"/>
            </w:pPr>
            <w:r w:rsidRPr="00AB3B41">
              <w:t>—</w:t>
            </w:r>
          </w:p>
        </w:tc>
      </w:tr>
      <w:tr w:rsidR="002E0D61" w:rsidRPr="004C23F4" w14:paraId="01B24009" w14:textId="77777777" w:rsidTr="00814AD3">
        <w:trPr>
          <w:cantSplit/>
        </w:trPr>
        <w:tc>
          <w:tcPr>
            <w:tcW w:w="3227" w:type="dxa"/>
          </w:tcPr>
          <w:p w14:paraId="381018AC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5C8F54BA" w14:textId="77777777" w:rsidR="002E0D61" w:rsidRPr="00DD2F9B" w:rsidRDefault="00AB3B41" w:rsidP="00DD2F9B">
            <w:pPr>
              <w:pStyle w:val="Tablefont"/>
            </w:pPr>
            <w:r w:rsidRPr="00AB3B41">
              <w:t>—</w:t>
            </w:r>
          </w:p>
        </w:tc>
      </w:tr>
      <w:tr w:rsidR="002E0D61" w:rsidRPr="004C23F4" w14:paraId="1B9C84C1" w14:textId="77777777" w:rsidTr="00814AD3">
        <w:trPr>
          <w:cantSplit/>
        </w:trPr>
        <w:tc>
          <w:tcPr>
            <w:tcW w:w="3227" w:type="dxa"/>
          </w:tcPr>
          <w:p w14:paraId="2E4F524B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414C37E" w14:textId="77777777" w:rsidR="002E0D61" w:rsidRPr="00DD2F9B" w:rsidRDefault="00AB3B41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0407CB29" w14:textId="77777777" w:rsidTr="00814AD3">
        <w:trPr>
          <w:cantSplit/>
        </w:trPr>
        <w:tc>
          <w:tcPr>
            <w:tcW w:w="3227" w:type="dxa"/>
          </w:tcPr>
          <w:p w14:paraId="5E9D9AA1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5F420D5E" w14:textId="77777777" w:rsidR="002E0D61" w:rsidRPr="00DD2F9B" w:rsidRDefault="00054F39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ACF0D00" w14:textId="77777777" w:rsidTr="00814AD3">
        <w:trPr>
          <w:cantSplit/>
        </w:trPr>
        <w:tc>
          <w:tcPr>
            <w:tcW w:w="3227" w:type="dxa"/>
          </w:tcPr>
          <w:p w14:paraId="3A09889C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1ACAA2AA" w14:textId="77777777" w:rsidR="00386093" w:rsidRPr="00DD2F9B" w:rsidRDefault="00054F39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E4A3F41" w14:textId="77777777" w:rsidTr="00814AD3">
        <w:trPr>
          <w:cantSplit/>
        </w:trPr>
        <w:tc>
          <w:tcPr>
            <w:tcW w:w="3227" w:type="dxa"/>
          </w:tcPr>
          <w:p w14:paraId="2432B083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47AA60A4" w14:textId="77777777" w:rsidR="00386093" w:rsidRPr="00DD2F9B" w:rsidRDefault="00054F39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31698BFD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92C27A0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048AF935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DF9003C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2B284B1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00" w:type="dxa"/>
              <w:tblLook w:val="04A0" w:firstRow="1" w:lastRow="0" w:firstColumn="1" w:lastColumn="0" w:noHBand="0" w:noVBand="1"/>
            </w:tblPr>
            <w:tblGrid>
              <w:gridCol w:w="3864"/>
              <w:gridCol w:w="474"/>
              <w:gridCol w:w="660"/>
              <w:gridCol w:w="3802"/>
            </w:tblGrid>
            <w:tr w:rsidR="008C7B54" w:rsidRPr="008C7B54" w14:paraId="35A4184F" w14:textId="77777777" w:rsidTr="008C7B54">
              <w:trPr>
                <w:trHeight w:val="231"/>
              </w:trPr>
              <w:tc>
                <w:tcPr>
                  <w:tcW w:w="3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872006" w14:textId="77777777" w:rsidR="008C7B54" w:rsidRPr="008C7B54" w:rsidRDefault="008C7B54" w:rsidP="008C7B5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7B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E461BD" w14:textId="77777777" w:rsidR="008C7B54" w:rsidRPr="008C7B54" w:rsidRDefault="008C7B54" w:rsidP="008C7B5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7B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8868E83" w14:textId="77777777" w:rsidR="008C7B54" w:rsidRPr="008C7B54" w:rsidRDefault="008C7B54" w:rsidP="008C7B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C7B5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16255C" w14:textId="77777777" w:rsidR="008C7B54" w:rsidRPr="008C7B54" w:rsidRDefault="008C7B54" w:rsidP="008C7B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7B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C7B54" w:rsidRPr="008C7B54" w14:paraId="018671E0" w14:textId="77777777" w:rsidTr="008C7B54">
              <w:trPr>
                <w:trHeight w:val="231"/>
              </w:trPr>
              <w:tc>
                <w:tcPr>
                  <w:tcW w:w="3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455906" w14:textId="77777777" w:rsidR="008C7B54" w:rsidRPr="008C7B54" w:rsidRDefault="008C7B54" w:rsidP="008C7B5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7B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8C7B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C7B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6754293" w14:textId="77777777" w:rsidR="008C7B54" w:rsidRPr="008C7B54" w:rsidRDefault="008C7B54" w:rsidP="008C7B5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7B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87E3F0" w14:textId="77777777" w:rsidR="008C7B54" w:rsidRPr="008C7B54" w:rsidRDefault="008C7B54" w:rsidP="008C7B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C7B5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401C31" w14:textId="77777777" w:rsidR="008C7B54" w:rsidRPr="008C7B54" w:rsidRDefault="008C7B54" w:rsidP="008C7B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7B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C7B54" w:rsidRPr="008C7B54" w14:paraId="381024CA" w14:textId="77777777" w:rsidTr="008C7B54">
              <w:trPr>
                <w:trHeight w:val="231"/>
              </w:trPr>
              <w:tc>
                <w:tcPr>
                  <w:tcW w:w="3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CB4B56" w14:textId="77777777" w:rsidR="008C7B54" w:rsidRPr="008C7B54" w:rsidRDefault="008C7B54" w:rsidP="008C7B5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7B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15D51F" w14:textId="77777777" w:rsidR="008C7B54" w:rsidRPr="008C7B54" w:rsidRDefault="008C7B54" w:rsidP="008C7B5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7B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F9DD20E" w14:textId="77777777" w:rsidR="008C7B54" w:rsidRPr="008C7B54" w:rsidRDefault="008C7B54" w:rsidP="008C7B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C7B5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4901F5D" w14:textId="77777777" w:rsidR="008C7B54" w:rsidRPr="008C7B54" w:rsidRDefault="008C7B54" w:rsidP="008C7B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7B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C7B54" w:rsidRPr="008C7B54" w14:paraId="73C002C5" w14:textId="77777777" w:rsidTr="008C7B54">
              <w:trPr>
                <w:trHeight w:val="231"/>
              </w:trPr>
              <w:tc>
                <w:tcPr>
                  <w:tcW w:w="3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602E0D" w14:textId="77777777" w:rsidR="008C7B54" w:rsidRPr="008C7B54" w:rsidRDefault="008C7B54" w:rsidP="008C7B5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7B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8C7B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C7B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8C7B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C7B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D38C4E" w14:textId="77777777" w:rsidR="008C7B54" w:rsidRPr="008C7B54" w:rsidRDefault="008C7B54" w:rsidP="008C7B5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7B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BA4F2D" w14:textId="77777777" w:rsidR="008C7B54" w:rsidRPr="008C7B54" w:rsidRDefault="008C7B54" w:rsidP="008C7B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C7B5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7C25B9" w14:textId="77777777" w:rsidR="008C7B54" w:rsidRPr="008C7B54" w:rsidRDefault="008C7B54" w:rsidP="008C7B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7B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C7B54" w:rsidRPr="008C7B54" w14:paraId="09C262E9" w14:textId="77777777" w:rsidTr="008C7B54">
              <w:trPr>
                <w:trHeight w:val="231"/>
              </w:trPr>
              <w:tc>
                <w:tcPr>
                  <w:tcW w:w="3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837343B" w14:textId="77777777" w:rsidR="008C7B54" w:rsidRPr="008C7B54" w:rsidRDefault="008C7B54" w:rsidP="008C7B5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7B54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8C7B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8DB8E3A" w14:textId="77777777" w:rsidR="008C7B54" w:rsidRPr="008C7B54" w:rsidRDefault="008C7B54" w:rsidP="008C7B5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7B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EC3C42" w14:textId="77777777" w:rsidR="008C7B54" w:rsidRPr="008C7B54" w:rsidRDefault="008C7B54" w:rsidP="008C7B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C7B5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3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6D08D1E" w14:textId="77777777" w:rsidR="008C7B54" w:rsidRPr="008C7B54" w:rsidRDefault="008C7B54" w:rsidP="008C7B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7B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C7B54" w:rsidRPr="008C7B54" w14:paraId="150820BE" w14:textId="77777777" w:rsidTr="008C7B54">
              <w:trPr>
                <w:trHeight w:val="231"/>
              </w:trPr>
              <w:tc>
                <w:tcPr>
                  <w:tcW w:w="3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59422A" w14:textId="77777777" w:rsidR="008C7B54" w:rsidRPr="008C7B54" w:rsidRDefault="008C7B54" w:rsidP="008C7B5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7B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584BFD9A" w14:textId="77777777" w:rsidR="008C7B54" w:rsidRPr="008C7B54" w:rsidRDefault="008C7B54" w:rsidP="008C7B5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8C7B54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64CED90" w14:textId="77777777" w:rsidR="008C7B54" w:rsidRPr="008C7B54" w:rsidRDefault="008C7B54" w:rsidP="008C7B5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C7B5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2.00</w:t>
                  </w:r>
                </w:p>
              </w:tc>
              <w:tc>
                <w:tcPr>
                  <w:tcW w:w="3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04292D8" w14:textId="77777777" w:rsidR="008C7B54" w:rsidRPr="008C7B54" w:rsidRDefault="008C7B54" w:rsidP="008C7B5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7B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C7B54" w:rsidRPr="008C7B54" w14:paraId="486DD348" w14:textId="77777777" w:rsidTr="008C7B54">
              <w:trPr>
                <w:trHeight w:val="231"/>
              </w:trPr>
              <w:tc>
                <w:tcPr>
                  <w:tcW w:w="3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DCDC4F" w14:textId="77777777" w:rsidR="008C7B54" w:rsidRPr="008C7B54" w:rsidRDefault="008C7B54" w:rsidP="008C7B5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7B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FCAF40" w14:textId="77777777" w:rsidR="008C7B54" w:rsidRPr="008C7B54" w:rsidRDefault="008C7B54" w:rsidP="008C7B5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7B5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ADC1386" w14:textId="77777777" w:rsidR="008C7B54" w:rsidRPr="008C7B54" w:rsidRDefault="008C7B54" w:rsidP="008C7B5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C7B5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2</w:t>
                  </w:r>
                </w:p>
              </w:tc>
              <w:tc>
                <w:tcPr>
                  <w:tcW w:w="3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E5DD75" w14:textId="77777777" w:rsidR="008C7B54" w:rsidRPr="008C7B54" w:rsidRDefault="008C7B54" w:rsidP="008C7B54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8C7B54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insufficient data to assign a skin notation</w:t>
                  </w:r>
                </w:p>
              </w:tc>
            </w:tr>
          </w:tbl>
          <w:p w14:paraId="384F3BB6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25995065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40AC562A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05AE0138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7F71829A" w14:textId="77777777" w:rsidR="00EB3D1B" w:rsidRDefault="00054F39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2E726BCA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74040AA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69DF8C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55CCBD2" w14:textId="77777777" w:rsidR="001B79E5" w:rsidRDefault="00054F39" w:rsidP="001B79E5">
                <w:pPr>
                  <w:pStyle w:val="Tablefont"/>
                </w:pPr>
                <w:r w:rsidRPr="00054F39">
                  <w:t>86.06</w:t>
                </w:r>
              </w:p>
            </w:tc>
          </w:sdtContent>
        </w:sdt>
      </w:tr>
      <w:tr w:rsidR="00A31D99" w:rsidRPr="004C23F4" w14:paraId="563367CE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A1ABBC8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EA2CA30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054F39">
                  <w:t>3.52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054F39">
                  <w:t>0.284</w:t>
                </w:r>
              </w:sdtContent>
            </w:sdt>
            <w:r w:rsidRPr="00054F39">
              <w:t xml:space="preserve"> </w:t>
            </w:r>
            <w:r>
              <w:t>ppm</w:t>
            </w:r>
          </w:p>
        </w:tc>
      </w:tr>
      <w:tr w:rsidR="00687890" w:rsidRPr="004C23F4" w14:paraId="274FF73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D2237E9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4C79299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EE102CC" w14:textId="77777777" w:rsidTr="00EA6243">
        <w:trPr>
          <w:cantSplit/>
        </w:trPr>
        <w:tc>
          <w:tcPr>
            <w:tcW w:w="4077" w:type="dxa"/>
            <w:vAlign w:val="center"/>
          </w:tcPr>
          <w:p w14:paraId="41CAACCD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7540F70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322CC8B" w14:textId="77777777" w:rsidTr="00EA6243">
        <w:trPr>
          <w:cantSplit/>
        </w:trPr>
        <w:tc>
          <w:tcPr>
            <w:tcW w:w="4077" w:type="dxa"/>
            <w:vAlign w:val="center"/>
          </w:tcPr>
          <w:p w14:paraId="69350E0B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368B635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122B2BD1" w14:textId="77777777" w:rsidTr="00EA6243">
        <w:trPr>
          <w:cantSplit/>
        </w:trPr>
        <w:tc>
          <w:tcPr>
            <w:tcW w:w="4077" w:type="dxa"/>
            <w:vAlign w:val="center"/>
          </w:tcPr>
          <w:p w14:paraId="790DE0A9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2470B060" w14:textId="77777777" w:rsidR="00E06F40" w:rsidRPr="00A006A0" w:rsidRDefault="00814AD3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D3CBBB5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F6758AD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3DF9CCDF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33550BE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500B3657" w14:textId="77777777" w:rsidTr="00F053FA">
        <w:trPr>
          <w:tblHeader/>
        </w:trPr>
        <w:sdt>
          <w:sdtPr>
            <w:id w:val="-25557549"/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5AC19B8B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50791443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593085F0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58F3C54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530A2AD2" w14:textId="77777777" w:rsidR="00054F39" w:rsidRDefault="00054F39" w:rsidP="00084859">
      <w:r>
        <w:t xml:space="preserve">Deutsche Forschungsgemeinschaft (DFG) (2016) </w:t>
      </w:r>
      <w:r w:rsidRPr="00054F39">
        <w:t>Methacrylic acid</w:t>
      </w:r>
      <w:r>
        <w:t xml:space="preserve"> – MAK value documentation.</w:t>
      </w:r>
    </w:p>
    <w:p w14:paraId="48199EFE" w14:textId="77777777" w:rsidR="00BA1F15" w:rsidRDefault="00855BF7" w:rsidP="00084859">
      <w:r w:rsidRPr="00855BF7">
        <w:t>European Chemicals Agency Regulation (ECHA) No 1907/2006 of the European Parliament and of the Council of 18 December 2006 concerning the Registration, Evaluation, Authorisation and Restriction of Chemicals (REACH).</w:t>
      </w:r>
    </w:p>
    <w:p w14:paraId="19F554E9" w14:textId="77777777" w:rsidR="00054F39" w:rsidRPr="00351FE0" w:rsidRDefault="00054F39" w:rsidP="00084859">
      <w:r>
        <w:t>National Industrial Chemicals Notification and Assessment Scheme (NICNAS) (</w:t>
      </w:r>
      <w:r w:rsidRPr="00054F39">
        <w:t>2018</w:t>
      </w:r>
      <w:r>
        <w:t xml:space="preserve">) </w:t>
      </w:r>
      <w:r w:rsidRPr="00054F39">
        <w:t>2-Propenoic acid, 2-methyl</w:t>
      </w:r>
      <w:r>
        <w:t xml:space="preserve">: Human health </w:t>
      </w:r>
      <w:r w:rsidRPr="00054F39">
        <w:t>tier II</w:t>
      </w:r>
      <w:r>
        <w:t xml:space="preserve"> assessment – IMAP report.</w:t>
      </w:r>
    </w:p>
    <w:sectPr w:rsidR="00054F39" w:rsidRPr="00351FE0" w:rsidSect="00B87D4C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D91DA" w14:textId="77777777" w:rsidR="00203550" w:rsidRDefault="00203550" w:rsidP="00F43AD5">
      <w:pPr>
        <w:spacing w:after="0" w:line="240" w:lineRule="auto"/>
      </w:pPr>
      <w:r>
        <w:separator/>
      </w:r>
    </w:p>
  </w:endnote>
  <w:endnote w:type="continuationSeparator" w:id="0">
    <w:p w14:paraId="643A6281" w14:textId="77777777" w:rsidR="00203550" w:rsidRDefault="00203550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01C68" w14:textId="77777777" w:rsidR="00814AD3" w:rsidRDefault="00814A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F39D09C" w14:textId="77777777" w:rsidR="000B028E" w:rsidRDefault="000B028E" w:rsidP="0034744C">
        <w:pPr>
          <w:pStyle w:val="Footer"/>
          <w:rPr>
            <w:sz w:val="18"/>
            <w:szCs w:val="18"/>
          </w:rPr>
        </w:pPr>
        <w:r w:rsidRPr="003F03EC">
          <w:rPr>
            <w:b/>
            <w:sz w:val="18"/>
            <w:szCs w:val="18"/>
          </w:rPr>
          <w:t>Methacrylic acid</w:t>
        </w:r>
        <w:r>
          <w:rPr>
            <w:b/>
            <w:sz w:val="18"/>
            <w:szCs w:val="18"/>
          </w:rPr>
          <w:t xml:space="preserve"> (</w:t>
        </w:r>
        <w:r w:rsidRPr="00107FC8">
          <w:rPr>
            <w:b/>
            <w:sz w:val="18"/>
            <w:szCs w:val="18"/>
          </w:rPr>
          <w:t>79-41-4</w:t>
        </w:r>
        <w:r>
          <w:rPr>
            <w:b/>
            <w:sz w:val="18"/>
            <w:szCs w:val="18"/>
          </w:rPr>
          <w:t>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201</w:t>
        </w:r>
        <w:r>
          <w:rPr>
            <w:sz w:val="18"/>
            <w:szCs w:val="18"/>
          </w:rPr>
          <w:t>9</w:t>
        </w:r>
      </w:p>
      <w:p w14:paraId="7804C0EB" w14:textId="4C663337" w:rsidR="000B028E" w:rsidRPr="00F43AD5" w:rsidRDefault="000B028E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3050BB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0774A" w14:textId="77777777" w:rsidR="00814AD3" w:rsidRDefault="00814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9DDB0" w14:textId="77777777" w:rsidR="00203550" w:rsidRDefault="00203550" w:rsidP="00F43AD5">
      <w:pPr>
        <w:spacing w:after="0" w:line="240" w:lineRule="auto"/>
      </w:pPr>
      <w:r>
        <w:separator/>
      </w:r>
    </w:p>
  </w:footnote>
  <w:footnote w:type="continuationSeparator" w:id="0">
    <w:p w14:paraId="15ADFAE1" w14:textId="77777777" w:rsidR="00203550" w:rsidRDefault="00203550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FCD09" w14:textId="3FD4ED03" w:rsidR="00814AD3" w:rsidRDefault="00814AD3">
    <w:pPr>
      <w:pStyle w:val="Header"/>
    </w:pPr>
    <w:r>
      <w:rPr>
        <w:noProof/>
      </w:rPr>
      <w:pict w14:anchorId="0573A0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453407" o:spid="_x0000_s8194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63F54" w14:textId="7EC5B1D2" w:rsidR="000B028E" w:rsidRDefault="00814AD3" w:rsidP="00F43AD5">
    <w:pPr>
      <w:pStyle w:val="Header"/>
      <w:jc w:val="right"/>
    </w:pPr>
    <w:r>
      <w:rPr>
        <w:noProof/>
      </w:rPr>
      <w:pict w14:anchorId="396550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453408" o:spid="_x0000_s8195" type="#_x0000_t136" style="position:absolute;left:0;text-align:left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0B028E">
      <w:rPr>
        <w:noProof/>
        <w:lang w:eastAsia="en-AU"/>
      </w:rPr>
      <w:drawing>
        <wp:inline distT="0" distB="0" distL="0" distR="0" wp14:anchorId="7E40D5B2" wp14:editId="18531643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54FB4" w14:textId="4C35646F" w:rsidR="00814AD3" w:rsidRDefault="00814AD3">
    <w:pPr>
      <w:pStyle w:val="Header"/>
    </w:pPr>
    <w:r>
      <w:rPr>
        <w:noProof/>
      </w:rPr>
      <w:pict w14:anchorId="79E7C9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453406" o:spid="_x0000_s8193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47B1" w14:textId="5C527C46" w:rsidR="00814AD3" w:rsidRDefault="00814AD3">
    <w:pPr>
      <w:pStyle w:val="Header"/>
    </w:pPr>
    <w:r>
      <w:rPr>
        <w:noProof/>
      </w:rPr>
      <w:pict w14:anchorId="5AC1EA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453410" o:spid="_x0000_s8197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252E0" w14:textId="442C40D7" w:rsidR="000B028E" w:rsidRDefault="00814AD3" w:rsidP="00F43AD5">
    <w:pPr>
      <w:pStyle w:val="Header"/>
      <w:jc w:val="right"/>
    </w:pPr>
    <w:r>
      <w:rPr>
        <w:noProof/>
      </w:rPr>
      <w:pict w14:anchorId="0EF766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453411" o:spid="_x0000_s8198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>
      <w:rPr>
        <w:noProof/>
      </w:rPr>
      <w:drawing>
        <wp:inline distT="0" distB="0" distL="0" distR="0" wp14:anchorId="12E4A7D4" wp14:editId="69072596">
          <wp:extent cx="2938145" cy="59436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3C193" w14:textId="20ED38BA" w:rsidR="00814AD3" w:rsidRDefault="00814AD3">
    <w:pPr>
      <w:pStyle w:val="Header"/>
    </w:pPr>
    <w:r>
      <w:rPr>
        <w:noProof/>
      </w:rPr>
      <w:pict w14:anchorId="1F29C8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453409" o:spid="_x0000_s8196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575B3"/>
    <w:multiLevelType w:val="hybridMultilevel"/>
    <w:tmpl w:val="65ACF91C"/>
    <w:lvl w:ilvl="0" w:tplc="D2988A9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35B4E"/>
    <w:multiLevelType w:val="hybridMultilevel"/>
    <w:tmpl w:val="FE8E29A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0412EA"/>
    <w:multiLevelType w:val="hybridMultilevel"/>
    <w:tmpl w:val="8382BB06"/>
    <w:lvl w:ilvl="0" w:tplc="1A1C18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F6F47"/>
    <w:multiLevelType w:val="hybridMultilevel"/>
    <w:tmpl w:val="08761668"/>
    <w:lvl w:ilvl="0" w:tplc="E18660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7064E"/>
    <w:multiLevelType w:val="hybridMultilevel"/>
    <w:tmpl w:val="28327A5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BB7A00"/>
    <w:multiLevelType w:val="hybridMultilevel"/>
    <w:tmpl w:val="BC5824A8"/>
    <w:lvl w:ilvl="0" w:tplc="10748E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E4829"/>
    <w:multiLevelType w:val="hybridMultilevel"/>
    <w:tmpl w:val="A12A711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9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3CD"/>
    <w:rsid w:val="00007B80"/>
    <w:rsid w:val="00013A22"/>
    <w:rsid w:val="00014C3F"/>
    <w:rsid w:val="00017C82"/>
    <w:rsid w:val="00020A49"/>
    <w:rsid w:val="00032B88"/>
    <w:rsid w:val="00034380"/>
    <w:rsid w:val="00046DF5"/>
    <w:rsid w:val="00052060"/>
    <w:rsid w:val="00054F39"/>
    <w:rsid w:val="00054F58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28E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D2DA2"/>
    <w:rsid w:val="000D629C"/>
    <w:rsid w:val="000E5A54"/>
    <w:rsid w:val="000E63D3"/>
    <w:rsid w:val="000E67CF"/>
    <w:rsid w:val="000F3A60"/>
    <w:rsid w:val="000F591D"/>
    <w:rsid w:val="0010461E"/>
    <w:rsid w:val="00106FAA"/>
    <w:rsid w:val="00107FC8"/>
    <w:rsid w:val="00113443"/>
    <w:rsid w:val="001269A7"/>
    <w:rsid w:val="00131092"/>
    <w:rsid w:val="00140E6A"/>
    <w:rsid w:val="001450EB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C38ED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3550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64423"/>
    <w:rsid w:val="00276494"/>
    <w:rsid w:val="00277B0C"/>
    <w:rsid w:val="002B1A2C"/>
    <w:rsid w:val="002B7BF0"/>
    <w:rsid w:val="002C34F2"/>
    <w:rsid w:val="002C58FF"/>
    <w:rsid w:val="002C7AFE"/>
    <w:rsid w:val="002D05D2"/>
    <w:rsid w:val="002E0D61"/>
    <w:rsid w:val="002E4C7B"/>
    <w:rsid w:val="002F1F3F"/>
    <w:rsid w:val="00302BC5"/>
    <w:rsid w:val="003050BB"/>
    <w:rsid w:val="0030740C"/>
    <w:rsid w:val="00307824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233"/>
    <w:rsid w:val="00352615"/>
    <w:rsid w:val="0035412B"/>
    <w:rsid w:val="003567A8"/>
    <w:rsid w:val="00362895"/>
    <w:rsid w:val="003634B6"/>
    <w:rsid w:val="00370DBF"/>
    <w:rsid w:val="00377E76"/>
    <w:rsid w:val="00385C00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2660"/>
    <w:rsid w:val="003D4FA3"/>
    <w:rsid w:val="003D7410"/>
    <w:rsid w:val="003E0807"/>
    <w:rsid w:val="003E51FB"/>
    <w:rsid w:val="003E6B39"/>
    <w:rsid w:val="003F03EC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1AC4"/>
    <w:rsid w:val="00485BA0"/>
    <w:rsid w:val="00485BFD"/>
    <w:rsid w:val="004867A2"/>
    <w:rsid w:val="004873F2"/>
    <w:rsid w:val="00490D4C"/>
    <w:rsid w:val="00493A35"/>
    <w:rsid w:val="0049527A"/>
    <w:rsid w:val="004966BF"/>
    <w:rsid w:val="004971CD"/>
    <w:rsid w:val="00497984"/>
    <w:rsid w:val="004A08B6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301A"/>
    <w:rsid w:val="00534B10"/>
    <w:rsid w:val="00540F9A"/>
    <w:rsid w:val="005425B4"/>
    <w:rsid w:val="005446A2"/>
    <w:rsid w:val="00544D2F"/>
    <w:rsid w:val="00551BD8"/>
    <w:rsid w:val="0055745C"/>
    <w:rsid w:val="00581055"/>
    <w:rsid w:val="005817A4"/>
    <w:rsid w:val="00591E38"/>
    <w:rsid w:val="005A19C5"/>
    <w:rsid w:val="005A3034"/>
    <w:rsid w:val="005A462D"/>
    <w:rsid w:val="005B0047"/>
    <w:rsid w:val="005B253B"/>
    <w:rsid w:val="005B771D"/>
    <w:rsid w:val="005C5D16"/>
    <w:rsid w:val="005D3193"/>
    <w:rsid w:val="005D4A6E"/>
    <w:rsid w:val="005E4828"/>
    <w:rsid w:val="005E6979"/>
    <w:rsid w:val="005E75CB"/>
    <w:rsid w:val="006013C1"/>
    <w:rsid w:val="0060669E"/>
    <w:rsid w:val="00610F2E"/>
    <w:rsid w:val="00611399"/>
    <w:rsid w:val="00624C4E"/>
    <w:rsid w:val="00625200"/>
    <w:rsid w:val="00627B89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87E4E"/>
    <w:rsid w:val="006901A2"/>
    <w:rsid w:val="00690368"/>
    <w:rsid w:val="0069079C"/>
    <w:rsid w:val="00690B53"/>
    <w:rsid w:val="00690C4E"/>
    <w:rsid w:val="00695B72"/>
    <w:rsid w:val="006B160A"/>
    <w:rsid w:val="006B4E6C"/>
    <w:rsid w:val="006B50B6"/>
    <w:rsid w:val="006D79EA"/>
    <w:rsid w:val="006E5D05"/>
    <w:rsid w:val="006F05D1"/>
    <w:rsid w:val="00701053"/>
    <w:rsid w:val="00701507"/>
    <w:rsid w:val="00714021"/>
    <w:rsid w:val="00716A0F"/>
    <w:rsid w:val="00717D45"/>
    <w:rsid w:val="007208F7"/>
    <w:rsid w:val="007218AF"/>
    <w:rsid w:val="0072443D"/>
    <w:rsid w:val="007328A4"/>
    <w:rsid w:val="007365D1"/>
    <w:rsid w:val="00740E0E"/>
    <w:rsid w:val="00741215"/>
    <w:rsid w:val="00750212"/>
    <w:rsid w:val="00754779"/>
    <w:rsid w:val="0075716D"/>
    <w:rsid w:val="00765F14"/>
    <w:rsid w:val="00770E31"/>
    <w:rsid w:val="00773448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B5E5B"/>
    <w:rsid w:val="007C30EB"/>
    <w:rsid w:val="007D499B"/>
    <w:rsid w:val="007E063C"/>
    <w:rsid w:val="007E2A4B"/>
    <w:rsid w:val="007E307D"/>
    <w:rsid w:val="007E6A4E"/>
    <w:rsid w:val="007E6C94"/>
    <w:rsid w:val="007F1005"/>
    <w:rsid w:val="007F25E0"/>
    <w:rsid w:val="007F5328"/>
    <w:rsid w:val="00803524"/>
    <w:rsid w:val="00804F5A"/>
    <w:rsid w:val="00810C6D"/>
    <w:rsid w:val="00812887"/>
    <w:rsid w:val="00814AD3"/>
    <w:rsid w:val="008151F8"/>
    <w:rsid w:val="00824ECF"/>
    <w:rsid w:val="00826F21"/>
    <w:rsid w:val="00834CC8"/>
    <w:rsid w:val="00835E00"/>
    <w:rsid w:val="00837113"/>
    <w:rsid w:val="008414E4"/>
    <w:rsid w:val="00843E21"/>
    <w:rsid w:val="0084508E"/>
    <w:rsid w:val="00855BF7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9742E"/>
    <w:rsid w:val="008A36CF"/>
    <w:rsid w:val="008A3BC4"/>
    <w:rsid w:val="008A53D5"/>
    <w:rsid w:val="008B403C"/>
    <w:rsid w:val="008B7983"/>
    <w:rsid w:val="008C2511"/>
    <w:rsid w:val="008C7B54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247B5"/>
    <w:rsid w:val="00924B7D"/>
    <w:rsid w:val="00927504"/>
    <w:rsid w:val="0093041A"/>
    <w:rsid w:val="009305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7D5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86342"/>
    <w:rsid w:val="0099303A"/>
    <w:rsid w:val="009971C2"/>
    <w:rsid w:val="009A00FC"/>
    <w:rsid w:val="009A1254"/>
    <w:rsid w:val="009B2FF2"/>
    <w:rsid w:val="009B380C"/>
    <w:rsid w:val="009B4843"/>
    <w:rsid w:val="009B6543"/>
    <w:rsid w:val="009C199D"/>
    <w:rsid w:val="009C278F"/>
    <w:rsid w:val="009C2B94"/>
    <w:rsid w:val="009C465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2C84"/>
    <w:rsid w:val="00A0643F"/>
    <w:rsid w:val="00A067EE"/>
    <w:rsid w:val="00A10FCE"/>
    <w:rsid w:val="00A16D91"/>
    <w:rsid w:val="00A1703D"/>
    <w:rsid w:val="00A174CC"/>
    <w:rsid w:val="00A2073D"/>
    <w:rsid w:val="00A20751"/>
    <w:rsid w:val="00A27E2D"/>
    <w:rsid w:val="00A31D99"/>
    <w:rsid w:val="00A34119"/>
    <w:rsid w:val="00A357BA"/>
    <w:rsid w:val="00A35ADC"/>
    <w:rsid w:val="00A402A3"/>
    <w:rsid w:val="00A53681"/>
    <w:rsid w:val="00A61C16"/>
    <w:rsid w:val="00A633D4"/>
    <w:rsid w:val="00A6461A"/>
    <w:rsid w:val="00A671ED"/>
    <w:rsid w:val="00A84504"/>
    <w:rsid w:val="00A8672F"/>
    <w:rsid w:val="00A93057"/>
    <w:rsid w:val="00A968B0"/>
    <w:rsid w:val="00AB2672"/>
    <w:rsid w:val="00AB2817"/>
    <w:rsid w:val="00AB3B41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309C"/>
    <w:rsid w:val="00B75C45"/>
    <w:rsid w:val="00B76A41"/>
    <w:rsid w:val="00B87D4C"/>
    <w:rsid w:val="00B93646"/>
    <w:rsid w:val="00BA0B38"/>
    <w:rsid w:val="00BA1DBB"/>
    <w:rsid w:val="00BA1F15"/>
    <w:rsid w:val="00BA4510"/>
    <w:rsid w:val="00BA529A"/>
    <w:rsid w:val="00BB60AD"/>
    <w:rsid w:val="00BB612A"/>
    <w:rsid w:val="00BD499F"/>
    <w:rsid w:val="00BD56DE"/>
    <w:rsid w:val="00BD6AEC"/>
    <w:rsid w:val="00BE1438"/>
    <w:rsid w:val="00BF2406"/>
    <w:rsid w:val="00C06E43"/>
    <w:rsid w:val="00C16315"/>
    <w:rsid w:val="00C3091E"/>
    <w:rsid w:val="00C40FF1"/>
    <w:rsid w:val="00C419E2"/>
    <w:rsid w:val="00C463DD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771D3"/>
    <w:rsid w:val="00C837A5"/>
    <w:rsid w:val="00C850A0"/>
    <w:rsid w:val="00C85A86"/>
    <w:rsid w:val="00C96AF9"/>
    <w:rsid w:val="00C978F0"/>
    <w:rsid w:val="00CA1847"/>
    <w:rsid w:val="00CA58FE"/>
    <w:rsid w:val="00CB1CB1"/>
    <w:rsid w:val="00CB6BC1"/>
    <w:rsid w:val="00CB6CB8"/>
    <w:rsid w:val="00CC0497"/>
    <w:rsid w:val="00CC1A68"/>
    <w:rsid w:val="00CC2123"/>
    <w:rsid w:val="00CD18CF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34359"/>
    <w:rsid w:val="00D44C89"/>
    <w:rsid w:val="00D457A4"/>
    <w:rsid w:val="00D516CD"/>
    <w:rsid w:val="00D668E6"/>
    <w:rsid w:val="00D70670"/>
    <w:rsid w:val="00D74D80"/>
    <w:rsid w:val="00D76624"/>
    <w:rsid w:val="00D87570"/>
    <w:rsid w:val="00D90674"/>
    <w:rsid w:val="00D91CB9"/>
    <w:rsid w:val="00D97989"/>
    <w:rsid w:val="00D97D8D"/>
    <w:rsid w:val="00DA352E"/>
    <w:rsid w:val="00DC7694"/>
    <w:rsid w:val="00DD1BF6"/>
    <w:rsid w:val="00DD1E9C"/>
    <w:rsid w:val="00DD2F9B"/>
    <w:rsid w:val="00DE2513"/>
    <w:rsid w:val="00DE26E8"/>
    <w:rsid w:val="00DF6F36"/>
    <w:rsid w:val="00E0084C"/>
    <w:rsid w:val="00E025AB"/>
    <w:rsid w:val="00E02B23"/>
    <w:rsid w:val="00E0491C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5EC9"/>
    <w:rsid w:val="00E67C2F"/>
    <w:rsid w:val="00E67EF5"/>
    <w:rsid w:val="00E75D74"/>
    <w:rsid w:val="00E774B7"/>
    <w:rsid w:val="00E804EA"/>
    <w:rsid w:val="00E80A71"/>
    <w:rsid w:val="00E82337"/>
    <w:rsid w:val="00E92499"/>
    <w:rsid w:val="00E934D0"/>
    <w:rsid w:val="00E949AF"/>
    <w:rsid w:val="00E95EEE"/>
    <w:rsid w:val="00E96077"/>
    <w:rsid w:val="00EA0A06"/>
    <w:rsid w:val="00EA6243"/>
    <w:rsid w:val="00EA74AB"/>
    <w:rsid w:val="00EB3D1B"/>
    <w:rsid w:val="00ED1D89"/>
    <w:rsid w:val="00ED66BC"/>
    <w:rsid w:val="00EE1188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24F5"/>
    <w:rsid w:val="00F236DF"/>
    <w:rsid w:val="00F43AD5"/>
    <w:rsid w:val="00F4402E"/>
    <w:rsid w:val="00F56DD0"/>
    <w:rsid w:val="00F613C4"/>
    <w:rsid w:val="00F6491C"/>
    <w:rsid w:val="00F67BBB"/>
    <w:rsid w:val="00F80E10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9"/>
    <o:shapelayout v:ext="edit">
      <o:idmap v:ext="edit" data="1"/>
    </o:shapelayout>
  </w:shapeDefaults>
  <w:decimalSymbol w:val="."/>
  <w:listSeparator w:val=","/>
  <w14:docId w14:val="4689C0E9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Revision">
    <w:name w:val="Revision"/>
    <w:hidden/>
    <w:uiPriority w:val="99"/>
    <w:semiHidden/>
    <w:rsid w:val="00BA1F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17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03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03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03D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4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59923F36141B79ECB1E0551CCA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E847E-9075-4FD7-B2CE-4F4B03E0B2FC}"/>
      </w:docPartPr>
      <w:docPartBody>
        <w:p w:rsidR="002A7FB1" w:rsidRDefault="00263A48" w:rsidP="00263A48">
          <w:pPr>
            <w:pStyle w:val="F2759923F36141B79ECB1E0551CCA586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0220FC"/>
    <w:rsid w:val="00263A48"/>
    <w:rsid w:val="002A7FB1"/>
    <w:rsid w:val="00301D06"/>
    <w:rsid w:val="009D7F25"/>
    <w:rsid w:val="00D21A9F"/>
    <w:rsid w:val="00E12767"/>
    <w:rsid w:val="00F84B73"/>
    <w:rsid w:val="00FE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3A48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CCFD443EAC044403A0A597A21ADDA750">
    <w:name w:val="CCFD443EAC044403A0A597A21ADDA750"/>
    <w:rsid w:val="00301D06"/>
  </w:style>
  <w:style w:type="paragraph" w:customStyle="1" w:styleId="771AE2DAE0364CA092F95E9A25EF273D">
    <w:name w:val="771AE2DAE0364CA092F95E9A25EF273D"/>
    <w:rsid w:val="00301D06"/>
  </w:style>
  <w:style w:type="paragraph" w:customStyle="1" w:styleId="4B0BBC68982541939197200F7469F48E">
    <w:name w:val="4B0BBC68982541939197200F7469F48E"/>
    <w:rsid w:val="00301D06"/>
  </w:style>
  <w:style w:type="paragraph" w:customStyle="1" w:styleId="91269F79A91F4B198AE49BEC025F50A3">
    <w:name w:val="91269F79A91F4B198AE49BEC025F50A3"/>
    <w:rsid w:val="00301D06"/>
  </w:style>
  <w:style w:type="paragraph" w:customStyle="1" w:styleId="EB23B65812A54118BB490B6F0E0A06E0">
    <w:name w:val="EB23B65812A54118BB490B6F0E0A06E0"/>
    <w:rsid w:val="00301D06"/>
  </w:style>
  <w:style w:type="paragraph" w:customStyle="1" w:styleId="0299DCB4E69346C0A657CFEE3A406CFE">
    <w:name w:val="0299DCB4E69346C0A657CFEE3A406CFE"/>
    <w:rsid w:val="00301D06"/>
  </w:style>
  <w:style w:type="paragraph" w:customStyle="1" w:styleId="59B12B2E3E22449A9DC5A18263046268">
    <w:name w:val="59B12B2E3E22449A9DC5A18263046268"/>
    <w:rsid w:val="00301D06"/>
  </w:style>
  <w:style w:type="paragraph" w:customStyle="1" w:styleId="6CF1AF53E5DB462DA8F1FF16A6D7A238">
    <w:name w:val="6CF1AF53E5DB462DA8F1FF16A6D7A238"/>
    <w:rsid w:val="00F84B73"/>
  </w:style>
  <w:style w:type="paragraph" w:customStyle="1" w:styleId="B5F3E717968F400DA09D0CF8EECA12E6">
    <w:name w:val="B5F3E717968F400DA09D0CF8EECA12E6"/>
    <w:rsid w:val="00F84B73"/>
  </w:style>
  <w:style w:type="paragraph" w:customStyle="1" w:styleId="F2759923F36141B79ECB1E0551CCA586">
    <w:name w:val="F2759923F36141B79ECB1E0551CCA586"/>
    <w:rsid w:val="00263A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66271-A1BB-4588-96FB-567428C00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bf54d604-3e62-4e70-ba33-9e9084b96a6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9B7361-3866-447D-B3B8-7FBBB09E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5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HEARD,Jonathan</cp:lastModifiedBy>
  <cp:revision>15</cp:revision>
  <cp:lastPrinted>2018-10-22T22:41:00Z</cp:lastPrinted>
  <dcterms:created xsi:type="dcterms:W3CDTF">2020-02-04T03:33:00Z</dcterms:created>
  <dcterms:modified xsi:type="dcterms:W3CDTF">2020-03-12T23:06:00Z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