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7C2898A6" w14:textId="18D7518A" w:rsidR="00BD499F" w:rsidRPr="004C23F4" w:rsidRDefault="00416678" w:rsidP="00416678">
          <w:pPr>
            <w:pStyle w:val="Heading1"/>
            <w:jc w:val="center"/>
            <w:rPr>
              <w:rFonts w:ascii="Arial" w:hAnsi="Arial" w:cs="Arial"/>
            </w:rPr>
          </w:pPr>
          <w:r w:rsidRPr="00416678">
            <w:rPr>
              <w:rFonts w:ascii="Arial" w:hAnsi="Arial" w:cs="Arial"/>
            </w:rPr>
            <w:t>Methoxychlor</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49"/>
        <w:gridCol w:w="5077"/>
      </w:tblGrid>
      <w:tr w:rsidR="00F43AD5" w:rsidRPr="004C23F4" w14:paraId="0A393386" w14:textId="77777777" w:rsidTr="00B76A41">
        <w:trPr>
          <w:cantSplit/>
          <w:tblHeader/>
        </w:trPr>
        <w:tc>
          <w:tcPr>
            <w:tcW w:w="4077" w:type="dxa"/>
          </w:tcPr>
          <w:p w14:paraId="3C750FE4" w14:textId="77777777" w:rsidR="00F43AD5" w:rsidRPr="00921DE7" w:rsidRDefault="00CB1CB1" w:rsidP="00B76A41">
            <w:pPr>
              <w:pStyle w:val="Tablerowright"/>
            </w:pPr>
            <w:r w:rsidRPr="00921DE7">
              <w:t>CAS number:</w:t>
            </w:r>
          </w:p>
        </w:tc>
        <w:tc>
          <w:tcPr>
            <w:tcW w:w="5165" w:type="dxa"/>
          </w:tcPr>
          <w:p w14:paraId="71EF73C5" w14:textId="315C21DB" w:rsidR="00F43AD5" w:rsidRPr="00717D45" w:rsidRDefault="006C06F8" w:rsidP="00B76A41">
            <w:pPr>
              <w:pStyle w:val="Tablefont"/>
            </w:pPr>
            <w:r w:rsidRPr="006C06F8">
              <w:t>72-43-5</w:t>
            </w:r>
          </w:p>
        </w:tc>
      </w:tr>
      <w:tr w:rsidR="00F43AD5" w:rsidRPr="004C23F4" w14:paraId="54BBE2E5" w14:textId="77777777" w:rsidTr="00B76A41">
        <w:trPr>
          <w:cantSplit/>
        </w:trPr>
        <w:tc>
          <w:tcPr>
            <w:tcW w:w="4077" w:type="dxa"/>
          </w:tcPr>
          <w:p w14:paraId="4F7A3EF8" w14:textId="77777777" w:rsidR="00F43AD5" w:rsidRPr="00921DE7" w:rsidRDefault="00CB1CB1" w:rsidP="00B76A41">
            <w:pPr>
              <w:pStyle w:val="Tablerowright"/>
            </w:pPr>
            <w:r w:rsidRPr="00921DE7">
              <w:t>Synonyms:</w:t>
            </w:r>
          </w:p>
        </w:tc>
        <w:tc>
          <w:tcPr>
            <w:tcW w:w="5165" w:type="dxa"/>
          </w:tcPr>
          <w:p w14:paraId="1FCE9F24" w14:textId="3E0B3DD0" w:rsidR="00F43AD5" w:rsidRPr="00717D45" w:rsidRDefault="006C06F8" w:rsidP="00B76A41">
            <w:pPr>
              <w:pStyle w:val="Tablefont"/>
            </w:pPr>
            <w:proofErr w:type="spellStart"/>
            <w:r>
              <w:t>Marlate</w:t>
            </w:r>
            <w:proofErr w:type="spellEnd"/>
            <w:r>
              <w:t xml:space="preserve">, </w:t>
            </w:r>
            <w:proofErr w:type="gramStart"/>
            <w:r>
              <w:t>p,p</w:t>
            </w:r>
            <w:proofErr w:type="gramEnd"/>
            <w:r>
              <w:t>’-</w:t>
            </w:r>
            <w:proofErr w:type="spellStart"/>
            <w:r>
              <w:t>dimethoxydiphenyltrichloroethane</w:t>
            </w:r>
            <w:proofErr w:type="spellEnd"/>
            <w:r>
              <w:t xml:space="preserve">, </w:t>
            </w:r>
            <w:proofErr w:type="spellStart"/>
            <w:r>
              <w:t>DMDT,methoxy</w:t>
            </w:r>
            <w:proofErr w:type="spellEnd"/>
            <w:r>
              <w:t>-DDT, 1,1,1-trichloro-2,2-bis(p-methoxyphenyl) ethane</w:t>
            </w:r>
          </w:p>
        </w:tc>
      </w:tr>
      <w:tr w:rsidR="00F43AD5" w:rsidRPr="004C23F4" w14:paraId="22A0293F" w14:textId="77777777" w:rsidTr="00B76A41">
        <w:trPr>
          <w:cantSplit/>
        </w:trPr>
        <w:tc>
          <w:tcPr>
            <w:tcW w:w="4077" w:type="dxa"/>
          </w:tcPr>
          <w:p w14:paraId="46FC5B95" w14:textId="77777777" w:rsidR="00F43AD5" w:rsidRPr="00921DE7" w:rsidRDefault="00CB1CB1" w:rsidP="00B76A41">
            <w:pPr>
              <w:pStyle w:val="Tablerowright"/>
            </w:pPr>
            <w:r w:rsidRPr="00921DE7">
              <w:t>Chemical formula:</w:t>
            </w:r>
          </w:p>
        </w:tc>
        <w:tc>
          <w:tcPr>
            <w:tcW w:w="5165" w:type="dxa"/>
          </w:tcPr>
          <w:p w14:paraId="5A524EA6" w14:textId="0FBD9EB2" w:rsidR="00F43AD5" w:rsidRPr="00717D45" w:rsidRDefault="006C06F8" w:rsidP="00B76A41">
            <w:pPr>
              <w:pStyle w:val="Tablefont"/>
            </w:pPr>
            <w:r>
              <w:t>C</w:t>
            </w:r>
            <w:r w:rsidRPr="006C06F8">
              <w:rPr>
                <w:vertAlign w:val="subscript"/>
              </w:rPr>
              <w:t>16</w:t>
            </w:r>
            <w:r>
              <w:t>H</w:t>
            </w:r>
            <w:r w:rsidRPr="006C06F8">
              <w:rPr>
                <w:vertAlign w:val="subscript"/>
              </w:rPr>
              <w:t>15</w:t>
            </w:r>
            <w:r>
              <w:t>Cl</w:t>
            </w:r>
            <w:r w:rsidRPr="006C06F8">
              <w:rPr>
                <w:vertAlign w:val="subscript"/>
              </w:rPr>
              <w:t>3</w:t>
            </w:r>
            <w:r>
              <w:t>O</w:t>
            </w:r>
            <w:r w:rsidRPr="006C06F8">
              <w:rPr>
                <w:vertAlign w:val="subscript"/>
              </w:rPr>
              <w:t>2</w:t>
            </w:r>
          </w:p>
        </w:tc>
      </w:tr>
      <w:tr w:rsidR="00F43AD5" w:rsidRPr="004C23F4" w14:paraId="6B46683F" w14:textId="77777777" w:rsidTr="00B76A41">
        <w:trPr>
          <w:cantSplit/>
        </w:trPr>
        <w:tc>
          <w:tcPr>
            <w:tcW w:w="4077" w:type="dxa"/>
          </w:tcPr>
          <w:p w14:paraId="755B21C9" w14:textId="77777777" w:rsidR="00F43AD5" w:rsidRPr="00921DE7" w:rsidRDefault="00CB1CB1" w:rsidP="00B76A41">
            <w:pPr>
              <w:pStyle w:val="Tablerowright"/>
            </w:pPr>
            <w:r w:rsidRPr="00921DE7">
              <w:t>Structural formula:</w:t>
            </w:r>
          </w:p>
        </w:tc>
        <w:tc>
          <w:tcPr>
            <w:tcW w:w="5165" w:type="dxa"/>
          </w:tcPr>
          <w:p w14:paraId="442C1C4C" w14:textId="32A5C5B8" w:rsidR="00F43AD5" w:rsidRPr="00B40C60" w:rsidRDefault="00D27A18" w:rsidP="00B76A41">
            <w:pPr>
              <w:pStyle w:val="Tablerowheading"/>
              <w:rPr>
                <w:b w:val="0"/>
              </w:rPr>
            </w:pPr>
            <w:r w:rsidRPr="00D27A18">
              <w:rPr>
                <w:b w:val="0"/>
              </w:rPr>
              <w:t>—</w:t>
            </w:r>
          </w:p>
        </w:tc>
      </w:tr>
    </w:tbl>
    <w:p w14:paraId="071A3486" w14:textId="51AA835E"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906BFE">
            <w:rPr>
              <w:rStyle w:val="WESstatus"/>
            </w:rPr>
            <w:t>(interim)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05"/>
        <w:gridCol w:w="5021"/>
      </w:tblGrid>
      <w:tr w:rsidR="002C7AFE" w:rsidRPr="004C23F4" w14:paraId="2B9D0877" w14:textId="77777777" w:rsidTr="004E7E8F">
        <w:trPr>
          <w:cantSplit/>
          <w:tblHeader/>
        </w:trPr>
        <w:tc>
          <w:tcPr>
            <w:tcW w:w="4005" w:type="dxa"/>
            <w:vAlign w:val="center"/>
          </w:tcPr>
          <w:p w14:paraId="135DA112" w14:textId="77777777" w:rsidR="002C7AFE" w:rsidRPr="002C58FF" w:rsidRDefault="00921DE7" w:rsidP="00921DE7">
            <w:pPr>
              <w:pStyle w:val="Tablerowright"/>
            </w:pPr>
            <w:r>
              <w:t>TWA:</w:t>
            </w:r>
          </w:p>
        </w:tc>
        <w:tc>
          <w:tcPr>
            <w:tcW w:w="5021" w:type="dxa"/>
          </w:tcPr>
          <w:p w14:paraId="09F8DF59" w14:textId="048FFB8F" w:rsidR="002C7AFE" w:rsidRPr="005C67D2" w:rsidRDefault="005C67D2" w:rsidP="00017C82">
            <w:pPr>
              <w:pStyle w:val="Tablefont"/>
              <w:rPr>
                <w:b/>
                <w:vertAlign w:val="superscript"/>
              </w:rPr>
            </w:pPr>
            <w:r>
              <w:rPr>
                <w:b/>
              </w:rPr>
              <w:t>1</w:t>
            </w:r>
            <w:r w:rsidR="00FA440C">
              <w:rPr>
                <w:b/>
              </w:rPr>
              <w:t>0</w:t>
            </w:r>
            <w:r>
              <w:rPr>
                <w:b/>
              </w:rPr>
              <w:t xml:space="preserve"> mg/m</w:t>
            </w:r>
            <w:r>
              <w:rPr>
                <w:b/>
                <w:vertAlign w:val="superscript"/>
              </w:rPr>
              <w:t>3</w:t>
            </w:r>
          </w:p>
        </w:tc>
      </w:tr>
      <w:tr w:rsidR="002C7AFE" w:rsidRPr="004C23F4" w14:paraId="659307E1" w14:textId="77777777" w:rsidTr="004E7E8F">
        <w:trPr>
          <w:cantSplit/>
        </w:trPr>
        <w:tc>
          <w:tcPr>
            <w:tcW w:w="4005" w:type="dxa"/>
            <w:vAlign w:val="center"/>
          </w:tcPr>
          <w:p w14:paraId="425A7A5F" w14:textId="77777777" w:rsidR="002C7AFE" w:rsidRPr="002C58FF" w:rsidRDefault="002C7AFE" w:rsidP="00921DE7">
            <w:pPr>
              <w:pStyle w:val="Tablerowright"/>
            </w:pPr>
            <w:r w:rsidRPr="002C58FF">
              <w:t>STEL</w:t>
            </w:r>
            <w:r w:rsidR="00921DE7">
              <w:t>:</w:t>
            </w:r>
          </w:p>
        </w:tc>
        <w:tc>
          <w:tcPr>
            <w:tcW w:w="5021" w:type="dxa"/>
          </w:tcPr>
          <w:p w14:paraId="241570BF" w14:textId="460F1B8F" w:rsidR="002C7AFE" w:rsidRPr="00EB3D1B" w:rsidRDefault="007B00BB" w:rsidP="00017C82">
            <w:pPr>
              <w:pStyle w:val="Tablefont"/>
              <w:rPr>
                <w:b/>
              </w:rPr>
            </w:pPr>
            <w:r>
              <w:rPr>
                <w:b/>
              </w:rPr>
              <w:t>—</w:t>
            </w:r>
          </w:p>
        </w:tc>
      </w:tr>
      <w:tr w:rsidR="002C7AFE" w:rsidRPr="004C23F4" w14:paraId="4168EF81" w14:textId="77777777" w:rsidTr="004E7E8F">
        <w:trPr>
          <w:cantSplit/>
        </w:trPr>
        <w:tc>
          <w:tcPr>
            <w:tcW w:w="4005" w:type="dxa"/>
            <w:vAlign w:val="center"/>
          </w:tcPr>
          <w:p w14:paraId="54A2414B" w14:textId="77777777" w:rsidR="002C7AFE" w:rsidRPr="002C58FF" w:rsidRDefault="00921DE7" w:rsidP="00921DE7">
            <w:pPr>
              <w:pStyle w:val="Tablerowright"/>
            </w:pPr>
            <w:r>
              <w:t>Peak limitation:</w:t>
            </w:r>
          </w:p>
        </w:tc>
        <w:tc>
          <w:tcPr>
            <w:tcW w:w="5021" w:type="dxa"/>
          </w:tcPr>
          <w:p w14:paraId="6FAFAC11" w14:textId="0D9F1C2B" w:rsidR="002C7AFE" w:rsidRPr="00EB3D1B" w:rsidRDefault="007B00BB" w:rsidP="00017C82">
            <w:pPr>
              <w:pStyle w:val="Tablefont"/>
              <w:rPr>
                <w:b/>
              </w:rPr>
            </w:pPr>
            <w:r>
              <w:rPr>
                <w:b/>
              </w:rPr>
              <w:t>—</w:t>
            </w:r>
          </w:p>
        </w:tc>
      </w:tr>
      <w:tr w:rsidR="002C7AFE" w:rsidRPr="004C23F4" w14:paraId="47079437" w14:textId="77777777" w:rsidTr="004E7E8F">
        <w:trPr>
          <w:cantSplit/>
        </w:trPr>
        <w:tc>
          <w:tcPr>
            <w:tcW w:w="4005" w:type="dxa"/>
          </w:tcPr>
          <w:p w14:paraId="71B8EDEB"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021" w:type="dxa"/>
          </w:tcPr>
          <w:p w14:paraId="5E8C4A34" w14:textId="2C08439C" w:rsidR="002C7AFE" w:rsidRPr="00EB3D1B" w:rsidRDefault="007B00BB" w:rsidP="008A36CF">
            <w:pPr>
              <w:pStyle w:val="Tablefont"/>
              <w:rPr>
                <w:b/>
              </w:rPr>
            </w:pPr>
            <w:r>
              <w:rPr>
                <w:b/>
              </w:rPr>
              <w:t>—</w:t>
            </w:r>
          </w:p>
        </w:tc>
      </w:tr>
      <w:tr w:rsidR="002C7AFE" w:rsidRPr="004C23F4" w14:paraId="3C5E59C0" w14:textId="77777777" w:rsidTr="004E7E8F">
        <w:trPr>
          <w:cantSplit/>
        </w:trPr>
        <w:tc>
          <w:tcPr>
            <w:tcW w:w="4005" w:type="dxa"/>
            <w:vAlign w:val="center"/>
          </w:tcPr>
          <w:p w14:paraId="08CDEE55" w14:textId="77777777" w:rsidR="00F10C97" w:rsidRPr="002C58FF" w:rsidRDefault="00921DE7" w:rsidP="009F04D2">
            <w:pPr>
              <w:pStyle w:val="Tablerowright"/>
            </w:pPr>
            <w:r>
              <w:t>IDLH:</w:t>
            </w:r>
          </w:p>
        </w:tc>
        <w:tc>
          <w:tcPr>
            <w:tcW w:w="5021" w:type="dxa"/>
          </w:tcPr>
          <w:p w14:paraId="5F3CD904" w14:textId="54169508" w:rsidR="002C7AFE" w:rsidRPr="00EB3D1B" w:rsidRDefault="00D27A18" w:rsidP="00017C82">
            <w:pPr>
              <w:pStyle w:val="Tablefont"/>
              <w:rPr>
                <w:b/>
              </w:rPr>
            </w:pPr>
            <w:r>
              <w:rPr>
                <w:b/>
              </w:rPr>
              <w:t>5</w:t>
            </w:r>
            <w:r w:rsidR="007B00BB">
              <w:rPr>
                <w:b/>
              </w:rPr>
              <w:t>,</w:t>
            </w:r>
            <w:r>
              <w:rPr>
                <w:b/>
              </w:rPr>
              <w:t>000 mg/m</w:t>
            </w:r>
            <w:r w:rsidRPr="00D27A18">
              <w:rPr>
                <w:b/>
                <w:vertAlign w:val="superscript"/>
              </w:rPr>
              <w:t>3</w:t>
            </w:r>
          </w:p>
        </w:tc>
      </w:tr>
      <w:tr w:rsidR="004E7E8F" w:rsidRPr="004C23F4" w14:paraId="46C53C4F" w14:textId="77777777" w:rsidTr="008A1422">
        <w:trPr>
          <w:cantSplit/>
        </w:trPr>
        <w:tc>
          <w:tcPr>
            <w:tcW w:w="9026" w:type="dxa"/>
            <w:gridSpan w:val="2"/>
            <w:vAlign w:val="center"/>
          </w:tcPr>
          <w:p w14:paraId="1C460F4A" w14:textId="70A92DE3" w:rsidR="004E7E8F" w:rsidRPr="00EB3D1B" w:rsidRDefault="004E7E8F" w:rsidP="00017C82">
            <w:pPr>
              <w:pStyle w:val="Tablefont"/>
              <w:rPr>
                <w:b/>
              </w:rPr>
            </w:pPr>
            <w:r>
              <w:rPr>
                <w:b/>
              </w:rPr>
              <w:t>Sampling and analysis:</w:t>
            </w:r>
            <w:r w:rsidRPr="004E7E8F">
              <w:rPr>
                <w:rStyle w:val="WESstatus"/>
                <w:color w:val="auto"/>
              </w:rPr>
              <w:t xml:space="preserve"> </w:t>
            </w:r>
            <w:sdt>
              <w:sdtPr>
                <w:rPr>
                  <w:rStyle w:val="WESstatus"/>
                  <w:color w:val="auto"/>
                </w:rPr>
                <w:id w:val="-2105258949"/>
                <w:placeholder>
                  <w:docPart w:val="1B6B70FBF6584C119FE1298EFFD421D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450D7D">
                  <w:rPr>
                    <w:rStyle w:val="WESstatus"/>
                    <w:color w:val="auto"/>
                  </w:rPr>
                  <w:t xml:space="preserve">The recommended value is quantifiable through available sampling and analysis techniques. </w:t>
                </w:r>
              </w:sdtContent>
            </w:sdt>
          </w:p>
        </w:tc>
      </w:tr>
    </w:tbl>
    <w:p w14:paraId="17A785E8" w14:textId="77777777" w:rsidR="00CB1CB1" w:rsidRPr="003365A5" w:rsidRDefault="00F10C97" w:rsidP="003365A5">
      <w:pPr>
        <w:pStyle w:val="Heading2"/>
      </w:pPr>
      <w:r>
        <w:t>Recommendation and basis for workplace exposure standard</w:t>
      </w:r>
    </w:p>
    <w:p w14:paraId="10C8DBA4" w14:textId="1385525F" w:rsidR="006639B4" w:rsidRDefault="008536CD" w:rsidP="000C139A">
      <w:pPr>
        <w:rPr>
          <w:rFonts w:cs="Arial"/>
        </w:rPr>
      </w:pPr>
      <w:r>
        <w:rPr>
          <w:rFonts w:cs="Arial"/>
        </w:rPr>
        <w:t>A TWA of 1</w:t>
      </w:r>
      <w:r w:rsidR="006A51CC">
        <w:rPr>
          <w:rFonts w:cs="Arial"/>
        </w:rPr>
        <w:t>0</w:t>
      </w:r>
      <w:r>
        <w:rPr>
          <w:rFonts w:cs="Arial"/>
        </w:rPr>
        <w:t xml:space="preserve"> mg/m</w:t>
      </w:r>
      <w:r>
        <w:rPr>
          <w:rFonts w:cs="Arial"/>
          <w:vertAlign w:val="superscript"/>
        </w:rPr>
        <w:t>3</w:t>
      </w:r>
      <w:r>
        <w:rPr>
          <w:rFonts w:cs="Arial"/>
        </w:rPr>
        <w:t xml:space="preserve"> is recommended to protect for </w:t>
      </w:r>
      <w:r w:rsidR="006A51CC">
        <w:t>adverse effects on the liver, central nervous system (CNS)</w:t>
      </w:r>
      <w:r w:rsidR="00906BFE">
        <w:t xml:space="preserve"> and</w:t>
      </w:r>
      <w:r w:rsidR="006A51CC">
        <w:t xml:space="preserve"> </w:t>
      </w:r>
      <w:r>
        <w:rPr>
          <w:rFonts w:cs="Arial"/>
        </w:rPr>
        <w:t xml:space="preserve">developmental effects in the foetus and offspring </w:t>
      </w:r>
      <w:r w:rsidR="006A51CC">
        <w:rPr>
          <w:rFonts w:cs="Arial"/>
        </w:rPr>
        <w:t xml:space="preserve">in </w:t>
      </w:r>
      <w:r w:rsidR="008B241B">
        <w:rPr>
          <w:rFonts w:cs="Arial"/>
        </w:rPr>
        <w:t xml:space="preserve">exposed </w:t>
      </w:r>
      <w:r>
        <w:rPr>
          <w:rFonts w:cs="Arial"/>
        </w:rPr>
        <w:t>workers.</w:t>
      </w:r>
    </w:p>
    <w:p w14:paraId="777948E1" w14:textId="0A152584" w:rsidR="006A51CC" w:rsidRPr="008536CD" w:rsidRDefault="006A51CC" w:rsidP="000C139A">
      <w:pPr>
        <w:rPr>
          <w:rFonts w:cs="Arial"/>
        </w:rPr>
      </w:pPr>
      <w:r w:rsidRPr="006A51CC">
        <w:rPr>
          <w:rFonts w:cs="Arial"/>
        </w:rPr>
        <w:t>Given the limited data available from the primary sources, it is recommended that a review of additional sources be conducted at the next scheduled review</w:t>
      </w:r>
      <w:r>
        <w:rPr>
          <w:rFonts w:cs="Arial"/>
        </w:rPr>
        <w:t>.</w:t>
      </w:r>
    </w:p>
    <w:p w14:paraId="049EEB90" w14:textId="77777777" w:rsidR="00C7155E" w:rsidRPr="004C23F4" w:rsidRDefault="00F10C97" w:rsidP="003365A5">
      <w:pPr>
        <w:pStyle w:val="Heading2"/>
      </w:pPr>
      <w:r>
        <w:t>Discussion and conclusions</w:t>
      </w:r>
    </w:p>
    <w:p w14:paraId="6D46AA47" w14:textId="60BAA5C0" w:rsidR="00893C2E" w:rsidRDefault="005C67D2" w:rsidP="006639B4">
      <w:proofErr w:type="spellStart"/>
      <w:r>
        <w:t>Methoxychlor</w:t>
      </w:r>
      <w:proofErr w:type="spellEnd"/>
      <w:r>
        <w:t xml:space="preserve"> is a chlorinated hydrocarbon insecticide used on fruits, vegetables, forage crops and livestock. </w:t>
      </w:r>
    </w:p>
    <w:p w14:paraId="5FBFE23E" w14:textId="2DA4C1CD" w:rsidR="005C0194" w:rsidRDefault="005C67D2" w:rsidP="006639B4">
      <w:pPr>
        <w:rPr>
          <w:rFonts w:cs="Arial"/>
        </w:rPr>
      </w:pPr>
      <w:r>
        <w:t xml:space="preserve">The critical effects </w:t>
      </w:r>
      <w:r w:rsidR="00893C2E">
        <w:t xml:space="preserve">of exposure </w:t>
      </w:r>
      <w:r>
        <w:t>are</w:t>
      </w:r>
      <w:r w:rsidR="00CA58DA">
        <w:t xml:space="preserve"> adverse effects</w:t>
      </w:r>
      <w:r w:rsidR="00893C2E">
        <w:t xml:space="preserve"> in the liver and</w:t>
      </w:r>
      <w:r w:rsidR="006A51CC">
        <w:t xml:space="preserve"> CNS and on the developing foetus</w:t>
      </w:r>
      <w:r w:rsidR="00CA58DA">
        <w:t>.</w:t>
      </w:r>
      <w:r w:rsidR="00893C2E">
        <w:rPr>
          <w:rFonts w:cs="Arial"/>
        </w:rPr>
        <w:t xml:space="preserve"> </w:t>
      </w:r>
    </w:p>
    <w:p w14:paraId="136B4222" w14:textId="02B94308" w:rsidR="00CA58DA" w:rsidRDefault="00CA58DA" w:rsidP="006639B4">
      <w:pPr>
        <w:rPr>
          <w:rStyle w:val="checkbox"/>
          <w:rFonts w:ascii="Arial" w:hAnsi="Arial" w:cs="Arial"/>
        </w:rPr>
      </w:pPr>
      <w:r>
        <w:rPr>
          <w:rFonts w:cs="Arial"/>
        </w:rPr>
        <w:t xml:space="preserve">No inhalation data </w:t>
      </w:r>
      <w:r w:rsidR="00893C2E">
        <w:rPr>
          <w:rFonts w:cs="Arial"/>
        </w:rPr>
        <w:t>a</w:t>
      </w:r>
      <w:r>
        <w:rPr>
          <w:rFonts w:cs="Arial"/>
        </w:rPr>
        <w:t xml:space="preserve">re identified. In humans, no </w:t>
      </w:r>
      <w:r>
        <w:t xml:space="preserve">adverse effects </w:t>
      </w:r>
      <w:r w:rsidR="00893C2E">
        <w:t>a</w:t>
      </w:r>
      <w:r>
        <w:t xml:space="preserve">re identified in volunteers ingesting </w:t>
      </w:r>
      <w:r>
        <w:rPr>
          <w:rFonts w:cs="Arial"/>
        </w:rPr>
        <w:t xml:space="preserve">up to </w:t>
      </w:r>
      <w:r>
        <w:t>2 mg/kg/d</w:t>
      </w:r>
      <w:r w:rsidR="007B00BB">
        <w:t>ay</w:t>
      </w:r>
      <w:r>
        <w:t xml:space="preserve"> for </w:t>
      </w:r>
      <w:r w:rsidR="007B00BB">
        <w:t>eight</w:t>
      </w:r>
      <w:r>
        <w:t xml:space="preserve"> weeks</w:t>
      </w:r>
      <w:r w:rsidR="008536CD">
        <w:t xml:space="preserve"> (ACGIH, 2018).</w:t>
      </w:r>
      <w:r w:rsidR="0039037B">
        <w:t xml:space="preserve"> ACGIH (2018) recommend a T</w:t>
      </w:r>
      <w:r w:rsidR="0003446C">
        <w:t>WA of 10 </w:t>
      </w:r>
      <w:r w:rsidR="0039037B">
        <w:t>mg/m</w:t>
      </w:r>
      <w:r w:rsidR="0039037B">
        <w:rPr>
          <w:vertAlign w:val="superscript"/>
        </w:rPr>
        <w:t>3</w:t>
      </w:r>
      <w:r w:rsidR="0039037B">
        <w:t>,</w:t>
      </w:r>
      <w:r w:rsidR="0039037B" w:rsidRPr="0039037B">
        <w:t xml:space="preserve"> </w:t>
      </w:r>
      <w:r w:rsidR="0039037B">
        <w:t xml:space="preserve">concluding that at this concentration a worker </w:t>
      </w:r>
      <w:r w:rsidR="00696680">
        <w:t xml:space="preserve">will </w:t>
      </w:r>
      <w:r w:rsidR="009F7BDA">
        <w:t>absorb</w:t>
      </w:r>
      <w:r w:rsidR="00696680">
        <w:t xml:space="preserve"> </w:t>
      </w:r>
      <w:r w:rsidR="00C36C2B">
        <w:t xml:space="preserve">up </w:t>
      </w:r>
      <w:r w:rsidR="0039037B">
        <w:t>to 1.4 mg/kg/d</w:t>
      </w:r>
      <w:r w:rsidR="00696680">
        <w:t>ay</w:t>
      </w:r>
      <w:r w:rsidR="0003446C">
        <w:t xml:space="preserve">, which </w:t>
      </w:r>
      <w:r w:rsidR="00474367">
        <w:t xml:space="preserve">is </w:t>
      </w:r>
      <w:r w:rsidR="0003446C">
        <w:t xml:space="preserve">less than the </w:t>
      </w:r>
      <w:r w:rsidR="00696680">
        <w:t>dose (</w:t>
      </w:r>
      <w:r w:rsidR="0003446C">
        <w:t>2 mg/kg/d</w:t>
      </w:r>
      <w:r w:rsidR="00696680">
        <w:t>ay)</w:t>
      </w:r>
      <w:r w:rsidR="0003446C">
        <w:t xml:space="preserve"> shown to be without adverse health effects.</w:t>
      </w:r>
      <w:r w:rsidR="004E7E8F">
        <w:t xml:space="preserve"> </w:t>
      </w:r>
      <w:r w:rsidR="001C1AF8">
        <w:t xml:space="preserve">A NOAEL of 0.9 mg/kg/day for </w:t>
      </w:r>
      <w:r w:rsidR="001C1AF8" w:rsidRPr="0039037B">
        <w:t>prenatal developmental toxicity</w:t>
      </w:r>
      <w:r w:rsidR="001C1AF8">
        <w:t xml:space="preserve"> is identified from a</w:t>
      </w:r>
      <w:r w:rsidR="008536CD">
        <w:t xml:space="preserve"> </w:t>
      </w:r>
      <w:r w:rsidR="007B00BB">
        <w:t xml:space="preserve">two </w:t>
      </w:r>
      <w:r w:rsidR="008536CD">
        <w:t>generational study in rats</w:t>
      </w:r>
      <w:r w:rsidR="001C1AF8">
        <w:t xml:space="preserve">, </w:t>
      </w:r>
      <w:r w:rsidR="00F14A88">
        <w:t xml:space="preserve">with maternal </w:t>
      </w:r>
      <w:r w:rsidR="0003446C">
        <w:t xml:space="preserve">and foetal </w:t>
      </w:r>
      <w:r w:rsidR="00F14A88">
        <w:t>toxicity occurring at 44 mg/kg</w:t>
      </w:r>
      <w:r w:rsidR="005D0904">
        <w:t>/</w:t>
      </w:r>
      <w:r w:rsidR="00BB3947">
        <w:t>day</w:t>
      </w:r>
      <w:r w:rsidR="00F14A88">
        <w:t xml:space="preserve"> and above</w:t>
      </w:r>
      <w:r w:rsidR="006A51CC">
        <w:t xml:space="preserve">. This NOAEL was used as the starting point </w:t>
      </w:r>
      <w:r w:rsidR="001C1AF8">
        <w:t xml:space="preserve">by </w:t>
      </w:r>
      <w:r w:rsidR="006A51CC">
        <w:t xml:space="preserve">DFG </w:t>
      </w:r>
      <w:r w:rsidR="001C1AF8">
        <w:t xml:space="preserve">to </w:t>
      </w:r>
      <w:r w:rsidR="00ED7438">
        <w:t xml:space="preserve">derive </w:t>
      </w:r>
      <w:r w:rsidR="001C1AF8">
        <w:t xml:space="preserve">a </w:t>
      </w:r>
      <w:r w:rsidR="006A51CC">
        <w:t>MAK of 1 mg/m</w:t>
      </w:r>
      <w:r w:rsidR="006A51CC">
        <w:rPr>
          <w:vertAlign w:val="superscript"/>
        </w:rPr>
        <w:t>3</w:t>
      </w:r>
      <w:r w:rsidR="00CE6253">
        <w:t xml:space="preserve"> </w:t>
      </w:r>
      <w:r w:rsidR="00CE6253">
        <w:rPr>
          <w:rFonts w:cs="Arial"/>
        </w:rPr>
        <w:t>(DFG, 2014)</w:t>
      </w:r>
      <w:r w:rsidR="008536CD">
        <w:t>.</w:t>
      </w:r>
      <w:r w:rsidR="002654F9">
        <w:t xml:space="preserve"> </w:t>
      </w:r>
      <w:r w:rsidR="0003446C">
        <w:t>The influence of maternal toxicity on foetal effects remains unclear</w:t>
      </w:r>
      <w:r w:rsidR="006A51CC">
        <w:t xml:space="preserve"> </w:t>
      </w:r>
      <w:r w:rsidR="00C36C2B">
        <w:t xml:space="preserve">due to some concerns regarding </w:t>
      </w:r>
      <w:r w:rsidR="006A51CC">
        <w:t>the quality of this study</w:t>
      </w:r>
      <w:r w:rsidR="0003446C">
        <w:t xml:space="preserve">. </w:t>
      </w:r>
      <w:r w:rsidR="008536CD">
        <w:t>The US</w:t>
      </w:r>
      <w:r w:rsidR="00C94366">
        <w:t xml:space="preserve"> </w:t>
      </w:r>
      <w:r w:rsidR="008536CD">
        <w:t xml:space="preserve">EPA (1990) </w:t>
      </w:r>
      <w:r w:rsidR="008536CD">
        <w:rPr>
          <w:rStyle w:val="checkbox"/>
          <w:rFonts w:ascii="Arial" w:hAnsi="Arial" w:cs="Arial"/>
        </w:rPr>
        <w:t xml:space="preserve">presented an oral reference dose of </w:t>
      </w:r>
      <w:r w:rsidR="008C2872">
        <w:rPr>
          <w:rStyle w:val="checkbox"/>
          <w:rFonts w:ascii="Arial" w:hAnsi="Arial" w:cs="Arial"/>
        </w:rPr>
        <w:t xml:space="preserve">0.005 </w:t>
      </w:r>
      <w:r w:rsidR="008536CD">
        <w:rPr>
          <w:rStyle w:val="checkbox"/>
          <w:rFonts w:ascii="Arial" w:hAnsi="Arial" w:cs="Arial"/>
        </w:rPr>
        <w:t>mg/kg</w:t>
      </w:r>
      <w:r w:rsidR="00A97192">
        <w:rPr>
          <w:rStyle w:val="checkbox"/>
          <w:rFonts w:ascii="Arial" w:hAnsi="Arial" w:cs="Arial"/>
        </w:rPr>
        <w:t>/day</w:t>
      </w:r>
      <w:r w:rsidR="008536CD">
        <w:rPr>
          <w:rStyle w:val="checkbox"/>
          <w:rFonts w:ascii="Arial" w:hAnsi="Arial" w:cs="Arial"/>
        </w:rPr>
        <w:t xml:space="preserve"> for </w:t>
      </w:r>
      <w:r w:rsidR="00092199">
        <w:rPr>
          <w:rStyle w:val="checkbox"/>
          <w:rFonts w:ascii="Arial" w:hAnsi="Arial" w:cs="Arial"/>
        </w:rPr>
        <w:t>environmental health exposure</w:t>
      </w:r>
      <w:r w:rsidR="008536CD">
        <w:rPr>
          <w:rStyle w:val="checkbox"/>
          <w:rFonts w:ascii="Arial" w:hAnsi="Arial" w:cs="Arial"/>
        </w:rPr>
        <w:t xml:space="preserve"> based on a NOEL of 5.01</w:t>
      </w:r>
      <w:r w:rsidR="00474367">
        <w:rPr>
          <w:rStyle w:val="checkbox"/>
          <w:rFonts w:ascii="Arial" w:hAnsi="Arial" w:cs="Arial"/>
        </w:rPr>
        <w:t> </w:t>
      </w:r>
      <w:r w:rsidR="008536CD">
        <w:rPr>
          <w:rStyle w:val="checkbox"/>
          <w:rFonts w:ascii="Arial" w:hAnsi="Arial" w:cs="Arial"/>
        </w:rPr>
        <w:t>mg/kg</w:t>
      </w:r>
      <w:r w:rsidR="00CE6253">
        <w:rPr>
          <w:rStyle w:val="checkbox"/>
          <w:rFonts w:ascii="Arial" w:hAnsi="Arial" w:cs="Arial"/>
        </w:rPr>
        <w:t>/day</w:t>
      </w:r>
      <w:r w:rsidR="008536CD">
        <w:rPr>
          <w:rStyle w:val="checkbox"/>
          <w:rFonts w:ascii="Arial" w:hAnsi="Arial" w:cs="Arial"/>
        </w:rPr>
        <w:t xml:space="preserve"> in rabbits for excessive loss of litters. </w:t>
      </w:r>
    </w:p>
    <w:p w14:paraId="084BACBC" w14:textId="4C292CB5" w:rsidR="008536CD" w:rsidRPr="004C23F4" w:rsidRDefault="009F7BDA" w:rsidP="006639B4">
      <w:pPr>
        <w:rPr>
          <w:rFonts w:cs="Arial"/>
        </w:rPr>
      </w:pPr>
      <w:r>
        <w:rPr>
          <w:rFonts w:cs="Arial"/>
        </w:rPr>
        <w:t>The current SWA</w:t>
      </w:r>
      <w:r w:rsidRPr="008536CD">
        <w:rPr>
          <w:rFonts w:cs="Arial"/>
        </w:rPr>
        <w:t xml:space="preserve"> </w:t>
      </w:r>
      <w:r w:rsidR="008536CD" w:rsidRPr="008536CD">
        <w:rPr>
          <w:rFonts w:cs="Arial"/>
        </w:rPr>
        <w:t xml:space="preserve">TWA of </w:t>
      </w:r>
      <w:r w:rsidR="008536CD">
        <w:rPr>
          <w:rFonts w:cs="Arial"/>
        </w:rPr>
        <w:t>1</w:t>
      </w:r>
      <w:r w:rsidR="0003446C">
        <w:rPr>
          <w:rFonts w:cs="Arial"/>
        </w:rPr>
        <w:t>0</w:t>
      </w:r>
      <w:r w:rsidR="008536CD">
        <w:rPr>
          <w:rFonts w:cs="Arial"/>
        </w:rPr>
        <w:t xml:space="preserve"> mg/m</w:t>
      </w:r>
      <w:r w:rsidR="008536CD">
        <w:rPr>
          <w:rFonts w:cs="Arial"/>
          <w:vertAlign w:val="superscript"/>
        </w:rPr>
        <w:t>3</w:t>
      </w:r>
      <w:r w:rsidR="008536CD" w:rsidRPr="008536CD">
        <w:rPr>
          <w:rFonts w:cs="Arial"/>
        </w:rPr>
        <w:t xml:space="preserve"> </w:t>
      </w:r>
      <w:r w:rsidR="00A97192">
        <w:rPr>
          <w:rFonts w:cs="Arial"/>
        </w:rPr>
        <w:t>is recommended</w:t>
      </w:r>
      <w:r w:rsidR="0003446C">
        <w:rPr>
          <w:rFonts w:cs="Arial"/>
        </w:rPr>
        <w:t xml:space="preserve"> </w:t>
      </w:r>
      <w:r w:rsidR="00ED7438">
        <w:rPr>
          <w:rFonts w:cs="Arial"/>
        </w:rPr>
        <w:t xml:space="preserve">be retained </w:t>
      </w:r>
      <w:r w:rsidR="0003446C">
        <w:rPr>
          <w:rFonts w:cs="Arial"/>
        </w:rPr>
        <w:t>in the interim. Th</w:t>
      </w:r>
      <w:r>
        <w:rPr>
          <w:rFonts w:cs="Arial"/>
        </w:rPr>
        <w:t>is</w:t>
      </w:r>
      <w:r w:rsidR="0003446C">
        <w:rPr>
          <w:rFonts w:cs="Arial"/>
        </w:rPr>
        <w:t xml:space="preserve"> TWA </w:t>
      </w:r>
      <w:r w:rsidR="008536CD" w:rsidRPr="008536CD">
        <w:rPr>
          <w:rFonts w:cs="Arial"/>
        </w:rPr>
        <w:t xml:space="preserve">is </w:t>
      </w:r>
      <w:r w:rsidR="008536CD">
        <w:rPr>
          <w:rFonts w:cs="Arial"/>
        </w:rPr>
        <w:t xml:space="preserve">expected to be </w:t>
      </w:r>
      <w:r w:rsidR="008536CD" w:rsidRPr="008536CD">
        <w:rPr>
          <w:rFonts w:cs="Arial"/>
        </w:rPr>
        <w:t xml:space="preserve">protective </w:t>
      </w:r>
      <w:r w:rsidR="00C61029">
        <w:rPr>
          <w:rFonts w:cs="Arial"/>
        </w:rPr>
        <w:t>for</w:t>
      </w:r>
      <w:r w:rsidR="008536CD" w:rsidRPr="008536CD">
        <w:rPr>
          <w:rFonts w:cs="Arial"/>
        </w:rPr>
        <w:t xml:space="preserve"> adverse</w:t>
      </w:r>
      <w:r w:rsidR="008536CD">
        <w:rPr>
          <w:rFonts w:cs="Arial"/>
        </w:rPr>
        <w:t xml:space="preserve"> </w:t>
      </w:r>
      <w:r w:rsidR="008536CD" w:rsidRPr="008536CD">
        <w:rPr>
          <w:rFonts w:cs="Arial"/>
        </w:rPr>
        <w:t>effects</w:t>
      </w:r>
      <w:r w:rsidR="0003446C">
        <w:rPr>
          <w:rFonts w:cs="Arial"/>
        </w:rPr>
        <w:t xml:space="preserve"> in the liver and CNS and developmental toxicity. Some </w:t>
      </w:r>
      <w:r w:rsidR="0003446C">
        <w:rPr>
          <w:rFonts w:cs="Arial"/>
        </w:rPr>
        <w:lastRenderedPageBreak/>
        <w:t>uncertainties</w:t>
      </w:r>
      <w:r w:rsidR="006A51CC">
        <w:rPr>
          <w:rFonts w:cs="Arial"/>
        </w:rPr>
        <w:t xml:space="preserve"> remain regarding the robustness of the </w:t>
      </w:r>
      <w:r>
        <w:rPr>
          <w:rFonts w:cs="Arial"/>
        </w:rPr>
        <w:t xml:space="preserve">reported </w:t>
      </w:r>
      <w:r w:rsidR="006A51CC">
        <w:rPr>
          <w:rFonts w:cs="Arial"/>
        </w:rPr>
        <w:t xml:space="preserve">two-generational study </w:t>
      </w:r>
      <w:r>
        <w:rPr>
          <w:rFonts w:cs="Arial"/>
        </w:rPr>
        <w:t xml:space="preserve">by </w:t>
      </w:r>
      <w:r w:rsidR="006A51CC">
        <w:rPr>
          <w:rFonts w:cs="Arial"/>
        </w:rPr>
        <w:t xml:space="preserve">DFG </w:t>
      </w:r>
      <w:r>
        <w:rPr>
          <w:rFonts w:cs="Arial"/>
        </w:rPr>
        <w:t>(</w:t>
      </w:r>
      <w:r w:rsidR="006A51CC">
        <w:rPr>
          <w:rFonts w:cs="Arial"/>
        </w:rPr>
        <w:t>2014)</w:t>
      </w:r>
      <w:r w:rsidR="00ED7438">
        <w:rPr>
          <w:rFonts w:cs="Arial"/>
        </w:rPr>
        <w:t>.</w:t>
      </w:r>
      <w:r w:rsidR="006A51CC">
        <w:rPr>
          <w:rFonts w:cs="Arial"/>
        </w:rPr>
        <w:t xml:space="preserve"> </w:t>
      </w:r>
      <w:r w:rsidR="00ED7438">
        <w:rPr>
          <w:rFonts w:cs="Arial"/>
        </w:rPr>
        <w:t>A</w:t>
      </w:r>
      <w:r w:rsidR="006A51CC">
        <w:rPr>
          <w:rFonts w:cs="Arial"/>
        </w:rPr>
        <w:t xml:space="preserve">n evaluation of additional sources </w:t>
      </w:r>
      <w:r w:rsidR="00474367">
        <w:rPr>
          <w:rFonts w:cs="Arial"/>
        </w:rPr>
        <w:t>is</w:t>
      </w:r>
      <w:r w:rsidR="006A51CC">
        <w:rPr>
          <w:rFonts w:cs="Arial"/>
        </w:rPr>
        <w:t xml:space="preserve"> </w:t>
      </w:r>
      <w:r w:rsidR="007C716B">
        <w:rPr>
          <w:rFonts w:cs="Arial"/>
        </w:rPr>
        <w:t>recommended</w:t>
      </w:r>
      <w:r w:rsidR="006A51CC">
        <w:rPr>
          <w:rFonts w:cs="Arial"/>
        </w:rPr>
        <w:t xml:space="preserve"> at the next review. </w:t>
      </w:r>
      <w:r w:rsidR="0003446C">
        <w:rPr>
          <w:rFonts w:cs="Arial"/>
        </w:rPr>
        <w:t xml:space="preserve"> </w:t>
      </w:r>
      <w:r w:rsidR="0003446C" w:rsidRPr="0003446C">
        <w:t xml:space="preserve"> </w:t>
      </w:r>
    </w:p>
    <w:p w14:paraId="55F5AA7C" w14:textId="77777777" w:rsidR="004529F0" w:rsidRPr="004C23F4" w:rsidRDefault="004529F0" w:rsidP="004529F0">
      <w:pPr>
        <w:pStyle w:val="Heading2"/>
      </w:pPr>
      <w:r>
        <w:t>Recommendation for notations</w:t>
      </w:r>
    </w:p>
    <w:p w14:paraId="3CECEA03" w14:textId="70D5822C" w:rsidR="006C06F8" w:rsidRDefault="006C06F8" w:rsidP="006C06F8">
      <w:pPr>
        <w:rPr>
          <w:rFonts w:cs="Arial"/>
        </w:rPr>
      </w:pPr>
      <w:r>
        <w:rPr>
          <w:rFonts w:cs="Arial"/>
        </w:rPr>
        <w:t>Not classified as a carcinogen according to the Globally Harmonized System of</w:t>
      </w:r>
      <w:r w:rsidR="005C67D2">
        <w:rPr>
          <w:rFonts w:cs="Arial"/>
        </w:rPr>
        <w:t xml:space="preserve"> Classification and Labelling of</w:t>
      </w:r>
      <w:r>
        <w:rPr>
          <w:rFonts w:cs="Arial"/>
        </w:rPr>
        <w:t xml:space="preserve"> Chemicals (GHS). </w:t>
      </w:r>
    </w:p>
    <w:p w14:paraId="67DA505A" w14:textId="2A6F9F1E" w:rsidR="006C06F8" w:rsidRDefault="006C06F8" w:rsidP="006C06F8">
      <w:pPr>
        <w:rPr>
          <w:rFonts w:cs="Arial"/>
        </w:rPr>
      </w:pPr>
      <w:r>
        <w:rPr>
          <w:rFonts w:cs="Arial"/>
        </w:rPr>
        <w:t>Not classified as a skin</w:t>
      </w:r>
      <w:r w:rsidR="005C67D2">
        <w:rPr>
          <w:rFonts w:cs="Arial"/>
        </w:rPr>
        <w:t xml:space="preserve"> sensitiser</w:t>
      </w:r>
      <w:r>
        <w:rPr>
          <w:rFonts w:cs="Arial"/>
        </w:rPr>
        <w:t xml:space="preserve"> or respiratory sensitiser according to the GHS.</w:t>
      </w:r>
    </w:p>
    <w:p w14:paraId="3D496FAD" w14:textId="2E57E4FE" w:rsidR="006C06F8" w:rsidRDefault="00450D7D" w:rsidP="006C06F8">
      <w:pPr>
        <w:rPr>
          <w:rFonts w:cs="Arial"/>
        </w:rPr>
      </w:pPr>
      <w:r>
        <w:rPr>
          <w:rFonts w:cs="Arial"/>
        </w:rPr>
        <w:t xml:space="preserve">There </w:t>
      </w:r>
      <w:r w:rsidR="008A477C">
        <w:rPr>
          <w:rFonts w:cs="Arial"/>
        </w:rPr>
        <w:t>are</w:t>
      </w:r>
      <w:r>
        <w:rPr>
          <w:rFonts w:cs="Arial"/>
        </w:rPr>
        <w:t xml:space="preserve"> i</w:t>
      </w:r>
      <w:r w:rsidR="006C06F8">
        <w:rPr>
          <w:rFonts w:cs="Arial"/>
        </w:rPr>
        <w:t xml:space="preserve">nsufficient </w:t>
      </w:r>
      <w:r>
        <w:rPr>
          <w:rFonts w:cs="Arial"/>
        </w:rPr>
        <w:t xml:space="preserve">data </w:t>
      </w:r>
      <w:r w:rsidR="006C06F8">
        <w:rPr>
          <w:rFonts w:cs="Arial"/>
        </w:rPr>
        <w:t>to recommend a skin notation.</w:t>
      </w:r>
    </w:p>
    <w:p w14:paraId="13D92958" w14:textId="013E9401"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0D13D76F"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4D3C7538"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7D6ECE" w14:paraId="2DBDDE62" w14:textId="77777777" w:rsidTr="007D6ECE">
        <w:trPr>
          <w:gridAfter w:val="1"/>
          <w:cnfStyle w:val="100000000000" w:firstRow="1" w:lastRow="0" w:firstColumn="0" w:lastColumn="0" w:oddVBand="0" w:evenVBand="0" w:oddHBand="0" w:evenHBand="0" w:firstRowFirstColumn="0" w:firstRowLastColumn="0" w:lastRowFirstColumn="0" w:lastRowLastColumn="0"/>
          <w:wAfter w:w="8" w:type="pct"/>
          <w:cantSplit/>
          <w:trHeight w:val="393"/>
          <w:tblHeader/>
        </w:trPr>
        <w:tc>
          <w:tcPr>
            <w:tcW w:w="4992" w:type="pct"/>
            <w:shd w:val="clear" w:color="auto" w:fill="BFBFBF" w:themeFill="background1" w:themeFillShade="BF"/>
            <w:vAlign w:val="center"/>
          </w:tcPr>
          <w:p w14:paraId="2369D284" w14:textId="77777777" w:rsidR="00C978F0" w:rsidRPr="007D6ECE" w:rsidRDefault="00C978F0" w:rsidP="00C67FFB">
            <w:pPr>
              <w:pStyle w:val="Tableheader"/>
              <w:tabs>
                <w:tab w:val="left" w:pos="1418"/>
                <w:tab w:val="left" w:pos="2552"/>
                <w:tab w:val="right" w:pos="8489"/>
              </w:tabs>
              <w:rPr>
                <w:b/>
              </w:rPr>
            </w:pPr>
            <w:r w:rsidRPr="007D6ECE">
              <w:rPr>
                <w:b/>
              </w:rPr>
              <w:t>Source</w:t>
            </w:r>
            <w:r w:rsidR="00DA352E" w:rsidRPr="007D6ECE">
              <w:rPr>
                <w:b/>
              </w:rPr>
              <w:tab/>
              <w:t>Year set</w:t>
            </w:r>
            <w:r w:rsidR="00DA352E" w:rsidRPr="007D6ECE">
              <w:rPr>
                <w:b/>
              </w:rPr>
              <w:tab/>
              <w:t>Standard</w:t>
            </w:r>
            <w:r w:rsidR="00974F2D" w:rsidRPr="007D6ECE">
              <w:rPr>
                <w:b/>
              </w:rPr>
              <w:tab/>
            </w:r>
          </w:p>
        </w:tc>
      </w:tr>
      <w:tr w:rsidR="00DE26E8" w:rsidRPr="003365A5" w14:paraId="3F4083D5" w14:textId="77777777" w:rsidTr="007D6ECE">
        <w:trPr>
          <w:cantSplit/>
        </w:trPr>
        <w:tc>
          <w:tcPr>
            <w:tcW w:w="5000" w:type="pct"/>
            <w:gridSpan w:val="2"/>
            <w:shd w:val="clear" w:color="auto" w:fill="F2F2F2" w:themeFill="background1" w:themeFillShade="F2"/>
          </w:tcPr>
          <w:p w14:paraId="68091391" w14:textId="56A5715D"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D27A18">
                  <w:t>1991</w:t>
                </w:r>
              </w:sdtContent>
            </w:sdt>
            <w:r w:rsidRPr="003365A5">
              <w:tab/>
            </w:r>
            <w:r>
              <w:tab/>
            </w:r>
            <w:sdt>
              <w:sdtPr>
                <w:alias w:val="SWA WES"/>
                <w:tag w:val="SWA WES"/>
                <w:id w:val="857077202"/>
                <w:placeholder>
                  <w:docPart w:val="81CFEC2FDBC5451289F394E66D92D1A0"/>
                </w:placeholder>
              </w:sdtPr>
              <w:sdtEndPr/>
              <w:sdtContent>
                <w:r w:rsidR="00D27A18">
                  <w:t>TWA: 10 mg/m</w:t>
                </w:r>
                <w:r w:rsidR="00D27A18" w:rsidRPr="00D27A18">
                  <w:rPr>
                    <w:vertAlign w:val="superscript"/>
                  </w:rPr>
                  <w:t>3</w:t>
                </w:r>
              </w:sdtContent>
            </w:sdt>
          </w:p>
        </w:tc>
      </w:tr>
      <w:tr w:rsidR="00C978F0" w:rsidRPr="00DA352E" w14:paraId="26A9E561" w14:textId="77777777" w:rsidTr="007D6ECE">
        <w:trPr>
          <w:gridAfter w:val="1"/>
          <w:wAfter w:w="8" w:type="pct"/>
          <w:cantSplit/>
        </w:trPr>
        <w:tc>
          <w:tcPr>
            <w:tcW w:w="4992" w:type="pct"/>
          </w:tcPr>
          <w:p w14:paraId="290E5A46" w14:textId="77777777" w:rsidR="00C978F0" w:rsidRPr="00DA352E" w:rsidRDefault="00C978F0" w:rsidP="003365A5">
            <w:pPr>
              <w:pStyle w:val="Tabletextprimarysource"/>
            </w:pPr>
          </w:p>
        </w:tc>
      </w:tr>
      <w:tr w:rsidR="00C978F0" w:rsidRPr="00DA352E" w14:paraId="27E8A36C" w14:textId="77777777" w:rsidTr="007D6ECE">
        <w:trPr>
          <w:gridAfter w:val="1"/>
          <w:wAfter w:w="8" w:type="pct"/>
          <w:cantSplit/>
        </w:trPr>
        <w:tc>
          <w:tcPr>
            <w:tcW w:w="4992" w:type="pct"/>
            <w:shd w:val="clear" w:color="auto" w:fill="F2F2F2" w:themeFill="background1" w:themeFillShade="F2"/>
          </w:tcPr>
          <w:p w14:paraId="5ED18BAF" w14:textId="3A642E05"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D27A18">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D27A18">
                  <w:t>TLV-TWA: 10 mg/m</w:t>
                </w:r>
                <w:r w:rsidR="00D27A18" w:rsidRPr="00D27A18">
                  <w:rPr>
                    <w:vertAlign w:val="superscript"/>
                  </w:rPr>
                  <w:t>3</w:t>
                </w:r>
              </w:sdtContent>
            </w:sdt>
          </w:p>
        </w:tc>
      </w:tr>
      <w:tr w:rsidR="00C978F0" w:rsidRPr="00DA352E" w14:paraId="770DA947" w14:textId="77777777" w:rsidTr="007D6ECE">
        <w:trPr>
          <w:gridAfter w:val="1"/>
          <w:wAfter w:w="8" w:type="pct"/>
          <w:cantSplit/>
        </w:trPr>
        <w:tc>
          <w:tcPr>
            <w:tcW w:w="4992" w:type="pct"/>
          </w:tcPr>
          <w:p w14:paraId="61A22BD7" w14:textId="1771A4EC" w:rsidR="00C978F0" w:rsidRDefault="005B230C" w:rsidP="007B00BB">
            <w:pPr>
              <w:pStyle w:val="Tabletextprimarysource"/>
            </w:pPr>
            <w:r>
              <w:t xml:space="preserve">TLV-TWA is recommended to minimise the potential for adverse effects on the liver and </w:t>
            </w:r>
            <w:r w:rsidR="00FE2163">
              <w:t>CNS</w:t>
            </w:r>
            <w:r>
              <w:t xml:space="preserve"> demonstrated in limited studies with animals.</w:t>
            </w:r>
          </w:p>
          <w:p w14:paraId="3CCDA426" w14:textId="077C1D75" w:rsidR="005B230C" w:rsidRDefault="005B230C" w:rsidP="007B00BB">
            <w:pPr>
              <w:pStyle w:val="Tabletextprimarysource"/>
            </w:pPr>
            <w:r>
              <w:t>Summary of data:</w:t>
            </w:r>
          </w:p>
          <w:p w14:paraId="3F82C654" w14:textId="356F8546" w:rsidR="006D4D02" w:rsidRDefault="006D4D02" w:rsidP="007B00BB">
            <w:pPr>
              <w:pStyle w:val="Tabletextprimarysource"/>
            </w:pPr>
            <w:r>
              <w:t>TLV based on following:</w:t>
            </w:r>
          </w:p>
          <w:p w14:paraId="1258A32D" w14:textId="16E15ED3" w:rsidR="006D4D02" w:rsidRDefault="006D4D02" w:rsidP="007B00BB">
            <w:pPr>
              <w:pStyle w:val="Tabletextprimarysource"/>
            </w:pPr>
            <w:r>
              <w:t>At 10 mg/m</w:t>
            </w:r>
            <w:r w:rsidRPr="00D47D44">
              <w:rPr>
                <w:vertAlign w:val="superscript"/>
              </w:rPr>
              <w:t>3</w:t>
            </w:r>
            <w:r>
              <w:t xml:space="preserve"> a worker could absorb up to 1.4 mg/kg/d (calculation not presented); this dose is less than the highest dose shown to be without adverse health effects in sub</w:t>
            </w:r>
            <w:r w:rsidR="00541B5A">
              <w:t>-</w:t>
            </w:r>
            <w:r>
              <w:t>chronic studies in humans</w:t>
            </w:r>
            <w:r w:rsidR="00D47D44">
              <w:t>.</w:t>
            </w:r>
          </w:p>
          <w:p w14:paraId="3619F24B" w14:textId="77777777" w:rsidR="005B230C" w:rsidRDefault="005B230C" w:rsidP="007B00BB">
            <w:pPr>
              <w:pStyle w:val="Tabletextprimarysource"/>
            </w:pPr>
            <w:r>
              <w:t>Human data:</w:t>
            </w:r>
          </w:p>
          <w:p w14:paraId="7D37522A" w14:textId="3811CBBE" w:rsidR="005B230C" w:rsidRDefault="00D81BB2" w:rsidP="00893C2E">
            <w:pPr>
              <w:pStyle w:val="ListBullet"/>
              <w:spacing w:before="60" w:after="60"/>
              <w:ind w:left="714" w:hanging="357"/>
              <w:contextualSpacing w:val="0"/>
            </w:pPr>
            <w:r>
              <w:t xml:space="preserve">No adverse effects in volunteers ingesting </w:t>
            </w:r>
            <w:r>
              <w:rPr>
                <w:rFonts w:cs="Arial"/>
              </w:rPr>
              <w:t>≤</w:t>
            </w:r>
            <w:r>
              <w:t>2.0 mg/kg/d for 7 d/</w:t>
            </w:r>
            <w:proofErr w:type="spellStart"/>
            <w:r>
              <w:t>w</w:t>
            </w:r>
            <w:r w:rsidR="007B00BB">
              <w:t>k</w:t>
            </w:r>
            <w:proofErr w:type="spellEnd"/>
            <w:r>
              <w:t xml:space="preserve"> for 8 </w:t>
            </w:r>
            <w:proofErr w:type="spellStart"/>
            <w:r>
              <w:t>wk</w:t>
            </w:r>
            <w:proofErr w:type="spellEnd"/>
            <w:r w:rsidR="005C67D2">
              <w:t>; used to justify TLV-TWA; no derivation</w:t>
            </w:r>
            <w:r w:rsidR="0000252E">
              <w:t xml:space="preserve"> description</w:t>
            </w:r>
          </w:p>
          <w:p w14:paraId="09C09B27" w14:textId="63496A10" w:rsidR="00D81BB2" w:rsidRDefault="00BF6F08" w:rsidP="00893C2E">
            <w:pPr>
              <w:pStyle w:val="ListBullet"/>
              <w:spacing w:before="60" w:after="60"/>
              <w:ind w:left="714" w:hanging="357"/>
              <w:contextualSpacing w:val="0"/>
            </w:pPr>
            <w:r>
              <w:t>N</w:t>
            </w:r>
            <w:r w:rsidRPr="00BF6F08">
              <w:t>o confirmed case of human poisoning</w:t>
            </w:r>
            <w:r>
              <w:t xml:space="preserve"> in the literature</w:t>
            </w:r>
            <w:r w:rsidR="007B00BB">
              <w:t>.</w:t>
            </w:r>
          </w:p>
          <w:p w14:paraId="19AEF169" w14:textId="77777777" w:rsidR="00BF6F08" w:rsidRDefault="00BF6F08" w:rsidP="007B00BB">
            <w:pPr>
              <w:pStyle w:val="Tabletextprimarysource"/>
            </w:pPr>
            <w:r>
              <w:t>Animal data:</w:t>
            </w:r>
          </w:p>
          <w:p w14:paraId="74A45CF1" w14:textId="77777777" w:rsidR="00BF6F08" w:rsidRDefault="00BF6F08" w:rsidP="00893C2E">
            <w:pPr>
              <w:pStyle w:val="ListBullet"/>
              <w:spacing w:before="60" w:after="60"/>
              <w:ind w:left="714" w:hanging="357"/>
              <w:contextualSpacing w:val="0"/>
            </w:pPr>
            <w:r>
              <w:t>Low acute oral toxicity</w:t>
            </w:r>
          </w:p>
          <w:p w14:paraId="757BDB8A" w14:textId="75025CA3" w:rsidR="00893C2E" w:rsidRDefault="00BF6F08" w:rsidP="00893C2E">
            <w:pPr>
              <w:pStyle w:val="ListBullet"/>
              <w:spacing w:before="60" w:after="60"/>
              <w:ind w:left="714" w:hanging="357"/>
              <w:contextualSpacing w:val="0"/>
            </w:pPr>
            <w:r>
              <w:t>In dogs, weight loss when fed 1,000 mg/kg</w:t>
            </w:r>
            <w:r w:rsidR="0000252E">
              <w:t>/d</w:t>
            </w:r>
            <w:r>
              <w:t xml:space="preserve"> for 6 </w:t>
            </w:r>
            <w:proofErr w:type="spellStart"/>
            <w:r>
              <w:t>mo</w:t>
            </w:r>
            <w:proofErr w:type="spellEnd"/>
            <w:r w:rsidR="00BB3947">
              <w:t>:</w:t>
            </w:r>
          </w:p>
          <w:p w14:paraId="517B3459" w14:textId="331836A2" w:rsidR="00BF6F08" w:rsidRDefault="00BF6F08" w:rsidP="00893C2E">
            <w:pPr>
              <w:pStyle w:val="ListBullet"/>
              <w:numPr>
                <w:ilvl w:val="0"/>
                <w:numId w:val="8"/>
              </w:numPr>
              <w:spacing w:before="60" w:after="60"/>
              <w:contextualSpacing w:val="0"/>
            </w:pPr>
            <w:r>
              <w:t xml:space="preserve">2,000 </w:t>
            </w:r>
            <w:r w:rsidR="007F12E0">
              <w:t>m</w:t>
            </w:r>
            <w:r>
              <w:t>g/kg</w:t>
            </w:r>
            <w:r w:rsidR="0000252E">
              <w:t>/d</w:t>
            </w:r>
            <w:r>
              <w:t xml:space="preserve"> resulted in convulsion at 6</w:t>
            </w:r>
            <w:r w:rsidR="006460AA">
              <w:t> </w:t>
            </w:r>
            <w:proofErr w:type="spellStart"/>
            <w:r>
              <w:t>wk</w:t>
            </w:r>
            <w:proofErr w:type="spellEnd"/>
            <w:r w:rsidR="007B00BB">
              <w:t>,</w:t>
            </w:r>
            <w:r>
              <w:t xml:space="preserve"> followed by death within additional 3 </w:t>
            </w:r>
            <w:proofErr w:type="spellStart"/>
            <w:r>
              <w:t>wk</w:t>
            </w:r>
            <w:proofErr w:type="spellEnd"/>
          </w:p>
          <w:p w14:paraId="2FA47BA8" w14:textId="4D33CAE9" w:rsidR="00BF6F08" w:rsidRDefault="00BF6F08" w:rsidP="00893C2E">
            <w:pPr>
              <w:pStyle w:val="ListBullet"/>
              <w:spacing w:before="60" w:after="60"/>
              <w:ind w:left="714" w:hanging="357"/>
              <w:contextualSpacing w:val="0"/>
            </w:pPr>
            <w:r>
              <w:t>Rabbits died after 4</w:t>
            </w:r>
            <w:r w:rsidR="007B00BB">
              <w:t>–</w:t>
            </w:r>
            <w:r>
              <w:t>15 do</w:t>
            </w:r>
            <w:r w:rsidR="007B00BB">
              <w:t>ses</w:t>
            </w:r>
            <w:r>
              <w:t xml:space="preserve"> of 200 mg/kg</w:t>
            </w:r>
            <w:r w:rsidR="0000252E">
              <w:t>/d</w:t>
            </w:r>
            <w:r>
              <w:t xml:space="preserve">; mild liver damage and </w:t>
            </w:r>
            <w:r w:rsidR="00450D7D">
              <w:t>nephrosis</w:t>
            </w:r>
          </w:p>
          <w:p w14:paraId="62497813" w14:textId="754BAECB" w:rsidR="00AA1362" w:rsidRDefault="00AA1362" w:rsidP="00893C2E">
            <w:pPr>
              <w:pStyle w:val="ListBullet"/>
              <w:spacing w:before="60" w:after="60"/>
              <w:ind w:left="714" w:hanging="357"/>
              <w:contextualSpacing w:val="0"/>
            </w:pPr>
            <w:r>
              <w:t>Dietary 100 ppm (</w:t>
            </w:r>
            <w:r w:rsidR="00450D7D">
              <w:rPr>
                <w:rFonts w:cs="Arial"/>
              </w:rPr>
              <w:t>≡</w:t>
            </w:r>
            <w:r>
              <w:t>350 mg</w:t>
            </w:r>
            <w:r w:rsidR="00450D7D">
              <w:t xml:space="preserve">/d </w:t>
            </w:r>
            <w:r w:rsidR="000B7FCD">
              <w:t>[</w:t>
            </w:r>
            <w:r w:rsidR="00450D7D">
              <w:t>human</w:t>
            </w:r>
            <w:r w:rsidR="000B7FCD">
              <w:t>]</w:t>
            </w:r>
            <w:r>
              <w:t>) produced no sign of intoxication in rats</w:t>
            </w:r>
          </w:p>
          <w:p w14:paraId="35F8E37B" w14:textId="1276DEE0" w:rsidR="00AA1362" w:rsidRDefault="00AA1362" w:rsidP="00893C2E">
            <w:pPr>
              <w:pStyle w:val="ListBullet"/>
              <w:spacing w:before="60" w:after="60"/>
              <w:ind w:left="714" w:hanging="357"/>
              <w:contextualSpacing w:val="0"/>
            </w:pPr>
            <w:r>
              <w:t>Inconclusive evidence of carcinogenicity</w:t>
            </w:r>
            <w:r w:rsidR="007B00BB">
              <w:t>.</w:t>
            </w:r>
          </w:p>
          <w:p w14:paraId="0D09A1B6" w14:textId="77777777" w:rsidR="006460AA" w:rsidRDefault="006460AA" w:rsidP="007B00BB">
            <w:pPr>
              <w:pStyle w:val="Tabletextprimarysource"/>
            </w:pPr>
          </w:p>
          <w:p w14:paraId="6957C063" w14:textId="77777777" w:rsidR="00AA1362" w:rsidRDefault="00AA1362" w:rsidP="007B00BB">
            <w:pPr>
              <w:pStyle w:val="Tabletextprimarysource"/>
            </w:pPr>
            <w:r>
              <w:t xml:space="preserve">Insufficient data to </w:t>
            </w:r>
            <w:r w:rsidR="007B00BB">
              <w:t>recommend</w:t>
            </w:r>
            <w:r>
              <w:t xml:space="preserve"> a </w:t>
            </w:r>
            <w:r w:rsidR="00450D7D">
              <w:t>s</w:t>
            </w:r>
            <w:r>
              <w:t>kin</w:t>
            </w:r>
            <w:r w:rsidR="00450D7D">
              <w:t xml:space="preserve"> or</w:t>
            </w:r>
            <w:r>
              <w:t xml:space="preserve"> sensitiser</w:t>
            </w:r>
            <w:r w:rsidR="00450D7D">
              <w:t xml:space="preserve"> notation</w:t>
            </w:r>
            <w:r>
              <w:t xml:space="preserve"> or TLV-STEL.</w:t>
            </w:r>
          </w:p>
          <w:p w14:paraId="22D240D3" w14:textId="2C343165" w:rsidR="006460AA" w:rsidRPr="00DA352E" w:rsidRDefault="006460AA" w:rsidP="007B00BB">
            <w:pPr>
              <w:pStyle w:val="Tabletextprimarysource"/>
            </w:pPr>
          </w:p>
        </w:tc>
      </w:tr>
      <w:tr w:rsidR="00C978F0" w:rsidRPr="00DA352E" w14:paraId="1AFB7614" w14:textId="77777777" w:rsidTr="007D6ECE">
        <w:trPr>
          <w:gridAfter w:val="1"/>
          <w:wAfter w:w="8" w:type="pct"/>
          <w:cantSplit/>
        </w:trPr>
        <w:tc>
          <w:tcPr>
            <w:tcW w:w="4992" w:type="pct"/>
            <w:shd w:val="clear" w:color="auto" w:fill="F2F2F2" w:themeFill="background1" w:themeFillShade="F2"/>
          </w:tcPr>
          <w:p w14:paraId="622405B2" w14:textId="33C99229"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2654F9">
                  <w:t>2014</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D27A18">
                  <w:t>MAK: 1 mg/m</w:t>
                </w:r>
                <w:r w:rsidR="00D27A18" w:rsidRPr="00D27A18">
                  <w:rPr>
                    <w:vertAlign w:val="superscript"/>
                  </w:rPr>
                  <w:t>3</w:t>
                </w:r>
              </w:sdtContent>
            </w:sdt>
          </w:p>
        </w:tc>
      </w:tr>
      <w:tr w:rsidR="00C978F0" w:rsidRPr="00DA352E" w14:paraId="233E418D" w14:textId="77777777" w:rsidTr="007D6ECE">
        <w:trPr>
          <w:gridAfter w:val="1"/>
          <w:wAfter w:w="8" w:type="pct"/>
        </w:trPr>
        <w:tc>
          <w:tcPr>
            <w:tcW w:w="0" w:type="pct"/>
          </w:tcPr>
          <w:p w14:paraId="7408D5E4" w14:textId="5B451822" w:rsidR="00C978F0" w:rsidRPr="007F12E0" w:rsidRDefault="005C1982" w:rsidP="007B00BB">
            <w:pPr>
              <w:pStyle w:val="Tabletextprimarysource"/>
            </w:pPr>
            <w:r w:rsidRPr="007F12E0">
              <w:t>MAK</w:t>
            </w:r>
            <w:r w:rsidR="002654F9" w:rsidRPr="007F12E0">
              <w:t xml:space="preserve"> established in 2013</w:t>
            </w:r>
            <w:r w:rsidRPr="007F12E0">
              <w:t xml:space="preserve"> </w:t>
            </w:r>
            <w:r w:rsidR="002654F9" w:rsidRPr="007F12E0">
              <w:t xml:space="preserve">and </w:t>
            </w:r>
            <w:r w:rsidRPr="007F12E0">
              <w:t>based on teratogenic effects in rats</w:t>
            </w:r>
            <w:r w:rsidR="007B00BB" w:rsidRPr="007F12E0">
              <w:t>.</w:t>
            </w:r>
          </w:p>
          <w:p w14:paraId="17CEB4FB" w14:textId="77777777" w:rsidR="005C1982" w:rsidRPr="007F12E0" w:rsidRDefault="005C1982" w:rsidP="007B00BB">
            <w:pPr>
              <w:pStyle w:val="Tabletextprimarysource"/>
            </w:pPr>
            <w:r w:rsidRPr="007F12E0">
              <w:t>Summary of additional data:</w:t>
            </w:r>
          </w:p>
          <w:p w14:paraId="48A30816" w14:textId="77777777" w:rsidR="005C1982" w:rsidRPr="007F12E0" w:rsidRDefault="005C1982" w:rsidP="00893C2E">
            <w:pPr>
              <w:pStyle w:val="ListBullet"/>
              <w:spacing w:before="60" w:after="60"/>
              <w:ind w:left="714" w:hanging="357"/>
              <w:contextualSpacing w:val="0"/>
            </w:pPr>
            <w:r w:rsidRPr="007F12E0">
              <w:t>No available valid human data</w:t>
            </w:r>
          </w:p>
          <w:p w14:paraId="7AC9F3D9" w14:textId="014C3E8E" w:rsidR="005C1982" w:rsidRPr="007F12E0" w:rsidRDefault="005C1982" w:rsidP="00893C2E">
            <w:pPr>
              <w:pStyle w:val="ListBullet"/>
              <w:spacing w:before="60" w:after="60"/>
              <w:ind w:left="714" w:hanging="357"/>
              <w:contextualSpacing w:val="0"/>
            </w:pPr>
            <w:r w:rsidRPr="007F12E0">
              <w:t xml:space="preserve">LOAEL of 20 mg/kg/d; </w:t>
            </w:r>
            <w:r w:rsidR="002E0E7A" w:rsidRPr="007F12E0">
              <w:t xml:space="preserve">rats dosed </w:t>
            </w:r>
            <w:r w:rsidR="002E0E7A" w:rsidRPr="007F12E0">
              <w:rPr>
                <w:i/>
              </w:rPr>
              <w:t>via</w:t>
            </w:r>
            <w:r w:rsidR="002E0E7A" w:rsidRPr="007F12E0">
              <w:t xml:space="preserve"> gavage at 0, 20, 100, 500 mg/kg/d, 5 d/</w:t>
            </w:r>
            <w:proofErr w:type="spellStart"/>
            <w:r w:rsidR="002E0E7A" w:rsidRPr="007F12E0">
              <w:t>wk</w:t>
            </w:r>
            <w:proofErr w:type="spellEnd"/>
            <w:r w:rsidR="002E0E7A" w:rsidRPr="007F12E0">
              <w:t xml:space="preserve"> for </w:t>
            </w:r>
            <w:r w:rsidRPr="007F12E0">
              <w:t>28 d; mammary acinar atrophy</w:t>
            </w:r>
            <w:r w:rsidR="002E0E7A" w:rsidRPr="007F12E0">
              <w:t xml:space="preserve"> significant from 100 mg/kg/d in males</w:t>
            </w:r>
            <w:r w:rsidRPr="007F12E0">
              <w:t xml:space="preserve"> and T4 elevation</w:t>
            </w:r>
            <w:r w:rsidR="0000252E" w:rsidRPr="007F12E0">
              <w:rPr>
                <w:rFonts w:cs="Arial"/>
                <w:shd w:val="clear" w:color="auto" w:fill="FFFFFF"/>
              </w:rPr>
              <w:t xml:space="preserve"> in </w:t>
            </w:r>
            <w:r w:rsidR="006D4D02" w:rsidRPr="007F12E0">
              <w:rPr>
                <w:rFonts w:cs="Arial"/>
                <w:shd w:val="clear" w:color="auto" w:fill="FFFFFF"/>
              </w:rPr>
              <w:t>male rats</w:t>
            </w:r>
            <w:r w:rsidR="002E0E7A" w:rsidRPr="007F12E0">
              <w:rPr>
                <w:rFonts w:cs="Arial"/>
                <w:shd w:val="clear" w:color="auto" w:fill="FFFFFF"/>
              </w:rPr>
              <w:t xml:space="preserve"> not significant at 500 mg/kg/d</w:t>
            </w:r>
          </w:p>
          <w:p w14:paraId="6892B9D0" w14:textId="7BBDB564" w:rsidR="008B6EB4" w:rsidRDefault="008B6EB4" w:rsidP="00474367">
            <w:pPr>
              <w:pStyle w:val="ListBullet"/>
              <w:ind w:left="717"/>
            </w:pPr>
            <w:r>
              <w:rPr>
                <w:shd w:val="clear" w:color="auto" w:fill="FFFFFF"/>
              </w:rPr>
              <w:t>In a 2-generation study in male and female rats dosed with 0, 10, 500 or 1500 mg/kg in feed</w:t>
            </w:r>
            <w:r w:rsidR="001113CC">
              <w:rPr>
                <w:shd w:val="clear" w:color="auto" w:fill="FFFFFF"/>
              </w:rPr>
              <w:t xml:space="preserve"> </w:t>
            </w:r>
            <w:r w:rsidR="001113CC" w:rsidRPr="001113CC">
              <w:rPr>
                <w:rFonts w:cs="Arial"/>
                <w:color w:val="1C1D1E"/>
                <w:shd w:val="clear" w:color="auto" w:fill="FFFFFF"/>
              </w:rPr>
              <w:t>10 weeks before and 7 weeks after mating</w:t>
            </w:r>
            <w:r>
              <w:rPr>
                <w:shd w:val="clear" w:color="auto" w:fill="FFFFFF"/>
              </w:rPr>
              <w:t xml:space="preserve"> (</w:t>
            </w:r>
            <w:r w:rsidR="0075775E">
              <w:rPr>
                <w:shd w:val="clear" w:color="auto" w:fill="FFFFFF"/>
              </w:rPr>
              <w:t>female</w:t>
            </w:r>
            <w:r w:rsidR="00327886">
              <w:rPr>
                <w:shd w:val="clear" w:color="auto" w:fill="FFFFFF"/>
              </w:rPr>
              <w:t xml:space="preserve"> doses </w:t>
            </w:r>
            <w:r>
              <w:rPr>
                <w:shd w:val="clear" w:color="auto" w:fill="FFFFFF"/>
              </w:rPr>
              <w:t>P generation: at 0; 0.9; 44 or 122 mg/kg/d; F1 generation: at 0; 0.9; 45 or 133 mg/kg/d)</w:t>
            </w:r>
            <w:r w:rsidR="00E527E0">
              <w:rPr>
                <w:shd w:val="clear" w:color="auto" w:fill="FFFFFF"/>
              </w:rPr>
              <w:t>:</w:t>
            </w:r>
          </w:p>
          <w:p w14:paraId="0B325107" w14:textId="23952A35" w:rsidR="00ED4025" w:rsidRPr="00474367" w:rsidRDefault="00ED4025" w:rsidP="00474367">
            <w:pPr>
              <w:pStyle w:val="ListBullet"/>
              <w:numPr>
                <w:ilvl w:val="0"/>
                <w:numId w:val="10"/>
              </w:numPr>
              <w:spacing w:before="60" w:after="60"/>
              <w:contextualSpacing w:val="0"/>
            </w:pPr>
            <w:r w:rsidRPr="00ED4025">
              <w:rPr>
                <w:rFonts w:cs="Arial"/>
                <w:color w:val="1C1D1E"/>
                <w:shd w:val="clear" w:color="auto" w:fill="FFFFFF"/>
              </w:rPr>
              <w:t>from</w:t>
            </w:r>
            <w:r w:rsidR="00327886" w:rsidRPr="00ED4025">
              <w:rPr>
                <w:rFonts w:cs="Arial"/>
                <w:color w:val="1C1D1E"/>
                <w:shd w:val="clear" w:color="auto" w:fill="FFFFFF"/>
              </w:rPr>
              <w:t xml:space="preserve"> 44 mg/kg/d, the number of implantations and the number of live offspring decreased in a dose-dependent manner, with maternal toxicity also occurrin</w:t>
            </w:r>
            <w:r w:rsidR="00327886" w:rsidRPr="0075775E">
              <w:rPr>
                <w:rFonts w:cs="Arial"/>
                <w:color w:val="1C1D1E"/>
                <w:shd w:val="clear" w:color="auto" w:fill="FFFFFF"/>
              </w:rPr>
              <w:t>g in form of body weight gain, feed consumption decrease and oestradiol concentration in serum reduced</w:t>
            </w:r>
            <w:r w:rsidRPr="0075775E">
              <w:rPr>
                <w:rFonts w:cs="Arial"/>
                <w:color w:val="1C1D1E"/>
                <w:shd w:val="clear" w:color="auto" w:fill="FFFFFF"/>
              </w:rPr>
              <w:t xml:space="preserve"> </w:t>
            </w:r>
          </w:p>
          <w:p w14:paraId="0F19EA67" w14:textId="60D05277" w:rsidR="00ED4025" w:rsidRPr="00474367" w:rsidRDefault="00ED4025" w:rsidP="00474367">
            <w:pPr>
              <w:pStyle w:val="ListBullet"/>
              <w:numPr>
                <w:ilvl w:val="0"/>
                <w:numId w:val="10"/>
              </w:numPr>
              <w:spacing w:before="60" w:after="60"/>
              <w:contextualSpacing w:val="0"/>
            </w:pPr>
            <w:r>
              <w:rPr>
                <w:rFonts w:cs="Arial"/>
                <w:color w:val="1C1D1E"/>
                <w:shd w:val="clear" w:color="auto" w:fill="FFFFFF"/>
              </w:rPr>
              <w:t xml:space="preserve">from 44 mg/kg/d there were postnatal effects on body weight development, on the absolute or relative thymus and uterine weights and on the sexual development of the offspring (premature vaginal opening, delayed preputial separation, prolonged oestrus cycle) </w:t>
            </w:r>
          </w:p>
          <w:p w14:paraId="73E012C7" w14:textId="3A536DB6" w:rsidR="00ED4025" w:rsidRPr="00474367" w:rsidRDefault="00ED4025" w:rsidP="00474367">
            <w:pPr>
              <w:pStyle w:val="ListBullet"/>
              <w:numPr>
                <w:ilvl w:val="0"/>
                <w:numId w:val="10"/>
              </w:numPr>
              <w:spacing w:before="60" w:after="60"/>
              <w:contextualSpacing w:val="0"/>
            </w:pPr>
            <w:r w:rsidRPr="00ED4025">
              <w:rPr>
                <w:rFonts w:cs="Arial"/>
                <w:color w:val="1C1D1E"/>
                <w:shd w:val="clear" w:color="auto" w:fill="FFFFFF"/>
              </w:rPr>
              <w:lastRenderedPageBreak/>
              <w:t>from 122 mg/kg/d in parent group – uterine weight reduced, prolonged oestrus and fertility index reduced (45.5%)</w:t>
            </w:r>
          </w:p>
          <w:p w14:paraId="4A5E0507" w14:textId="2D5C9B83" w:rsidR="00C346D1" w:rsidRPr="007F12E0" w:rsidRDefault="00696680" w:rsidP="00474367">
            <w:pPr>
              <w:pStyle w:val="ListBullet"/>
              <w:numPr>
                <w:ilvl w:val="0"/>
                <w:numId w:val="10"/>
              </w:numPr>
              <w:spacing w:before="60" w:after="60"/>
              <w:contextualSpacing w:val="0"/>
            </w:pPr>
            <w:r>
              <w:t>a</w:t>
            </w:r>
            <w:r w:rsidR="0075775E">
              <w:t xml:space="preserve">uthors conclude a </w:t>
            </w:r>
            <w:r w:rsidR="005C1982" w:rsidRPr="007F12E0">
              <w:t>NOAEL 0.9 mg/kg</w:t>
            </w:r>
            <w:r w:rsidR="0000252E" w:rsidRPr="007F12E0">
              <w:t>/d</w:t>
            </w:r>
            <w:r w:rsidR="00DB0FDF" w:rsidRPr="007F12E0">
              <w:t xml:space="preserve"> for </w:t>
            </w:r>
            <w:r w:rsidR="00ED4025">
              <w:rPr>
                <w:rFonts w:cs="Arial"/>
                <w:color w:val="1C1D1E"/>
                <w:shd w:val="clear" w:color="auto" w:fill="FFFFFF"/>
              </w:rPr>
              <w:t>prenatal developmental toxicity</w:t>
            </w:r>
            <w:r w:rsidR="0075775E">
              <w:rPr>
                <w:rFonts w:cs="Arial"/>
                <w:color w:val="1C1D1E"/>
                <w:shd w:val="clear" w:color="auto" w:fill="FFFFFF"/>
              </w:rPr>
              <w:t xml:space="preserve"> </w:t>
            </w:r>
            <w:r w:rsidR="00DB0FDF" w:rsidRPr="007F12E0">
              <w:t>effects</w:t>
            </w:r>
            <w:r w:rsidR="005C1982" w:rsidRPr="007F12E0">
              <w:t xml:space="preserve"> </w:t>
            </w:r>
          </w:p>
          <w:p w14:paraId="5EAEDC97" w14:textId="77777777" w:rsidR="00C346D1" w:rsidRPr="007F12E0" w:rsidRDefault="00C346D1" w:rsidP="00893C2E">
            <w:pPr>
              <w:pStyle w:val="ListBullet"/>
              <w:spacing w:before="60" w:after="60"/>
              <w:ind w:left="714" w:hanging="357"/>
              <w:contextualSpacing w:val="0"/>
            </w:pPr>
            <w:r w:rsidRPr="007F12E0">
              <w:t>MAK derivation:</w:t>
            </w:r>
          </w:p>
          <w:p w14:paraId="6AD16013" w14:textId="0D65E409" w:rsidR="007E694E" w:rsidRPr="00474367" w:rsidRDefault="007E694E" w:rsidP="00893C2E">
            <w:pPr>
              <w:pStyle w:val="ListBullet"/>
              <w:numPr>
                <w:ilvl w:val="0"/>
                <w:numId w:val="3"/>
              </w:numPr>
              <w:spacing w:before="60" w:after="60"/>
              <w:ind w:left="1094" w:hanging="357"/>
              <w:contextualSpacing w:val="0"/>
            </w:pPr>
            <w:r>
              <w:t>Starting point</w:t>
            </w:r>
            <w:r w:rsidR="00F431E6">
              <w:t>:</w:t>
            </w:r>
            <w:r>
              <w:t xml:space="preserve"> NOAEL of 0.9 mg/kg/d</w:t>
            </w:r>
          </w:p>
          <w:p w14:paraId="4D328D9F" w14:textId="607E5D62" w:rsidR="00C346D1" w:rsidRPr="007F12E0" w:rsidRDefault="00C346D1" w:rsidP="00893C2E">
            <w:pPr>
              <w:pStyle w:val="ListBullet"/>
              <w:numPr>
                <w:ilvl w:val="0"/>
                <w:numId w:val="3"/>
              </w:numPr>
              <w:spacing w:before="60" w:after="60"/>
              <w:ind w:left="1094" w:hanging="357"/>
              <w:contextualSpacing w:val="0"/>
            </w:pPr>
            <w:r w:rsidRPr="007F12E0">
              <w:rPr>
                <w:rFonts w:cs="Arial"/>
                <w:shd w:val="clear" w:color="auto" w:fill="FFFFFF"/>
              </w:rPr>
              <w:t xml:space="preserve">7:5 for the daily exposure of the animals to </w:t>
            </w:r>
            <w:r w:rsidR="007B00BB" w:rsidRPr="007F12E0">
              <w:rPr>
                <w:rFonts w:cs="Arial"/>
                <w:shd w:val="clear" w:color="auto" w:fill="FFFFFF"/>
              </w:rPr>
              <w:t>5</w:t>
            </w:r>
            <w:r w:rsidRPr="007F12E0">
              <w:rPr>
                <w:rFonts w:cs="Arial"/>
                <w:shd w:val="clear" w:color="auto" w:fill="FFFFFF"/>
              </w:rPr>
              <w:t xml:space="preserve"> d occupational exposure</w:t>
            </w:r>
            <w:r w:rsidR="0000252E" w:rsidRPr="007F12E0">
              <w:rPr>
                <w:rFonts w:cs="Arial"/>
                <w:shd w:val="clear" w:color="auto" w:fill="FFFFFF"/>
              </w:rPr>
              <w:t xml:space="preserve"> per week</w:t>
            </w:r>
          </w:p>
          <w:p w14:paraId="5FC094EF" w14:textId="28D512B8" w:rsidR="00C346D1" w:rsidRPr="007F12E0" w:rsidRDefault="00C346D1" w:rsidP="00893C2E">
            <w:pPr>
              <w:pStyle w:val="ListBullet"/>
              <w:numPr>
                <w:ilvl w:val="0"/>
                <w:numId w:val="3"/>
              </w:numPr>
              <w:spacing w:before="60" w:after="60"/>
              <w:ind w:left="1094" w:hanging="357"/>
              <w:contextualSpacing w:val="0"/>
            </w:pPr>
            <w:r w:rsidRPr="007F12E0">
              <w:rPr>
                <w:rFonts w:cs="Arial"/>
                <w:shd w:val="clear" w:color="auto" w:fill="FFFFFF"/>
              </w:rPr>
              <w:t xml:space="preserve">1:4 for rat and human-specific species-specific correction value </w:t>
            </w:r>
          </w:p>
          <w:p w14:paraId="3F9B6AAC" w14:textId="46639D5D" w:rsidR="00C346D1" w:rsidRPr="007F12E0" w:rsidRDefault="00C346D1" w:rsidP="00893C2E">
            <w:pPr>
              <w:pStyle w:val="ListBullet"/>
              <w:numPr>
                <w:ilvl w:val="0"/>
                <w:numId w:val="3"/>
              </w:numPr>
              <w:spacing w:before="60" w:after="60"/>
              <w:ind w:left="1094" w:hanging="357"/>
              <w:contextualSpacing w:val="0"/>
            </w:pPr>
            <w:r w:rsidRPr="007F12E0">
              <w:rPr>
                <w:rFonts w:cs="Arial"/>
                <w:shd w:val="clear" w:color="auto" w:fill="FFFFFF"/>
              </w:rPr>
              <w:t xml:space="preserve">100% assumed oral absorption </w:t>
            </w:r>
          </w:p>
          <w:p w14:paraId="7048A772" w14:textId="488391B0" w:rsidR="00C346D1" w:rsidRPr="007F12E0" w:rsidRDefault="00C346D1" w:rsidP="00893C2E">
            <w:pPr>
              <w:pStyle w:val="ListBullet"/>
              <w:numPr>
                <w:ilvl w:val="0"/>
                <w:numId w:val="3"/>
              </w:numPr>
              <w:spacing w:before="60" w:after="60"/>
              <w:ind w:left="1094" w:hanging="357"/>
              <w:contextualSpacing w:val="0"/>
            </w:pPr>
            <w:r w:rsidRPr="007F12E0">
              <w:rPr>
                <w:rFonts w:cs="Arial"/>
                <w:shd w:val="clear" w:color="auto" w:fill="FFFFFF"/>
              </w:rPr>
              <w:t xml:space="preserve">70 kg </w:t>
            </w:r>
          </w:p>
          <w:p w14:paraId="1BB1E107" w14:textId="00A59F0C" w:rsidR="00C346D1" w:rsidRPr="007F12E0" w:rsidRDefault="00C346D1" w:rsidP="00893C2E">
            <w:pPr>
              <w:pStyle w:val="ListBullet"/>
              <w:numPr>
                <w:ilvl w:val="0"/>
                <w:numId w:val="3"/>
              </w:numPr>
              <w:spacing w:before="60" w:after="60"/>
              <w:ind w:left="1094" w:hanging="357"/>
              <w:contextualSpacing w:val="0"/>
            </w:pPr>
            <w:r w:rsidRPr="007F12E0">
              <w:rPr>
                <w:rFonts w:cs="Arial"/>
                <w:shd w:val="clear" w:color="auto" w:fill="FFFFFF"/>
              </w:rPr>
              <w:t>10</w:t>
            </w:r>
            <w:r w:rsidR="00893C2E" w:rsidRPr="007F12E0">
              <w:rPr>
                <w:rFonts w:cs="Arial"/>
                <w:shd w:val="clear" w:color="auto" w:fill="FFFFFF"/>
              </w:rPr>
              <w:t xml:space="preserve"> </w:t>
            </w:r>
            <w:r w:rsidRPr="007F12E0">
              <w:rPr>
                <w:rFonts w:cs="Arial"/>
                <w:shd w:val="clear" w:color="auto" w:fill="FFFFFF"/>
              </w:rPr>
              <w:t>m</w:t>
            </w:r>
            <w:r w:rsidRPr="007F12E0">
              <w:rPr>
                <w:rFonts w:cs="Arial"/>
                <w:shd w:val="clear" w:color="auto" w:fill="FFFFFF"/>
                <w:vertAlign w:val="superscript"/>
              </w:rPr>
              <w:t>3</w:t>
            </w:r>
            <w:r w:rsidRPr="007F12E0">
              <w:rPr>
                <w:rFonts w:cs="Arial"/>
                <w:shd w:val="clear" w:color="auto" w:fill="FFFFFF"/>
              </w:rPr>
              <w:t xml:space="preserve"> respiratory volume </w:t>
            </w:r>
          </w:p>
          <w:p w14:paraId="63B479A8" w14:textId="724A7C9F" w:rsidR="00C346D1" w:rsidRPr="007F12E0" w:rsidRDefault="00C346D1" w:rsidP="00893C2E">
            <w:pPr>
              <w:pStyle w:val="ListBullet"/>
              <w:numPr>
                <w:ilvl w:val="0"/>
                <w:numId w:val="3"/>
              </w:numPr>
              <w:spacing w:before="60" w:after="60"/>
              <w:ind w:left="1094" w:hanging="357"/>
              <w:contextualSpacing w:val="0"/>
            </w:pPr>
            <w:r w:rsidRPr="007F12E0">
              <w:rPr>
                <w:rFonts w:cs="Arial"/>
                <w:shd w:val="clear" w:color="auto" w:fill="FFFFFF"/>
              </w:rPr>
              <w:t>100% assumed lung absorption</w:t>
            </w:r>
          </w:p>
          <w:p w14:paraId="5288CAC2" w14:textId="62E921AE" w:rsidR="00C346D1" w:rsidRPr="007F12E0" w:rsidRDefault="00450D7D" w:rsidP="00893C2E">
            <w:pPr>
              <w:pStyle w:val="ListBullet"/>
              <w:numPr>
                <w:ilvl w:val="0"/>
                <w:numId w:val="3"/>
              </w:numPr>
              <w:spacing w:before="60" w:after="60"/>
              <w:ind w:left="1094" w:hanging="357"/>
              <w:contextualSpacing w:val="0"/>
            </w:pPr>
            <w:r w:rsidRPr="007F12E0">
              <w:rPr>
                <w:rFonts w:cs="Arial"/>
                <w:shd w:val="clear" w:color="auto" w:fill="FFFFFF"/>
              </w:rPr>
              <w:t>h</w:t>
            </w:r>
            <w:r w:rsidR="00C346D1" w:rsidRPr="007F12E0">
              <w:rPr>
                <w:rFonts w:cs="Arial"/>
                <w:shd w:val="clear" w:color="auto" w:fill="FFFFFF"/>
              </w:rPr>
              <w:t>alved due to NOAEL from animal study</w:t>
            </w:r>
          </w:p>
          <w:p w14:paraId="7576BEBB" w14:textId="45331652" w:rsidR="00C346D1" w:rsidRPr="007F12E0" w:rsidRDefault="0000252E" w:rsidP="00893C2E">
            <w:pPr>
              <w:pStyle w:val="ListBullet"/>
              <w:numPr>
                <w:ilvl w:val="0"/>
                <w:numId w:val="3"/>
              </w:numPr>
              <w:spacing w:before="60" w:after="60"/>
              <w:ind w:left="1094" w:hanging="357"/>
              <w:contextualSpacing w:val="0"/>
            </w:pPr>
            <w:r w:rsidRPr="007F12E0">
              <w:rPr>
                <w:rFonts w:cs="Arial"/>
                <w:shd w:val="clear" w:color="auto" w:fill="FFFFFF"/>
              </w:rPr>
              <w:t xml:space="preserve">result </w:t>
            </w:r>
            <w:r w:rsidR="00C346D1" w:rsidRPr="007F12E0">
              <w:rPr>
                <w:rFonts w:cs="Arial"/>
                <w:shd w:val="clear" w:color="auto" w:fill="FFFFFF"/>
              </w:rPr>
              <w:t>concentration of 1 mg/m</w:t>
            </w:r>
            <w:r w:rsidR="00C346D1" w:rsidRPr="007F12E0">
              <w:rPr>
                <w:rFonts w:cs="Arial"/>
                <w:sz w:val="18"/>
                <w:szCs w:val="18"/>
                <w:shd w:val="clear" w:color="auto" w:fill="FFFFFF"/>
                <w:vertAlign w:val="superscript"/>
              </w:rPr>
              <w:t>3</w:t>
            </w:r>
            <w:r w:rsidR="00474367">
              <w:rPr>
                <w:rFonts w:cs="Arial"/>
                <w:sz w:val="18"/>
                <w:szCs w:val="18"/>
                <w:shd w:val="clear" w:color="auto" w:fill="FFFFFF"/>
              </w:rPr>
              <w:t>.</w:t>
            </w:r>
          </w:p>
          <w:p w14:paraId="29A04F3C" w14:textId="7F4187A6" w:rsidR="006460AA" w:rsidRPr="007F12E0" w:rsidRDefault="00877EF2" w:rsidP="00474367">
            <w:pPr>
              <w:pStyle w:val="ListBullet"/>
              <w:numPr>
                <w:ilvl w:val="0"/>
                <w:numId w:val="0"/>
              </w:numPr>
              <w:spacing w:before="60" w:after="60"/>
              <w:ind w:left="360" w:hanging="360"/>
              <w:contextualSpacing w:val="0"/>
            </w:pPr>
            <w:r w:rsidRPr="007F12E0">
              <w:t xml:space="preserve">Skin notation based on 22 </w:t>
            </w:r>
            <w:r w:rsidRPr="007F12E0">
              <w:rPr>
                <w:rFonts w:cs="Arial"/>
              </w:rPr>
              <w:t>µ</w:t>
            </w:r>
            <w:r w:rsidRPr="007F12E0">
              <w:t>g/cm</w:t>
            </w:r>
            <w:r w:rsidRPr="007F12E0">
              <w:rPr>
                <w:vertAlign w:val="superscript"/>
              </w:rPr>
              <w:t>2</w:t>
            </w:r>
            <w:r w:rsidR="008C2872" w:rsidRPr="007F12E0">
              <w:t>/h in goats and structural</w:t>
            </w:r>
            <w:r w:rsidRPr="007F12E0">
              <w:t xml:space="preserve"> similarity </w:t>
            </w:r>
            <w:r w:rsidR="00450D7D" w:rsidRPr="007F12E0">
              <w:t xml:space="preserve">comparison </w:t>
            </w:r>
            <w:r w:rsidRPr="007F12E0">
              <w:t>to DDT</w:t>
            </w:r>
            <w:r w:rsidR="006460AA" w:rsidRPr="007F12E0">
              <w:t>.</w:t>
            </w:r>
          </w:p>
          <w:p w14:paraId="3BED8CC5" w14:textId="07462067" w:rsidR="006460AA" w:rsidRPr="005C1982" w:rsidRDefault="006460AA" w:rsidP="00893C2E">
            <w:pPr>
              <w:pStyle w:val="ListBullet"/>
              <w:numPr>
                <w:ilvl w:val="0"/>
                <w:numId w:val="0"/>
              </w:numPr>
              <w:spacing w:before="60" w:after="60"/>
              <w:ind w:left="360" w:hanging="360"/>
              <w:contextualSpacing w:val="0"/>
            </w:pPr>
          </w:p>
        </w:tc>
      </w:tr>
      <w:tr w:rsidR="00C978F0" w:rsidRPr="00DA352E" w14:paraId="20B2E491" w14:textId="77777777" w:rsidTr="007D6ECE">
        <w:trPr>
          <w:gridAfter w:val="1"/>
          <w:wAfter w:w="8" w:type="pct"/>
          <w:cantSplit/>
        </w:trPr>
        <w:tc>
          <w:tcPr>
            <w:tcW w:w="4992" w:type="pct"/>
            <w:shd w:val="clear" w:color="auto" w:fill="F2F2F2" w:themeFill="background1" w:themeFillShade="F2"/>
          </w:tcPr>
          <w:p w14:paraId="26658BDA" w14:textId="3491068B"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D27A18">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proofErr w:type="spellStart"/>
                <w:r w:rsidR="00D27A18">
                  <w:t>NA</w:t>
                </w:r>
                <w:proofErr w:type="spellEnd"/>
              </w:sdtContent>
            </w:sdt>
          </w:p>
        </w:tc>
      </w:tr>
      <w:tr w:rsidR="00C978F0" w:rsidRPr="00DA352E" w14:paraId="708EA2DC" w14:textId="77777777" w:rsidTr="007D6ECE">
        <w:trPr>
          <w:gridAfter w:val="1"/>
          <w:wAfter w:w="8" w:type="pct"/>
          <w:cantSplit/>
        </w:trPr>
        <w:tc>
          <w:tcPr>
            <w:tcW w:w="4992" w:type="pct"/>
          </w:tcPr>
          <w:p w14:paraId="09F75543" w14:textId="245CA42A" w:rsidR="00C978F0" w:rsidRPr="00DA352E" w:rsidRDefault="00D27A18" w:rsidP="003365A5">
            <w:pPr>
              <w:pStyle w:val="Tabletextprimarysource"/>
            </w:pPr>
            <w:r>
              <w:t>No report</w:t>
            </w:r>
            <w:r w:rsidR="007B00BB">
              <w:t>.</w:t>
            </w:r>
          </w:p>
        </w:tc>
      </w:tr>
      <w:tr w:rsidR="00DA352E" w:rsidRPr="00DA352E" w14:paraId="56D8E211" w14:textId="77777777" w:rsidTr="007D6ECE">
        <w:trPr>
          <w:gridAfter w:val="1"/>
          <w:wAfter w:w="8" w:type="pct"/>
          <w:cantSplit/>
        </w:trPr>
        <w:tc>
          <w:tcPr>
            <w:tcW w:w="4992" w:type="pct"/>
            <w:shd w:val="clear" w:color="auto" w:fill="F2F2F2" w:themeFill="background1" w:themeFillShade="F2"/>
          </w:tcPr>
          <w:p w14:paraId="2B0AC29E" w14:textId="1AAB7E89"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D27A18">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proofErr w:type="spellStart"/>
                <w:r w:rsidR="00D27A18">
                  <w:t>NA</w:t>
                </w:r>
                <w:proofErr w:type="spellEnd"/>
              </w:sdtContent>
            </w:sdt>
          </w:p>
        </w:tc>
      </w:tr>
      <w:tr w:rsidR="00DA352E" w:rsidRPr="00DA352E" w14:paraId="27377C41" w14:textId="77777777" w:rsidTr="007D6ECE">
        <w:trPr>
          <w:gridAfter w:val="1"/>
          <w:wAfter w:w="8" w:type="pct"/>
          <w:cantSplit/>
        </w:trPr>
        <w:tc>
          <w:tcPr>
            <w:tcW w:w="4992" w:type="pct"/>
          </w:tcPr>
          <w:p w14:paraId="596588A1" w14:textId="11129270" w:rsidR="00DA352E" w:rsidRPr="00DA352E" w:rsidRDefault="00D27A18" w:rsidP="003365A5">
            <w:pPr>
              <w:pStyle w:val="Tabletextprimarysource"/>
            </w:pPr>
            <w:r>
              <w:t>No report</w:t>
            </w:r>
            <w:r w:rsidR="007B00BB">
              <w:t>.</w:t>
            </w:r>
          </w:p>
        </w:tc>
      </w:tr>
      <w:tr w:rsidR="00DA352E" w:rsidRPr="00DA352E" w14:paraId="0FBFE300" w14:textId="77777777" w:rsidTr="007D6ECE">
        <w:trPr>
          <w:gridAfter w:val="1"/>
          <w:wAfter w:w="8" w:type="pct"/>
          <w:cantSplit/>
        </w:trPr>
        <w:tc>
          <w:tcPr>
            <w:tcW w:w="4992" w:type="pct"/>
            <w:shd w:val="clear" w:color="auto" w:fill="F2F2F2" w:themeFill="background1" w:themeFillShade="F2"/>
          </w:tcPr>
          <w:p w14:paraId="16A69572" w14:textId="453596DB"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D27A18">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proofErr w:type="spellStart"/>
                <w:r w:rsidR="00D27A18">
                  <w:t>NA</w:t>
                </w:r>
                <w:proofErr w:type="spellEnd"/>
              </w:sdtContent>
            </w:sdt>
          </w:p>
        </w:tc>
      </w:tr>
      <w:tr w:rsidR="00DA352E" w:rsidRPr="00DA352E" w14:paraId="36FE76F3" w14:textId="77777777" w:rsidTr="007D6ECE">
        <w:trPr>
          <w:gridAfter w:val="1"/>
          <w:wAfter w:w="8" w:type="pct"/>
          <w:cantSplit/>
        </w:trPr>
        <w:tc>
          <w:tcPr>
            <w:tcW w:w="4992" w:type="pct"/>
          </w:tcPr>
          <w:p w14:paraId="4F742D66" w14:textId="1088887D" w:rsidR="00DA352E" w:rsidRPr="00DA352E" w:rsidRDefault="00307C15" w:rsidP="003365A5">
            <w:pPr>
              <w:pStyle w:val="Tabletextprimarysource"/>
            </w:pPr>
            <w:r>
              <w:t>No report</w:t>
            </w:r>
            <w:r w:rsidR="007B00BB">
              <w:t>.</w:t>
            </w:r>
          </w:p>
        </w:tc>
      </w:tr>
    </w:tbl>
    <w:p w14:paraId="5B261A66"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91"/>
        <w:gridCol w:w="423"/>
        <w:gridCol w:w="661"/>
        <w:gridCol w:w="6451"/>
      </w:tblGrid>
      <w:tr w:rsidR="004966BF" w:rsidRPr="007D6ECE" w14:paraId="6DF6A76A" w14:textId="77777777" w:rsidTr="007D6ECE">
        <w:trPr>
          <w:cnfStyle w:val="100000000000" w:firstRow="1" w:lastRow="0" w:firstColumn="0" w:lastColumn="0" w:oddVBand="0" w:evenVBand="0" w:oddHBand="0" w:evenHBand="0" w:firstRowFirstColumn="0" w:firstRowLastColumn="0" w:lastRowFirstColumn="0" w:lastRowLastColumn="0"/>
          <w:cantSplit/>
          <w:trHeight w:val="393"/>
          <w:tblHeader/>
        </w:trPr>
        <w:tc>
          <w:tcPr>
            <w:tcW w:w="1491" w:type="dxa"/>
            <w:shd w:val="clear" w:color="auto" w:fill="BFBFBF" w:themeFill="background1" w:themeFillShade="BF"/>
            <w:vAlign w:val="center"/>
          </w:tcPr>
          <w:p w14:paraId="5FCF97E4" w14:textId="77777777" w:rsidR="004966BF" w:rsidRPr="007D6ECE" w:rsidRDefault="004966BF" w:rsidP="00263255">
            <w:pPr>
              <w:pStyle w:val="Tableheader"/>
              <w:rPr>
                <w:b/>
              </w:rPr>
            </w:pPr>
            <w:r w:rsidRPr="007D6ECE">
              <w:rPr>
                <w:b/>
              </w:rPr>
              <w:t>Source</w:t>
            </w:r>
          </w:p>
        </w:tc>
        <w:tc>
          <w:tcPr>
            <w:tcW w:w="423" w:type="dxa"/>
            <w:shd w:val="clear" w:color="auto" w:fill="BFBFBF" w:themeFill="background1" w:themeFillShade="BF"/>
            <w:vAlign w:val="center"/>
          </w:tcPr>
          <w:p w14:paraId="3A02E1B1" w14:textId="77777777" w:rsidR="004966BF" w:rsidRPr="007D6ECE" w:rsidRDefault="004966BF" w:rsidP="00263255">
            <w:pPr>
              <w:pStyle w:val="Tableheader"/>
              <w:rPr>
                <w:b/>
              </w:rPr>
            </w:pPr>
          </w:p>
        </w:tc>
        <w:tc>
          <w:tcPr>
            <w:tcW w:w="661" w:type="dxa"/>
            <w:shd w:val="clear" w:color="auto" w:fill="BFBFBF" w:themeFill="background1" w:themeFillShade="BF"/>
            <w:vAlign w:val="center"/>
          </w:tcPr>
          <w:p w14:paraId="1B99114E" w14:textId="77777777" w:rsidR="004966BF" w:rsidRPr="007D6ECE" w:rsidRDefault="004966BF" w:rsidP="00263255">
            <w:pPr>
              <w:pStyle w:val="Tableheader"/>
              <w:rPr>
                <w:b/>
              </w:rPr>
            </w:pPr>
            <w:r w:rsidRPr="007D6ECE">
              <w:rPr>
                <w:b/>
              </w:rPr>
              <w:t>Year</w:t>
            </w:r>
          </w:p>
        </w:tc>
        <w:tc>
          <w:tcPr>
            <w:tcW w:w="6451" w:type="dxa"/>
            <w:shd w:val="clear" w:color="auto" w:fill="BFBFBF" w:themeFill="background1" w:themeFillShade="BF"/>
            <w:vAlign w:val="center"/>
          </w:tcPr>
          <w:p w14:paraId="5A39942F" w14:textId="77777777" w:rsidR="004966BF" w:rsidRPr="007D6ECE" w:rsidRDefault="004966BF" w:rsidP="00263255">
            <w:pPr>
              <w:pStyle w:val="Tableheader"/>
              <w:rPr>
                <w:b/>
              </w:rPr>
            </w:pPr>
            <w:r w:rsidRPr="007D6ECE">
              <w:rPr>
                <w:b/>
              </w:rPr>
              <w:t>Additional information</w:t>
            </w:r>
          </w:p>
        </w:tc>
      </w:tr>
      <w:tr w:rsidR="004966BF" w:rsidRPr="004C23F4" w14:paraId="3750D2ED" w14:textId="77777777" w:rsidTr="007D6ECE">
        <w:trPr>
          <w:cantSplit/>
        </w:trPr>
        <w:tc>
          <w:tcPr>
            <w:tcW w:w="1491" w:type="dxa"/>
          </w:tcPr>
          <w:p w14:paraId="03D0DA30" w14:textId="77777777" w:rsidR="004966BF" w:rsidRPr="004C23F4" w:rsidRDefault="004966BF" w:rsidP="00224EE2">
            <w:pPr>
              <w:pStyle w:val="Tablefont"/>
            </w:pPr>
            <w:r>
              <w:t>NICNAS</w:t>
            </w:r>
          </w:p>
        </w:tc>
        <w:tc>
          <w:tcPr>
            <w:tcW w:w="423" w:type="dxa"/>
          </w:tcPr>
          <w:p w14:paraId="7E4F0706" w14:textId="3BC9041B" w:rsidR="004966BF" w:rsidRPr="00CE617F" w:rsidRDefault="007D6ECE"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BC7D4F">
                  <w:rPr>
                    <w:rStyle w:val="checkbox"/>
                  </w:rPr>
                  <w:t></w:t>
                </w:r>
              </w:sdtContent>
            </w:sdt>
          </w:p>
        </w:tc>
        <w:tc>
          <w:tcPr>
            <w:tcW w:w="661" w:type="dxa"/>
          </w:tcPr>
          <w:p w14:paraId="38CD7C19" w14:textId="24341B2E" w:rsidR="004966BF" w:rsidRPr="004C23F4" w:rsidRDefault="007909B4" w:rsidP="00717D45">
            <w:pPr>
              <w:pStyle w:val="Tablefont"/>
              <w:rPr>
                <w:rStyle w:val="checkbox"/>
                <w:rFonts w:ascii="Arial" w:hAnsi="Arial" w:cs="Arial"/>
              </w:rPr>
            </w:pPr>
            <w:r>
              <w:rPr>
                <w:rStyle w:val="checkbox"/>
                <w:rFonts w:ascii="Arial" w:hAnsi="Arial" w:cs="Arial"/>
              </w:rPr>
              <w:t>N.D.</w:t>
            </w:r>
          </w:p>
        </w:tc>
        <w:tc>
          <w:tcPr>
            <w:tcW w:w="6451" w:type="dxa"/>
          </w:tcPr>
          <w:p w14:paraId="3E1E9BEE" w14:textId="6D32C413" w:rsidR="004966BF" w:rsidRPr="000B7A53" w:rsidRDefault="00BC7D4F" w:rsidP="00893C2E">
            <w:pPr>
              <w:pStyle w:val="ListBullet"/>
              <w:numPr>
                <w:ilvl w:val="0"/>
                <w:numId w:val="4"/>
              </w:numPr>
              <w:spacing w:before="60" w:after="60"/>
              <w:ind w:left="714" w:hanging="357"/>
              <w:contextualSpacing w:val="0"/>
              <w:rPr>
                <w:rStyle w:val="checkbox"/>
                <w:rFonts w:ascii="Arial" w:hAnsi="Arial" w:cs="Arial"/>
                <w:lang w:eastAsia="en-AU"/>
              </w:rPr>
            </w:pPr>
            <w:r w:rsidRPr="000B7A53">
              <w:rPr>
                <w:rStyle w:val="checkbox"/>
                <w:rFonts w:ascii="Arial" w:hAnsi="Arial" w:cs="Arial"/>
              </w:rPr>
              <w:t xml:space="preserve">Human health Tier 1 assessment; </w:t>
            </w:r>
            <w:r w:rsidR="00877EF2" w:rsidRPr="000B7A53">
              <w:rPr>
                <w:rStyle w:val="checkbox"/>
                <w:rFonts w:ascii="Arial" w:hAnsi="Arial" w:cs="Arial"/>
              </w:rPr>
              <w:t>n</w:t>
            </w:r>
            <w:r w:rsidR="00877EF2" w:rsidRPr="000B7A53">
              <w:rPr>
                <w:rFonts w:cs="Arial"/>
              </w:rPr>
              <w:t xml:space="preserve">ot considered to pose an </w:t>
            </w:r>
            <w:r w:rsidR="00877EF2" w:rsidRPr="000B7A53">
              <w:t>unreasonable</w:t>
            </w:r>
            <w:r w:rsidR="00877EF2" w:rsidRPr="000B7A53">
              <w:rPr>
                <w:rFonts w:cs="Arial"/>
              </w:rPr>
              <w:t xml:space="preserve"> risk to the health of workers</w:t>
            </w:r>
            <w:r w:rsidR="007B00BB" w:rsidRPr="000B7A53">
              <w:rPr>
                <w:rFonts w:cs="Arial"/>
              </w:rPr>
              <w:t>.</w:t>
            </w:r>
          </w:p>
        </w:tc>
      </w:tr>
      <w:tr w:rsidR="004966BF" w:rsidRPr="004C23F4" w14:paraId="480D8E93" w14:textId="77777777" w:rsidTr="007D6ECE">
        <w:trPr>
          <w:cantSplit/>
        </w:trPr>
        <w:tc>
          <w:tcPr>
            <w:tcW w:w="1491" w:type="dxa"/>
          </w:tcPr>
          <w:p w14:paraId="3B1BA197" w14:textId="77777777" w:rsidR="004966BF" w:rsidRPr="004C23F4" w:rsidRDefault="004966BF" w:rsidP="00224EE2">
            <w:pPr>
              <w:pStyle w:val="Tablefont"/>
            </w:pPr>
            <w:r>
              <w:t>US EPA</w:t>
            </w:r>
          </w:p>
        </w:tc>
        <w:tc>
          <w:tcPr>
            <w:tcW w:w="423" w:type="dxa"/>
          </w:tcPr>
          <w:p w14:paraId="2E12E4AA" w14:textId="434AE562" w:rsidR="004966BF" w:rsidRPr="00CE617F" w:rsidRDefault="007D6ECE"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877EF2">
                  <w:rPr>
                    <w:rStyle w:val="checkbox"/>
                  </w:rPr>
                  <w:t></w:t>
                </w:r>
              </w:sdtContent>
            </w:sdt>
          </w:p>
        </w:tc>
        <w:tc>
          <w:tcPr>
            <w:tcW w:w="661" w:type="dxa"/>
          </w:tcPr>
          <w:p w14:paraId="25DB1A30" w14:textId="7A42392D" w:rsidR="004966BF" w:rsidRPr="004C23F4" w:rsidRDefault="00877EF2" w:rsidP="00717D45">
            <w:pPr>
              <w:pStyle w:val="Tablefont"/>
              <w:rPr>
                <w:rStyle w:val="checkbox"/>
                <w:rFonts w:ascii="Arial" w:hAnsi="Arial" w:cs="Arial"/>
              </w:rPr>
            </w:pPr>
            <w:r>
              <w:rPr>
                <w:rStyle w:val="checkbox"/>
                <w:rFonts w:ascii="Arial" w:hAnsi="Arial" w:cs="Arial"/>
              </w:rPr>
              <w:t>1990</w:t>
            </w:r>
          </w:p>
        </w:tc>
        <w:tc>
          <w:tcPr>
            <w:tcW w:w="6451" w:type="dxa"/>
          </w:tcPr>
          <w:p w14:paraId="38C59374" w14:textId="77777777" w:rsidR="004966BF" w:rsidRPr="000B7A53" w:rsidRDefault="00877EF2" w:rsidP="00893C2E">
            <w:pPr>
              <w:pStyle w:val="ListBullet"/>
              <w:numPr>
                <w:ilvl w:val="0"/>
                <w:numId w:val="4"/>
              </w:numPr>
              <w:spacing w:before="60" w:after="60"/>
              <w:ind w:left="714" w:hanging="357"/>
              <w:contextualSpacing w:val="0"/>
              <w:rPr>
                <w:rStyle w:val="checkbox"/>
                <w:rFonts w:ascii="Arial" w:hAnsi="Arial" w:cs="Arial"/>
                <w:lang w:eastAsia="en-AU"/>
              </w:rPr>
            </w:pPr>
            <w:r w:rsidRPr="000B7A53">
              <w:rPr>
                <w:rStyle w:val="checkbox"/>
                <w:rFonts w:ascii="Arial" w:hAnsi="Arial" w:cs="Arial"/>
              </w:rPr>
              <w:t>No reliable information is available on the effects in humans</w:t>
            </w:r>
          </w:p>
          <w:p w14:paraId="61886167" w14:textId="2654D986" w:rsidR="00877EF2" w:rsidRPr="000B7A53" w:rsidRDefault="00450D7D" w:rsidP="00893C2E">
            <w:pPr>
              <w:pStyle w:val="ListBullet"/>
              <w:numPr>
                <w:ilvl w:val="0"/>
                <w:numId w:val="4"/>
              </w:numPr>
              <w:spacing w:before="60" w:after="60"/>
              <w:ind w:left="714" w:hanging="357"/>
              <w:contextualSpacing w:val="0"/>
              <w:rPr>
                <w:rStyle w:val="checkbox"/>
                <w:rFonts w:ascii="Arial" w:hAnsi="Arial" w:cs="Arial"/>
              </w:rPr>
            </w:pPr>
            <w:proofErr w:type="spellStart"/>
            <w:r w:rsidRPr="000B7A53">
              <w:rPr>
                <w:rStyle w:val="checkbox"/>
                <w:rFonts w:ascii="Arial" w:hAnsi="Arial" w:cs="Arial"/>
              </w:rPr>
              <w:t>RfD</w:t>
            </w:r>
            <w:proofErr w:type="spellEnd"/>
            <w:r w:rsidR="00877EF2" w:rsidRPr="000B7A53">
              <w:rPr>
                <w:rStyle w:val="checkbox"/>
                <w:rFonts w:ascii="Arial" w:hAnsi="Arial" w:cs="Arial"/>
              </w:rPr>
              <w:t xml:space="preserve"> of 5x10</w:t>
            </w:r>
            <w:r w:rsidR="00877EF2" w:rsidRPr="000B7A53">
              <w:rPr>
                <w:rStyle w:val="checkbox"/>
                <w:rFonts w:ascii="Arial" w:hAnsi="Arial" w:cs="Arial"/>
                <w:vertAlign w:val="superscript"/>
              </w:rPr>
              <w:t>-3</w:t>
            </w:r>
            <w:r w:rsidR="00877EF2" w:rsidRPr="000B7A53">
              <w:rPr>
                <w:rStyle w:val="checkbox"/>
                <w:rFonts w:ascii="Arial" w:hAnsi="Arial" w:cs="Arial"/>
              </w:rPr>
              <w:t xml:space="preserve"> mg/kg/d based on NOEL of 5.01 mg/kg/d in rabbits; excessive loss of litters</w:t>
            </w:r>
            <w:r w:rsidR="007B00BB" w:rsidRPr="000B7A53">
              <w:rPr>
                <w:rStyle w:val="checkbox"/>
                <w:rFonts w:ascii="Arial" w:hAnsi="Arial" w:cs="Arial"/>
              </w:rPr>
              <w:t>.</w:t>
            </w:r>
          </w:p>
        </w:tc>
      </w:tr>
    </w:tbl>
    <w:bookmarkEnd w:id="0"/>
    <w:p w14:paraId="4DCBA856"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3D6D982C" w14:textId="77777777" w:rsidTr="007909B4">
        <w:trPr>
          <w:trHeight w:val="454"/>
          <w:tblHeader/>
        </w:trPr>
        <w:tc>
          <w:tcPr>
            <w:tcW w:w="6603" w:type="dxa"/>
            <w:vAlign w:val="center"/>
          </w:tcPr>
          <w:p w14:paraId="1905C1C9"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0CE80DFF" w14:textId="30E64ABF" w:rsidR="002E0D61" w:rsidRDefault="00FE2163" w:rsidP="00C3091E">
                <w:pPr>
                  <w:pStyle w:val="Tablefont"/>
                  <w:keepNext/>
                  <w:keepLines/>
                  <w:spacing w:before="40" w:after="40"/>
                </w:pPr>
                <w:r>
                  <w:t>No</w:t>
                </w:r>
              </w:p>
            </w:tc>
          </w:sdtContent>
        </w:sdt>
      </w:tr>
      <w:tr w:rsidR="008A36CF" w14:paraId="684AEF86" w14:textId="77777777" w:rsidTr="007909B4">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45DC5080" w14:textId="5DC3D06E" w:rsidR="008A36CF" w:rsidRPr="006901A2" w:rsidRDefault="00FE2163"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30091A83" w14:textId="77777777" w:rsidR="008A36CF" w:rsidRDefault="008A36CF" w:rsidP="008A36CF">
            <w:pPr>
              <w:pStyle w:val="Tablefont"/>
              <w:keepNext/>
              <w:keepLines/>
              <w:spacing w:before="40" w:after="40"/>
            </w:pPr>
          </w:p>
        </w:tc>
        <w:bookmarkStart w:id="2" w:name="_GoBack"/>
        <w:bookmarkEnd w:id="2"/>
      </w:tr>
    </w:tbl>
    <w:bookmarkEnd w:id="1"/>
    <w:p w14:paraId="27ABD321"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7D6ECE" w14:paraId="274F4194" w14:textId="77777777" w:rsidTr="007D6ECE">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05CF5323" w14:textId="77777777" w:rsidR="00687890" w:rsidRPr="007D6ECE" w:rsidRDefault="00687890" w:rsidP="00263255">
            <w:pPr>
              <w:pStyle w:val="Tableheader"/>
              <w:rPr>
                <w:b/>
              </w:rPr>
            </w:pPr>
            <w:bookmarkStart w:id="3" w:name="Notations"/>
            <w:r w:rsidRPr="007D6ECE">
              <w:rPr>
                <w:b/>
              </w:rPr>
              <w:t>Source</w:t>
            </w:r>
          </w:p>
        </w:tc>
        <w:tc>
          <w:tcPr>
            <w:tcW w:w="6015" w:type="dxa"/>
            <w:shd w:val="clear" w:color="auto" w:fill="BFBFBF" w:themeFill="background1" w:themeFillShade="BF"/>
            <w:vAlign w:val="center"/>
          </w:tcPr>
          <w:p w14:paraId="7DB51764" w14:textId="77777777" w:rsidR="00687890" w:rsidRPr="007D6ECE" w:rsidRDefault="00687890" w:rsidP="00F4402E">
            <w:pPr>
              <w:pStyle w:val="Tableheader"/>
              <w:tabs>
                <w:tab w:val="right" w:pos="5272"/>
              </w:tabs>
              <w:rPr>
                <w:b/>
              </w:rPr>
            </w:pPr>
            <w:r w:rsidRPr="007D6ECE">
              <w:rPr>
                <w:b/>
              </w:rPr>
              <w:t>Notations</w:t>
            </w:r>
            <w:r w:rsidR="003A2B94" w:rsidRPr="007D6ECE">
              <w:rPr>
                <w:b/>
              </w:rPr>
              <w:tab/>
            </w:r>
          </w:p>
        </w:tc>
      </w:tr>
      <w:tr w:rsidR="00687890" w:rsidRPr="004C23F4" w14:paraId="326939A1" w14:textId="77777777" w:rsidTr="007D6ECE">
        <w:trPr>
          <w:cantSplit/>
        </w:trPr>
        <w:tc>
          <w:tcPr>
            <w:tcW w:w="3227" w:type="dxa"/>
          </w:tcPr>
          <w:p w14:paraId="2693941F" w14:textId="77777777" w:rsidR="004079B4" w:rsidRPr="004C23F4" w:rsidRDefault="00084513" w:rsidP="00F4402E">
            <w:pPr>
              <w:pStyle w:val="Tablefont"/>
            </w:pPr>
            <w:r w:rsidRPr="004C23F4">
              <w:t>SWA</w:t>
            </w:r>
          </w:p>
        </w:tc>
        <w:tc>
          <w:tcPr>
            <w:tcW w:w="6015" w:type="dxa"/>
          </w:tcPr>
          <w:p w14:paraId="06A63C70" w14:textId="75F5B597" w:rsidR="00687890" w:rsidRPr="00DD2F9B" w:rsidRDefault="00D27A18" w:rsidP="00DD2F9B">
            <w:pPr>
              <w:pStyle w:val="Tablefont"/>
            </w:pPr>
            <w:r w:rsidRPr="00D27A18">
              <w:t>—</w:t>
            </w:r>
          </w:p>
        </w:tc>
      </w:tr>
      <w:tr w:rsidR="007925F0" w:rsidRPr="004C23F4" w14:paraId="0565AD16" w14:textId="77777777" w:rsidTr="007D6ECE">
        <w:trPr>
          <w:cantSplit/>
        </w:trPr>
        <w:tc>
          <w:tcPr>
            <w:tcW w:w="3227" w:type="dxa"/>
          </w:tcPr>
          <w:p w14:paraId="09D49E06" w14:textId="77777777" w:rsidR="004079B4" w:rsidRPr="004C23F4" w:rsidRDefault="007925F0" w:rsidP="00F4402E">
            <w:pPr>
              <w:pStyle w:val="Tablefont"/>
            </w:pPr>
            <w:r>
              <w:t>HCIS</w:t>
            </w:r>
          </w:p>
        </w:tc>
        <w:tc>
          <w:tcPr>
            <w:tcW w:w="6015" w:type="dxa"/>
          </w:tcPr>
          <w:p w14:paraId="3CBEF910" w14:textId="67B21E4A" w:rsidR="007925F0" w:rsidRPr="00DD2F9B" w:rsidRDefault="00D27A18" w:rsidP="00DD2F9B">
            <w:pPr>
              <w:pStyle w:val="Tablefont"/>
            </w:pPr>
            <w:r>
              <w:t>NA</w:t>
            </w:r>
          </w:p>
        </w:tc>
      </w:tr>
      <w:tr w:rsidR="00AF483F" w:rsidRPr="004C23F4" w14:paraId="52D59662" w14:textId="77777777" w:rsidTr="007D6ECE">
        <w:trPr>
          <w:cantSplit/>
        </w:trPr>
        <w:tc>
          <w:tcPr>
            <w:tcW w:w="3227" w:type="dxa"/>
          </w:tcPr>
          <w:p w14:paraId="28ADE967" w14:textId="77777777" w:rsidR="00AF483F" w:rsidRPr="004C23F4" w:rsidRDefault="00AF483F" w:rsidP="00F4402E">
            <w:pPr>
              <w:pStyle w:val="Tablefont"/>
            </w:pPr>
            <w:r>
              <w:t>NICNAS</w:t>
            </w:r>
          </w:p>
        </w:tc>
        <w:tc>
          <w:tcPr>
            <w:tcW w:w="6015" w:type="dxa"/>
          </w:tcPr>
          <w:p w14:paraId="32DFE80A" w14:textId="4478CB32" w:rsidR="00AF483F" w:rsidRPr="00DD2F9B" w:rsidRDefault="00D27A18" w:rsidP="00DD2F9B">
            <w:pPr>
              <w:pStyle w:val="Tablefont"/>
            </w:pPr>
            <w:r>
              <w:t>NA</w:t>
            </w:r>
          </w:p>
        </w:tc>
      </w:tr>
      <w:tr w:rsidR="00687890" w:rsidRPr="004C23F4" w14:paraId="351C8CF4" w14:textId="77777777" w:rsidTr="007D6ECE">
        <w:trPr>
          <w:cantSplit/>
        </w:trPr>
        <w:tc>
          <w:tcPr>
            <w:tcW w:w="3227" w:type="dxa"/>
          </w:tcPr>
          <w:p w14:paraId="66F703C4" w14:textId="77777777" w:rsidR="004079B4" w:rsidRPr="004C23F4" w:rsidRDefault="00687890" w:rsidP="00F4402E">
            <w:pPr>
              <w:pStyle w:val="Tablefont"/>
            </w:pPr>
            <w:r w:rsidRPr="004C23F4">
              <w:lastRenderedPageBreak/>
              <w:t>EU Annex</w:t>
            </w:r>
          </w:p>
        </w:tc>
        <w:tc>
          <w:tcPr>
            <w:tcW w:w="6015" w:type="dxa"/>
          </w:tcPr>
          <w:p w14:paraId="2D587210" w14:textId="39AB452A" w:rsidR="00687890" w:rsidRPr="00DD2F9B" w:rsidRDefault="00D27A18" w:rsidP="00DD2F9B">
            <w:pPr>
              <w:pStyle w:val="Tablefont"/>
            </w:pPr>
            <w:r>
              <w:t>NA</w:t>
            </w:r>
          </w:p>
        </w:tc>
      </w:tr>
      <w:tr w:rsidR="00E41A26" w:rsidRPr="004C23F4" w14:paraId="7DC00633" w14:textId="77777777" w:rsidTr="007D6ECE">
        <w:trPr>
          <w:cantSplit/>
        </w:trPr>
        <w:tc>
          <w:tcPr>
            <w:tcW w:w="3227" w:type="dxa"/>
          </w:tcPr>
          <w:p w14:paraId="23584EE0" w14:textId="77777777" w:rsidR="00E41A26" w:rsidRDefault="00E41A26" w:rsidP="00F4402E">
            <w:pPr>
              <w:pStyle w:val="Tablefont"/>
            </w:pPr>
            <w:r>
              <w:t>ECHA</w:t>
            </w:r>
          </w:p>
        </w:tc>
        <w:tc>
          <w:tcPr>
            <w:tcW w:w="6015" w:type="dxa"/>
          </w:tcPr>
          <w:p w14:paraId="0DD69FE0" w14:textId="25C6BE81" w:rsidR="00E41A26" w:rsidRPr="00DD2F9B" w:rsidRDefault="00D27A18" w:rsidP="00DD2F9B">
            <w:pPr>
              <w:pStyle w:val="Tablefont"/>
            </w:pPr>
            <w:r>
              <w:t>NA</w:t>
            </w:r>
          </w:p>
        </w:tc>
      </w:tr>
      <w:tr w:rsidR="002E0D61" w:rsidRPr="004C23F4" w14:paraId="392ECE66" w14:textId="77777777" w:rsidTr="007D6ECE">
        <w:trPr>
          <w:cantSplit/>
        </w:trPr>
        <w:tc>
          <w:tcPr>
            <w:tcW w:w="3227" w:type="dxa"/>
          </w:tcPr>
          <w:p w14:paraId="4ABACAB6" w14:textId="77777777" w:rsidR="004079B4" w:rsidRPr="004C23F4" w:rsidRDefault="002E0D61" w:rsidP="00F4402E">
            <w:pPr>
              <w:pStyle w:val="Tablefont"/>
            </w:pPr>
            <w:r>
              <w:t>ACGIH</w:t>
            </w:r>
          </w:p>
        </w:tc>
        <w:tc>
          <w:tcPr>
            <w:tcW w:w="6015" w:type="dxa"/>
          </w:tcPr>
          <w:p w14:paraId="7AFF8F71" w14:textId="6401EC96" w:rsidR="002E0D61" w:rsidRPr="00DD2F9B" w:rsidRDefault="00D27A18" w:rsidP="00DD2F9B">
            <w:pPr>
              <w:pStyle w:val="Tablefont"/>
            </w:pPr>
            <w:r w:rsidRPr="00D27A18">
              <w:t>Carcinogenicity – A4</w:t>
            </w:r>
          </w:p>
        </w:tc>
      </w:tr>
      <w:tr w:rsidR="002E0D61" w:rsidRPr="004C23F4" w14:paraId="0EFB3CEC" w14:textId="77777777" w:rsidTr="007D6ECE">
        <w:trPr>
          <w:cantSplit/>
        </w:trPr>
        <w:tc>
          <w:tcPr>
            <w:tcW w:w="3227" w:type="dxa"/>
          </w:tcPr>
          <w:p w14:paraId="53B0EBB5" w14:textId="77777777" w:rsidR="004079B4" w:rsidRPr="004C23F4" w:rsidRDefault="002E0D61" w:rsidP="00F4402E">
            <w:pPr>
              <w:pStyle w:val="Tablefont"/>
            </w:pPr>
            <w:r>
              <w:t>DFG</w:t>
            </w:r>
          </w:p>
        </w:tc>
        <w:tc>
          <w:tcPr>
            <w:tcW w:w="6015" w:type="dxa"/>
          </w:tcPr>
          <w:p w14:paraId="454F51A0" w14:textId="0F06F471" w:rsidR="002E0D61" w:rsidRPr="00DD2F9B" w:rsidRDefault="00D27A18" w:rsidP="00DD2F9B">
            <w:pPr>
              <w:pStyle w:val="Tablefont"/>
            </w:pPr>
            <w:r w:rsidRPr="00D27A18">
              <w:t>H (skin)</w:t>
            </w:r>
          </w:p>
        </w:tc>
      </w:tr>
      <w:tr w:rsidR="002E0D61" w:rsidRPr="004C23F4" w14:paraId="59528D79" w14:textId="77777777" w:rsidTr="007D6ECE">
        <w:trPr>
          <w:cantSplit/>
        </w:trPr>
        <w:tc>
          <w:tcPr>
            <w:tcW w:w="3227" w:type="dxa"/>
          </w:tcPr>
          <w:p w14:paraId="575CDC63" w14:textId="77777777" w:rsidR="004079B4" w:rsidRPr="004C23F4" w:rsidRDefault="002E0D61" w:rsidP="00F4402E">
            <w:pPr>
              <w:pStyle w:val="Tablefont"/>
            </w:pPr>
            <w:r>
              <w:t>SCOEL</w:t>
            </w:r>
          </w:p>
        </w:tc>
        <w:tc>
          <w:tcPr>
            <w:tcW w:w="6015" w:type="dxa"/>
          </w:tcPr>
          <w:p w14:paraId="207F93B7" w14:textId="62D5C978" w:rsidR="002E0D61" w:rsidRPr="00DD2F9B" w:rsidRDefault="00D27A18" w:rsidP="00DD2F9B">
            <w:pPr>
              <w:pStyle w:val="Tablefont"/>
            </w:pPr>
            <w:r>
              <w:t>NA</w:t>
            </w:r>
          </w:p>
        </w:tc>
      </w:tr>
      <w:tr w:rsidR="002E0D61" w:rsidRPr="004C23F4" w14:paraId="65178806" w14:textId="77777777" w:rsidTr="007D6ECE">
        <w:trPr>
          <w:cantSplit/>
        </w:trPr>
        <w:tc>
          <w:tcPr>
            <w:tcW w:w="3227" w:type="dxa"/>
          </w:tcPr>
          <w:p w14:paraId="4F0A4B6C" w14:textId="77777777" w:rsidR="004079B4" w:rsidRDefault="002E0D61" w:rsidP="00F4402E">
            <w:pPr>
              <w:pStyle w:val="Tablefont"/>
            </w:pPr>
            <w:r>
              <w:t>HCOTN</w:t>
            </w:r>
          </w:p>
        </w:tc>
        <w:tc>
          <w:tcPr>
            <w:tcW w:w="6015" w:type="dxa"/>
          </w:tcPr>
          <w:p w14:paraId="58FC60B9" w14:textId="53277963" w:rsidR="002E0D61" w:rsidRPr="00DD2F9B" w:rsidRDefault="00D27A18" w:rsidP="00DD2F9B">
            <w:pPr>
              <w:pStyle w:val="Tablefont"/>
            </w:pPr>
            <w:r>
              <w:t>NA</w:t>
            </w:r>
          </w:p>
        </w:tc>
      </w:tr>
      <w:tr w:rsidR="00386093" w:rsidRPr="004C23F4" w14:paraId="1FDF939D" w14:textId="77777777" w:rsidTr="007D6ECE">
        <w:trPr>
          <w:cantSplit/>
        </w:trPr>
        <w:tc>
          <w:tcPr>
            <w:tcW w:w="3227" w:type="dxa"/>
          </w:tcPr>
          <w:p w14:paraId="52CA40D2" w14:textId="77777777" w:rsidR="004079B4" w:rsidRDefault="00386093" w:rsidP="00F4402E">
            <w:pPr>
              <w:pStyle w:val="Tablefont"/>
            </w:pPr>
            <w:r>
              <w:t>IARC</w:t>
            </w:r>
          </w:p>
        </w:tc>
        <w:tc>
          <w:tcPr>
            <w:tcW w:w="6015" w:type="dxa"/>
          </w:tcPr>
          <w:p w14:paraId="34258EAF" w14:textId="045E6EC2" w:rsidR="00386093" w:rsidRPr="00DD2F9B" w:rsidRDefault="00D27A18" w:rsidP="00DD2F9B">
            <w:pPr>
              <w:pStyle w:val="Tablefont"/>
            </w:pPr>
            <w:r w:rsidRPr="00D27A18">
              <w:t>Carcinogenicity – Group 3</w:t>
            </w:r>
          </w:p>
        </w:tc>
      </w:tr>
      <w:tr w:rsidR="00386093" w:rsidRPr="004C23F4" w14:paraId="0C852FAB" w14:textId="77777777" w:rsidTr="007D6ECE">
        <w:trPr>
          <w:cantSplit/>
        </w:trPr>
        <w:tc>
          <w:tcPr>
            <w:tcW w:w="3227" w:type="dxa"/>
          </w:tcPr>
          <w:p w14:paraId="5F2E9ED0" w14:textId="77777777" w:rsidR="004079B4" w:rsidRDefault="00386093" w:rsidP="00F4402E">
            <w:pPr>
              <w:pStyle w:val="Tablefont"/>
              <w:keepNext/>
            </w:pPr>
            <w:r>
              <w:t>US NIOSH</w:t>
            </w:r>
          </w:p>
        </w:tc>
        <w:tc>
          <w:tcPr>
            <w:tcW w:w="6015" w:type="dxa"/>
          </w:tcPr>
          <w:p w14:paraId="1A8F74EC" w14:textId="647D5BDA" w:rsidR="00386093" w:rsidRPr="00DD2F9B" w:rsidRDefault="00D27A18" w:rsidP="00D87570">
            <w:pPr>
              <w:pStyle w:val="Tablefont"/>
              <w:keepNext/>
            </w:pPr>
            <w:r>
              <w:t>NA</w:t>
            </w:r>
          </w:p>
        </w:tc>
      </w:tr>
    </w:tbl>
    <w:bookmarkEnd w:id="3"/>
    <w:p w14:paraId="6C8273DB"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63A3965D"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58C21859" w14:textId="77777777" w:rsidTr="00EA6243">
        <w:trPr>
          <w:cantSplit/>
          <w:tblHeader/>
        </w:trPr>
        <w:tc>
          <w:tcPr>
            <w:tcW w:w="5000" w:type="pct"/>
            <w:shd w:val="clear" w:color="auto" w:fill="BFBFBF" w:themeFill="background1" w:themeFillShade="BF"/>
            <w:vAlign w:val="center"/>
          </w:tcPr>
          <w:p w14:paraId="15CC46BA"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3C6BDF4B" w14:textId="77777777" w:rsidTr="00EA6243">
        <w:trPr>
          <w:cantSplit/>
          <w:tblHeader/>
        </w:trPr>
        <w:tc>
          <w:tcPr>
            <w:tcW w:w="5000" w:type="pct"/>
            <w:vAlign w:val="center"/>
          </w:tcPr>
          <w:tbl>
            <w:tblPr>
              <w:tblW w:w="8760" w:type="dxa"/>
              <w:tblLook w:val="04A0" w:firstRow="1" w:lastRow="0" w:firstColumn="1" w:lastColumn="0" w:noHBand="0" w:noVBand="1"/>
            </w:tblPr>
            <w:tblGrid>
              <w:gridCol w:w="3314"/>
              <w:gridCol w:w="976"/>
              <w:gridCol w:w="976"/>
              <w:gridCol w:w="1747"/>
              <w:gridCol w:w="1747"/>
            </w:tblGrid>
            <w:tr w:rsidR="005C67D2" w:rsidRPr="005C67D2" w14:paraId="23000028" w14:textId="77777777" w:rsidTr="005C67D2">
              <w:trPr>
                <w:trHeight w:val="342"/>
              </w:trPr>
              <w:tc>
                <w:tcPr>
                  <w:tcW w:w="3314" w:type="dxa"/>
                  <w:tcBorders>
                    <w:top w:val="nil"/>
                    <w:left w:val="nil"/>
                    <w:bottom w:val="nil"/>
                    <w:right w:val="nil"/>
                  </w:tcBorders>
                  <w:shd w:val="clear" w:color="000000" w:fill="C5D9F1"/>
                  <w:noWrap/>
                  <w:vAlign w:val="center"/>
                  <w:hideMark/>
                </w:tcPr>
                <w:p w14:paraId="2CB3C194" w14:textId="77777777" w:rsidR="005C67D2" w:rsidRPr="005C67D2" w:rsidRDefault="005C67D2" w:rsidP="005C67D2">
                  <w:pPr>
                    <w:spacing w:after="0" w:line="240" w:lineRule="auto"/>
                    <w:jc w:val="right"/>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Adverse effects in human case study:</w:t>
                  </w:r>
                </w:p>
              </w:tc>
              <w:tc>
                <w:tcPr>
                  <w:tcW w:w="976" w:type="dxa"/>
                  <w:tcBorders>
                    <w:top w:val="nil"/>
                    <w:left w:val="nil"/>
                    <w:bottom w:val="nil"/>
                    <w:right w:val="nil"/>
                  </w:tcBorders>
                  <w:shd w:val="clear" w:color="000000" w:fill="C5D9F1"/>
                  <w:noWrap/>
                  <w:vAlign w:val="center"/>
                  <w:hideMark/>
                </w:tcPr>
                <w:p w14:paraId="0716273B" w14:textId="77777777" w:rsidR="005C67D2" w:rsidRPr="005C67D2" w:rsidRDefault="005C67D2" w:rsidP="005C67D2">
                  <w:pPr>
                    <w:spacing w:after="0" w:line="240" w:lineRule="auto"/>
                    <w:jc w:val="center"/>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no</w:t>
                  </w:r>
                </w:p>
              </w:tc>
              <w:tc>
                <w:tcPr>
                  <w:tcW w:w="976" w:type="dxa"/>
                  <w:tcBorders>
                    <w:top w:val="nil"/>
                    <w:left w:val="nil"/>
                    <w:bottom w:val="nil"/>
                    <w:right w:val="nil"/>
                  </w:tcBorders>
                  <w:shd w:val="clear" w:color="000000" w:fill="C5D9F1"/>
                  <w:noWrap/>
                  <w:vAlign w:val="center"/>
                  <w:hideMark/>
                </w:tcPr>
                <w:p w14:paraId="77EBBB73" w14:textId="77777777" w:rsidR="005C67D2" w:rsidRPr="005C67D2" w:rsidRDefault="005C67D2" w:rsidP="005C67D2">
                  <w:pPr>
                    <w:spacing w:after="0" w:line="240" w:lineRule="auto"/>
                    <w:rPr>
                      <w:rFonts w:ascii="Segoe UI" w:eastAsia="Times New Roman" w:hAnsi="Segoe UI" w:cs="Segoe UI"/>
                      <w:color w:val="C5D9F1"/>
                      <w:sz w:val="18"/>
                      <w:szCs w:val="18"/>
                      <w:lang w:eastAsia="en-AU"/>
                    </w:rPr>
                  </w:pPr>
                  <w:r w:rsidRPr="005C67D2">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298333BF"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296501BA"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r>
            <w:tr w:rsidR="005C67D2" w:rsidRPr="005C67D2" w14:paraId="2E849AA1" w14:textId="77777777" w:rsidTr="005C67D2">
              <w:trPr>
                <w:trHeight w:val="342"/>
              </w:trPr>
              <w:tc>
                <w:tcPr>
                  <w:tcW w:w="3314" w:type="dxa"/>
                  <w:tcBorders>
                    <w:top w:val="nil"/>
                    <w:left w:val="nil"/>
                    <w:bottom w:val="nil"/>
                    <w:right w:val="nil"/>
                  </w:tcBorders>
                  <w:shd w:val="clear" w:color="000000" w:fill="C5D9F1"/>
                  <w:noWrap/>
                  <w:vAlign w:val="center"/>
                  <w:hideMark/>
                </w:tcPr>
                <w:p w14:paraId="5212D23A" w14:textId="77777777" w:rsidR="005C67D2" w:rsidRPr="005C67D2" w:rsidRDefault="005C67D2" w:rsidP="005C67D2">
                  <w:pPr>
                    <w:spacing w:after="0" w:line="240" w:lineRule="auto"/>
                    <w:jc w:val="right"/>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Dermal LD</w:t>
                  </w:r>
                  <w:r w:rsidRPr="005C67D2">
                    <w:rPr>
                      <w:rFonts w:ascii="Segoe UI" w:eastAsia="Times New Roman" w:hAnsi="Segoe UI" w:cs="Segoe UI"/>
                      <w:color w:val="000000"/>
                      <w:sz w:val="18"/>
                      <w:szCs w:val="18"/>
                      <w:vertAlign w:val="subscript"/>
                      <w:lang w:eastAsia="en-AU"/>
                    </w:rPr>
                    <w:t>50</w:t>
                  </w:r>
                  <w:r w:rsidRPr="005C67D2">
                    <w:rPr>
                      <w:rFonts w:ascii="Segoe UI" w:eastAsia="Times New Roman" w:hAnsi="Segoe UI" w:cs="Segoe UI"/>
                      <w:color w:val="000000"/>
                      <w:sz w:val="18"/>
                      <w:szCs w:val="18"/>
                      <w:lang w:eastAsia="en-AU"/>
                    </w:rPr>
                    <w:t xml:space="preserve"> ≤1000 mg/kg:</w:t>
                  </w:r>
                </w:p>
              </w:tc>
              <w:tc>
                <w:tcPr>
                  <w:tcW w:w="976" w:type="dxa"/>
                  <w:tcBorders>
                    <w:top w:val="nil"/>
                    <w:left w:val="nil"/>
                    <w:bottom w:val="nil"/>
                    <w:right w:val="nil"/>
                  </w:tcBorders>
                  <w:shd w:val="clear" w:color="000000" w:fill="C5D9F1"/>
                  <w:noWrap/>
                  <w:vAlign w:val="center"/>
                  <w:hideMark/>
                </w:tcPr>
                <w:p w14:paraId="3717D0CA" w14:textId="77777777" w:rsidR="005C67D2" w:rsidRPr="005C67D2" w:rsidRDefault="005C67D2" w:rsidP="005C67D2">
                  <w:pPr>
                    <w:spacing w:after="0" w:line="240" w:lineRule="auto"/>
                    <w:jc w:val="center"/>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27B1A76E" w14:textId="77777777" w:rsidR="005C67D2" w:rsidRPr="005C67D2" w:rsidRDefault="005C67D2" w:rsidP="005C67D2">
                  <w:pPr>
                    <w:spacing w:after="0" w:line="240" w:lineRule="auto"/>
                    <w:rPr>
                      <w:rFonts w:ascii="Segoe UI" w:eastAsia="Times New Roman" w:hAnsi="Segoe UI" w:cs="Segoe UI"/>
                      <w:color w:val="C5D9F1"/>
                      <w:sz w:val="18"/>
                      <w:szCs w:val="18"/>
                      <w:lang w:eastAsia="en-AU"/>
                    </w:rPr>
                  </w:pPr>
                  <w:r w:rsidRPr="005C67D2">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6570FCD4"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3AA03100"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r>
            <w:tr w:rsidR="005C67D2" w:rsidRPr="005C67D2" w14:paraId="21D2AA11" w14:textId="77777777" w:rsidTr="005C67D2">
              <w:trPr>
                <w:trHeight w:val="342"/>
              </w:trPr>
              <w:tc>
                <w:tcPr>
                  <w:tcW w:w="3314" w:type="dxa"/>
                  <w:tcBorders>
                    <w:top w:val="nil"/>
                    <w:left w:val="nil"/>
                    <w:bottom w:val="nil"/>
                    <w:right w:val="nil"/>
                  </w:tcBorders>
                  <w:shd w:val="clear" w:color="000000" w:fill="C5D9F1"/>
                  <w:noWrap/>
                  <w:vAlign w:val="center"/>
                  <w:hideMark/>
                </w:tcPr>
                <w:p w14:paraId="302CCCDC" w14:textId="77777777" w:rsidR="005C67D2" w:rsidRPr="005C67D2" w:rsidRDefault="005C67D2" w:rsidP="005C67D2">
                  <w:pPr>
                    <w:spacing w:after="0" w:line="240" w:lineRule="auto"/>
                    <w:jc w:val="right"/>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Dermal repeat-dose NOAEL ≤200 mg/kg:</w:t>
                  </w:r>
                </w:p>
              </w:tc>
              <w:tc>
                <w:tcPr>
                  <w:tcW w:w="976" w:type="dxa"/>
                  <w:tcBorders>
                    <w:top w:val="nil"/>
                    <w:left w:val="nil"/>
                    <w:bottom w:val="nil"/>
                    <w:right w:val="nil"/>
                  </w:tcBorders>
                  <w:shd w:val="clear" w:color="000000" w:fill="C5D9F1"/>
                  <w:noWrap/>
                  <w:vAlign w:val="center"/>
                  <w:hideMark/>
                </w:tcPr>
                <w:p w14:paraId="41BBDA81" w14:textId="77777777" w:rsidR="005C67D2" w:rsidRPr="005C67D2" w:rsidRDefault="005C67D2" w:rsidP="005C67D2">
                  <w:pPr>
                    <w:spacing w:after="0" w:line="240" w:lineRule="auto"/>
                    <w:jc w:val="center"/>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5EBA64BF" w14:textId="77777777" w:rsidR="005C67D2" w:rsidRPr="005C67D2" w:rsidRDefault="005C67D2" w:rsidP="005C67D2">
                  <w:pPr>
                    <w:spacing w:after="0" w:line="240" w:lineRule="auto"/>
                    <w:rPr>
                      <w:rFonts w:ascii="Segoe UI" w:eastAsia="Times New Roman" w:hAnsi="Segoe UI" w:cs="Segoe UI"/>
                      <w:color w:val="C5D9F1"/>
                      <w:sz w:val="18"/>
                      <w:szCs w:val="18"/>
                      <w:lang w:eastAsia="en-AU"/>
                    </w:rPr>
                  </w:pPr>
                  <w:r w:rsidRPr="005C67D2">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2FB7E415"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3CB5B44C"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r>
            <w:tr w:rsidR="005C67D2" w:rsidRPr="005C67D2" w14:paraId="6BA94DFA" w14:textId="77777777" w:rsidTr="005C67D2">
              <w:trPr>
                <w:trHeight w:val="342"/>
              </w:trPr>
              <w:tc>
                <w:tcPr>
                  <w:tcW w:w="3314" w:type="dxa"/>
                  <w:tcBorders>
                    <w:top w:val="nil"/>
                    <w:left w:val="nil"/>
                    <w:bottom w:val="nil"/>
                    <w:right w:val="nil"/>
                  </w:tcBorders>
                  <w:shd w:val="clear" w:color="000000" w:fill="C5D9F1"/>
                  <w:noWrap/>
                  <w:vAlign w:val="center"/>
                  <w:hideMark/>
                </w:tcPr>
                <w:p w14:paraId="29D31B94" w14:textId="77777777" w:rsidR="005C67D2" w:rsidRPr="005C67D2" w:rsidRDefault="005C67D2" w:rsidP="005C67D2">
                  <w:pPr>
                    <w:spacing w:after="0" w:line="240" w:lineRule="auto"/>
                    <w:jc w:val="right"/>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Dermal LD</w:t>
                  </w:r>
                  <w:r w:rsidRPr="005C67D2">
                    <w:rPr>
                      <w:rFonts w:ascii="Segoe UI" w:eastAsia="Times New Roman" w:hAnsi="Segoe UI" w:cs="Segoe UI"/>
                      <w:color w:val="000000"/>
                      <w:sz w:val="18"/>
                      <w:szCs w:val="18"/>
                      <w:vertAlign w:val="subscript"/>
                      <w:lang w:eastAsia="en-AU"/>
                    </w:rPr>
                    <w:t>50</w:t>
                  </w:r>
                  <w:r w:rsidRPr="005C67D2">
                    <w:rPr>
                      <w:rFonts w:ascii="Segoe UI" w:eastAsia="Times New Roman" w:hAnsi="Segoe UI" w:cs="Segoe UI"/>
                      <w:color w:val="000000"/>
                      <w:sz w:val="18"/>
                      <w:szCs w:val="18"/>
                      <w:lang w:eastAsia="en-AU"/>
                    </w:rPr>
                    <w:t>/Inhalation LD</w:t>
                  </w:r>
                  <w:r w:rsidRPr="005C67D2">
                    <w:rPr>
                      <w:rFonts w:ascii="Segoe UI" w:eastAsia="Times New Roman" w:hAnsi="Segoe UI" w:cs="Segoe UI"/>
                      <w:color w:val="000000"/>
                      <w:sz w:val="18"/>
                      <w:szCs w:val="18"/>
                      <w:vertAlign w:val="subscript"/>
                      <w:lang w:eastAsia="en-AU"/>
                    </w:rPr>
                    <w:t>50</w:t>
                  </w:r>
                  <w:r w:rsidRPr="005C67D2">
                    <w:rPr>
                      <w:rFonts w:ascii="Segoe UI" w:eastAsia="Times New Roman" w:hAnsi="Segoe UI" w:cs="Segoe UI"/>
                      <w:color w:val="000000"/>
                      <w:sz w:val="18"/>
                      <w:szCs w:val="18"/>
                      <w:lang w:eastAsia="en-AU"/>
                    </w:rPr>
                    <w:t xml:space="preserve"> &lt;10:</w:t>
                  </w:r>
                </w:p>
              </w:tc>
              <w:tc>
                <w:tcPr>
                  <w:tcW w:w="976" w:type="dxa"/>
                  <w:tcBorders>
                    <w:top w:val="nil"/>
                    <w:left w:val="nil"/>
                    <w:bottom w:val="nil"/>
                    <w:right w:val="nil"/>
                  </w:tcBorders>
                  <w:shd w:val="clear" w:color="000000" w:fill="C5D9F1"/>
                  <w:noWrap/>
                  <w:vAlign w:val="center"/>
                  <w:hideMark/>
                </w:tcPr>
                <w:p w14:paraId="22D5C898" w14:textId="77777777" w:rsidR="005C67D2" w:rsidRPr="005C67D2" w:rsidRDefault="005C67D2" w:rsidP="005C67D2">
                  <w:pPr>
                    <w:spacing w:after="0" w:line="240" w:lineRule="auto"/>
                    <w:jc w:val="center"/>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7E7D4229" w14:textId="77777777" w:rsidR="005C67D2" w:rsidRPr="005C67D2" w:rsidRDefault="005C67D2" w:rsidP="005C67D2">
                  <w:pPr>
                    <w:spacing w:after="0" w:line="240" w:lineRule="auto"/>
                    <w:rPr>
                      <w:rFonts w:ascii="Segoe UI" w:eastAsia="Times New Roman" w:hAnsi="Segoe UI" w:cs="Segoe UI"/>
                      <w:color w:val="C5D9F1"/>
                      <w:sz w:val="18"/>
                      <w:szCs w:val="18"/>
                      <w:lang w:eastAsia="en-AU"/>
                    </w:rPr>
                  </w:pPr>
                  <w:r w:rsidRPr="005C67D2">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26602205"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5105EEDC"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r>
            <w:tr w:rsidR="005C67D2" w:rsidRPr="005C67D2" w14:paraId="54539E7A" w14:textId="77777777" w:rsidTr="005C67D2">
              <w:trPr>
                <w:trHeight w:val="342"/>
              </w:trPr>
              <w:tc>
                <w:tcPr>
                  <w:tcW w:w="3314" w:type="dxa"/>
                  <w:tcBorders>
                    <w:top w:val="nil"/>
                    <w:left w:val="nil"/>
                    <w:bottom w:val="nil"/>
                    <w:right w:val="nil"/>
                  </w:tcBorders>
                  <w:shd w:val="clear" w:color="000000" w:fill="C5D9F1"/>
                  <w:noWrap/>
                  <w:vAlign w:val="center"/>
                  <w:hideMark/>
                </w:tcPr>
                <w:p w14:paraId="59216AC7" w14:textId="77777777" w:rsidR="005C67D2" w:rsidRPr="005C67D2" w:rsidRDefault="005C67D2" w:rsidP="005C67D2">
                  <w:pPr>
                    <w:spacing w:after="0" w:line="240" w:lineRule="auto"/>
                    <w:jc w:val="right"/>
                    <w:rPr>
                      <w:rFonts w:ascii="Segoe UI" w:eastAsia="Times New Roman" w:hAnsi="Segoe UI" w:cs="Segoe UI"/>
                      <w:i/>
                      <w:iCs/>
                      <w:color w:val="000000"/>
                      <w:sz w:val="18"/>
                      <w:szCs w:val="18"/>
                      <w:lang w:eastAsia="en-AU"/>
                    </w:rPr>
                  </w:pPr>
                  <w:r w:rsidRPr="005C67D2">
                    <w:rPr>
                      <w:rFonts w:ascii="Segoe UI" w:eastAsia="Times New Roman" w:hAnsi="Segoe UI" w:cs="Segoe UI"/>
                      <w:i/>
                      <w:iCs/>
                      <w:color w:val="000000"/>
                      <w:sz w:val="18"/>
                      <w:szCs w:val="18"/>
                      <w:lang w:eastAsia="en-AU"/>
                    </w:rPr>
                    <w:t>In vivo</w:t>
                  </w:r>
                  <w:r w:rsidRPr="005C67D2">
                    <w:rPr>
                      <w:rFonts w:ascii="Segoe UI" w:eastAsia="Times New Roman" w:hAnsi="Segoe UI" w:cs="Segoe UI"/>
                      <w:color w:val="000000"/>
                      <w:sz w:val="18"/>
                      <w:szCs w:val="18"/>
                      <w:lang w:eastAsia="en-AU"/>
                    </w:rPr>
                    <w:t xml:space="preserve"> dermal absorption rate &gt;10%:</w:t>
                  </w:r>
                </w:p>
              </w:tc>
              <w:tc>
                <w:tcPr>
                  <w:tcW w:w="976" w:type="dxa"/>
                  <w:tcBorders>
                    <w:top w:val="nil"/>
                    <w:left w:val="nil"/>
                    <w:bottom w:val="nil"/>
                    <w:right w:val="nil"/>
                  </w:tcBorders>
                  <w:shd w:val="clear" w:color="000000" w:fill="C5D9F1"/>
                  <w:noWrap/>
                  <w:vAlign w:val="center"/>
                  <w:hideMark/>
                </w:tcPr>
                <w:p w14:paraId="720A30FA" w14:textId="77777777" w:rsidR="005C67D2" w:rsidRPr="005C67D2" w:rsidRDefault="005C67D2" w:rsidP="005C67D2">
                  <w:pPr>
                    <w:spacing w:after="0" w:line="240" w:lineRule="auto"/>
                    <w:jc w:val="center"/>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0C05DB1D" w14:textId="77777777" w:rsidR="005C67D2" w:rsidRPr="005C67D2" w:rsidRDefault="005C67D2" w:rsidP="005C67D2">
                  <w:pPr>
                    <w:spacing w:after="0" w:line="240" w:lineRule="auto"/>
                    <w:rPr>
                      <w:rFonts w:ascii="Segoe UI" w:eastAsia="Times New Roman" w:hAnsi="Segoe UI" w:cs="Segoe UI"/>
                      <w:color w:val="C5D9F1"/>
                      <w:sz w:val="18"/>
                      <w:szCs w:val="18"/>
                      <w:lang w:eastAsia="en-AU"/>
                    </w:rPr>
                  </w:pPr>
                  <w:r w:rsidRPr="005C67D2">
                    <w:rPr>
                      <w:rFonts w:ascii="Segoe UI" w:eastAsia="Times New Roman" w:hAnsi="Segoe UI" w:cs="Segoe UI"/>
                      <w:color w:val="C5D9F1"/>
                      <w:sz w:val="18"/>
                      <w:szCs w:val="18"/>
                      <w:lang w:eastAsia="en-AU"/>
                    </w:rPr>
                    <w:t> </w:t>
                  </w:r>
                </w:p>
              </w:tc>
              <w:tc>
                <w:tcPr>
                  <w:tcW w:w="1747" w:type="dxa"/>
                  <w:tcBorders>
                    <w:top w:val="nil"/>
                    <w:left w:val="nil"/>
                    <w:bottom w:val="nil"/>
                    <w:right w:val="nil"/>
                  </w:tcBorders>
                  <w:shd w:val="clear" w:color="000000" w:fill="C5D9F1"/>
                  <w:noWrap/>
                  <w:vAlign w:val="center"/>
                  <w:hideMark/>
                </w:tcPr>
                <w:p w14:paraId="57B3976A"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1FC499F9"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r>
            <w:tr w:rsidR="005C67D2" w:rsidRPr="005C67D2" w14:paraId="5069C164" w14:textId="77777777" w:rsidTr="005C67D2">
              <w:trPr>
                <w:trHeight w:val="342"/>
              </w:trPr>
              <w:tc>
                <w:tcPr>
                  <w:tcW w:w="3314" w:type="dxa"/>
                  <w:tcBorders>
                    <w:top w:val="nil"/>
                    <w:left w:val="nil"/>
                    <w:bottom w:val="nil"/>
                    <w:right w:val="nil"/>
                  </w:tcBorders>
                  <w:shd w:val="clear" w:color="000000" w:fill="C5D9F1"/>
                  <w:noWrap/>
                  <w:vAlign w:val="center"/>
                  <w:hideMark/>
                </w:tcPr>
                <w:p w14:paraId="26F390EE" w14:textId="77777777" w:rsidR="005C67D2" w:rsidRPr="005C67D2" w:rsidRDefault="005C67D2" w:rsidP="005C67D2">
                  <w:pPr>
                    <w:spacing w:after="0" w:line="240" w:lineRule="auto"/>
                    <w:jc w:val="right"/>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Estimated dermal exposure at WES &gt;10%:</w:t>
                  </w:r>
                </w:p>
              </w:tc>
              <w:tc>
                <w:tcPr>
                  <w:tcW w:w="976" w:type="dxa"/>
                  <w:tcBorders>
                    <w:top w:val="nil"/>
                    <w:left w:val="nil"/>
                    <w:bottom w:val="nil"/>
                    <w:right w:val="nil"/>
                  </w:tcBorders>
                  <w:shd w:val="clear" w:color="000000" w:fill="FFEB9C"/>
                  <w:noWrap/>
                  <w:vAlign w:val="center"/>
                  <w:hideMark/>
                </w:tcPr>
                <w:p w14:paraId="690BAF6F" w14:textId="77777777" w:rsidR="005C67D2" w:rsidRPr="005C67D2" w:rsidRDefault="005C67D2" w:rsidP="005C67D2">
                  <w:pPr>
                    <w:spacing w:after="0" w:line="240" w:lineRule="auto"/>
                    <w:jc w:val="center"/>
                    <w:rPr>
                      <w:rFonts w:ascii="Segoe UI" w:eastAsia="Times New Roman" w:hAnsi="Segoe UI" w:cs="Segoe UI"/>
                      <w:color w:val="9C6500"/>
                      <w:sz w:val="18"/>
                      <w:szCs w:val="18"/>
                      <w:lang w:eastAsia="en-AU"/>
                    </w:rPr>
                  </w:pPr>
                  <w:r w:rsidRPr="005C67D2">
                    <w:rPr>
                      <w:rFonts w:ascii="Segoe UI" w:eastAsia="Times New Roman" w:hAnsi="Segoe UI" w:cs="Segoe UI"/>
                      <w:color w:val="9C6500"/>
                      <w:sz w:val="18"/>
                      <w:szCs w:val="18"/>
                      <w:lang w:eastAsia="en-AU"/>
                    </w:rPr>
                    <w:t>yes</w:t>
                  </w:r>
                </w:p>
              </w:tc>
              <w:tc>
                <w:tcPr>
                  <w:tcW w:w="976" w:type="dxa"/>
                  <w:tcBorders>
                    <w:top w:val="nil"/>
                    <w:left w:val="nil"/>
                    <w:bottom w:val="nil"/>
                    <w:right w:val="nil"/>
                  </w:tcBorders>
                  <w:shd w:val="clear" w:color="000000" w:fill="C5D9F1"/>
                  <w:noWrap/>
                  <w:vAlign w:val="center"/>
                  <w:hideMark/>
                </w:tcPr>
                <w:p w14:paraId="00561F47" w14:textId="77777777" w:rsidR="005C67D2" w:rsidRPr="005C67D2" w:rsidRDefault="005C67D2" w:rsidP="005C67D2">
                  <w:pPr>
                    <w:spacing w:after="0" w:line="240" w:lineRule="auto"/>
                    <w:jc w:val="right"/>
                    <w:rPr>
                      <w:rFonts w:ascii="Segoe UI" w:eastAsia="Times New Roman" w:hAnsi="Segoe UI" w:cs="Segoe UI"/>
                      <w:color w:val="C5D9F1"/>
                      <w:sz w:val="18"/>
                      <w:szCs w:val="18"/>
                      <w:lang w:eastAsia="en-AU"/>
                    </w:rPr>
                  </w:pPr>
                  <w:r w:rsidRPr="005C67D2">
                    <w:rPr>
                      <w:rFonts w:ascii="Segoe UI" w:eastAsia="Times New Roman" w:hAnsi="Segoe UI" w:cs="Segoe UI"/>
                      <w:color w:val="C5D9F1"/>
                      <w:sz w:val="18"/>
                      <w:szCs w:val="18"/>
                      <w:lang w:eastAsia="en-AU"/>
                    </w:rPr>
                    <w:t>2.00</w:t>
                  </w:r>
                </w:p>
              </w:tc>
              <w:tc>
                <w:tcPr>
                  <w:tcW w:w="1747" w:type="dxa"/>
                  <w:tcBorders>
                    <w:top w:val="nil"/>
                    <w:left w:val="nil"/>
                    <w:bottom w:val="nil"/>
                    <w:right w:val="nil"/>
                  </w:tcBorders>
                  <w:shd w:val="clear" w:color="000000" w:fill="C5D9F1"/>
                  <w:noWrap/>
                  <w:vAlign w:val="center"/>
                  <w:hideMark/>
                </w:tcPr>
                <w:p w14:paraId="02FA9421"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1747" w:type="dxa"/>
                  <w:tcBorders>
                    <w:top w:val="nil"/>
                    <w:left w:val="nil"/>
                    <w:bottom w:val="nil"/>
                    <w:right w:val="nil"/>
                  </w:tcBorders>
                  <w:shd w:val="clear" w:color="000000" w:fill="C5D9F1"/>
                  <w:noWrap/>
                  <w:vAlign w:val="center"/>
                  <w:hideMark/>
                </w:tcPr>
                <w:p w14:paraId="62116558" w14:textId="77777777" w:rsidR="005C67D2" w:rsidRPr="005C67D2" w:rsidRDefault="005C67D2" w:rsidP="005C67D2">
                  <w:pPr>
                    <w:spacing w:after="0" w:line="240" w:lineRule="auto"/>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r>
            <w:tr w:rsidR="008C2872" w:rsidRPr="005C67D2" w14:paraId="20DB8B01" w14:textId="77777777" w:rsidTr="008C2872">
              <w:trPr>
                <w:trHeight w:val="298"/>
              </w:trPr>
              <w:tc>
                <w:tcPr>
                  <w:tcW w:w="3314" w:type="dxa"/>
                  <w:tcBorders>
                    <w:top w:val="nil"/>
                    <w:left w:val="nil"/>
                    <w:bottom w:val="nil"/>
                    <w:right w:val="nil"/>
                  </w:tcBorders>
                  <w:shd w:val="clear" w:color="000000" w:fill="C5D9F1"/>
                  <w:noWrap/>
                  <w:vAlign w:val="center"/>
                  <w:hideMark/>
                </w:tcPr>
                <w:p w14:paraId="042CEA7B" w14:textId="77777777" w:rsidR="008C2872" w:rsidRPr="005C67D2" w:rsidRDefault="008C2872" w:rsidP="005C67D2">
                  <w:pPr>
                    <w:spacing w:after="0" w:line="240" w:lineRule="auto"/>
                    <w:jc w:val="right"/>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976" w:type="dxa"/>
                  <w:tcBorders>
                    <w:top w:val="nil"/>
                    <w:left w:val="nil"/>
                    <w:bottom w:val="nil"/>
                    <w:right w:val="nil"/>
                  </w:tcBorders>
                  <w:shd w:val="clear" w:color="000000" w:fill="C5D9F1"/>
                  <w:noWrap/>
                  <w:vAlign w:val="center"/>
                  <w:hideMark/>
                </w:tcPr>
                <w:p w14:paraId="4A2C194B" w14:textId="77777777" w:rsidR="008C2872" w:rsidRPr="005C67D2" w:rsidRDefault="008C2872" w:rsidP="005C67D2">
                  <w:pPr>
                    <w:spacing w:after="0" w:line="240" w:lineRule="auto"/>
                    <w:jc w:val="center"/>
                    <w:rPr>
                      <w:rFonts w:ascii="Segoe UI" w:eastAsia="Times New Roman" w:hAnsi="Segoe UI" w:cs="Segoe UI"/>
                      <w:color w:val="000000"/>
                      <w:sz w:val="18"/>
                      <w:szCs w:val="18"/>
                      <w:lang w:eastAsia="en-AU"/>
                    </w:rPr>
                  </w:pPr>
                  <w:r w:rsidRPr="005C67D2">
                    <w:rPr>
                      <w:rFonts w:ascii="Segoe UI" w:eastAsia="Times New Roman" w:hAnsi="Segoe UI" w:cs="Segoe UI"/>
                      <w:color w:val="000000"/>
                      <w:sz w:val="18"/>
                      <w:szCs w:val="18"/>
                      <w:lang w:eastAsia="en-AU"/>
                    </w:rPr>
                    <w:t> </w:t>
                  </w:r>
                </w:p>
              </w:tc>
              <w:tc>
                <w:tcPr>
                  <w:tcW w:w="4470" w:type="dxa"/>
                  <w:gridSpan w:val="3"/>
                  <w:tcBorders>
                    <w:top w:val="nil"/>
                    <w:left w:val="nil"/>
                    <w:bottom w:val="nil"/>
                    <w:right w:val="nil"/>
                  </w:tcBorders>
                  <w:shd w:val="clear" w:color="000000" w:fill="C5D9F1"/>
                  <w:noWrap/>
                  <w:vAlign w:val="center"/>
                  <w:hideMark/>
                </w:tcPr>
                <w:p w14:paraId="604D0A52" w14:textId="77777777" w:rsidR="008C2872" w:rsidRPr="005C67D2" w:rsidRDefault="008C2872" w:rsidP="005C67D2">
                  <w:pPr>
                    <w:spacing w:after="0" w:line="240" w:lineRule="auto"/>
                    <w:jc w:val="right"/>
                    <w:rPr>
                      <w:rFonts w:ascii="Segoe UI" w:eastAsia="Times New Roman" w:hAnsi="Segoe UI" w:cs="Segoe UI"/>
                      <w:color w:val="C5D9F1"/>
                      <w:sz w:val="18"/>
                      <w:szCs w:val="18"/>
                      <w:lang w:eastAsia="en-AU"/>
                    </w:rPr>
                  </w:pPr>
                  <w:r w:rsidRPr="005C67D2">
                    <w:rPr>
                      <w:rFonts w:ascii="Segoe UI" w:eastAsia="Times New Roman" w:hAnsi="Segoe UI" w:cs="Segoe UI"/>
                      <w:color w:val="C5D9F1"/>
                      <w:sz w:val="18"/>
                      <w:szCs w:val="18"/>
                      <w:lang w:eastAsia="en-AU"/>
                    </w:rPr>
                    <w:t>2</w:t>
                  </w:r>
                </w:p>
                <w:p w14:paraId="7AE43BEA" w14:textId="6996FBF6" w:rsidR="008C2872" w:rsidRPr="005C67D2" w:rsidRDefault="008C2872" w:rsidP="005C67D2">
                  <w:pPr>
                    <w:spacing w:after="0" w:line="240" w:lineRule="auto"/>
                    <w:rPr>
                      <w:rFonts w:ascii="Segoe UI" w:eastAsia="Times New Roman" w:hAnsi="Segoe UI" w:cs="Segoe UI"/>
                      <w:b/>
                      <w:bCs/>
                      <w:color w:val="000000"/>
                      <w:sz w:val="18"/>
                      <w:szCs w:val="18"/>
                      <w:lang w:eastAsia="en-AU"/>
                    </w:rPr>
                  </w:pPr>
                  <w:r w:rsidRPr="005C67D2">
                    <w:rPr>
                      <w:rFonts w:ascii="Segoe UI" w:eastAsia="Times New Roman" w:hAnsi="Segoe UI" w:cs="Segoe UI"/>
                      <w:b/>
                      <w:bCs/>
                      <w:color w:val="000000"/>
                      <w:sz w:val="18"/>
                      <w:szCs w:val="18"/>
                      <w:lang w:eastAsia="en-AU"/>
                    </w:rPr>
                    <w:t>insufficient data to assign a skin notation</w:t>
                  </w:r>
                </w:p>
              </w:tc>
            </w:tr>
          </w:tbl>
          <w:p w14:paraId="292CF2D0" w14:textId="77777777" w:rsidR="00932DCE" w:rsidRPr="004C23F4" w:rsidRDefault="00932DCE" w:rsidP="00F9496B">
            <w:pPr>
              <w:pStyle w:val="Tablefont"/>
            </w:pPr>
          </w:p>
        </w:tc>
      </w:tr>
    </w:tbl>
    <w:bookmarkEnd w:id="4"/>
    <w:p w14:paraId="11620FE6"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19105288" w14:textId="77777777" w:rsidTr="00610F2E">
        <w:trPr>
          <w:trHeight w:val="454"/>
          <w:tblHeader/>
        </w:trPr>
        <w:tc>
          <w:tcPr>
            <w:tcW w:w="4361" w:type="dxa"/>
            <w:vAlign w:val="center"/>
          </w:tcPr>
          <w:p w14:paraId="7A08A140"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81F0505" w14:textId="7439B58D" w:rsidR="00EB3D1B" w:rsidRDefault="00D27A18" w:rsidP="00EB3D1B">
                <w:pPr>
                  <w:pStyle w:val="Tablefont"/>
                </w:pPr>
                <w:r>
                  <w:t>Yes</w:t>
                </w:r>
              </w:p>
            </w:tc>
          </w:sdtContent>
        </w:sdt>
      </w:tr>
    </w:tbl>
    <w:p w14:paraId="223AEA59"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4456150A" w14:textId="77777777" w:rsidTr="00EA6243">
        <w:trPr>
          <w:cantSplit/>
          <w:tblHeader/>
        </w:trPr>
        <w:tc>
          <w:tcPr>
            <w:tcW w:w="4077" w:type="dxa"/>
            <w:vAlign w:val="center"/>
          </w:tcPr>
          <w:p w14:paraId="493D21FC"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94DAF97" w14:textId="28AC47C8" w:rsidR="001B79E5" w:rsidRDefault="00D27A18" w:rsidP="001B79E5">
                <w:pPr>
                  <w:pStyle w:val="Tablefont"/>
                </w:pPr>
                <w:r w:rsidRPr="00D27A18">
                  <w:t>345.65</w:t>
                </w:r>
              </w:p>
            </w:tc>
          </w:sdtContent>
        </w:sdt>
      </w:tr>
      <w:tr w:rsidR="00A31D99" w:rsidRPr="004C23F4" w14:paraId="4B7B43F3" w14:textId="77777777" w:rsidTr="00EA6243">
        <w:trPr>
          <w:cantSplit/>
          <w:tblHeader/>
        </w:trPr>
        <w:tc>
          <w:tcPr>
            <w:tcW w:w="4077" w:type="dxa"/>
            <w:vAlign w:val="center"/>
          </w:tcPr>
          <w:p w14:paraId="3571EAAA"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6E4440EA"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3353618C" w14:textId="77777777" w:rsidTr="00EA6243">
        <w:trPr>
          <w:cantSplit/>
          <w:tblHeader/>
        </w:trPr>
        <w:tc>
          <w:tcPr>
            <w:tcW w:w="4077" w:type="dxa"/>
            <w:vAlign w:val="center"/>
          </w:tcPr>
          <w:p w14:paraId="52EA8D54"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0B3CB75F" w14:textId="7F28C50A" w:rsidR="00687890" w:rsidRPr="004C23F4" w:rsidRDefault="00FE2163" w:rsidP="00717D45">
                <w:pPr>
                  <w:pStyle w:val="Tablefont"/>
                </w:pPr>
                <w:r>
                  <w:rPr>
                    <w:rFonts w:ascii="MS Gothic" w:eastAsia="MS Gothic" w:hAnsi="MS Gothic" w:cs="MS Gothic" w:hint="eastAsia"/>
                  </w:rPr>
                  <w:sym w:font="Wingdings" w:char="F0FC"/>
                </w:r>
              </w:p>
            </w:tc>
          </w:sdtContent>
        </w:sdt>
      </w:tr>
      <w:tr w:rsidR="00687890" w:rsidRPr="004C23F4" w14:paraId="6D5B80FE" w14:textId="77777777" w:rsidTr="00EA6243">
        <w:trPr>
          <w:cantSplit/>
        </w:trPr>
        <w:tc>
          <w:tcPr>
            <w:tcW w:w="4077" w:type="dxa"/>
            <w:vAlign w:val="center"/>
          </w:tcPr>
          <w:p w14:paraId="20D20DE1"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356B384C"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1323575D" w14:textId="77777777" w:rsidTr="00EA6243">
        <w:trPr>
          <w:cantSplit/>
        </w:trPr>
        <w:tc>
          <w:tcPr>
            <w:tcW w:w="4077" w:type="dxa"/>
            <w:vAlign w:val="center"/>
          </w:tcPr>
          <w:p w14:paraId="6A7071C1"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76C8DF16"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5170FDAD" w14:textId="77777777" w:rsidTr="00EA6243">
        <w:trPr>
          <w:cantSplit/>
        </w:trPr>
        <w:tc>
          <w:tcPr>
            <w:tcW w:w="4077" w:type="dxa"/>
            <w:vAlign w:val="center"/>
          </w:tcPr>
          <w:p w14:paraId="4DDB54BD"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724EBB36" w14:textId="77777777" w:rsidR="00E06F40" w:rsidRPr="00A006A0" w:rsidRDefault="007D6ECE"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76C0C7D0" w14:textId="77777777" w:rsidR="007F1005" w:rsidRPr="004C23F4" w:rsidRDefault="007F1005" w:rsidP="00EB3D1B">
      <w:pPr>
        <w:pStyle w:val="Heading2"/>
        <w:keepLines/>
      </w:pPr>
      <w:r w:rsidRPr="004C23F4">
        <w:lastRenderedPageBreak/>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653F0B54" w14:textId="77777777" w:rsidTr="00F053FA">
        <w:trPr>
          <w:tblHeader/>
        </w:trPr>
        <w:tc>
          <w:tcPr>
            <w:tcW w:w="4077" w:type="dxa"/>
            <w:shd w:val="clear" w:color="auto" w:fill="BFBFBF" w:themeFill="background1" w:themeFillShade="BF"/>
            <w:vAlign w:val="center"/>
          </w:tcPr>
          <w:p w14:paraId="5CBE5AF7"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0DB49EDC" w14:textId="77777777" w:rsidR="00224EE2" w:rsidRPr="004C23F4" w:rsidRDefault="00224EE2" w:rsidP="00EB3D1B">
            <w:pPr>
              <w:pStyle w:val="Tableheader"/>
              <w:keepNext/>
              <w:keepLines/>
            </w:pPr>
            <w:r>
              <w:t>Standard</w:t>
            </w:r>
          </w:p>
        </w:tc>
      </w:tr>
      <w:tr w:rsidR="007F1005" w:rsidRPr="004C23F4" w14:paraId="29ECE22C" w14:textId="77777777" w:rsidTr="00F053FA">
        <w:trPr>
          <w:tblHeader/>
        </w:trPr>
        <w:sdt>
          <w:sdtPr>
            <w:id w:val="-25557549"/>
            <w:placeholder>
              <w:docPart w:val="2BF891C0AB704CDAB9BC6E80D556473F"/>
            </w:placeholder>
            <w:showingPlcHdr/>
            <w:text/>
          </w:sdtPr>
          <w:sdtEndPr/>
          <w:sdtContent>
            <w:tc>
              <w:tcPr>
                <w:tcW w:w="4077" w:type="dxa"/>
                <w:vAlign w:val="center"/>
              </w:tcPr>
              <w:p w14:paraId="3EA27234"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790402D0" w14:textId="77777777" w:rsidR="007F1005" w:rsidRPr="004C23F4" w:rsidRDefault="007F1005" w:rsidP="00EB3D1B">
            <w:pPr>
              <w:pStyle w:val="Tablefont"/>
              <w:keepLines/>
            </w:pPr>
          </w:p>
        </w:tc>
      </w:tr>
    </w:tbl>
    <w:bookmarkEnd w:id="5"/>
    <w:p w14:paraId="7FAD6827" w14:textId="77777777" w:rsidR="00F87D92" w:rsidRDefault="00F87D92" w:rsidP="00EF7F78">
      <w:pPr>
        <w:pStyle w:val="Heading2"/>
        <w:tabs>
          <w:tab w:val="right" w:pos="8505"/>
        </w:tabs>
      </w:pPr>
      <w:r>
        <w:t>References</w:t>
      </w:r>
      <w:r w:rsidR="00EF7F78">
        <w:tab/>
      </w:r>
    </w:p>
    <w:p w14:paraId="3A81ACE2" w14:textId="72A4A1A0"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30D976F4" w14:textId="69329DA6" w:rsidR="00D27A18" w:rsidRDefault="00D27A18" w:rsidP="00084859">
      <w:r w:rsidRPr="002022B6">
        <w:t xml:space="preserve">Deutsche </w:t>
      </w:r>
      <w:proofErr w:type="spellStart"/>
      <w:r w:rsidRPr="002022B6">
        <w:t>Forschungsgemeinschaft</w:t>
      </w:r>
      <w:proofErr w:type="spellEnd"/>
      <w:r w:rsidRPr="002022B6">
        <w:t xml:space="preserve"> (DFG)</w:t>
      </w:r>
      <w:r>
        <w:t xml:space="preserve"> (2014) </w:t>
      </w:r>
      <w:proofErr w:type="spellStart"/>
      <w:r w:rsidRPr="00D27A18">
        <w:t>Methoxychlor</w:t>
      </w:r>
      <w:proofErr w:type="spellEnd"/>
      <w:r>
        <w:t xml:space="preserve"> – MAK value documentation.</w:t>
      </w:r>
    </w:p>
    <w:p w14:paraId="109B651F" w14:textId="28A90557" w:rsidR="005A57E5" w:rsidRPr="00DB0A36" w:rsidRDefault="005A57E5" w:rsidP="005A57E5">
      <w:r w:rsidRPr="00DB0A36">
        <w:t xml:space="preserve">International Agency for Research on Cancer (IARC) </w:t>
      </w:r>
      <w:proofErr w:type="spellStart"/>
      <w:r w:rsidRPr="005A57E5">
        <w:t>Methoxychlor</w:t>
      </w:r>
      <w:proofErr w:type="spellEnd"/>
      <w:r w:rsidRPr="00DB0A36">
        <w:t xml:space="preserve">. IARC Monographs – </w:t>
      </w:r>
      <w:r>
        <w:t>20</w:t>
      </w:r>
      <w:r w:rsidRPr="00DB0A36">
        <w:t>.</w:t>
      </w:r>
    </w:p>
    <w:p w14:paraId="568EF3A7" w14:textId="725625F9" w:rsidR="00877EF2" w:rsidRDefault="00877EF2" w:rsidP="00084859">
      <w:r w:rsidRPr="00877EF2">
        <w:t>National Industrial Chemicals Notification and Assessment Scheme (NICNAS) (</w:t>
      </w:r>
      <w:r>
        <w:t>N</w:t>
      </w:r>
      <w:r w:rsidR="007909B4">
        <w:t>.</w:t>
      </w:r>
      <w:r>
        <w:t>D</w:t>
      </w:r>
      <w:r w:rsidR="007909B4">
        <w:t>.</w:t>
      </w:r>
      <w:r w:rsidRPr="00877EF2">
        <w:t>) Benzene, 1,1'-(2,2,2-</w:t>
      </w:r>
      <w:proofErr w:type="gramStart"/>
      <w:r w:rsidRPr="00877EF2">
        <w:t>trichloroethylidene)bis</w:t>
      </w:r>
      <w:proofErr w:type="gramEnd"/>
      <w:r w:rsidRPr="00877EF2">
        <w:t>[4-methoxy-</w:t>
      </w:r>
      <w:r w:rsidR="005C67D2">
        <w:t xml:space="preserve">: </w:t>
      </w:r>
      <w:r w:rsidRPr="00877EF2">
        <w:t>Human health tier II assessment – IMAP report.</w:t>
      </w:r>
    </w:p>
    <w:p w14:paraId="54574944" w14:textId="773E97F8" w:rsidR="005C67D2" w:rsidRDefault="005C67D2" w:rsidP="00084859">
      <w:r w:rsidRPr="005C67D2">
        <w:t xml:space="preserve">US Environmental </w:t>
      </w:r>
      <w:r>
        <w:t>Protection Agency (US EPA) (1990</w:t>
      </w:r>
      <w:r w:rsidRPr="005C67D2">
        <w:t>)</w:t>
      </w:r>
      <w:r w:rsidR="00190DF4">
        <w:t xml:space="preserve"> </w:t>
      </w:r>
      <w:r w:rsidR="00190DF4" w:rsidRPr="003448DD">
        <w:t>Integrated R</w:t>
      </w:r>
      <w:r w:rsidR="00190DF4">
        <w:t xml:space="preserve">isk Information System (IRIS) </w:t>
      </w:r>
      <w:r w:rsidR="00190DF4" w:rsidRPr="003448DD">
        <w:t>Chemical Assessment Summary</w:t>
      </w:r>
      <w:r w:rsidR="00190DF4">
        <w:t xml:space="preserve"> –</w:t>
      </w:r>
      <w:r w:rsidRPr="005C67D2">
        <w:t xml:space="preserve"> </w:t>
      </w:r>
      <w:proofErr w:type="spellStart"/>
      <w:r>
        <w:t>Methoxychlor</w:t>
      </w:r>
      <w:proofErr w:type="spellEnd"/>
      <w:r w:rsidRPr="005C67D2">
        <w:t>.</w:t>
      </w:r>
    </w:p>
    <w:p w14:paraId="2FA58790" w14:textId="78E779D2" w:rsidR="00676719" w:rsidRPr="00351FE0" w:rsidRDefault="00676719" w:rsidP="00084859">
      <w:r w:rsidRPr="00D86E03">
        <w:t>US National Institute for Occupational Safety and Health (NIOSH)</w:t>
      </w:r>
      <w:r>
        <w:t xml:space="preserve"> (1994) Immediately dangerous to life or health concentrations – </w:t>
      </w:r>
      <w:proofErr w:type="spellStart"/>
      <w:r w:rsidRPr="00676719">
        <w:t>Methoxychlor</w:t>
      </w:r>
      <w:proofErr w:type="spellEnd"/>
      <w:r>
        <w:t>.</w:t>
      </w:r>
    </w:p>
    <w:sectPr w:rsidR="00676719" w:rsidRPr="00351FE0" w:rsidSect="00B87D4C">
      <w:headerReference w:type="even" r:id="rId18"/>
      <w:headerReference w:type="default" r:id="rId19"/>
      <w:headerReference w:type="first" r:id="rId20"/>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2D260" w14:textId="77777777" w:rsidR="004921B2" w:rsidRDefault="004921B2" w:rsidP="00F43AD5">
      <w:pPr>
        <w:spacing w:after="0" w:line="240" w:lineRule="auto"/>
      </w:pPr>
      <w:r>
        <w:separator/>
      </w:r>
    </w:p>
  </w:endnote>
  <w:endnote w:type="continuationSeparator" w:id="0">
    <w:p w14:paraId="60C3126E" w14:textId="77777777" w:rsidR="004921B2" w:rsidRDefault="004921B2"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774F" w14:textId="77777777" w:rsidR="007D6ECE" w:rsidRDefault="007D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5E97DFF8" w14:textId="77777777" w:rsidR="006C06F8" w:rsidRPr="006C06F8" w:rsidRDefault="006C06F8" w:rsidP="006C06F8">
        <w:pPr>
          <w:pStyle w:val="Footer"/>
          <w:rPr>
            <w:b/>
            <w:sz w:val="18"/>
            <w:szCs w:val="18"/>
          </w:rPr>
        </w:pPr>
      </w:p>
      <w:p w14:paraId="478ED335" w14:textId="62EE59E8" w:rsidR="008A36CF" w:rsidRDefault="006C06F8" w:rsidP="006C06F8">
        <w:pPr>
          <w:pStyle w:val="Footer"/>
          <w:rPr>
            <w:sz w:val="18"/>
            <w:szCs w:val="18"/>
          </w:rPr>
        </w:pPr>
        <w:proofErr w:type="spellStart"/>
        <w:r w:rsidRPr="006C06F8">
          <w:rPr>
            <w:b/>
            <w:sz w:val="18"/>
            <w:szCs w:val="18"/>
          </w:rPr>
          <w:t>Methoxychlor</w:t>
        </w:r>
        <w:proofErr w:type="spellEnd"/>
        <w:r w:rsidR="008A36CF">
          <w:rPr>
            <w:b/>
            <w:sz w:val="18"/>
            <w:szCs w:val="18"/>
          </w:rPr>
          <w:t xml:space="preserve"> (</w:t>
        </w:r>
        <w:r w:rsidRPr="006C06F8">
          <w:rPr>
            <w:b/>
            <w:sz w:val="18"/>
            <w:szCs w:val="18"/>
          </w:rPr>
          <w:t>72-43-5</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14:paraId="4D4965F4" w14:textId="1C5FDC4C"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C36C2B">
          <w:rPr>
            <w:noProof/>
            <w:sz w:val="18"/>
            <w:szCs w:val="18"/>
          </w:rPr>
          <w:t>6</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B3EF" w14:textId="77777777" w:rsidR="007D6ECE" w:rsidRDefault="007D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FB903" w14:textId="77777777" w:rsidR="004921B2" w:rsidRDefault="004921B2" w:rsidP="00F43AD5">
      <w:pPr>
        <w:spacing w:after="0" w:line="240" w:lineRule="auto"/>
      </w:pPr>
      <w:r>
        <w:separator/>
      </w:r>
    </w:p>
  </w:footnote>
  <w:footnote w:type="continuationSeparator" w:id="0">
    <w:p w14:paraId="31FBEF61" w14:textId="77777777" w:rsidR="004921B2" w:rsidRDefault="004921B2"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1115" w14:textId="7DA544F7" w:rsidR="007D6ECE" w:rsidRDefault="007D6ECE">
    <w:pPr>
      <w:pStyle w:val="Header"/>
    </w:pPr>
    <w:r>
      <w:rPr>
        <w:noProof/>
      </w:rPr>
      <w:pict w14:anchorId="55356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532063" o:spid="_x0000_s8194"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BBF2" w14:textId="550B6A16" w:rsidR="008A36CF" w:rsidRDefault="007D6ECE" w:rsidP="00F43AD5">
    <w:pPr>
      <w:pStyle w:val="Header"/>
      <w:jc w:val="right"/>
    </w:pPr>
    <w:r>
      <w:rPr>
        <w:noProof/>
      </w:rPr>
      <w:pict w14:anchorId="479C5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532064" o:spid="_x0000_s8195"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8A36CF">
      <w:rPr>
        <w:noProof/>
        <w:lang w:eastAsia="en-AU"/>
      </w:rPr>
      <w:drawing>
        <wp:inline distT="0" distB="0" distL="0" distR="0" wp14:anchorId="1F50867D" wp14:editId="6F441983">
          <wp:extent cx="2938272" cy="594360"/>
          <wp:effectExtent l="0" t="0" r="0" b="0"/>
          <wp:docPr id="1" name="Picture 1"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A9EC" w14:textId="1A9790D0" w:rsidR="007D6ECE" w:rsidRDefault="007D6ECE">
    <w:pPr>
      <w:pStyle w:val="Header"/>
    </w:pPr>
    <w:r>
      <w:rPr>
        <w:noProof/>
      </w:rPr>
      <w:pict w14:anchorId="1CA5A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532062" o:spid="_x0000_s8193"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3D21" w14:textId="23570084" w:rsidR="007D6ECE" w:rsidRDefault="007D6ECE">
    <w:pPr>
      <w:pStyle w:val="Header"/>
    </w:pPr>
    <w:r>
      <w:rPr>
        <w:noProof/>
      </w:rPr>
      <w:pict w14:anchorId="4015E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532066" o:spid="_x0000_s8197"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6DF2" w14:textId="7C256AE8" w:rsidR="008A36CF" w:rsidRDefault="007D6ECE" w:rsidP="00F43AD5">
    <w:pPr>
      <w:pStyle w:val="Header"/>
      <w:jc w:val="right"/>
    </w:pPr>
    <w:r>
      <w:rPr>
        <w:noProof/>
      </w:rPr>
      <w:pict w14:anchorId="5EFBC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532067" o:spid="_x0000_s8198" type="#_x0000_t136" style="position:absolute;left:0;text-align:left;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r>
      <w:rPr>
        <w:noProof/>
      </w:rPr>
      <w:drawing>
        <wp:inline distT="0" distB="0" distL="0" distR="0" wp14:anchorId="118BD124" wp14:editId="3BE304A8">
          <wp:extent cx="2938145" cy="594360"/>
          <wp:effectExtent l="0" t="0" r="0" b="0"/>
          <wp:docPr id="2" name="Picture 2"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10A0" w14:textId="1A001137" w:rsidR="007D6ECE" w:rsidRDefault="007D6ECE">
    <w:pPr>
      <w:pStyle w:val="Header"/>
    </w:pPr>
    <w:r>
      <w:rPr>
        <w:noProof/>
      </w:rPr>
      <w:pict w14:anchorId="1F51A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532065" o:spid="_x0000_s8196"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0C8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1764F4"/>
    <w:multiLevelType w:val="hybridMultilevel"/>
    <w:tmpl w:val="56C2B99E"/>
    <w:lvl w:ilvl="0" w:tplc="04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3BCB25C7"/>
    <w:multiLevelType w:val="hybridMultilevel"/>
    <w:tmpl w:val="D75429D4"/>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466D7BD6"/>
    <w:multiLevelType w:val="hybridMultilevel"/>
    <w:tmpl w:val="3FD8C704"/>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DC246C8"/>
    <w:multiLevelType w:val="hybridMultilevel"/>
    <w:tmpl w:val="751E96CA"/>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58A1BF7"/>
    <w:multiLevelType w:val="hybridMultilevel"/>
    <w:tmpl w:val="30660F86"/>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875307B"/>
    <w:multiLevelType w:val="hybridMultilevel"/>
    <w:tmpl w:val="D9FA0B20"/>
    <w:lvl w:ilvl="0" w:tplc="C8F8784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0"/>
  </w:num>
  <w:num w:numId="6">
    <w:abstractNumId w:val="0"/>
  </w:num>
  <w:num w:numId="7">
    <w:abstractNumId w:val="0"/>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252E"/>
    <w:rsid w:val="00007B80"/>
    <w:rsid w:val="00013A22"/>
    <w:rsid w:val="00014C3F"/>
    <w:rsid w:val="00017C82"/>
    <w:rsid w:val="00032B88"/>
    <w:rsid w:val="0003446C"/>
    <w:rsid w:val="00046DF5"/>
    <w:rsid w:val="00052060"/>
    <w:rsid w:val="0005574A"/>
    <w:rsid w:val="00055FE1"/>
    <w:rsid w:val="00056EC2"/>
    <w:rsid w:val="00060B48"/>
    <w:rsid w:val="00067F32"/>
    <w:rsid w:val="00071807"/>
    <w:rsid w:val="000803E1"/>
    <w:rsid w:val="00084513"/>
    <w:rsid w:val="00084859"/>
    <w:rsid w:val="00092199"/>
    <w:rsid w:val="00092D94"/>
    <w:rsid w:val="000B0868"/>
    <w:rsid w:val="000B3E12"/>
    <w:rsid w:val="000B3E78"/>
    <w:rsid w:val="000B7A53"/>
    <w:rsid w:val="000B7B48"/>
    <w:rsid w:val="000B7FCD"/>
    <w:rsid w:val="000C096D"/>
    <w:rsid w:val="000C139A"/>
    <w:rsid w:val="000C2053"/>
    <w:rsid w:val="000C248C"/>
    <w:rsid w:val="000D291C"/>
    <w:rsid w:val="000D4EDB"/>
    <w:rsid w:val="000E5A54"/>
    <w:rsid w:val="000E63D3"/>
    <w:rsid w:val="000E67CF"/>
    <w:rsid w:val="00100E7E"/>
    <w:rsid w:val="0010461E"/>
    <w:rsid w:val="00106FAA"/>
    <w:rsid w:val="001113CC"/>
    <w:rsid w:val="00113443"/>
    <w:rsid w:val="001269A7"/>
    <w:rsid w:val="00131092"/>
    <w:rsid w:val="00140E6A"/>
    <w:rsid w:val="00141349"/>
    <w:rsid w:val="00146545"/>
    <w:rsid w:val="00146B75"/>
    <w:rsid w:val="0015266D"/>
    <w:rsid w:val="0015288A"/>
    <w:rsid w:val="00160F47"/>
    <w:rsid w:val="00177CA1"/>
    <w:rsid w:val="00183823"/>
    <w:rsid w:val="00183942"/>
    <w:rsid w:val="00190DF4"/>
    <w:rsid w:val="001A009E"/>
    <w:rsid w:val="001A1287"/>
    <w:rsid w:val="001A3859"/>
    <w:rsid w:val="001A3C9D"/>
    <w:rsid w:val="001A43F8"/>
    <w:rsid w:val="001B79E5"/>
    <w:rsid w:val="001C1AF8"/>
    <w:rsid w:val="001D56F0"/>
    <w:rsid w:val="001D663B"/>
    <w:rsid w:val="001D7B41"/>
    <w:rsid w:val="001E46DA"/>
    <w:rsid w:val="001E7D80"/>
    <w:rsid w:val="001F4B6C"/>
    <w:rsid w:val="001F62CB"/>
    <w:rsid w:val="001F6ED0"/>
    <w:rsid w:val="001F72E6"/>
    <w:rsid w:val="001F73C5"/>
    <w:rsid w:val="001F78A2"/>
    <w:rsid w:val="002046A6"/>
    <w:rsid w:val="00204956"/>
    <w:rsid w:val="00213640"/>
    <w:rsid w:val="00221547"/>
    <w:rsid w:val="002216FC"/>
    <w:rsid w:val="00222533"/>
    <w:rsid w:val="00222F30"/>
    <w:rsid w:val="00224EE2"/>
    <w:rsid w:val="00227EC7"/>
    <w:rsid w:val="00234E62"/>
    <w:rsid w:val="00244AD1"/>
    <w:rsid w:val="002463BC"/>
    <w:rsid w:val="002465CE"/>
    <w:rsid w:val="00256A78"/>
    <w:rsid w:val="0025734A"/>
    <w:rsid w:val="00263255"/>
    <w:rsid w:val="002654F9"/>
    <w:rsid w:val="00276494"/>
    <w:rsid w:val="00277B0C"/>
    <w:rsid w:val="002A2C99"/>
    <w:rsid w:val="002B1A2C"/>
    <w:rsid w:val="002C34F2"/>
    <w:rsid w:val="002C58FF"/>
    <w:rsid w:val="002C7AFE"/>
    <w:rsid w:val="002D05D2"/>
    <w:rsid w:val="002D1320"/>
    <w:rsid w:val="002E0D61"/>
    <w:rsid w:val="002E0E7A"/>
    <w:rsid w:val="002E4C7B"/>
    <w:rsid w:val="0030740C"/>
    <w:rsid w:val="00307C15"/>
    <w:rsid w:val="00315833"/>
    <w:rsid w:val="003215EE"/>
    <w:rsid w:val="003224BF"/>
    <w:rsid w:val="003241A8"/>
    <w:rsid w:val="003253F0"/>
    <w:rsid w:val="00327886"/>
    <w:rsid w:val="003337DA"/>
    <w:rsid w:val="00334EFB"/>
    <w:rsid w:val="00335CDE"/>
    <w:rsid w:val="003365A5"/>
    <w:rsid w:val="00347192"/>
    <w:rsid w:val="0034744C"/>
    <w:rsid w:val="00351FE0"/>
    <w:rsid w:val="00352615"/>
    <w:rsid w:val="0035412B"/>
    <w:rsid w:val="003567A8"/>
    <w:rsid w:val="00362895"/>
    <w:rsid w:val="00370DBF"/>
    <w:rsid w:val="003710AE"/>
    <w:rsid w:val="00386093"/>
    <w:rsid w:val="0039037B"/>
    <w:rsid w:val="003904A4"/>
    <w:rsid w:val="00391841"/>
    <w:rsid w:val="00391B6D"/>
    <w:rsid w:val="00394922"/>
    <w:rsid w:val="003A0E32"/>
    <w:rsid w:val="003A2B94"/>
    <w:rsid w:val="003B387D"/>
    <w:rsid w:val="003B4F14"/>
    <w:rsid w:val="003C0D58"/>
    <w:rsid w:val="003D4FA3"/>
    <w:rsid w:val="003E0807"/>
    <w:rsid w:val="003E51FB"/>
    <w:rsid w:val="003E6B39"/>
    <w:rsid w:val="003F07E1"/>
    <w:rsid w:val="003F5611"/>
    <w:rsid w:val="004030BC"/>
    <w:rsid w:val="00403F7D"/>
    <w:rsid w:val="00406785"/>
    <w:rsid w:val="004079B4"/>
    <w:rsid w:val="00411617"/>
    <w:rsid w:val="00414DDE"/>
    <w:rsid w:val="00416678"/>
    <w:rsid w:val="00417A56"/>
    <w:rsid w:val="00420957"/>
    <w:rsid w:val="00422A10"/>
    <w:rsid w:val="00430179"/>
    <w:rsid w:val="004414B5"/>
    <w:rsid w:val="00444482"/>
    <w:rsid w:val="00444B42"/>
    <w:rsid w:val="00445E44"/>
    <w:rsid w:val="004509E2"/>
    <w:rsid w:val="00450D7D"/>
    <w:rsid w:val="004515EE"/>
    <w:rsid w:val="004529F0"/>
    <w:rsid w:val="00460A03"/>
    <w:rsid w:val="0046486C"/>
    <w:rsid w:val="00472A11"/>
    <w:rsid w:val="00472AAD"/>
    <w:rsid w:val="00474367"/>
    <w:rsid w:val="00474E33"/>
    <w:rsid w:val="00476803"/>
    <w:rsid w:val="00485BFD"/>
    <w:rsid w:val="004867A2"/>
    <w:rsid w:val="004873F2"/>
    <w:rsid w:val="00490D4C"/>
    <w:rsid w:val="004921B2"/>
    <w:rsid w:val="00493A35"/>
    <w:rsid w:val="0049527A"/>
    <w:rsid w:val="004966BF"/>
    <w:rsid w:val="00497984"/>
    <w:rsid w:val="004A5088"/>
    <w:rsid w:val="004C1E3F"/>
    <w:rsid w:val="004C23F4"/>
    <w:rsid w:val="004C3475"/>
    <w:rsid w:val="004C4EDA"/>
    <w:rsid w:val="004C58B6"/>
    <w:rsid w:val="004D16A3"/>
    <w:rsid w:val="004D4AA1"/>
    <w:rsid w:val="004D6D68"/>
    <w:rsid w:val="004E5EDD"/>
    <w:rsid w:val="004E7E8F"/>
    <w:rsid w:val="004F448A"/>
    <w:rsid w:val="004F493D"/>
    <w:rsid w:val="004F65E8"/>
    <w:rsid w:val="0050005E"/>
    <w:rsid w:val="00502B88"/>
    <w:rsid w:val="00506D99"/>
    <w:rsid w:val="005142C4"/>
    <w:rsid w:val="0051509C"/>
    <w:rsid w:val="005272E2"/>
    <w:rsid w:val="0053108F"/>
    <w:rsid w:val="00532B56"/>
    <w:rsid w:val="00534B10"/>
    <w:rsid w:val="00541B5A"/>
    <w:rsid w:val="005446A2"/>
    <w:rsid w:val="00544D2F"/>
    <w:rsid w:val="00551BD8"/>
    <w:rsid w:val="00581055"/>
    <w:rsid w:val="00591E38"/>
    <w:rsid w:val="005A19C5"/>
    <w:rsid w:val="005A3034"/>
    <w:rsid w:val="005A462D"/>
    <w:rsid w:val="005A57E5"/>
    <w:rsid w:val="005B230C"/>
    <w:rsid w:val="005B253B"/>
    <w:rsid w:val="005B771D"/>
    <w:rsid w:val="005C0194"/>
    <w:rsid w:val="005C1982"/>
    <w:rsid w:val="005C5D16"/>
    <w:rsid w:val="005C67D2"/>
    <w:rsid w:val="005D0904"/>
    <w:rsid w:val="005D3193"/>
    <w:rsid w:val="005D4A6E"/>
    <w:rsid w:val="005E6979"/>
    <w:rsid w:val="005E75CB"/>
    <w:rsid w:val="006013C1"/>
    <w:rsid w:val="00605771"/>
    <w:rsid w:val="0060669E"/>
    <w:rsid w:val="00610F2E"/>
    <w:rsid w:val="00611399"/>
    <w:rsid w:val="00624C4E"/>
    <w:rsid w:val="00625200"/>
    <w:rsid w:val="006363A8"/>
    <w:rsid w:val="00636DB7"/>
    <w:rsid w:val="006460AA"/>
    <w:rsid w:val="00650905"/>
    <w:rsid w:val="006532ED"/>
    <w:rsid w:val="006549F2"/>
    <w:rsid w:val="006567B7"/>
    <w:rsid w:val="00657BFB"/>
    <w:rsid w:val="00660DDE"/>
    <w:rsid w:val="0066333C"/>
    <w:rsid w:val="006639B4"/>
    <w:rsid w:val="006650FE"/>
    <w:rsid w:val="00666B00"/>
    <w:rsid w:val="0067305D"/>
    <w:rsid w:val="00676719"/>
    <w:rsid w:val="00677D9B"/>
    <w:rsid w:val="006867F3"/>
    <w:rsid w:val="00687890"/>
    <w:rsid w:val="006901A2"/>
    <w:rsid w:val="00690368"/>
    <w:rsid w:val="0069079C"/>
    <w:rsid w:val="00690B53"/>
    <w:rsid w:val="00695B72"/>
    <w:rsid w:val="00696680"/>
    <w:rsid w:val="006A51CC"/>
    <w:rsid w:val="006B160A"/>
    <w:rsid w:val="006B48F0"/>
    <w:rsid w:val="006B4E6C"/>
    <w:rsid w:val="006B50B6"/>
    <w:rsid w:val="006C06F8"/>
    <w:rsid w:val="006D4D02"/>
    <w:rsid w:val="006D79EA"/>
    <w:rsid w:val="006E5D05"/>
    <w:rsid w:val="00701053"/>
    <w:rsid w:val="00701507"/>
    <w:rsid w:val="00714021"/>
    <w:rsid w:val="00716A0F"/>
    <w:rsid w:val="00717D45"/>
    <w:rsid w:val="007208F7"/>
    <w:rsid w:val="007218AF"/>
    <w:rsid w:val="007365D1"/>
    <w:rsid w:val="00740E0E"/>
    <w:rsid w:val="00750212"/>
    <w:rsid w:val="00754779"/>
    <w:rsid w:val="0075716D"/>
    <w:rsid w:val="0075775E"/>
    <w:rsid w:val="00765F14"/>
    <w:rsid w:val="00770E31"/>
    <w:rsid w:val="00774158"/>
    <w:rsid w:val="007770F1"/>
    <w:rsid w:val="00783FB1"/>
    <w:rsid w:val="00785CDD"/>
    <w:rsid w:val="007909B4"/>
    <w:rsid w:val="00791847"/>
    <w:rsid w:val="007925F0"/>
    <w:rsid w:val="007939B3"/>
    <w:rsid w:val="0079509C"/>
    <w:rsid w:val="00796708"/>
    <w:rsid w:val="007B00BB"/>
    <w:rsid w:val="007B1B42"/>
    <w:rsid w:val="007B31AF"/>
    <w:rsid w:val="007B796B"/>
    <w:rsid w:val="007C30EB"/>
    <w:rsid w:val="007C716B"/>
    <w:rsid w:val="007D6ECE"/>
    <w:rsid w:val="007E063C"/>
    <w:rsid w:val="007E2A4B"/>
    <w:rsid w:val="007E307D"/>
    <w:rsid w:val="007E694E"/>
    <w:rsid w:val="007E6A4E"/>
    <w:rsid w:val="007E6C94"/>
    <w:rsid w:val="007F1005"/>
    <w:rsid w:val="007F12E0"/>
    <w:rsid w:val="007F25E0"/>
    <w:rsid w:val="007F5328"/>
    <w:rsid w:val="00804F5A"/>
    <w:rsid w:val="00810C6D"/>
    <w:rsid w:val="00812887"/>
    <w:rsid w:val="00826B20"/>
    <w:rsid w:val="00826F21"/>
    <w:rsid w:val="00834CC8"/>
    <w:rsid w:val="00835E00"/>
    <w:rsid w:val="00837113"/>
    <w:rsid w:val="008414E4"/>
    <w:rsid w:val="00843E21"/>
    <w:rsid w:val="0084508E"/>
    <w:rsid w:val="008536CD"/>
    <w:rsid w:val="00857A8A"/>
    <w:rsid w:val="008630EE"/>
    <w:rsid w:val="00864D13"/>
    <w:rsid w:val="00871CD5"/>
    <w:rsid w:val="008745A2"/>
    <w:rsid w:val="008768A8"/>
    <w:rsid w:val="00877EF2"/>
    <w:rsid w:val="0088798F"/>
    <w:rsid w:val="00887E4B"/>
    <w:rsid w:val="008915C8"/>
    <w:rsid w:val="00893C2E"/>
    <w:rsid w:val="008A36CF"/>
    <w:rsid w:val="008A3BC4"/>
    <w:rsid w:val="008A477C"/>
    <w:rsid w:val="008B241B"/>
    <w:rsid w:val="008B403C"/>
    <w:rsid w:val="008B6EB4"/>
    <w:rsid w:val="008B7983"/>
    <w:rsid w:val="008C2511"/>
    <w:rsid w:val="008C2872"/>
    <w:rsid w:val="008D026D"/>
    <w:rsid w:val="008D23AB"/>
    <w:rsid w:val="008D4B8B"/>
    <w:rsid w:val="008D5A78"/>
    <w:rsid w:val="008E6EA2"/>
    <w:rsid w:val="008E7B64"/>
    <w:rsid w:val="008F5DCD"/>
    <w:rsid w:val="00900951"/>
    <w:rsid w:val="00906BFE"/>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74F2D"/>
    <w:rsid w:val="00977524"/>
    <w:rsid w:val="00977E88"/>
    <w:rsid w:val="00984920"/>
    <w:rsid w:val="0099303A"/>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9F7BDA"/>
    <w:rsid w:val="00A01D0C"/>
    <w:rsid w:val="00A0643F"/>
    <w:rsid w:val="00A067EE"/>
    <w:rsid w:val="00A10FCE"/>
    <w:rsid w:val="00A16D91"/>
    <w:rsid w:val="00A174CC"/>
    <w:rsid w:val="00A2073D"/>
    <w:rsid w:val="00A20751"/>
    <w:rsid w:val="00A27E2D"/>
    <w:rsid w:val="00A31D99"/>
    <w:rsid w:val="00A357BA"/>
    <w:rsid w:val="00A35ADC"/>
    <w:rsid w:val="00A402A3"/>
    <w:rsid w:val="00A53681"/>
    <w:rsid w:val="00A633D4"/>
    <w:rsid w:val="00A6461A"/>
    <w:rsid w:val="00A84504"/>
    <w:rsid w:val="00A8672F"/>
    <w:rsid w:val="00A867A7"/>
    <w:rsid w:val="00A93057"/>
    <w:rsid w:val="00A968B0"/>
    <w:rsid w:val="00A97192"/>
    <w:rsid w:val="00AA1362"/>
    <w:rsid w:val="00AB2272"/>
    <w:rsid w:val="00AB2672"/>
    <w:rsid w:val="00AB2817"/>
    <w:rsid w:val="00AB43C4"/>
    <w:rsid w:val="00AC32E7"/>
    <w:rsid w:val="00AC3A9F"/>
    <w:rsid w:val="00AC6D2F"/>
    <w:rsid w:val="00AE2745"/>
    <w:rsid w:val="00AE2F64"/>
    <w:rsid w:val="00AF42CB"/>
    <w:rsid w:val="00AF483F"/>
    <w:rsid w:val="00AF5E07"/>
    <w:rsid w:val="00AF5F06"/>
    <w:rsid w:val="00B00A25"/>
    <w:rsid w:val="00B1422A"/>
    <w:rsid w:val="00B1765C"/>
    <w:rsid w:val="00B213C4"/>
    <w:rsid w:val="00B40C60"/>
    <w:rsid w:val="00B479A9"/>
    <w:rsid w:val="00B52EDF"/>
    <w:rsid w:val="00B71188"/>
    <w:rsid w:val="00B72059"/>
    <w:rsid w:val="00B76A41"/>
    <w:rsid w:val="00B87D4C"/>
    <w:rsid w:val="00B93646"/>
    <w:rsid w:val="00BA0B38"/>
    <w:rsid w:val="00BA1DBB"/>
    <w:rsid w:val="00BA4510"/>
    <w:rsid w:val="00BA529A"/>
    <w:rsid w:val="00BB3947"/>
    <w:rsid w:val="00BB612A"/>
    <w:rsid w:val="00BC7D4F"/>
    <w:rsid w:val="00BD0C2F"/>
    <w:rsid w:val="00BD499F"/>
    <w:rsid w:val="00BD56DE"/>
    <w:rsid w:val="00BD6989"/>
    <w:rsid w:val="00BF2406"/>
    <w:rsid w:val="00BF6F08"/>
    <w:rsid w:val="00C05A4A"/>
    <w:rsid w:val="00C06E43"/>
    <w:rsid w:val="00C0717C"/>
    <w:rsid w:val="00C16315"/>
    <w:rsid w:val="00C3091E"/>
    <w:rsid w:val="00C346D1"/>
    <w:rsid w:val="00C3535E"/>
    <w:rsid w:val="00C36C2B"/>
    <w:rsid w:val="00C40FF1"/>
    <w:rsid w:val="00C419E2"/>
    <w:rsid w:val="00C5020E"/>
    <w:rsid w:val="00C57452"/>
    <w:rsid w:val="00C61029"/>
    <w:rsid w:val="00C61EDF"/>
    <w:rsid w:val="00C6239D"/>
    <w:rsid w:val="00C64919"/>
    <w:rsid w:val="00C6594B"/>
    <w:rsid w:val="00C67FFB"/>
    <w:rsid w:val="00C7155E"/>
    <w:rsid w:val="00C71D1E"/>
    <w:rsid w:val="00C71D7D"/>
    <w:rsid w:val="00C74833"/>
    <w:rsid w:val="00C850A0"/>
    <w:rsid w:val="00C85A86"/>
    <w:rsid w:val="00C94366"/>
    <w:rsid w:val="00C947C7"/>
    <w:rsid w:val="00C978F0"/>
    <w:rsid w:val="00CA58DA"/>
    <w:rsid w:val="00CA58FE"/>
    <w:rsid w:val="00CB1CB1"/>
    <w:rsid w:val="00CB6BC1"/>
    <w:rsid w:val="00CB6CB8"/>
    <w:rsid w:val="00CC1A68"/>
    <w:rsid w:val="00CC2123"/>
    <w:rsid w:val="00CD2BFD"/>
    <w:rsid w:val="00CE5AD6"/>
    <w:rsid w:val="00CE617F"/>
    <w:rsid w:val="00CE6253"/>
    <w:rsid w:val="00CE78EF"/>
    <w:rsid w:val="00CF7A10"/>
    <w:rsid w:val="00D048F7"/>
    <w:rsid w:val="00D0517E"/>
    <w:rsid w:val="00D140FC"/>
    <w:rsid w:val="00D21D8C"/>
    <w:rsid w:val="00D27A18"/>
    <w:rsid w:val="00D31357"/>
    <w:rsid w:val="00D33220"/>
    <w:rsid w:val="00D334D1"/>
    <w:rsid w:val="00D44C89"/>
    <w:rsid w:val="00D47D44"/>
    <w:rsid w:val="00D516CD"/>
    <w:rsid w:val="00D668E6"/>
    <w:rsid w:val="00D70670"/>
    <w:rsid w:val="00D74D80"/>
    <w:rsid w:val="00D76624"/>
    <w:rsid w:val="00D81BB2"/>
    <w:rsid w:val="00D87570"/>
    <w:rsid w:val="00D91CB9"/>
    <w:rsid w:val="00D97989"/>
    <w:rsid w:val="00D97D8D"/>
    <w:rsid w:val="00DA352E"/>
    <w:rsid w:val="00DB0FDF"/>
    <w:rsid w:val="00DC7694"/>
    <w:rsid w:val="00DD1BF6"/>
    <w:rsid w:val="00DD2F9B"/>
    <w:rsid w:val="00DE2513"/>
    <w:rsid w:val="00DE26E8"/>
    <w:rsid w:val="00DF59D0"/>
    <w:rsid w:val="00DF6F36"/>
    <w:rsid w:val="00E0084C"/>
    <w:rsid w:val="00E025AB"/>
    <w:rsid w:val="00E02B23"/>
    <w:rsid w:val="00E06F40"/>
    <w:rsid w:val="00E07CE8"/>
    <w:rsid w:val="00E26A07"/>
    <w:rsid w:val="00E32595"/>
    <w:rsid w:val="00E37CFD"/>
    <w:rsid w:val="00E41A26"/>
    <w:rsid w:val="00E46BCB"/>
    <w:rsid w:val="00E51CAF"/>
    <w:rsid w:val="00E527E0"/>
    <w:rsid w:val="00E60F04"/>
    <w:rsid w:val="00E62AAC"/>
    <w:rsid w:val="00E67C2F"/>
    <w:rsid w:val="00E67EF5"/>
    <w:rsid w:val="00E804EA"/>
    <w:rsid w:val="00E80A71"/>
    <w:rsid w:val="00E82337"/>
    <w:rsid w:val="00E90C62"/>
    <w:rsid w:val="00E92499"/>
    <w:rsid w:val="00E949AF"/>
    <w:rsid w:val="00E96077"/>
    <w:rsid w:val="00EA0A06"/>
    <w:rsid w:val="00EA6243"/>
    <w:rsid w:val="00EA74AB"/>
    <w:rsid w:val="00EB3D1B"/>
    <w:rsid w:val="00EB510C"/>
    <w:rsid w:val="00ED1D89"/>
    <w:rsid w:val="00ED4025"/>
    <w:rsid w:val="00ED66BC"/>
    <w:rsid w:val="00ED7438"/>
    <w:rsid w:val="00EF233A"/>
    <w:rsid w:val="00EF303E"/>
    <w:rsid w:val="00EF3A40"/>
    <w:rsid w:val="00EF7F78"/>
    <w:rsid w:val="00F01B08"/>
    <w:rsid w:val="00F01C4D"/>
    <w:rsid w:val="00F053FA"/>
    <w:rsid w:val="00F10C97"/>
    <w:rsid w:val="00F11C71"/>
    <w:rsid w:val="00F14A88"/>
    <w:rsid w:val="00F16019"/>
    <w:rsid w:val="00F20E68"/>
    <w:rsid w:val="00F21451"/>
    <w:rsid w:val="00F22093"/>
    <w:rsid w:val="00F236DF"/>
    <w:rsid w:val="00F27633"/>
    <w:rsid w:val="00F431E6"/>
    <w:rsid w:val="00F43AD5"/>
    <w:rsid w:val="00F4402E"/>
    <w:rsid w:val="00F56DD0"/>
    <w:rsid w:val="00F6491C"/>
    <w:rsid w:val="00F67BBB"/>
    <w:rsid w:val="00F87D92"/>
    <w:rsid w:val="00F90AA7"/>
    <w:rsid w:val="00F92498"/>
    <w:rsid w:val="00F9496B"/>
    <w:rsid w:val="00F96A8F"/>
    <w:rsid w:val="00F970C9"/>
    <w:rsid w:val="00FA06A8"/>
    <w:rsid w:val="00FA3DF5"/>
    <w:rsid w:val="00FA440C"/>
    <w:rsid w:val="00FA741F"/>
    <w:rsid w:val="00FB4E07"/>
    <w:rsid w:val="00FB716C"/>
    <w:rsid w:val="00FB755A"/>
    <w:rsid w:val="00FC60A2"/>
    <w:rsid w:val="00FD1871"/>
    <w:rsid w:val="00FD3110"/>
    <w:rsid w:val="00FE2163"/>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14:docId w14:val="090CACBD"/>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paragraph" w:styleId="ListBullet">
    <w:name w:val="List Bullet"/>
    <w:basedOn w:val="Normal"/>
    <w:uiPriority w:val="99"/>
    <w:unhideWhenUsed/>
    <w:rsid w:val="005B230C"/>
    <w:pPr>
      <w:numPr>
        <w:numId w:val="1"/>
      </w:numPr>
      <w:contextualSpacing/>
    </w:pPr>
  </w:style>
  <w:style w:type="character" w:styleId="CommentReference">
    <w:name w:val="annotation reference"/>
    <w:basedOn w:val="DefaultParagraphFont"/>
    <w:uiPriority w:val="99"/>
    <w:semiHidden/>
    <w:unhideWhenUsed/>
    <w:rsid w:val="007B00BB"/>
    <w:rPr>
      <w:sz w:val="16"/>
      <w:szCs w:val="16"/>
    </w:rPr>
  </w:style>
  <w:style w:type="paragraph" w:styleId="CommentText">
    <w:name w:val="annotation text"/>
    <w:basedOn w:val="Normal"/>
    <w:link w:val="CommentTextChar"/>
    <w:uiPriority w:val="99"/>
    <w:semiHidden/>
    <w:unhideWhenUsed/>
    <w:rsid w:val="007B00BB"/>
    <w:pPr>
      <w:spacing w:line="240" w:lineRule="auto"/>
    </w:pPr>
    <w:rPr>
      <w:szCs w:val="20"/>
    </w:rPr>
  </w:style>
  <w:style w:type="character" w:customStyle="1" w:styleId="CommentTextChar">
    <w:name w:val="Comment Text Char"/>
    <w:basedOn w:val="DefaultParagraphFont"/>
    <w:link w:val="CommentText"/>
    <w:uiPriority w:val="99"/>
    <w:semiHidden/>
    <w:rsid w:val="007B00BB"/>
    <w:rPr>
      <w:szCs w:val="20"/>
    </w:rPr>
  </w:style>
  <w:style w:type="paragraph" w:styleId="CommentSubject">
    <w:name w:val="annotation subject"/>
    <w:basedOn w:val="CommentText"/>
    <w:next w:val="CommentText"/>
    <w:link w:val="CommentSubjectChar"/>
    <w:uiPriority w:val="99"/>
    <w:semiHidden/>
    <w:unhideWhenUsed/>
    <w:rsid w:val="007B00BB"/>
    <w:rPr>
      <w:b/>
      <w:bCs/>
    </w:rPr>
  </w:style>
  <w:style w:type="character" w:customStyle="1" w:styleId="CommentSubjectChar">
    <w:name w:val="Comment Subject Char"/>
    <w:basedOn w:val="CommentTextChar"/>
    <w:link w:val="CommentSubject"/>
    <w:uiPriority w:val="99"/>
    <w:semiHidden/>
    <w:rsid w:val="007B00BB"/>
    <w:rPr>
      <w:b/>
      <w:bCs/>
      <w:szCs w:val="20"/>
    </w:rPr>
  </w:style>
  <w:style w:type="paragraph" w:styleId="Revision">
    <w:name w:val="Revision"/>
    <w:hidden/>
    <w:uiPriority w:val="99"/>
    <w:semiHidden/>
    <w:rsid w:val="00FE2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95026">
      <w:bodyDiv w:val="1"/>
      <w:marLeft w:val="0"/>
      <w:marRight w:val="0"/>
      <w:marTop w:val="0"/>
      <w:marBottom w:val="0"/>
      <w:divBdr>
        <w:top w:val="none" w:sz="0" w:space="0" w:color="auto"/>
        <w:left w:val="none" w:sz="0" w:space="0" w:color="auto"/>
        <w:bottom w:val="none" w:sz="0" w:space="0" w:color="auto"/>
        <w:right w:val="none" w:sz="0" w:space="0" w:color="auto"/>
      </w:divBdr>
    </w:div>
    <w:div w:id="13061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1B6B70FBF6584C119FE1298EFFD421DC"/>
        <w:category>
          <w:name w:val="General"/>
          <w:gallery w:val="placeholder"/>
        </w:category>
        <w:types>
          <w:type w:val="bbPlcHdr"/>
        </w:types>
        <w:behaviors>
          <w:behavior w:val="content"/>
        </w:behaviors>
        <w:guid w:val="{FC8CBDB7-F1A7-42BB-B97E-C901E3CE780C}"/>
      </w:docPartPr>
      <w:docPartBody>
        <w:p w:rsidR="00F87B3B" w:rsidRDefault="001B5806" w:rsidP="001B5806">
          <w:pPr>
            <w:pStyle w:val="1B6B70FBF6584C119FE1298EFFD421DC"/>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08480E"/>
    <w:rsid w:val="000D1CBA"/>
    <w:rsid w:val="001B5806"/>
    <w:rsid w:val="0051207B"/>
    <w:rsid w:val="00671799"/>
    <w:rsid w:val="00A83728"/>
    <w:rsid w:val="00B022C9"/>
    <w:rsid w:val="00B84370"/>
    <w:rsid w:val="00D21A9F"/>
    <w:rsid w:val="00F87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806"/>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2FF947E4786D431AA8DF184F7AB37CC0">
    <w:name w:val="2FF947E4786D431AA8DF184F7AB37CC0"/>
    <w:rsid w:val="0008480E"/>
  </w:style>
  <w:style w:type="paragraph" w:customStyle="1" w:styleId="6E1D91D29BE34B7A9F5798D5CD444968">
    <w:name w:val="6E1D91D29BE34B7A9F5798D5CD444968"/>
    <w:rsid w:val="0008480E"/>
  </w:style>
  <w:style w:type="paragraph" w:customStyle="1" w:styleId="299798B34B75443DBF325CFD4C0817C4">
    <w:name w:val="299798B34B75443DBF325CFD4C0817C4"/>
    <w:rsid w:val="0008480E"/>
  </w:style>
  <w:style w:type="paragraph" w:customStyle="1" w:styleId="E17860C93542484A8AF33937AF18A78A">
    <w:name w:val="E17860C93542484A8AF33937AF18A78A"/>
    <w:rsid w:val="0008480E"/>
  </w:style>
  <w:style w:type="paragraph" w:customStyle="1" w:styleId="11785417E74B4A6CBF9E796862C02A59">
    <w:name w:val="11785417E74B4A6CBF9E796862C02A59"/>
    <w:rsid w:val="000D1CBA"/>
  </w:style>
  <w:style w:type="paragraph" w:customStyle="1" w:styleId="B596E2FE926C4EA6BA7202498326F653">
    <w:name w:val="B596E2FE926C4EA6BA7202498326F653"/>
    <w:rsid w:val="000D1CBA"/>
  </w:style>
  <w:style w:type="paragraph" w:customStyle="1" w:styleId="1B6B70FBF6584C119FE1298EFFD421DC">
    <w:name w:val="1B6B70FBF6584C119FE1298EFFD421DC"/>
    <w:rsid w:val="001B58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2.xml><?xml version="1.0" encoding="utf-8"?>
<ds:datastoreItem xmlns:ds="http://schemas.openxmlformats.org/officeDocument/2006/customXml" ds:itemID="{F4815D35-AD8A-4397-9E13-F5C9D4CF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FD3B4-E5FF-44D0-A85D-1656AEB7AF7B}">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bf54d604-3e62-4e70-ba33-9e9084b96a66"/>
  </ds:schemaRefs>
</ds:datastoreItem>
</file>

<file path=customXml/itemProps4.xml><?xml version="1.0" encoding="utf-8"?>
<ds:datastoreItem xmlns:ds="http://schemas.openxmlformats.org/officeDocument/2006/customXml" ds:itemID="{BB8D239F-54C5-4F70-ABE9-E2E6A0F1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6</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HEARD,Jonathan</cp:lastModifiedBy>
  <cp:revision>64</cp:revision>
  <cp:lastPrinted>2018-10-22T22:41:00Z</cp:lastPrinted>
  <dcterms:created xsi:type="dcterms:W3CDTF">2019-09-09T01:52:00Z</dcterms:created>
  <dcterms:modified xsi:type="dcterms:W3CDTF">2020-03-12T23:08:00Z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