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C116CC5" w14:textId="34C87583" w:rsidR="00BD499F" w:rsidRPr="004C23F4" w:rsidRDefault="00480EBD" w:rsidP="00480EBD">
          <w:pPr>
            <w:pStyle w:val="Heading1"/>
            <w:jc w:val="center"/>
            <w:rPr>
              <w:rFonts w:ascii="Arial" w:hAnsi="Arial" w:cs="Arial"/>
            </w:rPr>
          </w:pPr>
          <w:r w:rsidRPr="00480EBD">
            <w:rPr>
              <w:rFonts w:ascii="Arial" w:hAnsi="Arial" w:cs="Arial"/>
            </w:rPr>
            <w:t>Methylamine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8"/>
        <w:gridCol w:w="5048"/>
      </w:tblGrid>
      <w:tr w:rsidR="00F43AD5" w:rsidRPr="004C23F4" w14:paraId="729536AD" w14:textId="77777777" w:rsidTr="00B76A41">
        <w:trPr>
          <w:cantSplit/>
          <w:tblHeader/>
        </w:trPr>
        <w:tc>
          <w:tcPr>
            <w:tcW w:w="4077" w:type="dxa"/>
          </w:tcPr>
          <w:p w14:paraId="13868A2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B6F9433" w14:textId="683F03D6" w:rsidR="00F43AD5" w:rsidRPr="00717D45" w:rsidRDefault="00480EBD" w:rsidP="00B76A41">
            <w:pPr>
              <w:pStyle w:val="Tablefont"/>
            </w:pPr>
            <w:r w:rsidRPr="00480EBD">
              <w:t>74-89-5</w:t>
            </w:r>
          </w:p>
        </w:tc>
      </w:tr>
      <w:tr w:rsidR="00F43AD5" w:rsidRPr="004C23F4" w14:paraId="47EFD78C" w14:textId="77777777" w:rsidTr="00B76A41">
        <w:trPr>
          <w:cantSplit/>
        </w:trPr>
        <w:tc>
          <w:tcPr>
            <w:tcW w:w="4077" w:type="dxa"/>
          </w:tcPr>
          <w:p w14:paraId="615F75F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63E87E3" w14:textId="2A3F6693" w:rsidR="00F43AD5" w:rsidRPr="00717D45" w:rsidRDefault="00DF1A01" w:rsidP="00B76A41">
            <w:pPr>
              <w:pStyle w:val="Tablefont"/>
            </w:pPr>
            <w:r>
              <w:t xml:space="preserve">Aminomethane, </w:t>
            </w:r>
            <w:proofErr w:type="spellStart"/>
            <w:r>
              <w:t>methanamine</w:t>
            </w:r>
            <w:proofErr w:type="spellEnd"/>
            <w:r>
              <w:t>, monomethylamine</w:t>
            </w:r>
          </w:p>
        </w:tc>
      </w:tr>
      <w:tr w:rsidR="00F43AD5" w:rsidRPr="004C23F4" w14:paraId="11C57A12" w14:textId="77777777" w:rsidTr="00B76A41">
        <w:trPr>
          <w:cantSplit/>
        </w:trPr>
        <w:tc>
          <w:tcPr>
            <w:tcW w:w="4077" w:type="dxa"/>
          </w:tcPr>
          <w:p w14:paraId="572CE5A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70734907" w14:textId="0D6F37AF" w:rsidR="00F43AD5" w:rsidRPr="00717D45" w:rsidRDefault="00DF1A01" w:rsidP="00B76A41">
            <w:pPr>
              <w:pStyle w:val="Tablefont"/>
            </w:pPr>
            <w:r>
              <w:t>CH</w:t>
            </w:r>
            <w:r w:rsidRPr="00DF1A01">
              <w:rPr>
                <w:vertAlign w:val="subscript"/>
              </w:rPr>
              <w:t>5</w:t>
            </w:r>
            <w:r>
              <w:t>N</w:t>
            </w:r>
          </w:p>
        </w:tc>
      </w:tr>
      <w:tr w:rsidR="00F43AD5" w:rsidRPr="004C23F4" w14:paraId="7966B625" w14:textId="77777777" w:rsidTr="00B76A41">
        <w:trPr>
          <w:cantSplit/>
        </w:trPr>
        <w:tc>
          <w:tcPr>
            <w:tcW w:w="4077" w:type="dxa"/>
          </w:tcPr>
          <w:p w14:paraId="5FE8C700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00272944" w14:textId="471A725E" w:rsidR="00F43AD5" w:rsidRPr="00E016B1" w:rsidRDefault="00DF1A01" w:rsidP="00B76A41">
            <w:pPr>
              <w:pStyle w:val="Tablerowheading"/>
              <w:rPr>
                <w:b w:val="0"/>
              </w:rPr>
            </w:pPr>
            <w:r w:rsidRPr="007C741A">
              <w:rPr>
                <w:b w:val="0"/>
              </w:rPr>
              <w:t>—</w:t>
            </w:r>
          </w:p>
        </w:tc>
      </w:tr>
    </w:tbl>
    <w:p w14:paraId="74669C3B" w14:textId="5F2A4A4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A1131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7"/>
        <w:gridCol w:w="5019"/>
      </w:tblGrid>
      <w:tr w:rsidR="002C7AFE" w:rsidRPr="004C23F4" w14:paraId="462CAA68" w14:textId="77777777" w:rsidTr="008A3796">
        <w:trPr>
          <w:cantSplit/>
          <w:tblHeader/>
        </w:trPr>
        <w:tc>
          <w:tcPr>
            <w:tcW w:w="4007" w:type="dxa"/>
            <w:vAlign w:val="center"/>
          </w:tcPr>
          <w:p w14:paraId="1F84762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9" w:type="dxa"/>
          </w:tcPr>
          <w:p w14:paraId="37B56D3E" w14:textId="15F2D280" w:rsidR="002C7AFE" w:rsidRPr="00E25D92" w:rsidRDefault="00892D5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</w:t>
            </w:r>
            <w:r w:rsidR="00E25D92">
              <w:rPr>
                <w:b/>
              </w:rPr>
              <w:t xml:space="preserve"> ppm (</w:t>
            </w:r>
            <w:r w:rsidR="00A20331">
              <w:rPr>
                <w:b/>
              </w:rPr>
              <w:t>13</w:t>
            </w:r>
            <w:r w:rsidR="00E25D92">
              <w:rPr>
                <w:b/>
              </w:rPr>
              <w:t xml:space="preserve"> mg/m</w:t>
            </w:r>
            <w:r w:rsidR="00E25D92">
              <w:rPr>
                <w:b/>
                <w:vertAlign w:val="superscript"/>
              </w:rPr>
              <w:t>3</w:t>
            </w:r>
            <w:r w:rsidR="00E25D92">
              <w:rPr>
                <w:b/>
              </w:rPr>
              <w:t>)</w:t>
            </w:r>
          </w:p>
        </w:tc>
      </w:tr>
      <w:tr w:rsidR="002C7AFE" w:rsidRPr="004C23F4" w14:paraId="5639531E" w14:textId="77777777" w:rsidTr="008A3796">
        <w:trPr>
          <w:cantSplit/>
        </w:trPr>
        <w:tc>
          <w:tcPr>
            <w:tcW w:w="4007" w:type="dxa"/>
            <w:vAlign w:val="center"/>
          </w:tcPr>
          <w:p w14:paraId="3A922B2D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9" w:type="dxa"/>
          </w:tcPr>
          <w:p w14:paraId="148F3D8F" w14:textId="71B883A9" w:rsidR="002C7AFE" w:rsidRPr="00E25D92" w:rsidRDefault="00E25D9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15 ppm (19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E25D92" w:rsidRPr="004C23F4" w14:paraId="39DC2F53" w14:textId="77777777" w:rsidTr="008A3796">
        <w:trPr>
          <w:cantSplit/>
        </w:trPr>
        <w:tc>
          <w:tcPr>
            <w:tcW w:w="4007" w:type="dxa"/>
            <w:vAlign w:val="center"/>
          </w:tcPr>
          <w:p w14:paraId="70367A44" w14:textId="77777777" w:rsidR="00E25D92" w:rsidRPr="002C58FF" w:rsidRDefault="00E25D92" w:rsidP="00E25D92">
            <w:pPr>
              <w:pStyle w:val="Tablerowright"/>
            </w:pPr>
            <w:r>
              <w:t>Peak limitation:</w:t>
            </w:r>
          </w:p>
        </w:tc>
        <w:tc>
          <w:tcPr>
            <w:tcW w:w="5019" w:type="dxa"/>
          </w:tcPr>
          <w:p w14:paraId="74FD70C5" w14:textId="6CDA4BFA" w:rsidR="00E25D92" w:rsidRPr="00E016B1" w:rsidRDefault="00E25D92" w:rsidP="00E25D92">
            <w:pPr>
              <w:pStyle w:val="Tablefont"/>
              <w:rPr>
                <w:b/>
              </w:rPr>
            </w:pPr>
            <w:r w:rsidRPr="007C741A">
              <w:rPr>
                <w:b/>
              </w:rPr>
              <w:t>—</w:t>
            </w:r>
          </w:p>
        </w:tc>
      </w:tr>
      <w:tr w:rsidR="00E25D92" w:rsidRPr="004C23F4" w14:paraId="617EA8E6" w14:textId="77777777" w:rsidTr="008A3796">
        <w:trPr>
          <w:cantSplit/>
        </w:trPr>
        <w:tc>
          <w:tcPr>
            <w:tcW w:w="4007" w:type="dxa"/>
          </w:tcPr>
          <w:p w14:paraId="4F10636F" w14:textId="77777777" w:rsidR="00E25D92" w:rsidRPr="002C58FF" w:rsidRDefault="00E25D92" w:rsidP="00E25D9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9" w:type="dxa"/>
          </w:tcPr>
          <w:p w14:paraId="42C382D3" w14:textId="0DA1AD42" w:rsidR="00E25D92" w:rsidRPr="00E016B1" w:rsidRDefault="00E25D92" w:rsidP="00E25D92">
            <w:pPr>
              <w:pStyle w:val="Tablefont"/>
              <w:rPr>
                <w:b/>
              </w:rPr>
            </w:pPr>
            <w:r w:rsidRPr="007C741A">
              <w:rPr>
                <w:b/>
              </w:rPr>
              <w:t>—</w:t>
            </w:r>
          </w:p>
        </w:tc>
      </w:tr>
      <w:tr w:rsidR="002C7AFE" w:rsidRPr="004C23F4" w14:paraId="18CB0E1C" w14:textId="77777777" w:rsidTr="008A3796">
        <w:trPr>
          <w:cantSplit/>
        </w:trPr>
        <w:tc>
          <w:tcPr>
            <w:tcW w:w="4007" w:type="dxa"/>
            <w:vAlign w:val="center"/>
          </w:tcPr>
          <w:p w14:paraId="53226E00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9" w:type="dxa"/>
          </w:tcPr>
          <w:p w14:paraId="6AE2C5CC" w14:textId="6DC6224A" w:rsidR="002C7AFE" w:rsidRPr="00EB3D1B" w:rsidRDefault="00DF1A0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100 ppm</w:t>
            </w:r>
          </w:p>
        </w:tc>
      </w:tr>
      <w:tr w:rsidR="008A3796" w:rsidRPr="004C23F4" w14:paraId="3B4EC2C8" w14:textId="77777777" w:rsidTr="0056059B">
        <w:trPr>
          <w:cantSplit/>
        </w:trPr>
        <w:tc>
          <w:tcPr>
            <w:tcW w:w="9026" w:type="dxa"/>
            <w:gridSpan w:val="2"/>
            <w:vAlign w:val="center"/>
          </w:tcPr>
          <w:p w14:paraId="473E47A1" w14:textId="5DD61C8C" w:rsidR="008A3796" w:rsidRPr="00EB3D1B" w:rsidRDefault="008A3796" w:rsidP="008A3796">
            <w:pPr>
              <w:pStyle w:val="Tablefont"/>
              <w:rPr>
                <w:b/>
              </w:rPr>
            </w:pPr>
            <w:r w:rsidRPr="00E76A61">
              <w:rPr>
                <w:b/>
              </w:rPr>
              <w:t>Sampling and analysis: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174ED4F27DF43E284800657DDDDF0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7C741A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7933D9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6AE6F8B" w14:textId="0943C423" w:rsidR="006639B4" w:rsidRDefault="00E25D92" w:rsidP="000C139A">
      <w:r>
        <w:rPr>
          <w:rFonts w:cs="Arial"/>
        </w:rPr>
        <w:t xml:space="preserve">A </w:t>
      </w:r>
      <w:r w:rsidRPr="00E25D92">
        <w:rPr>
          <w:rFonts w:cs="Arial"/>
        </w:rPr>
        <w:t xml:space="preserve">TWA of </w:t>
      </w:r>
      <w:r w:rsidR="00FA2522">
        <w:rPr>
          <w:rFonts w:cs="Arial"/>
        </w:rPr>
        <w:t>10</w:t>
      </w:r>
      <w:r w:rsidR="00EB1332">
        <w:rPr>
          <w:rFonts w:cs="Arial"/>
        </w:rPr>
        <w:t xml:space="preserve"> </w:t>
      </w:r>
      <w:r w:rsidRPr="00E25D92">
        <w:rPr>
          <w:rFonts w:cs="Arial"/>
        </w:rPr>
        <w:t>ppm</w:t>
      </w:r>
      <w:r>
        <w:rPr>
          <w:rFonts w:cs="Arial"/>
        </w:rPr>
        <w:t xml:space="preserve"> (</w:t>
      </w:r>
      <w:r w:rsidR="00FA2522">
        <w:rPr>
          <w:rFonts w:cs="Arial"/>
        </w:rPr>
        <w:t>13</w:t>
      </w:r>
      <w:r>
        <w:rPr>
          <w:rFonts w:cs="Arial"/>
        </w:rPr>
        <w:t xml:space="preserve"> mg/m</w:t>
      </w:r>
      <w:r>
        <w:rPr>
          <w:rFonts w:cs="Arial"/>
          <w:vertAlign w:val="superscript"/>
        </w:rPr>
        <w:t>3</w:t>
      </w:r>
      <w:r>
        <w:rPr>
          <w:rFonts w:cs="Arial"/>
        </w:rPr>
        <w:t>)</w:t>
      </w:r>
      <w:r w:rsidRPr="00E25D92">
        <w:rPr>
          <w:rFonts w:cs="Arial"/>
        </w:rPr>
        <w:t xml:space="preserve"> </w:t>
      </w:r>
      <w:r w:rsidR="007C741A">
        <w:rPr>
          <w:rFonts w:cs="Arial"/>
        </w:rPr>
        <w:t>is</w:t>
      </w:r>
      <w:r>
        <w:rPr>
          <w:rFonts w:cs="Arial"/>
        </w:rPr>
        <w:t xml:space="preserve"> recommended</w:t>
      </w:r>
      <w:r w:rsidR="00776232">
        <w:rPr>
          <w:rFonts w:cs="Arial"/>
        </w:rPr>
        <w:t xml:space="preserve"> </w:t>
      </w:r>
      <w:r w:rsidRPr="00E25D92">
        <w:rPr>
          <w:rFonts w:cs="Arial"/>
        </w:rPr>
        <w:t xml:space="preserve">to </w:t>
      </w:r>
      <w:r>
        <w:rPr>
          <w:rFonts w:cs="Arial"/>
        </w:rPr>
        <w:t xml:space="preserve">protect for irritation of the </w:t>
      </w:r>
      <w:r>
        <w:t>upper respiratory tract, skin and eyes in exposed workers.</w:t>
      </w:r>
    </w:p>
    <w:p w14:paraId="367EEA1E" w14:textId="77777777" w:rsidR="00892D5D" w:rsidRDefault="007C741A" w:rsidP="00892D5D">
      <w:r>
        <w:rPr>
          <w:rFonts w:cs="Arial"/>
        </w:rPr>
        <w:t>A STEL of 15 ppm (19 mg/m</w:t>
      </w:r>
      <w:r>
        <w:rPr>
          <w:rFonts w:cs="Arial"/>
          <w:vertAlign w:val="superscript"/>
        </w:rPr>
        <w:t>3</w:t>
      </w:r>
      <w:r>
        <w:rPr>
          <w:rFonts w:cs="Arial"/>
        </w:rPr>
        <w:t>) is recommended</w:t>
      </w:r>
      <w:r w:rsidRPr="00E25D92">
        <w:rPr>
          <w:rFonts w:cs="Arial"/>
        </w:rPr>
        <w:t xml:space="preserve"> to </w:t>
      </w:r>
      <w:r>
        <w:rPr>
          <w:rFonts w:cs="Arial"/>
        </w:rPr>
        <w:t>protect for</w:t>
      </w:r>
      <w:r w:rsidR="001311F7">
        <w:rPr>
          <w:rFonts w:cs="Arial"/>
        </w:rPr>
        <w:t xml:space="preserve"> </w:t>
      </w:r>
      <w:r w:rsidR="00636E79">
        <w:rPr>
          <w:rFonts w:cs="Arial"/>
        </w:rPr>
        <w:t xml:space="preserve">acute </w:t>
      </w:r>
      <w:r>
        <w:rPr>
          <w:rFonts w:cs="Arial"/>
        </w:rPr>
        <w:t xml:space="preserve">irritation of the </w:t>
      </w:r>
      <w:r>
        <w:t>upper respiratory tract, skin and eyes in</w:t>
      </w:r>
      <w:r w:rsidR="001311F7">
        <w:t xml:space="preserve"> </w:t>
      </w:r>
      <w:r>
        <w:t>expose</w:t>
      </w:r>
      <w:r w:rsidR="001311F7">
        <w:t>d workers</w:t>
      </w:r>
      <w:r>
        <w:t>.</w:t>
      </w:r>
      <w:r w:rsidR="00892D5D" w:rsidRPr="00892D5D">
        <w:t xml:space="preserve"> </w:t>
      </w:r>
    </w:p>
    <w:p w14:paraId="2EB27ACD" w14:textId="3D4AB484" w:rsidR="00A20331" w:rsidRPr="00A20331" w:rsidRDefault="00A41F1A" w:rsidP="00A20331">
      <w:pPr>
        <w:rPr>
          <w:lang w:eastAsia="en-AU"/>
        </w:rPr>
      </w:pPr>
      <w:r w:rsidRPr="00A41F1A">
        <w:t>Given the limited data available from the primary sources, it is</w:t>
      </w:r>
      <w:r w:rsidR="00A20331">
        <w:t xml:space="preserve"> </w:t>
      </w:r>
      <w:r w:rsidRPr="00A41F1A">
        <w:t>recommended that a review of</w:t>
      </w:r>
      <w:r w:rsidR="00A20331">
        <w:t xml:space="preserve"> </w:t>
      </w:r>
      <w:r w:rsidRPr="00A41F1A">
        <w:t>additional sources be conducted at the next scheduled review</w:t>
      </w:r>
      <w:r w:rsidR="00AD003C">
        <w:t>.</w:t>
      </w:r>
    </w:p>
    <w:p w14:paraId="2CFA0F59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3F02712" w14:textId="77777777" w:rsidR="009B6B43" w:rsidRDefault="00E25D92" w:rsidP="006639B4">
      <w:r>
        <w:t xml:space="preserve">Methylamine is a chemical intermediate used in pharmaceuticals, insecticides, explosives, surfactants and accelerators. </w:t>
      </w:r>
    </w:p>
    <w:p w14:paraId="102B99BC" w14:textId="73D608AF" w:rsidR="006639B4" w:rsidRDefault="00E25D92" w:rsidP="006639B4">
      <w:r>
        <w:t xml:space="preserve">The critical effects </w:t>
      </w:r>
      <w:r w:rsidR="009B6B43">
        <w:t>of</w:t>
      </w:r>
      <w:r>
        <w:t xml:space="preserve"> exposure are </w:t>
      </w:r>
      <w:r w:rsidR="009B6B43">
        <w:t xml:space="preserve">irritation of the </w:t>
      </w:r>
      <w:r>
        <w:t>upper respiratory tract, skin and eye</w:t>
      </w:r>
      <w:r w:rsidR="009B6B43">
        <w:t>s</w:t>
      </w:r>
      <w:r>
        <w:t>.</w:t>
      </w:r>
    </w:p>
    <w:p w14:paraId="22E8CD55" w14:textId="3F5BC7B3" w:rsidR="00E25D92" w:rsidRDefault="00E25D92" w:rsidP="006639B4">
      <w:pPr>
        <w:rPr>
          <w:rStyle w:val="checkbox"/>
          <w:rFonts w:ascii="Arial" w:hAnsi="Arial" w:cs="Arial"/>
        </w:rPr>
      </w:pPr>
      <w:r>
        <w:t>In humans, b</w:t>
      </w:r>
      <w:r w:rsidRPr="00F85B2A">
        <w:t>rief exposure at 20 to 100 ppm</w:t>
      </w:r>
      <w:r>
        <w:t xml:space="preserve"> produced transient eye, nose and throat irritation</w:t>
      </w:r>
      <w:r w:rsidR="00CE0F04">
        <w:t xml:space="preserve"> but </w:t>
      </w:r>
      <w:r>
        <w:t>no ir</w:t>
      </w:r>
      <w:r w:rsidR="00172DC6">
        <w:t>ritation observed at 10 ppm</w:t>
      </w:r>
      <w:r w:rsidR="007C741A">
        <w:t xml:space="preserve"> (</w:t>
      </w:r>
      <w:r>
        <w:t xml:space="preserve">ACGIH, 2018). A </w:t>
      </w:r>
      <w:r w:rsidRPr="00B87982">
        <w:rPr>
          <w:rStyle w:val="checkbox"/>
          <w:rFonts w:ascii="Arial" w:hAnsi="Arial" w:cs="Arial"/>
        </w:rPr>
        <w:t>short-term repeated inhalation</w:t>
      </w:r>
      <w:r>
        <w:rPr>
          <w:rStyle w:val="checkbox"/>
          <w:rFonts w:ascii="Arial" w:hAnsi="Arial" w:cs="Arial"/>
        </w:rPr>
        <w:t xml:space="preserve"> study in rats</w:t>
      </w:r>
      <w:r w:rsidR="00172DC6">
        <w:t xml:space="preserve"> reported LOAEC of 75 ppm </w:t>
      </w:r>
      <w:r>
        <w:t>based on</w:t>
      </w:r>
      <w:r>
        <w:rPr>
          <w:rStyle w:val="checkbox"/>
          <w:rFonts w:ascii="Arial" w:hAnsi="Arial" w:cs="Arial"/>
        </w:rPr>
        <w:t xml:space="preserve"> </w:t>
      </w:r>
      <w:r w:rsidRPr="00B87982">
        <w:rPr>
          <w:rStyle w:val="checkbox"/>
          <w:rFonts w:ascii="Arial" w:hAnsi="Arial" w:cs="Arial"/>
        </w:rPr>
        <w:t>local irritation in</w:t>
      </w:r>
      <w:r w:rsidR="009B6B43">
        <w:rPr>
          <w:rStyle w:val="checkbox"/>
          <w:rFonts w:ascii="Arial" w:hAnsi="Arial" w:cs="Arial"/>
        </w:rPr>
        <w:t xml:space="preserve"> the</w:t>
      </w:r>
      <w:r w:rsidRPr="00B87982">
        <w:rPr>
          <w:rStyle w:val="checkbox"/>
          <w:rFonts w:ascii="Arial" w:hAnsi="Arial" w:cs="Arial"/>
        </w:rPr>
        <w:t xml:space="preserve"> respiratory tract</w:t>
      </w:r>
      <w:r>
        <w:rPr>
          <w:rStyle w:val="checkbox"/>
          <w:rFonts w:ascii="Arial" w:hAnsi="Arial" w:cs="Arial"/>
        </w:rPr>
        <w:t xml:space="preserve">. </w:t>
      </w:r>
      <w:r w:rsidR="000A134D">
        <w:rPr>
          <w:rStyle w:val="checkbox"/>
          <w:rFonts w:ascii="Arial" w:hAnsi="Arial" w:cs="Arial"/>
        </w:rPr>
        <w:t xml:space="preserve">A </w:t>
      </w:r>
      <w:r>
        <w:rPr>
          <w:rStyle w:val="checkbox"/>
          <w:rFonts w:ascii="Arial" w:hAnsi="Arial" w:cs="Arial"/>
        </w:rPr>
        <w:t>LOAEC of 250 ppm</w:t>
      </w:r>
      <w:r w:rsidR="00172DC6">
        <w:rPr>
          <w:rStyle w:val="checkbox"/>
          <w:rFonts w:ascii="Arial" w:hAnsi="Arial" w:cs="Arial"/>
        </w:rPr>
        <w:t xml:space="preserve"> </w:t>
      </w:r>
      <w:r>
        <w:rPr>
          <w:rStyle w:val="checkbox"/>
          <w:rFonts w:ascii="Arial" w:hAnsi="Arial" w:cs="Arial"/>
        </w:rPr>
        <w:t>for systemic effects</w:t>
      </w:r>
      <w:r w:rsidR="000A134D">
        <w:rPr>
          <w:rStyle w:val="checkbox"/>
          <w:rFonts w:ascii="Arial" w:hAnsi="Arial" w:cs="Arial"/>
        </w:rPr>
        <w:t xml:space="preserve"> </w:t>
      </w:r>
      <w:r w:rsidR="009B6B43">
        <w:rPr>
          <w:rStyle w:val="checkbox"/>
          <w:rFonts w:ascii="Arial" w:hAnsi="Arial" w:cs="Arial"/>
        </w:rPr>
        <w:t>i</w:t>
      </w:r>
      <w:r w:rsidR="000A134D">
        <w:rPr>
          <w:rStyle w:val="checkbox"/>
          <w:rFonts w:ascii="Arial" w:hAnsi="Arial" w:cs="Arial"/>
        </w:rPr>
        <w:t>s reported</w:t>
      </w:r>
      <w:r>
        <w:rPr>
          <w:rStyle w:val="checkbox"/>
          <w:rFonts w:ascii="Arial" w:hAnsi="Arial" w:cs="Arial"/>
        </w:rPr>
        <w:t xml:space="preserve"> </w:t>
      </w:r>
      <w:r w:rsidR="000A134D">
        <w:rPr>
          <w:rStyle w:val="checkbox"/>
          <w:rFonts w:ascii="Arial" w:hAnsi="Arial" w:cs="Arial"/>
        </w:rPr>
        <w:t xml:space="preserve">in same study </w:t>
      </w:r>
      <w:r>
        <w:rPr>
          <w:rStyle w:val="checkbox"/>
          <w:rFonts w:ascii="Arial" w:hAnsi="Arial" w:cs="Arial"/>
        </w:rPr>
        <w:t>(</w:t>
      </w:r>
      <w:r w:rsidR="001311F7">
        <w:rPr>
          <w:rStyle w:val="checkbox"/>
          <w:rFonts w:ascii="Arial" w:hAnsi="Arial" w:cs="Arial"/>
        </w:rPr>
        <w:t>ACGHI, 2018</w:t>
      </w:r>
      <w:r w:rsidR="00636E79">
        <w:rPr>
          <w:rStyle w:val="checkbox"/>
          <w:rFonts w:ascii="Arial" w:hAnsi="Arial" w:cs="Arial"/>
        </w:rPr>
        <w:t>;</w:t>
      </w:r>
      <w:r w:rsidR="001311F7">
        <w:rPr>
          <w:rStyle w:val="checkbox"/>
          <w:rFonts w:ascii="Arial" w:hAnsi="Arial" w:cs="Arial"/>
        </w:rPr>
        <w:t xml:space="preserve"> </w:t>
      </w:r>
      <w:r>
        <w:rPr>
          <w:rStyle w:val="checkbox"/>
          <w:rFonts w:ascii="Arial" w:hAnsi="Arial" w:cs="Arial"/>
        </w:rPr>
        <w:t>ECHA,</w:t>
      </w:r>
      <w:r w:rsidR="001311F7">
        <w:rPr>
          <w:rStyle w:val="checkbox"/>
          <w:rFonts w:ascii="Arial" w:hAnsi="Arial" w:cs="Arial"/>
        </w:rPr>
        <w:t xml:space="preserve"> </w:t>
      </w:r>
      <w:r>
        <w:rPr>
          <w:rStyle w:val="checkbox"/>
          <w:rFonts w:ascii="Arial" w:hAnsi="Arial" w:cs="Arial"/>
        </w:rPr>
        <w:t>2006).</w:t>
      </w:r>
      <w:r w:rsidR="00FA2522">
        <w:rPr>
          <w:rStyle w:val="checkbox"/>
          <w:rFonts w:ascii="Arial" w:hAnsi="Arial" w:cs="Arial"/>
        </w:rPr>
        <w:t xml:space="preserve"> The DFG (1996) provided a MAK of 10 ppm based on analogy with ethylamine (DFG, 1996). </w:t>
      </w:r>
    </w:p>
    <w:p w14:paraId="291DFA17" w14:textId="3FAA00A4" w:rsidR="00AD003C" w:rsidRDefault="00FA2522" w:rsidP="006639B4">
      <w:pPr>
        <w:rPr>
          <w:rFonts w:cs="Arial"/>
        </w:rPr>
      </w:pPr>
      <w:r>
        <w:rPr>
          <w:rFonts w:cs="Arial"/>
        </w:rPr>
        <w:t xml:space="preserve">Based on the limited information, the LOAEC of 10 ppm in humans for transient irritation effects and the MAK </w:t>
      </w:r>
      <w:r w:rsidR="00F00CB5">
        <w:rPr>
          <w:rFonts w:cs="Arial"/>
        </w:rPr>
        <w:t xml:space="preserve">by </w:t>
      </w:r>
      <w:r>
        <w:rPr>
          <w:rFonts w:cs="Arial"/>
        </w:rPr>
        <w:t xml:space="preserve">DFG </w:t>
      </w:r>
      <w:r w:rsidR="00F00CB5">
        <w:rPr>
          <w:rFonts w:cs="Arial"/>
        </w:rPr>
        <w:t>(</w:t>
      </w:r>
      <w:r>
        <w:rPr>
          <w:rFonts w:cs="Arial"/>
        </w:rPr>
        <w:t>1996)</w:t>
      </w:r>
      <w:r w:rsidR="009B6B43">
        <w:rPr>
          <w:rFonts w:cs="Arial"/>
        </w:rPr>
        <w:t>, it is recommended</w:t>
      </w:r>
      <w:r>
        <w:rPr>
          <w:rFonts w:cs="Arial"/>
        </w:rPr>
        <w:t xml:space="preserve"> the </w:t>
      </w:r>
      <w:r w:rsidR="00776232">
        <w:rPr>
          <w:rFonts w:cs="Arial"/>
        </w:rPr>
        <w:t xml:space="preserve">SWA </w:t>
      </w:r>
      <w:r>
        <w:rPr>
          <w:rFonts w:cs="Arial"/>
        </w:rPr>
        <w:t>TWA of 10 ppm</w:t>
      </w:r>
      <w:r w:rsidR="00776232">
        <w:rPr>
          <w:rFonts w:cs="Arial"/>
        </w:rPr>
        <w:t xml:space="preserve"> be retained in the interim</w:t>
      </w:r>
      <w:r>
        <w:rPr>
          <w:rFonts w:cs="Arial"/>
        </w:rPr>
        <w:t xml:space="preserve">. </w:t>
      </w:r>
      <w:r w:rsidR="00A41F1A">
        <w:rPr>
          <w:rFonts w:cs="Arial"/>
        </w:rPr>
        <w:t xml:space="preserve">Given that transient irritation effects in humans were reported following brief exposure at 20 ppm, a STEL of 15 ppm is recommended. </w:t>
      </w:r>
    </w:p>
    <w:p w14:paraId="2B26E320" w14:textId="0FDE5331" w:rsidR="00E25D92" w:rsidRPr="004C23F4" w:rsidRDefault="00FA2522" w:rsidP="006639B4">
      <w:pPr>
        <w:rPr>
          <w:rFonts w:cs="Arial"/>
        </w:rPr>
      </w:pPr>
      <w:r>
        <w:rPr>
          <w:rFonts w:cs="Arial"/>
        </w:rPr>
        <w:t>A broader evaluation</w:t>
      </w:r>
      <w:r w:rsidR="009B6B43">
        <w:rPr>
          <w:rFonts w:cs="Arial"/>
        </w:rPr>
        <w:t xml:space="preserve"> of additional data sources</w:t>
      </w:r>
      <w:r>
        <w:rPr>
          <w:rFonts w:cs="Arial"/>
        </w:rPr>
        <w:t xml:space="preserve"> is recommended at the next scheduled review.</w:t>
      </w:r>
    </w:p>
    <w:p w14:paraId="73B570F3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361960F2" w14:textId="17C15725" w:rsidR="00DF1A01" w:rsidRDefault="00DF1A01" w:rsidP="00DF1A01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E016B1">
        <w:rPr>
          <w:rFonts w:cs="Arial"/>
        </w:rPr>
        <w:t>f</w:t>
      </w:r>
      <w:r>
        <w:rPr>
          <w:rFonts w:cs="Arial"/>
        </w:rPr>
        <w:t xml:space="preserve"> Chemicals (GHS).</w:t>
      </w:r>
    </w:p>
    <w:p w14:paraId="06A8F5D1" w14:textId="11FEE29A" w:rsidR="00DF1A01" w:rsidRDefault="00DF1A01" w:rsidP="00DF1A01">
      <w:pPr>
        <w:rPr>
          <w:rFonts w:cs="Arial"/>
        </w:rPr>
      </w:pPr>
      <w:r>
        <w:rPr>
          <w:rFonts w:cs="Arial"/>
        </w:rPr>
        <w:t xml:space="preserve">Not classified as a skin </w:t>
      </w:r>
      <w:r w:rsidR="00E016B1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1AEAF47F" w14:textId="43053C1E" w:rsidR="00DF1A01" w:rsidRDefault="007C741A" w:rsidP="00DF1A01">
      <w:pPr>
        <w:rPr>
          <w:rFonts w:cs="Arial"/>
        </w:rPr>
      </w:pPr>
      <w:r>
        <w:rPr>
          <w:rFonts w:cs="Arial"/>
        </w:rPr>
        <w:t xml:space="preserve">There are </w:t>
      </w:r>
      <w:r w:rsidR="008E28A9">
        <w:rPr>
          <w:rFonts w:cs="Arial"/>
        </w:rPr>
        <w:t>i</w:t>
      </w:r>
      <w:r w:rsidR="00DF1A01">
        <w:rPr>
          <w:rFonts w:cs="Arial"/>
        </w:rPr>
        <w:t xml:space="preserve">nsufficient </w:t>
      </w:r>
      <w:r>
        <w:rPr>
          <w:rFonts w:cs="Arial"/>
        </w:rPr>
        <w:t>data</w:t>
      </w:r>
      <w:r w:rsidR="00DF1A01">
        <w:rPr>
          <w:rFonts w:cs="Arial"/>
        </w:rPr>
        <w:t xml:space="preserve"> to recommend a skin notation.</w:t>
      </w:r>
    </w:p>
    <w:p w14:paraId="011C1D4A" w14:textId="736E75C9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E9C43ED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BE69CBD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CA1CB0" w14:paraId="3F7F6ED0" w14:textId="77777777" w:rsidTr="00CA1CB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917C223" w14:textId="77777777" w:rsidR="00C978F0" w:rsidRPr="00CA1CB0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CA1CB0">
              <w:rPr>
                <w:b/>
              </w:rPr>
              <w:t>Source</w:t>
            </w:r>
            <w:r w:rsidR="00DA352E" w:rsidRPr="00CA1CB0">
              <w:rPr>
                <w:b/>
              </w:rPr>
              <w:tab/>
              <w:t>Year set</w:t>
            </w:r>
            <w:r w:rsidR="00DA352E" w:rsidRPr="00CA1CB0">
              <w:rPr>
                <w:b/>
              </w:rPr>
              <w:tab/>
              <w:t>Standard</w:t>
            </w:r>
            <w:r w:rsidR="00974F2D" w:rsidRPr="00CA1CB0">
              <w:rPr>
                <w:b/>
              </w:rPr>
              <w:tab/>
            </w:r>
          </w:p>
        </w:tc>
      </w:tr>
      <w:tr w:rsidR="00DE26E8" w:rsidRPr="003365A5" w14:paraId="04F02686" w14:textId="77777777" w:rsidTr="00CA1CB0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6CB00F3" w14:textId="527D19B0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F1A01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DF1A01">
                  <w:t>TWA: 10 ppm (13 mg/m</w:t>
                </w:r>
                <w:r w:rsidR="00DF1A01" w:rsidRPr="00DF1A01">
                  <w:rPr>
                    <w:vertAlign w:val="superscript"/>
                  </w:rPr>
                  <w:t>3</w:t>
                </w:r>
                <w:r w:rsidR="00DF1A01">
                  <w:t>)</w:t>
                </w:r>
              </w:sdtContent>
            </w:sdt>
          </w:p>
        </w:tc>
      </w:tr>
      <w:tr w:rsidR="00C978F0" w:rsidRPr="00DA352E" w14:paraId="5A80CB9E" w14:textId="77777777" w:rsidTr="00CA1CB0">
        <w:trPr>
          <w:gridAfter w:val="1"/>
          <w:wAfter w:w="8" w:type="pct"/>
          <w:cantSplit/>
        </w:trPr>
        <w:tc>
          <w:tcPr>
            <w:tcW w:w="4992" w:type="pct"/>
          </w:tcPr>
          <w:p w14:paraId="0C0297A8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C77AE6F" w14:textId="77777777" w:rsidTr="00CA1CB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A104019" w14:textId="77CF4BE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F1A01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DF1A01">
                  <w:t>TLV-TWA: 5 ppm (6.4 mg/m</w:t>
                </w:r>
                <w:r w:rsidR="00DF1A01" w:rsidRPr="00DF1A01">
                  <w:rPr>
                    <w:vertAlign w:val="superscript"/>
                  </w:rPr>
                  <w:t>3</w:t>
                </w:r>
                <w:r w:rsidR="00DF1A01">
                  <w:t>); TLV-STEL: 15 ppm (19 mg/m</w:t>
                </w:r>
                <w:r w:rsidR="00DF1A01" w:rsidRPr="00DF1A01">
                  <w:rPr>
                    <w:vertAlign w:val="superscript"/>
                  </w:rPr>
                  <w:t>3</w:t>
                </w:r>
                <w:r w:rsidR="00DF1A01">
                  <w:t>)</w:t>
                </w:r>
              </w:sdtContent>
            </w:sdt>
          </w:p>
        </w:tc>
      </w:tr>
      <w:tr w:rsidR="00C978F0" w:rsidRPr="00DA352E" w14:paraId="4133923D" w14:textId="77777777" w:rsidTr="00CA1CB0">
        <w:trPr>
          <w:gridAfter w:val="1"/>
          <w:wAfter w:w="8" w:type="pct"/>
          <w:cantSplit/>
        </w:trPr>
        <w:tc>
          <w:tcPr>
            <w:tcW w:w="4992" w:type="pct"/>
          </w:tcPr>
          <w:p w14:paraId="2E011E03" w14:textId="0EB289C5" w:rsidR="00C978F0" w:rsidRDefault="00F85B2A" w:rsidP="00D71932">
            <w:pPr>
              <w:pStyle w:val="Tabletextprimarysource"/>
            </w:pPr>
            <w:r>
              <w:t>TLV-TWA and TLV-STEL recommended to minimise the potential for irritation of the eyes, skin and upper respiratory tract.</w:t>
            </w:r>
          </w:p>
          <w:p w14:paraId="081F5AA5" w14:textId="446B5352" w:rsidR="00F85B2A" w:rsidRDefault="00F85B2A" w:rsidP="00D71932">
            <w:pPr>
              <w:pStyle w:val="Tabletextprimarysource"/>
            </w:pPr>
            <w:r>
              <w:t>Summary of data:</w:t>
            </w:r>
          </w:p>
          <w:p w14:paraId="646839B1" w14:textId="7B2B928D" w:rsidR="00FA2522" w:rsidRDefault="00FA2522" w:rsidP="00B45F47">
            <w:pPr>
              <w:pStyle w:val="ListBullet"/>
              <w:ind w:left="1080"/>
            </w:pPr>
            <w:r>
              <w:t>No specific derivation provided</w:t>
            </w:r>
            <w:r w:rsidR="00AD003C">
              <w:t>.</w:t>
            </w:r>
            <w:r>
              <w:t xml:space="preserve"> </w:t>
            </w:r>
            <w:r w:rsidR="00AD003C">
              <w:t>B</w:t>
            </w:r>
            <w:r>
              <w:t xml:space="preserve">ased on no irritation reported in humans with transient exposures </w:t>
            </w:r>
            <w:r w:rsidR="009B6B43">
              <w:t>at</w:t>
            </w:r>
            <w:r>
              <w:t xml:space="preserve"> </w:t>
            </w:r>
            <w:r w:rsidR="009B6B43">
              <w:t>&lt;</w:t>
            </w:r>
            <w:r>
              <w:t>10 ppm</w:t>
            </w:r>
            <w:r w:rsidR="005E3CD2">
              <w:t>.</w:t>
            </w:r>
          </w:p>
          <w:p w14:paraId="710E90D1" w14:textId="77777777" w:rsidR="00F85B2A" w:rsidRDefault="00F85B2A" w:rsidP="00D71932">
            <w:pPr>
              <w:pStyle w:val="Tabletextprimarysource"/>
            </w:pPr>
            <w:r>
              <w:t>Human data:</w:t>
            </w:r>
          </w:p>
          <w:p w14:paraId="29AB9BFC" w14:textId="5AFCF1FE" w:rsidR="009B6B43" w:rsidRDefault="00F85B2A" w:rsidP="00636E7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B</w:t>
            </w:r>
            <w:r w:rsidR="007C741A">
              <w:t>rief exposure at 20</w:t>
            </w:r>
            <w:r w:rsidR="001311F7">
              <w:t>–</w:t>
            </w:r>
            <w:r w:rsidRPr="00F85B2A">
              <w:t>100 ppm</w:t>
            </w:r>
            <w:r>
              <w:t xml:space="preserve"> produced transient eye, nose and throat irritation</w:t>
            </w:r>
            <w:r w:rsidR="005E3CD2">
              <w:t>:</w:t>
            </w:r>
            <w:r>
              <w:t xml:space="preserve"> </w:t>
            </w:r>
          </w:p>
          <w:p w14:paraId="1BDDCF5F" w14:textId="5FADCD58" w:rsidR="00F85B2A" w:rsidRDefault="00F85B2A" w:rsidP="009B6B43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no irritation at 10 ppm; no further information</w:t>
            </w:r>
            <w:r w:rsidR="00E016B1">
              <w:t>.</w:t>
            </w:r>
          </w:p>
          <w:p w14:paraId="536DACBA" w14:textId="77777777" w:rsidR="00F85B2A" w:rsidRDefault="00F85B2A" w:rsidP="00D71932">
            <w:pPr>
              <w:pStyle w:val="Tabletextprimarysource"/>
            </w:pPr>
            <w:r>
              <w:t>Animal data:</w:t>
            </w:r>
          </w:p>
          <w:p w14:paraId="27FD152D" w14:textId="2A99B519" w:rsidR="00F85B2A" w:rsidRDefault="00F85B2A" w:rsidP="00636E7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Acute exposure produces severe irritation to the eyes and skin of laboratory animals</w:t>
            </w:r>
            <w:r w:rsidR="007E6A5B">
              <w:t>; no further information</w:t>
            </w:r>
          </w:p>
          <w:p w14:paraId="606ED744" w14:textId="67F16442" w:rsidR="00F85B2A" w:rsidRDefault="00F85B2A" w:rsidP="00636E7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="008E28A9">
              <w:rPr>
                <w:vertAlign w:val="subscript"/>
              </w:rPr>
              <w:t>50:</w:t>
            </w:r>
            <w:r w:rsidR="008E28A9">
              <w:t xml:space="preserve"> </w:t>
            </w:r>
            <w:r w:rsidR="007E6A5B">
              <w:t>2,400 mg/m</w:t>
            </w:r>
            <w:r w:rsidRPr="007E6A5B">
              <w:rPr>
                <w:vertAlign w:val="superscript"/>
              </w:rPr>
              <w:t>3</w:t>
            </w:r>
            <w:r>
              <w:t xml:space="preserve"> </w:t>
            </w:r>
            <w:r w:rsidR="008E28A9">
              <w:t>(</w:t>
            </w:r>
            <w:r>
              <w:t>mice</w:t>
            </w:r>
            <w:r w:rsidR="008E28A9">
              <w:t>, 2 h)</w:t>
            </w:r>
          </w:p>
          <w:p w14:paraId="3E6F6C21" w14:textId="77777777" w:rsidR="007E6A5B" w:rsidRDefault="007E6A5B" w:rsidP="00636E7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exposed 6 h/d, 5 d/</w:t>
            </w:r>
            <w:proofErr w:type="spellStart"/>
            <w:r>
              <w:t>wk</w:t>
            </w:r>
            <w:proofErr w:type="spellEnd"/>
            <w:r>
              <w:t xml:space="preserve"> for 2 </w:t>
            </w:r>
            <w:proofErr w:type="spellStart"/>
            <w:r>
              <w:t>wk</w:t>
            </w:r>
            <w:proofErr w:type="spellEnd"/>
            <w:r>
              <w:t>; marginal respiratory tract pathology at 75 ppm</w:t>
            </w:r>
            <w:r w:rsidR="00E016B1">
              <w:t>.</w:t>
            </w:r>
          </w:p>
          <w:p w14:paraId="166BD0BD" w14:textId="30B22CDA" w:rsidR="001311F7" w:rsidRPr="00DA352E" w:rsidRDefault="001311F7" w:rsidP="00636E7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69FCC30A" w14:textId="77777777" w:rsidTr="00CA1CB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27E151C" w14:textId="69C41E1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A2522">
                  <w:t>1996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B1152">
                  <w:t>MAK: 10 ppm (13 mg/m</w:t>
                </w:r>
                <w:r w:rsidR="002B1152" w:rsidRPr="002B1152">
                  <w:rPr>
                    <w:vertAlign w:val="superscript"/>
                  </w:rPr>
                  <w:t>3</w:t>
                </w:r>
                <w:r w:rsidR="002B1152">
                  <w:t>)</w:t>
                </w:r>
              </w:sdtContent>
            </w:sdt>
          </w:p>
        </w:tc>
      </w:tr>
      <w:tr w:rsidR="00C978F0" w:rsidRPr="00DA352E" w14:paraId="621116F4" w14:textId="77777777" w:rsidTr="00CA1CB0">
        <w:trPr>
          <w:gridAfter w:val="1"/>
          <w:wAfter w:w="8" w:type="pct"/>
          <w:cantSplit/>
        </w:trPr>
        <w:tc>
          <w:tcPr>
            <w:tcW w:w="4992" w:type="pct"/>
          </w:tcPr>
          <w:p w14:paraId="23009019" w14:textId="16FC57E1" w:rsidR="00C978F0" w:rsidRDefault="00D22D96" w:rsidP="003365A5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>
              <w:t xml:space="preserve">MAK </w:t>
            </w:r>
            <w:r>
              <w:rPr>
                <w:rFonts w:cs="Arial"/>
                <w:color w:val="1C1D1E"/>
                <w:shd w:val="clear" w:color="auto" w:fill="FFFFFF"/>
              </w:rPr>
              <w:t>established</w:t>
            </w:r>
            <w:r w:rsidR="00FA2522">
              <w:rPr>
                <w:rFonts w:cs="Arial"/>
                <w:color w:val="1C1D1E"/>
                <w:shd w:val="clear" w:color="auto" w:fill="FFFFFF"/>
              </w:rPr>
              <w:t xml:space="preserve"> in 1966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in analogy with the value for ethylamine</w:t>
            </w:r>
            <w:r w:rsidR="0019089A">
              <w:rPr>
                <w:rFonts w:cs="Arial"/>
                <w:color w:val="1C1D1E"/>
                <w:shd w:val="clear" w:color="auto" w:fill="FFFFFF"/>
              </w:rPr>
              <w:t xml:space="preserve"> to prevent mucosal irritation</w:t>
            </w:r>
            <w:r>
              <w:rPr>
                <w:rFonts w:cs="Arial"/>
                <w:color w:val="1C1D1E"/>
                <w:shd w:val="clear" w:color="auto" w:fill="FFFFFF"/>
              </w:rPr>
              <w:t>.</w:t>
            </w:r>
          </w:p>
          <w:p w14:paraId="46B9C3EA" w14:textId="77777777" w:rsidR="00D22D96" w:rsidRDefault="00D22D96" w:rsidP="003365A5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>
              <w:rPr>
                <w:rFonts w:cs="Arial"/>
                <w:color w:val="1C1D1E"/>
                <w:shd w:val="clear" w:color="auto" w:fill="FFFFFF"/>
              </w:rPr>
              <w:t>Summary of additional data:</w:t>
            </w:r>
          </w:p>
          <w:p w14:paraId="44E673A5" w14:textId="77777777" w:rsidR="00D22D96" w:rsidRDefault="00D22D96" w:rsidP="003365A5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>
              <w:rPr>
                <w:rFonts w:cs="Arial"/>
                <w:color w:val="1C1D1E"/>
                <w:shd w:val="clear" w:color="auto" w:fill="FFFFFF"/>
              </w:rPr>
              <w:t>Human data:</w:t>
            </w:r>
          </w:p>
          <w:p w14:paraId="632FC2C4" w14:textId="58579D32" w:rsidR="00D22D96" w:rsidRDefault="00D22D96" w:rsidP="00636E7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Odour threshold between 0.008</w:t>
            </w:r>
            <w:r w:rsidR="00D71932">
              <w:t>–</w:t>
            </w:r>
            <w:r>
              <w:t>11 ppm</w:t>
            </w:r>
            <w:r w:rsidR="00D71932">
              <w:t>.</w:t>
            </w:r>
          </w:p>
          <w:p w14:paraId="3EFB93B4" w14:textId="77777777" w:rsidR="00D22D96" w:rsidRDefault="00D22D96" w:rsidP="00D22D96">
            <w:pPr>
              <w:pStyle w:val="Tabletextprimarysource"/>
            </w:pPr>
            <w:r>
              <w:t>Animal data:</w:t>
            </w:r>
          </w:p>
          <w:p w14:paraId="41ADF11E" w14:textId="4A260DF0" w:rsidR="00D22D96" w:rsidRDefault="00D22D96" w:rsidP="00636E7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RD</w:t>
            </w:r>
            <w:r>
              <w:rPr>
                <w:vertAlign w:val="subscript"/>
              </w:rPr>
              <w:t>50</w:t>
            </w:r>
            <w:r w:rsidR="008E28A9">
              <w:t>:</w:t>
            </w:r>
            <w:r w:rsidRPr="00D22D96">
              <w:t>140 ppm</w:t>
            </w:r>
            <w:r>
              <w:t xml:space="preserve"> </w:t>
            </w:r>
            <w:r w:rsidR="008E28A9">
              <w:t>(</w:t>
            </w:r>
            <w:r>
              <w:t>mice</w:t>
            </w:r>
            <w:r w:rsidR="008E28A9">
              <w:t>)</w:t>
            </w:r>
            <w:r w:rsidR="00D71932">
              <w:t>.</w:t>
            </w:r>
          </w:p>
          <w:p w14:paraId="20D337D1" w14:textId="1E551907" w:rsidR="001311F7" w:rsidRPr="00DA352E" w:rsidRDefault="001311F7" w:rsidP="00636E79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5B1D69D5" w14:textId="77777777" w:rsidTr="00CA1CB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4AA7A2A" w14:textId="5F82D0F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B115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2B1152">
                  <w:t>NA</w:t>
                </w:r>
                <w:proofErr w:type="spellEnd"/>
              </w:sdtContent>
            </w:sdt>
          </w:p>
        </w:tc>
      </w:tr>
      <w:tr w:rsidR="00C978F0" w:rsidRPr="00DA352E" w14:paraId="3ADC4DDB" w14:textId="77777777" w:rsidTr="00CA1CB0">
        <w:trPr>
          <w:gridAfter w:val="1"/>
          <w:wAfter w:w="8" w:type="pct"/>
          <w:cantSplit/>
        </w:trPr>
        <w:tc>
          <w:tcPr>
            <w:tcW w:w="4992" w:type="pct"/>
          </w:tcPr>
          <w:p w14:paraId="127202A6" w14:textId="755F4A53" w:rsidR="00C978F0" w:rsidRPr="00DA352E" w:rsidRDefault="002B1152" w:rsidP="003365A5">
            <w:pPr>
              <w:pStyle w:val="Tabletextprimarysource"/>
            </w:pPr>
            <w:r>
              <w:t>No report</w:t>
            </w:r>
            <w:r w:rsidR="00D71932">
              <w:t>.</w:t>
            </w:r>
          </w:p>
        </w:tc>
      </w:tr>
      <w:tr w:rsidR="00DA352E" w:rsidRPr="00DA352E" w14:paraId="10B8B0CD" w14:textId="77777777" w:rsidTr="00CA1CB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0A3A333" w14:textId="5C3C5E5B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B115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2B1152">
                  <w:t>NA</w:t>
                </w:r>
                <w:proofErr w:type="spellEnd"/>
              </w:sdtContent>
            </w:sdt>
          </w:p>
        </w:tc>
      </w:tr>
      <w:tr w:rsidR="00DA352E" w:rsidRPr="00DA352E" w14:paraId="351C1E59" w14:textId="77777777" w:rsidTr="00CA1CB0">
        <w:trPr>
          <w:gridAfter w:val="1"/>
          <w:wAfter w:w="8" w:type="pct"/>
          <w:cantSplit/>
        </w:trPr>
        <w:tc>
          <w:tcPr>
            <w:tcW w:w="4992" w:type="pct"/>
          </w:tcPr>
          <w:p w14:paraId="186350B6" w14:textId="63B34697" w:rsidR="00DA352E" w:rsidRPr="00DA352E" w:rsidRDefault="002B1152" w:rsidP="003365A5">
            <w:pPr>
              <w:pStyle w:val="Tabletextprimarysource"/>
            </w:pPr>
            <w:r>
              <w:t>No report</w:t>
            </w:r>
            <w:r w:rsidR="00D71932">
              <w:t>.</w:t>
            </w:r>
          </w:p>
        </w:tc>
      </w:tr>
      <w:tr w:rsidR="00DA352E" w:rsidRPr="00DA352E" w14:paraId="2E85E0EF" w14:textId="77777777" w:rsidTr="00CA1CB0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2C51A12" w14:textId="5FE24F4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B115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2B1152">
                  <w:t>NA</w:t>
                </w:r>
                <w:proofErr w:type="spellEnd"/>
              </w:sdtContent>
            </w:sdt>
          </w:p>
        </w:tc>
      </w:tr>
      <w:tr w:rsidR="00DA352E" w:rsidRPr="00DA352E" w14:paraId="2F1D5501" w14:textId="77777777" w:rsidTr="00CA1CB0">
        <w:trPr>
          <w:gridAfter w:val="1"/>
          <w:wAfter w:w="8" w:type="pct"/>
          <w:cantSplit/>
        </w:trPr>
        <w:tc>
          <w:tcPr>
            <w:tcW w:w="4992" w:type="pct"/>
          </w:tcPr>
          <w:p w14:paraId="6112F3BC" w14:textId="6FA7F32F" w:rsidR="00DA352E" w:rsidRPr="00DA352E" w:rsidRDefault="002B1152" w:rsidP="003365A5">
            <w:pPr>
              <w:pStyle w:val="Tabletextprimarysource"/>
            </w:pPr>
            <w:r>
              <w:t>No report</w:t>
            </w:r>
            <w:r w:rsidR="00D71932">
              <w:t>.</w:t>
            </w:r>
          </w:p>
        </w:tc>
      </w:tr>
    </w:tbl>
    <w:p w14:paraId="1352DBCF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3"/>
        <w:gridCol w:w="661"/>
        <w:gridCol w:w="6450"/>
      </w:tblGrid>
      <w:tr w:rsidR="004966BF" w:rsidRPr="00CA1CB0" w14:paraId="75543AC5" w14:textId="77777777" w:rsidTr="00CA1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6CC762DF" w14:textId="77777777" w:rsidR="004966BF" w:rsidRPr="00CA1CB0" w:rsidRDefault="004966BF" w:rsidP="00263255">
            <w:pPr>
              <w:pStyle w:val="Tableheader"/>
              <w:rPr>
                <w:b/>
              </w:rPr>
            </w:pPr>
            <w:r w:rsidRPr="00CA1CB0">
              <w:rPr>
                <w:b/>
              </w:rPr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828FA93" w14:textId="77777777" w:rsidR="004966BF" w:rsidRPr="00CA1CB0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721B318" w14:textId="77777777" w:rsidR="004966BF" w:rsidRPr="00CA1CB0" w:rsidRDefault="004966BF" w:rsidP="00263255">
            <w:pPr>
              <w:pStyle w:val="Tableheader"/>
              <w:rPr>
                <w:b/>
              </w:rPr>
            </w:pPr>
            <w:r w:rsidRPr="00CA1CB0">
              <w:rPr>
                <w:b/>
              </w:rPr>
              <w:t>Year</w:t>
            </w:r>
          </w:p>
        </w:tc>
        <w:tc>
          <w:tcPr>
            <w:tcW w:w="6450" w:type="dxa"/>
            <w:shd w:val="clear" w:color="auto" w:fill="BFBFBF" w:themeFill="background1" w:themeFillShade="BF"/>
            <w:vAlign w:val="center"/>
          </w:tcPr>
          <w:p w14:paraId="02E06375" w14:textId="77777777" w:rsidR="004966BF" w:rsidRPr="00CA1CB0" w:rsidRDefault="004966BF" w:rsidP="00263255">
            <w:pPr>
              <w:pStyle w:val="Tableheader"/>
              <w:rPr>
                <w:b/>
              </w:rPr>
            </w:pPr>
            <w:r w:rsidRPr="00CA1CB0">
              <w:rPr>
                <w:b/>
              </w:rPr>
              <w:t>Additional information</w:t>
            </w:r>
          </w:p>
        </w:tc>
      </w:tr>
      <w:tr w:rsidR="004966BF" w:rsidRPr="004C23F4" w14:paraId="67CB1CB0" w14:textId="77777777" w:rsidTr="00CA1CB0">
        <w:trPr>
          <w:cantSplit/>
        </w:trPr>
        <w:tc>
          <w:tcPr>
            <w:tcW w:w="1492" w:type="dxa"/>
          </w:tcPr>
          <w:p w14:paraId="15745B6A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2BE3B9BE" w14:textId="7DFD0E43" w:rsidR="004966BF" w:rsidRPr="00CE617F" w:rsidRDefault="008D7C4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22D9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A596565" w14:textId="41E522B5" w:rsidR="004966BF" w:rsidRPr="004C23F4" w:rsidRDefault="00D22D9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2006</w:t>
            </w:r>
          </w:p>
        </w:tc>
        <w:tc>
          <w:tcPr>
            <w:tcW w:w="6450" w:type="dxa"/>
          </w:tcPr>
          <w:p w14:paraId="43E64A7C" w14:textId="74D90B00" w:rsidR="009B6B43" w:rsidRDefault="00D22D96" w:rsidP="008E28A9">
            <w:pPr>
              <w:pStyle w:val="ListBullet"/>
              <w:spacing w:before="60" w:after="60"/>
              <w:ind w:left="71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LOAEC of </w:t>
            </w:r>
            <w:r w:rsidR="00B87982">
              <w:rPr>
                <w:rStyle w:val="checkbox"/>
                <w:rFonts w:ascii="Arial" w:hAnsi="Arial" w:cs="Arial"/>
              </w:rPr>
              <w:t>75 ppm</w:t>
            </w:r>
            <w:r>
              <w:rPr>
                <w:rStyle w:val="checkbox"/>
                <w:rFonts w:ascii="Arial" w:hAnsi="Arial" w:cs="Arial"/>
              </w:rPr>
              <w:t xml:space="preserve">; </w:t>
            </w:r>
            <w:r w:rsidR="00B87982" w:rsidRPr="00B87982">
              <w:rPr>
                <w:rStyle w:val="checkbox"/>
                <w:rFonts w:ascii="Arial" w:hAnsi="Arial" w:cs="Arial"/>
              </w:rPr>
              <w:t>short-term repeated inhalation</w:t>
            </w:r>
            <w:r w:rsidR="00B87982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in rats;</w:t>
            </w:r>
            <w:r w:rsidR="00B87982">
              <w:rPr>
                <w:rStyle w:val="checkbox"/>
                <w:rFonts w:ascii="Arial" w:hAnsi="Arial" w:cs="Arial"/>
              </w:rPr>
              <w:t xml:space="preserve"> </w:t>
            </w:r>
            <w:r w:rsidR="00B87982" w:rsidRPr="00B87982">
              <w:rPr>
                <w:rStyle w:val="checkbox"/>
                <w:rFonts w:ascii="Arial" w:hAnsi="Arial" w:cs="Arial"/>
              </w:rPr>
              <w:t xml:space="preserve">local irritation in </w:t>
            </w:r>
            <w:r w:rsidR="00B87982" w:rsidRPr="007C741A">
              <w:t>respiratory</w:t>
            </w:r>
            <w:r w:rsidR="00B87982" w:rsidRPr="00B87982">
              <w:rPr>
                <w:rStyle w:val="checkbox"/>
                <w:rFonts w:ascii="Arial" w:hAnsi="Arial" w:cs="Arial"/>
              </w:rPr>
              <w:t xml:space="preserve"> tract</w:t>
            </w:r>
            <w:r w:rsidR="0019089A">
              <w:rPr>
                <w:rStyle w:val="checkbox"/>
                <w:rFonts w:ascii="Arial" w:hAnsi="Arial" w:cs="Arial"/>
              </w:rPr>
              <w:t>:</w:t>
            </w:r>
            <w:r w:rsidR="00E25D92">
              <w:rPr>
                <w:rStyle w:val="checkbox"/>
                <w:rFonts w:ascii="Arial" w:hAnsi="Arial" w:cs="Arial"/>
              </w:rPr>
              <w:t xml:space="preserve"> </w:t>
            </w:r>
          </w:p>
          <w:p w14:paraId="3293B673" w14:textId="662210AB" w:rsidR="004966BF" w:rsidRPr="004C23F4" w:rsidRDefault="00E25D92" w:rsidP="009B6B43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LOAEC of 250 ppm for systemic effects (cited by ACGIH, 201</w:t>
            </w:r>
            <w:r w:rsidR="001311F7">
              <w:rPr>
                <w:rStyle w:val="checkbox"/>
                <w:rFonts w:ascii="Arial" w:hAnsi="Arial" w:cs="Arial"/>
              </w:rPr>
              <w:t>3</w:t>
            </w:r>
            <w:r>
              <w:rPr>
                <w:rStyle w:val="checkbox"/>
                <w:rFonts w:ascii="Arial" w:hAnsi="Arial" w:cs="Arial"/>
              </w:rPr>
              <w:t>).</w:t>
            </w:r>
          </w:p>
        </w:tc>
      </w:tr>
    </w:tbl>
    <w:bookmarkEnd w:id="0"/>
    <w:p w14:paraId="29E5E54F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018021D" w14:textId="77777777" w:rsidTr="00B87982">
        <w:trPr>
          <w:trHeight w:val="454"/>
          <w:tblHeader/>
        </w:trPr>
        <w:tc>
          <w:tcPr>
            <w:tcW w:w="6603" w:type="dxa"/>
            <w:vAlign w:val="center"/>
          </w:tcPr>
          <w:p w14:paraId="739ACD2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4BD5FFC" w14:textId="4C76E68F" w:rsidR="002E0D61" w:rsidRDefault="00B8798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  <w:bookmarkStart w:id="2" w:name="_GoBack"/>
        <w:bookmarkEnd w:id="2"/>
      </w:tr>
      <w:tr w:rsidR="008A36CF" w14:paraId="067AB3B8" w14:textId="77777777" w:rsidTr="00B8798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391D9352" w14:textId="0A293759" w:rsidR="008A36CF" w:rsidRPr="006901A2" w:rsidRDefault="008E28A9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3EA9785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28CC9B6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CA1CB0" w14:paraId="0C15DD9D" w14:textId="77777777" w:rsidTr="00CA1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C721150" w14:textId="77777777" w:rsidR="00687890" w:rsidRPr="00CA1CB0" w:rsidRDefault="00687890" w:rsidP="00263255">
            <w:pPr>
              <w:pStyle w:val="Tableheader"/>
              <w:rPr>
                <w:b/>
              </w:rPr>
            </w:pPr>
            <w:bookmarkStart w:id="3" w:name="Notations"/>
            <w:r w:rsidRPr="00CA1CB0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F0EF690" w14:textId="77777777" w:rsidR="00687890" w:rsidRPr="00CA1CB0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CA1CB0">
              <w:rPr>
                <w:b/>
              </w:rPr>
              <w:t>Notations</w:t>
            </w:r>
            <w:r w:rsidR="003A2B94" w:rsidRPr="00CA1CB0">
              <w:rPr>
                <w:b/>
              </w:rPr>
              <w:tab/>
            </w:r>
          </w:p>
        </w:tc>
      </w:tr>
      <w:tr w:rsidR="00687890" w:rsidRPr="004C23F4" w14:paraId="32B2AF9C" w14:textId="77777777" w:rsidTr="00CA1CB0">
        <w:trPr>
          <w:cantSplit/>
        </w:trPr>
        <w:tc>
          <w:tcPr>
            <w:tcW w:w="3227" w:type="dxa"/>
          </w:tcPr>
          <w:p w14:paraId="3DE387B5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CDA0305" w14:textId="5EAC997A" w:rsidR="00687890" w:rsidRPr="00DD2F9B" w:rsidRDefault="002B1152" w:rsidP="00DD2F9B">
            <w:pPr>
              <w:pStyle w:val="Tablefont"/>
            </w:pPr>
            <w:r w:rsidRPr="002B1152">
              <w:t>—</w:t>
            </w:r>
          </w:p>
        </w:tc>
      </w:tr>
      <w:tr w:rsidR="007925F0" w:rsidRPr="004C23F4" w14:paraId="39F98C0B" w14:textId="77777777" w:rsidTr="00CA1CB0">
        <w:trPr>
          <w:cantSplit/>
        </w:trPr>
        <w:tc>
          <w:tcPr>
            <w:tcW w:w="3227" w:type="dxa"/>
          </w:tcPr>
          <w:p w14:paraId="0C07B084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E0B7E50" w14:textId="231B152E" w:rsidR="007925F0" w:rsidRPr="00DD2F9B" w:rsidRDefault="002B1152" w:rsidP="00DD2F9B">
            <w:pPr>
              <w:pStyle w:val="Tablefont"/>
            </w:pPr>
            <w:r w:rsidRPr="002B1152">
              <w:t>—</w:t>
            </w:r>
          </w:p>
        </w:tc>
      </w:tr>
      <w:tr w:rsidR="00AF483F" w:rsidRPr="004C23F4" w14:paraId="3AF4467D" w14:textId="77777777" w:rsidTr="00CA1CB0">
        <w:trPr>
          <w:cantSplit/>
        </w:trPr>
        <w:tc>
          <w:tcPr>
            <w:tcW w:w="3227" w:type="dxa"/>
          </w:tcPr>
          <w:p w14:paraId="357E58B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B1D37D8" w14:textId="471C107E" w:rsidR="00AF483F" w:rsidRPr="00DD2F9B" w:rsidRDefault="002B1152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F75280E" w14:textId="77777777" w:rsidTr="00CA1CB0">
        <w:trPr>
          <w:cantSplit/>
        </w:trPr>
        <w:tc>
          <w:tcPr>
            <w:tcW w:w="3227" w:type="dxa"/>
          </w:tcPr>
          <w:p w14:paraId="48410E43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2CD0CEA" w14:textId="234477A2" w:rsidR="00687890" w:rsidRPr="00DD2F9B" w:rsidRDefault="002B1152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B99DACD" w14:textId="77777777" w:rsidTr="00CA1CB0">
        <w:trPr>
          <w:cantSplit/>
        </w:trPr>
        <w:tc>
          <w:tcPr>
            <w:tcW w:w="3227" w:type="dxa"/>
          </w:tcPr>
          <w:p w14:paraId="1C8E59A9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C127832" w14:textId="40545293" w:rsidR="00E41A26" w:rsidRPr="00DD2F9B" w:rsidRDefault="002B1152" w:rsidP="00DD2F9B">
            <w:pPr>
              <w:pStyle w:val="Tablefont"/>
            </w:pPr>
            <w:r w:rsidRPr="002B1152">
              <w:t>—</w:t>
            </w:r>
          </w:p>
        </w:tc>
      </w:tr>
      <w:tr w:rsidR="002E0D61" w:rsidRPr="004C23F4" w14:paraId="0B260A3E" w14:textId="77777777" w:rsidTr="00CA1CB0">
        <w:trPr>
          <w:cantSplit/>
        </w:trPr>
        <w:tc>
          <w:tcPr>
            <w:tcW w:w="3227" w:type="dxa"/>
          </w:tcPr>
          <w:p w14:paraId="286BACA3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5CAAB9A" w14:textId="7ABEAE55" w:rsidR="002E0D61" w:rsidRPr="00DD2F9B" w:rsidRDefault="002B1152" w:rsidP="00DD2F9B">
            <w:pPr>
              <w:pStyle w:val="Tablefont"/>
            </w:pPr>
            <w:r w:rsidRPr="002B1152">
              <w:t>—</w:t>
            </w:r>
          </w:p>
        </w:tc>
      </w:tr>
      <w:tr w:rsidR="002E0D61" w:rsidRPr="004C23F4" w14:paraId="4D70DCA2" w14:textId="77777777" w:rsidTr="00CA1CB0">
        <w:trPr>
          <w:cantSplit/>
        </w:trPr>
        <w:tc>
          <w:tcPr>
            <w:tcW w:w="3227" w:type="dxa"/>
          </w:tcPr>
          <w:p w14:paraId="4D639117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FC1EB67" w14:textId="670F8EBA" w:rsidR="002E0D61" w:rsidRPr="00DD2F9B" w:rsidRDefault="002B1152" w:rsidP="00DD2F9B">
            <w:pPr>
              <w:pStyle w:val="Tablefont"/>
            </w:pPr>
            <w:r w:rsidRPr="002B1152">
              <w:t>—</w:t>
            </w:r>
          </w:p>
        </w:tc>
      </w:tr>
      <w:tr w:rsidR="002E0D61" w:rsidRPr="004C23F4" w14:paraId="0125E68F" w14:textId="77777777" w:rsidTr="00CA1CB0">
        <w:trPr>
          <w:cantSplit/>
        </w:trPr>
        <w:tc>
          <w:tcPr>
            <w:tcW w:w="3227" w:type="dxa"/>
          </w:tcPr>
          <w:p w14:paraId="7DCD0365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D084402" w14:textId="2CF0A76E" w:rsidR="002E0D61" w:rsidRPr="00DD2F9B" w:rsidRDefault="002B115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FE0F460" w14:textId="77777777" w:rsidTr="00CA1CB0">
        <w:trPr>
          <w:cantSplit/>
        </w:trPr>
        <w:tc>
          <w:tcPr>
            <w:tcW w:w="3227" w:type="dxa"/>
          </w:tcPr>
          <w:p w14:paraId="260AA9A8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21B643C" w14:textId="38B57B5B" w:rsidR="002E0D61" w:rsidRPr="00DD2F9B" w:rsidRDefault="002B115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E1E487A" w14:textId="77777777" w:rsidTr="00CA1CB0">
        <w:trPr>
          <w:cantSplit/>
        </w:trPr>
        <w:tc>
          <w:tcPr>
            <w:tcW w:w="3227" w:type="dxa"/>
          </w:tcPr>
          <w:p w14:paraId="240BED45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89A2F87" w14:textId="1AA39DE2" w:rsidR="00386093" w:rsidRPr="00DD2F9B" w:rsidRDefault="002B115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A6BAF26" w14:textId="77777777" w:rsidTr="00CA1CB0">
        <w:trPr>
          <w:cantSplit/>
        </w:trPr>
        <w:tc>
          <w:tcPr>
            <w:tcW w:w="3227" w:type="dxa"/>
          </w:tcPr>
          <w:p w14:paraId="7ACF42A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C3D657F" w14:textId="3DA03C7E" w:rsidR="00386093" w:rsidRPr="00DD2F9B" w:rsidRDefault="002B1152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702B21F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1C1EBE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618457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784A0C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11AA00D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C2E8E6C" w14:textId="2ECD61C7" w:rsidR="00932DCE" w:rsidRPr="004C23F4" w:rsidRDefault="00D22D96" w:rsidP="00F9496B">
            <w:pPr>
              <w:pStyle w:val="Tablefont"/>
            </w:pPr>
            <w:r>
              <w:t xml:space="preserve">Insufficient data to </w:t>
            </w:r>
            <w:r w:rsidR="00D71932">
              <w:t>assign a skin notation</w:t>
            </w:r>
          </w:p>
        </w:tc>
      </w:tr>
    </w:tbl>
    <w:bookmarkEnd w:id="4"/>
    <w:p w14:paraId="457ACBE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571BC20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2ECDA6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382419C" w14:textId="7A33E563" w:rsidR="00EB3D1B" w:rsidRDefault="002B1152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5EEE9360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7D5382B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198C31D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C81DEF7" w14:textId="398D62C5" w:rsidR="001B79E5" w:rsidRDefault="002B1152" w:rsidP="001B79E5">
                <w:pPr>
                  <w:pStyle w:val="Tablefont"/>
                </w:pPr>
                <w:r w:rsidRPr="002B1152">
                  <w:t>31.05</w:t>
                </w:r>
              </w:p>
            </w:tc>
          </w:sdtContent>
        </w:sdt>
      </w:tr>
      <w:tr w:rsidR="00A31D99" w:rsidRPr="004C23F4" w14:paraId="14BCB47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7CBB69A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D28E3ED" w14:textId="37407B62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8E28A9">
                  <w:t>1.28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2B1152">
                  <w:t>0.789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1F53C7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66524DC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143D2A8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1E3908B" w14:textId="77777777" w:rsidTr="00EA6243">
        <w:trPr>
          <w:cantSplit/>
        </w:trPr>
        <w:tc>
          <w:tcPr>
            <w:tcW w:w="4077" w:type="dxa"/>
            <w:vAlign w:val="center"/>
          </w:tcPr>
          <w:p w14:paraId="681E6FD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2B62CD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A1A7687" w14:textId="77777777" w:rsidTr="00EA6243">
        <w:trPr>
          <w:cantSplit/>
        </w:trPr>
        <w:tc>
          <w:tcPr>
            <w:tcW w:w="4077" w:type="dxa"/>
            <w:vAlign w:val="center"/>
          </w:tcPr>
          <w:p w14:paraId="222D0D53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564E10D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022D7E9" w14:textId="77777777" w:rsidTr="00EA6243">
        <w:trPr>
          <w:cantSplit/>
        </w:trPr>
        <w:tc>
          <w:tcPr>
            <w:tcW w:w="4077" w:type="dxa"/>
            <w:vAlign w:val="center"/>
          </w:tcPr>
          <w:p w14:paraId="64420BD5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4CCCEB5" w14:textId="77777777" w:rsidR="00E06F40" w:rsidRPr="00A006A0" w:rsidRDefault="008D7C4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3C1DD8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D0353B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F5CAD1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168D014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AA9F735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3B0C75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FDC1F50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57DA07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F81EADD" w14:textId="62F869CB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2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EFF8A34" w14:textId="75D55B90" w:rsidR="002B1152" w:rsidRDefault="002B1152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(2002) </w:t>
      </w:r>
      <w:proofErr w:type="spellStart"/>
      <w:r w:rsidRPr="002B1152">
        <w:t>Methylamin</w:t>
      </w:r>
      <w:proofErr w:type="spellEnd"/>
      <w:r>
        <w:t xml:space="preserve"> – MAK value documentation.</w:t>
      </w:r>
    </w:p>
    <w:p w14:paraId="28FA6CD5" w14:textId="77777777" w:rsidR="00BF61EB" w:rsidRDefault="00DD2464" w:rsidP="00084859">
      <w:r w:rsidRPr="00DD2464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5F0BFA31" w14:textId="073C223F" w:rsidR="002B1152" w:rsidRPr="00351FE0" w:rsidRDefault="002B1152" w:rsidP="00084859">
      <w:r w:rsidRPr="00D86E03">
        <w:t>US National Institute for Occupational Safety and Health (NIOSH)</w:t>
      </w:r>
      <w:r>
        <w:t xml:space="preserve"> (</w:t>
      </w:r>
      <w:r w:rsidRPr="002B1152">
        <w:t>1994</w:t>
      </w:r>
      <w:r>
        <w:t xml:space="preserve">) Immediately dangerous to life or health concentrations – </w:t>
      </w:r>
      <w:r w:rsidRPr="002B1152">
        <w:t>Methylamine</w:t>
      </w:r>
      <w:r>
        <w:t>.</w:t>
      </w:r>
    </w:p>
    <w:sectPr w:rsidR="002B1152" w:rsidRPr="00351FE0" w:rsidSect="00B87D4C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CF01E" w14:textId="77777777" w:rsidR="00222A79" w:rsidRDefault="00222A79" w:rsidP="00F43AD5">
      <w:pPr>
        <w:spacing w:after="0" w:line="240" w:lineRule="auto"/>
      </w:pPr>
      <w:r>
        <w:separator/>
      </w:r>
    </w:p>
  </w:endnote>
  <w:endnote w:type="continuationSeparator" w:id="0">
    <w:p w14:paraId="259A68FD" w14:textId="77777777" w:rsidR="00222A79" w:rsidRDefault="00222A7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BC8DF12" w14:textId="7EE40BDF" w:rsidR="008A36CF" w:rsidRDefault="00DF1A01" w:rsidP="0034744C">
        <w:pPr>
          <w:pStyle w:val="Footer"/>
          <w:rPr>
            <w:sz w:val="18"/>
            <w:szCs w:val="18"/>
          </w:rPr>
        </w:pPr>
        <w:r w:rsidRPr="00DF1A01">
          <w:rPr>
            <w:b/>
            <w:sz w:val="18"/>
            <w:szCs w:val="18"/>
          </w:rPr>
          <w:t>Methylamine</w:t>
        </w:r>
        <w:r w:rsidR="008A36CF">
          <w:rPr>
            <w:b/>
            <w:sz w:val="18"/>
            <w:szCs w:val="18"/>
          </w:rPr>
          <w:t xml:space="preserve"> (</w:t>
        </w:r>
        <w:r w:rsidRPr="00DF1A01">
          <w:rPr>
            <w:b/>
            <w:sz w:val="18"/>
            <w:szCs w:val="18"/>
          </w:rPr>
          <w:t>74-89-5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422AB8D" w14:textId="28F36AA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B6B43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B590F" w14:textId="77777777" w:rsidR="00222A79" w:rsidRDefault="00222A79" w:rsidP="00F43AD5">
      <w:pPr>
        <w:spacing w:after="0" w:line="240" w:lineRule="auto"/>
      </w:pPr>
      <w:r>
        <w:separator/>
      </w:r>
    </w:p>
  </w:footnote>
  <w:footnote w:type="continuationSeparator" w:id="0">
    <w:p w14:paraId="7DDEADC1" w14:textId="77777777" w:rsidR="00222A79" w:rsidRDefault="00222A7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0622B" w14:textId="4D0BCA2C" w:rsidR="00CA1CB0" w:rsidRDefault="00CA1CB0">
    <w:pPr>
      <w:pStyle w:val="Header"/>
    </w:pPr>
    <w:r>
      <w:rPr>
        <w:noProof/>
      </w:rPr>
      <w:pict w14:anchorId="2B253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72641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D06B" w14:textId="0061366B" w:rsidR="008A36CF" w:rsidRDefault="00CA1CB0" w:rsidP="00F43AD5">
    <w:pPr>
      <w:pStyle w:val="Header"/>
      <w:jc w:val="right"/>
    </w:pPr>
    <w:r>
      <w:rPr>
        <w:noProof/>
      </w:rPr>
      <w:pict w14:anchorId="06798E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72642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16AA" w14:textId="4AD78B71" w:rsidR="00CA1CB0" w:rsidRDefault="00CA1CB0">
    <w:pPr>
      <w:pStyle w:val="Header"/>
    </w:pPr>
    <w:r>
      <w:rPr>
        <w:noProof/>
      </w:rPr>
      <w:pict w14:anchorId="7C4DA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72640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CF87" w14:textId="7A3751D2" w:rsidR="00CA1CB0" w:rsidRDefault="00CA1CB0">
    <w:pPr>
      <w:pStyle w:val="Header"/>
    </w:pPr>
    <w:r>
      <w:rPr>
        <w:noProof/>
      </w:rPr>
      <w:pict w14:anchorId="12D115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72644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9E184" w14:textId="04AACCF2" w:rsidR="008A36CF" w:rsidRDefault="00CA1CB0" w:rsidP="00F43AD5">
    <w:pPr>
      <w:pStyle w:val="Header"/>
      <w:jc w:val="right"/>
    </w:pPr>
    <w:r>
      <w:rPr>
        <w:noProof/>
      </w:rPr>
      <w:pict w14:anchorId="3B09D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72645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6F643992" wp14:editId="7301903F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AC850" w14:textId="487305FD" w:rsidR="00CA1CB0" w:rsidRDefault="00CA1CB0">
    <w:pPr>
      <w:pStyle w:val="Header"/>
    </w:pPr>
    <w:r>
      <w:rPr>
        <w:noProof/>
      </w:rPr>
      <w:pict w14:anchorId="62393A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72643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F860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C048A"/>
    <w:multiLevelType w:val="hybridMultilevel"/>
    <w:tmpl w:val="7BF004EE"/>
    <w:lvl w:ilvl="0" w:tplc="DD7C80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7DCC"/>
    <w:multiLevelType w:val="hybridMultilevel"/>
    <w:tmpl w:val="5D982B9E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134D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7B9F"/>
    <w:rsid w:val="0010461E"/>
    <w:rsid w:val="00106FAA"/>
    <w:rsid w:val="00113443"/>
    <w:rsid w:val="001269A7"/>
    <w:rsid w:val="00131092"/>
    <w:rsid w:val="001311F7"/>
    <w:rsid w:val="00140E6A"/>
    <w:rsid w:val="00146545"/>
    <w:rsid w:val="00146B75"/>
    <w:rsid w:val="0015266D"/>
    <w:rsid w:val="0015288A"/>
    <w:rsid w:val="00160F47"/>
    <w:rsid w:val="00172DC6"/>
    <w:rsid w:val="00177CA1"/>
    <w:rsid w:val="00183823"/>
    <w:rsid w:val="00183942"/>
    <w:rsid w:val="0019089A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A79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152"/>
    <w:rsid w:val="002B16A7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0EBD"/>
    <w:rsid w:val="00485BFD"/>
    <w:rsid w:val="004867A2"/>
    <w:rsid w:val="004873F2"/>
    <w:rsid w:val="00490D4C"/>
    <w:rsid w:val="00493A1B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3CD2"/>
    <w:rsid w:val="005E6979"/>
    <w:rsid w:val="005E75CB"/>
    <w:rsid w:val="005F309F"/>
    <w:rsid w:val="005F6997"/>
    <w:rsid w:val="006013C1"/>
    <w:rsid w:val="0060669E"/>
    <w:rsid w:val="00610F2E"/>
    <w:rsid w:val="00611399"/>
    <w:rsid w:val="00611911"/>
    <w:rsid w:val="00624C4E"/>
    <w:rsid w:val="00625200"/>
    <w:rsid w:val="0063118D"/>
    <w:rsid w:val="006363A8"/>
    <w:rsid w:val="00636DB7"/>
    <w:rsid w:val="00636E79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6478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1864"/>
    <w:rsid w:val="00754779"/>
    <w:rsid w:val="0075716D"/>
    <w:rsid w:val="00765F14"/>
    <w:rsid w:val="00770E31"/>
    <w:rsid w:val="00776232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C741A"/>
    <w:rsid w:val="007E063C"/>
    <w:rsid w:val="007E2A4B"/>
    <w:rsid w:val="007E307D"/>
    <w:rsid w:val="007E6A4E"/>
    <w:rsid w:val="007E6A5B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2D5D"/>
    <w:rsid w:val="008A36CF"/>
    <w:rsid w:val="008A3796"/>
    <w:rsid w:val="008A3BC4"/>
    <w:rsid w:val="008B403C"/>
    <w:rsid w:val="008B7983"/>
    <w:rsid w:val="008C2511"/>
    <w:rsid w:val="008D026D"/>
    <w:rsid w:val="008D23AB"/>
    <w:rsid w:val="008D4B8B"/>
    <w:rsid w:val="008D5A78"/>
    <w:rsid w:val="008D7C49"/>
    <w:rsid w:val="008E28A9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B6B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331"/>
    <w:rsid w:val="00A2073D"/>
    <w:rsid w:val="00A20751"/>
    <w:rsid w:val="00A27E2D"/>
    <w:rsid w:val="00A31D99"/>
    <w:rsid w:val="00A357BA"/>
    <w:rsid w:val="00A35ADC"/>
    <w:rsid w:val="00A402A3"/>
    <w:rsid w:val="00A41F1A"/>
    <w:rsid w:val="00A53681"/>
    <w:rsid w:val="00A54F34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003C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5F47"/>
    <w:rsid w:val="00B479A9"/>
    <w:rsid w:val="00B52EDF"/>
    <w:rsid w:val="00B71188"/>
    <w:rsid w:val="00B76A41"/>
    <w:rsid w:val="00B87982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BF61EB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1CB0"/>
    <w:rsid w:val="00CA58FE"/>
    <w:rsid w:val="00CB1CB1"/>
    <w:rsid w:val="00CB6BC1"/>
    <w:rsid w:val="00CB6CB8"/>
    <w:rsid w:val="00CC1A68"/>
    <w:rsid w:val="00CC2123"/>
    <w:rsid w:val="00CD2BFD"/>
    <w:rsid w:val="00CE0F04"/>
    <w:rsid w:val="00CE5AD6"/>
    <w:rsid w:val="00CE617F"/>
    <w:rsid w:val="00CE78EF"/>
    <w:rsid w:val="00D048F7"/>
    <w:rsid w:val="00D0517E"/>
    <w:rsid w:val="00D140FC"/>
    <w:rsid w:val="00D21D8C"/>
    <w:rsid w:val="00D22D96"/>
    <w:rsid w:val="00D31357"/>
    <w:rsid w:val="00D33220"/>
    <w:rsid w:val="00D334D1"/>
    <w:rsid w:val="00D44C89"/>
    <w:rsid w:val="00D516CD"/>
    <w:rsid w:val="00D668E6"/>
    <w:rsid w:val="00D70670"/>
    <w:rsid w:val="00D71932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464"/>
    <w:rsid w:val="00DD2F9B"/>
    <w:rsid w:val="00DE2513"/>
    <w:rsid w:val="00DE26E8"/>
    <w:rsid w:val="00DF1A01"/>
    <w:rsid w:val="00DF6F36"/>
    <w:rsid w:val="00E0084C"/>
    <w:rsid w:val="00E016B1"/>
    <w:rsid w:val="00E025AB"/>
    <w:rsid w:val="00E02B23"/>
    <w:rsid w:val="00E06F40"/>
    <w:rsid w:val="00E07CE8"/>
    <w:rsid w:val="00E25D92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5BF1"/>
    <w:rsid w:val="00E92499"/>
    <w:rsid w:val="00E949AF"/>
    <w:rsid w:val="00E96077"/>
    <w:rsid w:val="00E97EE7"/>
    <w:rsid w:val="00EA0A06"/>
    <w:rsid w:val="00EA6243"/>
    <w:rsid w:val="00EA74AB"/>
    <w:rsid w:val="00EB1332"/>
    <w:rsid w:val="00EB3D1B"/>
    <w:rsid w:val="00EC44C4"/>
    <w:rsid w:val="00ED1D89"/>
    <w:rsid w:val="00ED66BC"/>
    <w:rsid w:val="00EF233A"/>
    <w:rsid w:val="00EF303E"/>
    <w:rsid w:val="00EF3A40"/>
    <w:rsid w:val="00EF7F78"/>
    <w:rsid w:val="00F00CB5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5B2A"/>
    <w:rsid w:val="00F87D92"/>
    <w:rsid w:val="00F90AA7"/>
    <w:rsid w:val="00F92498"/>
    <w:rsid w:val="00F9496B"/>
    <w:rsid w:val="00F970C9"/>
    <w:rsid w:val="00FA06A8"/>
    <w:rsid w:val="00FA1131"/>
    <w:rsid w:val="00FA2522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F85B2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6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1E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1E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1E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gih.org/tlv-bei-guidelines/policies-procedures-presentation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174ED4F27DF43E284800657DDDDF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6457-BDFE-43E0-A80B-4E67EBD21C54}"/>
      </w:docPartPr>
      <w:docPartBody>
        <w:p w:rsidR="000E2FBF" w:rsidRDefault="001D1021" w:rsidP="001D1021">
          <w:pPr>
            <w:pStyle w:val="B174ED4F27DF43E284800657DDDDF0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E2FBF"/>
    <w:rsid w:val="001D1021"/>
    <w:rsid w:val="00513F23"/>
    <w:rsid w:val="006A3572"/>
    <w:rsid w:val="00D21A9F"/>
    <w:rsid w:val="00FB6B80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02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D42F6C8574F84B7787768635B50DD8F7">
    <w:name w:val="D42F6C8574F84B7787768635B50DD8F7"/>
    <w:rsid w:val="00FC2A38"/>
  </w:style>
  <w:style w:type="paragraph" w:customStyle="1" w:styleId="A83AE1291A804F199A74AD5A9D8F5DC2">
    <w:name w:val="A83AE1291A804F199A74AD5A9D8F5DC2"/>
    <w:rsid w:val="00FC2A38"/>
  </w:style>
  <w:style w:type="paragraph" w:customStyle="1" w:styleId="2BEEAEBD95A146FC92AD9395FB319262">
    <w:name w:val="2BEEAEBD95A146FC92AD9395FB319262"/>
    <w:rsid w:val="00FC2A38"/>
  </w:style>
  <w:style w:type="paragraph" w:customStyle="1" w:styleId="EF04495D1FF44494B33BDF3CCE34BC0C">
    <w:name w:val="EF04495D1FF44494B33BDF3CCE34BC0C"/>
    <w:rsid w:val="00FC2A38"/>
  </w:style>
  <w:style w:type="paragraph" w:customStyle="1" w:styleId="76C24C92BD0B451CAD4E8AE3F3F8C5A1">
    <w:name w:val="76C24C92BD0B451CAD4E8AE3F3F8C5A1"/>
    <w:rsid w:val="00FC2A38"/>
  </w:style>
  <w:style w:type="paragraph" w:customStyle="1" w:styleId="A212E77DAF7946DDA8DDA3A630D96AEF">
    <w:name w:val="A212E77DAF7946DDA8DDA3A630D96AEF"/>
    <w:rsid w:val="00FC2A38"/>
  </w:style>
  <w:style w:type="paragraph" w:customStyle="1" w:styleId="B174ED4F27DF43E284800657DDDDF02C">
    <w:name w:val="B174ED4F27DF43E284800657DDDDF02C"/>
    <w:rsid w:val="001D102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FE9C-9ECE-42CA-AF8A-39569ED0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2020-03-12T23:10:00Z</dcterms:created>
  <dcterms:modified xsi:type="dcterms:W3CDTF">2020-03-12T23:10:00Z</dcterms:modified>
</cp:coreProperties>
</file>