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043BC" w14:textId="479B5B5D" w:rsidR="00BD499F" w:rsidRPr="004C23F4" w:rsidRDefault="00B63507" w:rsidP="00B40C60">
      <w:pPr>
        <w:pStyle w:val="Heading1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8A0AC4" w:rsidRPr="008A0AC4">
            <w:rPr>
              <w:rFonts w:ascii="Arial" w:hAnsi="Arial" w:cs="Arial"/>
            </w:rPr>
            <w:t>Methylcyclohexane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6"/>
        <w:gridCol w:w="5050"/>
      </w:tblGrid>
      <w:tr w:rsidR="00F43AD5" w:rsidRPr="004C23F4" w14:paraId="687AB2DC" w14:textId="77777777" w:rsidTr="00B76A41">
        <w:trPr>
          <w:cantSplit/>
          <w:tblHeader/>
        </w:trPr>
        <w:tc>
          <w:tcPr>
            <w:tcW w:w="4077" w:type="dxa"/>
          </w:tcPr>
          <w:p w14:paraId="2B236920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884C4B3" w14:textId="77A327BF" w:rsidR="00F43AD5" w:rsidRPr="00717D45" w:rsidRDefault="002822A3" w:rsidP="00B76A41">
            <w:pPr>
              <w:pStyle w:val="Tablefont"/>
            </w:pPr>
            <w:r w:rsidRPr="002822A3">
              <w:t>108-87-2</w:t>
            </w:r>
          </w:p>
        </w:tc>
      </w:tr>
      <w:tr w:rsidR="00F43AD5" w:rsidRPr="004C23F4" w14:paraId="3632B370" w14:textId="77777777" w:rsidTr="00B76A41">
        <w:trPr>
          <w:cantSplit/>
        </w:trPr>
        <w:tc>
          <w:tcPr>
            <w:tcW w:w="4077" w:type="dxa"/>
          </w:tcPr>
          <w:p w14:paraId="462C85BA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5130850" w14:textId="2C5EC7BE" w:rsidR="00F43AD5" w:rsidRPr="00717D45" w:rsidRDefault="00306C06" w:rsidP="00B76A41">
            <w:pPr>
              <w:pStyle w:val="Tablefont"/>
            </w:pPr>
            <w:proofErr w:type="spellStart"/>
            <w:r>
              <w:t>Cyclohexylmethane</w:t>
            </w:r>
            <w:proofErr w:type="spellEnd"/>
            <w:r>
              <w:t xml:space="preserve">, </w:t>
            </w:r>
            <w:proofErr w:type="spellStart"/>
            <w:r>
              <w:t>hexahydrotoluene</w:t>
            </w:r>
            <w:proofErr w:type="spellEnd"/>
          </w:p>
        </w:tc>
      </w:tr>
      <w:tr w:rsidR="00F43AD5" w:rsidRPr="004C23F4" w14:paraId="3E187F17" w14:textId="77777777" w:rsidTr="00B76A41">
        <w:trPr>
          <w:cantSplit/>
        </w:trPr>
        <w:tc>
          <w:tcPr>
            <w:tcW w:w="4077" w:type="dxa"/>
          </w:tcPr>
          <w:p w14:paraId="521AA96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3E0B1F9" w14:textId="3C11422A" w:rsidR="00F43AD5" w:rsidRPr="00717D45" w:rsidRDefault="00306C06" w:rsidP="00B76A41">
            <w:pPr>
              <w:pStyle w:val="Tablefont"/>
            </w:pPr>
            <w:r>
              <w:t>C</w:t>
            </w:r>
            <w:r w:rsidRPr="00306C06">
              <w:rPr>
                <w:vertAlign w:val="subscript"/>
              </w:rPr>
              <w:t>7</w:t>
            </w:r>
            <w:r>
              <w:t>H</w:t>
            </w:r>
            <w:r w:rsidRPr="00306C06">
              <w:rPr>
                <w:vertAlign w:val="subscript"/>
              </w:rPr>
              <w:t>14</w:t>
            </w:r>
          </w:p>
        </w:tc>
      </w:tr>
      <w:tr w:rsidR="00F43AD5" w:rsidRPr="004C23F4" w14:paraId="647F852C" w14:textId="77777777" w:rsidTr="00B76A41">
        <w:trPr>
          <w:cantSplit/>
        </w:trPr>
        <w:tc>
          <w:tcPr>
            <w:tcW w:w="4077" w:type="dxa"/>
          </w:tcPr>
          <w:p w14:paraId="4CD062D5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16C582C" w14:textId="64072A8C" w:rsidR="00F43AD5" w:rsidRPr="00B40C60" w:rsidRDefault="00306C06" w:rsidP="00B76A41">
            <w:pPr>
              <w:pStyle w:val="Tablerowheading"/>
              <w:rPr>
                <w:b w:val="0"/>
              </w:rPr>
            </w:pPr>
            <w:r>
              <w:t>—</w:t>
            </w:r>
          </w:p>
        </w:tc>
      </w:tr>
    </w:tbl>
    <w:p w14:paraId="0B24C620" w14:textId="09A9438E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F295A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4F20AAA4" w14:textId="77777777" w:rsidTr="002A71C8">
        <w:trPr>
          <w:cantSplit/>
          <w:tblHeader/>
        </w:trPr>
        <w:tc>
          <w:tcPr>
            <w:tcW w:w="4005" w:type="dxa"/>
            <w:vAlign w:val="center"/>
          </w:tcPr>
          <w:p w14:paraId="1CD164A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280E7EBC" w14:textId="7CC40E5A" w:rsidR="002C7AFE" w:rsidRPr="005F295A" w:rsidRDefault="005F295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200 ppm (810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23E585A6" w14:textId="77777777" w:rsidTr="002A71C8">
        <w:trPr>
          <w:cantSplit/>
        </w:trPr>
        <w:tc>
          <w:tcPr>
            <w:tcW w:w="4005" w:type="dxa"/>
            <w:vAlign w:val="center"/>
          </w:tcPr>
          <w:p w14:paraId="333F4632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1D74C63B" w14:textId="3FAADB15" w:rsidR="002C7AFE" w:rsidRPr="00EB3D1B" w:rsidRDefault="002A71C8" w:rsidP="00017C82">
            <w:pPr>
              <w:pStyle w:val="Tablefont"/>
              <w:rPr>
                <w:b/>
              </w:rPr>
            </w:pPr>
            <w:r w:rsidRPr="002A71C8">
              <w:rPr>
                <w:b/>
              </w:rPr>
              <w:t>—</w:t>
            </w:r>
          </w:p>
        </w:tc>
      </w:tr>
      <w:tr w:rsidR="002C7AFE" w:rsidRPr="004C23F4" w14:paraId="14D6E2A0" w14:textId="77777777" w:rsidTr="002A71C8">
        <w:trPr>
          <w:cantSplit/>
        </w:trPr>
        <w:tc>
          <w:tcPr>
            <w:tcW w:w="4005" w:type="dxa"/>
            <w:vAlign w:val="center"/>
          </w:tcPr>
          <w:p w14:paraId="3744FE55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6CDDD23A" w14:textId="294B0FD3" w:rsidR="002C7AFE" w:rsidRPr="00EB3D1B" w:rsidRDefault="002A71C8" w:rsidP="00017C82">
            <w:pPr>
              <w:pStyle w:val="Tablefont"/>
              <w:rPr>
                <w:b/>
              </w:rPr>
            </w:pPr>
            <w:r w:rsidRPr="002A71C8">
              <w:rPr>
                <w:b/>
              </w:rPr>
              <w:t>—</w:t>
            </w:r>
          </w:p>
        </w:tc>
      </w:tr>
      <w:tr w:rsidR="002C7AFE" w:rsidRPr="004C23F4" w14:paraId="34DA950A" w14:textId="77777777" w:rsidTr="002A71C8">
        <w:trPr>
          <w:cantSplit/>
        </w:trPr>
        <w:tc>
          <w:tcPr>
            <w:tcW w:w="4005" w:type="dxa"/>
          </w:tcPr>
          <w:p w14:paraId="12C0C8CD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08E42E8D" w14:textId="30443762" w:rsidR="002C7AFE" w:rsidRPr="002A71C8" w:rsidRDefault="00CB1181" w:rsidP="008A36CF">
            <w:pPr>
              <w:pStyle w:val="Tablefont"/>
              <w:rPr>
                <w:b/>
              </w:rPr>
            </w:pPr>
            <w:r w:rsidRPr="002A71C8">
              <w:rPr>
                <w:b/>
              </w:rPr>
              <w:t>—</w:t>
            </w:r>
          </w:p>
        </w:tc>
      </w:tr>
      <w:tr w:rsidR="002C7AFE" w:rsidRPr="004C23F4" w14:paraId="177A0515" w14:textId="77777777" w:rsidTr="002A71C8">
        <w:trPr>
          <w:cantSplit/>
        </w:trPr>
        <w:tc>
          <w:tcPr>
            <w:tcW w:w="4005" w:type="dxa"/>
            <w:vAlign w:val="center"/>
          </w:tcPr>
          <w:p w14:paraId="409474DA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1A53AF55" w14:textId="44A4DEBC" w:rsidR="002C7AFE" w:rsidRPr="00EB3D1B" w:rsidRDefault="00306C0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</w:t>
            </w:r>
            <w:r w:rsidR="002A71C8">
              <w:rPr>
                <w:b/>
              </w:rPr>
              <w:t>,</w:t>
            </w:r>
            <w:r>
              <w:rPr>
                <w:b/>
              </w:rPr>
              <w:t xml:space="preserve">200 ppm </w:t>
            </w:r>
          </w:p>
        </w:tc>
      </w:tr>
      <w:tr w:rsidR="002A71C8" w:rsidRPr="004C23F4" w14:paraId="720A990A" w14:textId="77777777" w:rsidTr="008A0C9E">
        <w:trPr>
          <w:cantSplit/>
        </w:trPr>
        <w:tc>
          <w:tcPr>
            <w:tcW w:w="9026" w:type="dxa"/>
            <w:gridSpan w:val="2"/>
            <w:vAlign w:val="center"/>
          </w:tcPr>
          <w:p w14:paraId="0953E1D0" w14:textId="690533F6" w:rsidR="002A71C8" w:rsidRPr="00EB3D1B" w:rsidRDefault="002A71C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Sampling and analysis</w:t>
            </w:r>
            <w:r w:rsidRPr="002A71C8">
              <w:rPr>
                <w:b/>
              </w:rPr>
              <w:t>:</w:t>
            </w:r>
            <w:r w:rsidRPr="002A71C8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94B97937D0E148A2AA2066BFCDCB165F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E30C03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B9E027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7D1E740" w14:textId="0E3FFED4" w:rsidR="006639B4" w:rsidRPr="005F295A" w:rsidRDefault="005F295A" w:rsidP="000C139A">
      <w:pPr>
        <w:rPr>
          <w:rFonts w:cs="Arial"/>
        </w:rPr>
      </w:pPr>
      <w:r>
        <w:rPr>
          <w:rFonts w:cs="Arial"/>
        </w:rPr>
        <w:t>A TWA of 200 ppm (810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</w:t>
      </w:r>
      <w:r w:rsidR="000B182C">
        <w:rPr>
          <w:rFonts w:cs="Arial"/>
        </w:rPr>
        <w:t xml:space="preserve">liver and kidney </w:t>
      </w:r>
      <w:r>
        <w:rPr>
          <w:rFonts w:cs="Arial"/>
        </w:rPr>
        <w:t>effects in exposed workers</w:t>
      </w:r>
      <w:r w:rsidR="002A71C8">
        <w:rPr>
          <w:rFonts w:cs="Arial"/>
        </w:rPr>
        <w:t>.</w:t>
      </w:r>
    </w:p>
    <w:p w14:paraId="6AA14F6D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D50F7E5" w14:textId="77777777" w:rsidR="000B182C" w:rsidRDefault="00C16561" w:rsidP="006639B4">
      <w:r>
        <w:t xml:space="preserve">Methylcyclohexane is used in organic synthesis and as a solvent for cellulose ethers and is one of the components of jet fuel. </w:t>
      </w:r>
    </w:p>
    <w:p w14:paraId="4970E5E2" w14:textId="4D7003DC" w:rsidR="006639B4" w:rsidRDefault="00C16561" w:rsidP="006639B4">
      <w:r>
        <w:t>Critical effects relating to exposure are adverse kidney effects and possibly effects on the liver and irritation.</w:t>
      </w:r>
    </w:p>
    <w:p w14:paraId="5E787EBE" w14:textId="00B6C996" w:rsidR="00A967DD" w:rsidRDefault="00C16561" w:rsidP="00C16561">
      <w:pPr>
        <w:rPr>
          <w:rFonts w:cs="Arial"/>
        </w:rPr>
      </w:pPr>
      <w:r>
        <w:rPr>
          <w:rFonts w:cs="Arial"/>
        </w:rPr>
        <w:t xml:space="preserve">No human </w:t>
      </w:r>
      <w:r w:rsidR="00AB03B8">
        <w:rPr>
          <w:rFonts w:cs="Arial"/>
        </w:rPr>
        <w:t xml:space="preserve">toxicological </w:t>
      </w:r>
      <w:r>
        <w:rPr>
          <w:rFonts w:cs="Arial"/>
        </w:rPr>
        <w:t xml:space="preserve">data </w:t>
      </w:r>
      <w:r w:rsidR="000B182C">
        <w:rPr>
          <w:rFonts w:cs="Arial"/>
        </w:rPr>
        <w:t xml:space="preserve">are </w:t>
      </w:r>
      <w:r>
        <w:rPr>
          <w:rFonts w:cs="Arial"/>
        </w:rPr>
        <w:t>available.</w:t>
      </w:r>
      <w:r w:rsidR="00A967DD">
        <w:rPr>
          <w:rFonts w:cs="Arial"/>
        </w:rPr>
        <w:t xml:space="preserve"> A NOEC of 400 ppm is reported for kidney effects in male rats from a 12-month inhalation study (DFG, 2000; HCOTN, 2001). </w:t>
      </w:r>
      <w:r w:rsidR="002B3280">
        <w:rPr>
          <w:rFonts w:cs="Arial"/>
        </w:rPr>
        <w:t xml:space="preserve">Using this same study, DFG (2000) and HCOTN (2001) derived different occupational limits. </w:t>
      </w:r>
      <w:r w:rsidR="00A967DD">
        <w:t xml:space="preserve">Daily </w:t>
      </w:r>
      <w:r w:rsidR="007F5C90">
        <w:t xml:space="preserve">inhalation </w:t>
      </w:r>
      <w:r w:rsidR="00A967DD">
        <w:t xml:space="preserve">exposure of monkeys at 370 ppm </w:t>
      </w:r>
      <w:r w:rsidR="00A961F6">
        <w:t xml:space="preserve">for 50 days </w:t>
      </w:r>
      <w:r w:rsidR="00A967DD">
        <w:t>did not result in adverse health effects</w:t>
      </w:r>
      <w:r w:rsidR="001E4247">
        <w:t xml:space="preserve"> (ACGIH, 2018). </w:t>
      </w:r>
      <w:r w:rsidR="00A961F6">
        <w:t>Based on an inhalation study in rabbits</w:t>
      </w:r>
      <w:r w:rsidR="00A961F6">
        <w:rPr>
          <w:rStyle w:val="checkbox"/>
          <w:rFonts w:ascii="Arial" w:hAnsi="Arial" w:cs="Arial"/>
        </w:rPr>
        <w:t xml:space="preserve"> with intermittent exposure for ten weeks,</w:t>
      </w:r>
      <w:r w:rsidR="00A961F6" w:rsidDel="00A961F6">
        <w:t xml:space="preserve"> </w:t>
      </w:r>
      <w:r w:rsidR="001E4247">
        <w:t>US EPA (2013) calculated a h</w:t>
      </w:r>
      <w:r w:rsidR="001E4247">
        <w:rPr>
          <w:rStyle w:val="checkbox"/>
          <w:rFonts w:ascii="Arial" w:hAnsi="Arial" w:cs="Arial"/>
        </w:rPr>
        <w:t xml:space="preserve">uman equivalent </w:t>
      </w:r>
      <w:r w:rsidR="003C4456">
        <w:rPr>
          <w:rStyle w:val="checkbox"/>
          <w:rFonts w:ascii="Arial" w:hAnsi="Arial" w:cs="Arial"/>
        </w:rPr>
        <w:t>NOAEC</w:t>
      </w:r>
      <w:r w:rsidR="003C4456">
        <w:t xml:space="preserve"> of</w:t>
      </w:r>
      <w:r w:rsidR="001E4247">
        <w:t xml:space="preserve"> approximately 204 ppm</w:t>
      </w:r>
      <w:r w:rsidR="004F2EDA">
        <w:t xml:space="preserve">. Given the evidence originates solely from animals, the current TWA </w:t>
      </w:r>
      <w:r w:rsidR="00710C06">
        <w:t>of 400 ppm may not be</w:t>
      </w:r>
      <w:r w:rsidR="004F2EDA">
        <w:rPr>
          <w:rFonts w:cs="Arial"/>
        </w:rPr>
        <w:t xml:space="preserve"> protective of liver and kidney effects in humans.</w:t>
      </w:r>
    </w:p>
    <w:p w14:paraId="0C704A5B" w14:textId="61C1CF8C" w:rsidR="00C16561" w:rsidRPr="004C23F4" w:rsidRDefault="00710C06" w:rsidP="006639B4">
      <w:pPr>
        <w:rPr>
          <w:rFonts w:cs="Arial"/>
        </w:rPr>
      </w:pPr>
      <w:r>
        <w:rPr>
          <w:rFonts w:cs="Arial"/>
        </w:rPr>
        <w:t>B</w:t>
      </w:r>
      <w:r w:rsidR="00150CB5">
        <w:rPr>
          <w:rFonts w:cs="Arial"/>
        </w:rPr>
        <w:t xml:space="preserve">ased on the NOEC of 400 ppm in male rats and considering an appropriate margin of safety, </w:t>
      </w:r>
      <w:r>
        <w:rPr>
          <w:rFonts w:cs="Arial"/>
        </w:rPr>
        <w:t xml:space="preserve">the </w:t>
      </w:r>
      <w:r w:rsidR="00150CB5">
        <w:rPr>
          <w:rFonts w:cs="Arial"/>
        </w:rPr>
        <w:t>TWA of 200 ppm (810 mg/m</w:t>
      </w:r>
      <w:r w:rsidR="00150CB5">
        <w:rPr>
          <w:rFonts w:cs="Arial"/>
          <w:vertAlign w:val="superscript"/>
        </w:rPr>
        <w:t>3</w:t>
      </w:r>
      <w:r w:rsidR="00150CB5">
        <w:rPr>
          <w:rFonts w:cs="Arial"/>
        </w:rPr>
        <w:t xml:space="preserve">) is recommended as derived by DFG (2000). </w:t>
      </w:r>
      <w:r w:rsidR="00CA60DA">
        <w:rPr>
          <w:rFonts w:cs="Arial"/>
        </w:rPr>
        <w:t>This concentration is supported by the NOAEC of 204 ppm reported by the USEPA (2013). The recommended TWA</w:t>
      </w:r>
      <w:r w:rsidR="00CA60DA" w:rsidRPr="005F295A">
        <w:rPr>
          <w:rFonts w:cs="Arial"/>
        </w:rPr>
        <w:t xml:space="preserve"> </w:t>
      </w:r>
      <w:r w:rsidR="00CA60DA">
        <w:rPr>
          <w:rFonts w:cs="Arial"/>
        </w:rPr>
        <w:t xml:space="preserve">is expected </w:t>
      </w:r>
      <w:r w:rsidR="00CA60DA" w:rsidRPr="005F295A">
        <w:rPr>
          <w:rFonts w:cs="Arial"/>
        </w:rPr>
        <w:t xml:space="preserve">to protect for </w:t>
      </w:r>
      <w:r w:rsidR="00CA60DA">
        <w:rPr>
          <w:rFonts w:cs="Arial"/>
        </w:rPr>
        <w:t>effects on the kidneys and other organs.</w:t>
      </w:r>
      <w:r w:rsidR="003F396D">
        <w:rPr>
          <w:rFonts w:cs="Arial"/>
        </w:rPr>
        <w:t xml:space="preserve"> </w:t>
      </w:r>
    </w:p>
    <w:p w14:paraId="0B2FEE6A" w14:textId="77777777" w:rsidR="004529F0" w:rsidRPr="004C23F4" w:rsidRDefault="004529F0" w:rsidP="00FD0C69">
      <w:pPr>
        <w:pStyle w:val="Heading2"/>
        <w:pageBreakBefore/>
      </w:pPr>
      <w:r>
        <w:lastRenderedPageBreak/>
        <w:t>Recommendation for notations</w:t>
      </w:r>
    </w:p>
    <w:p w14:paraId="5CEA0382" w14:textId="710A077C" w:rsidR="00306C06" w:rsidRDefault="00306C06" w:rsidP="00306C06">
      <w:pPr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2A71C8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18957E5A" w14:textId="083872BC" w:rsidR="00306C06" w:rsidRDefault="00306C06" w:rsidP="00306C06">
      <w:pPr>
        <w:rPr>
          <w:rFonts w:cs="Arial"/>
        </w:rPr>
      </w:pPr>
      <w:r>
        <w:rPr>
          <w:rFonts w:cs="Arial"/>
        </w:rPr>
        <w:t xml:space="preserve">Not classified as a skin </w:t>
      </w:r>
      <w:r w:rsidR="002A71C8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704F911D" w14:textId="404A6309" w:rsidR="0025734A" w:rsidRPr="004C23F4" w:rsidRDefault="003E14F8">
      <w:pPr>
        <w:rPr>
          <w:rFonts w:cs="Arial"/>
        </w:rPr>
      </w:pPr>
      <w:r>
        <w:rPr>
          <w:rFonts w:cs="Arial"/>
        </w:rPr>
        <w:t>There are</w:t>
      </w:r>
      <w:r w:rsidR="00E30C03">
        <w:rPr>
          <w:rFonts w:cs="Arial"/>
        </w:rPr>
        <w:t xml:space="preserve"> i</w:t>
      </w:r>
      <w:r w:rsidR="00306C06">
        <w:rPr>
          <w:rFonts w:cs="Arial"/>
        </w:rPr>
        <w:t xml:space="preserve">nsufficient </w:t>
      </w:r>
      <w:r w:rsidR="00E30C03">
        <w:rPr>
          <w:rFonts w:cs="Arial"/>
        </w:rPr>
        <w:t xml:space="preserve">data </w:t>
      </w:r>
      <w:r w:rsidR="00306C06">
        <w:rPr>
          <w:rFonts w:cs="Arial"/>
        </w:rPr>
        <w:t>to recommend a skin notation.</w:t>
      </w:r>
    </w:p>
    <w:p w14:paraId="079EFA9B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900BBF6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C37BA4A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B63507" w14:paraId="1F7FE80F" w14:textId="77777777" w:rsidTr="00B6350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0F26E57" w14:textId="77777777" w:rsidR="00C978F0" w:rsidRPr="00B63507" w:rsidRDefault="00C978F0" w:rsidP="002A71C8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B63507">
              <w:rPr>
                <w:b/>
              </w:rPr>
              <w:t>Source</w:t>
            </w:r>
            <w:r w:rsidR="00DA352E" w:rsidRPr="00B63507">
              <w:rPr>
                <w:b/>
              </w:rPr>
              <w:tab/>
              <w:t>Year set</w:t>
            </w:r>
            <w:r w:rsidR="00DA352E" w:rsidRPr="00B63507">
              <w:rPr>
                <w:b/>
              </w:rPr>
              <w:tab/>
              <w:t>Standard</w:t>
            </w:r>
            <w:r w:rsidR="00974F2D" w:rsidRPr="00B63507">
              <w:rPr>
                <w:b/>
              </w:rPr>
              <w:tab/>
            </w:r>
          </w:p>
        </w:tc>
      </w:tr>
      <w:tr w:rsidR="00DE26E8" w:rsidRPr="003365A5" w14:paraId="6A75D9CD" w14:textId="77777777" w:rsidTr="00B63507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8F64305" w14:textId="23A5E131" w:rsidR="00DE26E8" w:rsidRPr="003365A5" w:rsidRDefault="00DE26E8" w:rsidP="00E30C03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06C06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306C06">
                  <w:t>TWA: 400 ppm (1</w:t>
                </w:r>
                <w:r w:rsidR="00D927F8">
                  <w:t>,</w:t>
                </w:r>
                <w:r w:rsidR="00306C06">
                  <w:t>610 mg/m</w:t>
                </w:r>
                <w:r w:rsidR="00306C06" w:rsidRPr="00306C06">
                  <w:rPr>
                    <w:vertAlign w:val="superscript"/>
                  </w:rPr>
                  <w:t>3</w:t>
                </w:r>
                <w:r w:rsidR="00306C06">
                  <w:t>)</w:t>
                </w:r>
              </w:sdtContent>
            </w:sdt>
          </w:p>
        </w:tc>
      </w:tr>
      <w:tr w:rsidR="00C978F0" w:rsidRPr="00DA352E" w14:paraId="728E6020" w14:textId="77777777" w:rsidTr="00B63507">
        <w:trPr>
          <w:gridAfter w:val="1"/>
          <w:wAfter w:w="8" w:type="pct"/>
          <w:cantSplit/>
        </w:trPr>
        <w:tc>
          <w:tcPr>
            <w:tcW w:w="4992" w:type="pct"/>
          </w:tcPr>
          <w:p w14:paraId="46317626" w14:textId="77777777" w:rsidR="00C978F0" w:rsidRPr="00DA352E" w:rsidRDefault="00C978F0" w:rsidP="002A71C8">
            <w:pPr>
              <w:pStyle w:val="Tabletextprimarysource"/>
            </w:pPr>
          </w:p>
        </w:tc>
      </w:tr>
      <w:tr w:rsidR="00C978F0" w:rsidRPr="00DA352E" w14:paraId="41D0C863" w14:textId="77777777" w:rsidTr="00B6350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B0AA109" w14:textId="59AB53F1" w:rsidR="00C978F0" w:rsidRPr="00DA352E" w:rsidRDefault="00DA352E" w:rsidP="00E30C03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06C06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306C06">
                  <w:t>TLV-TWA: 400 ppm (1</w:t>
                </w:r>
                <w:r w:rsidR="00D927F8">
                  <w:t>,</w:t>
                </w:r>
                <w:r w:rsidR="00306C06">
                  <w:t>610 mg/m</w:t>
                </w:r>
                <w:r w:rsidR="00306C06" w:rsidRPr="00306C06">
                  <w:rPr>
                    <w:vertAlign w:val="superscript"/>
                  </w:rPr>
                  <w:t>3</w:t>
                </w:r>
                <w:r w:rsidR="00306C06">
                  <w:t>)</w:t>
                </w:r>
              </w:sdtContent>
            </w:sdt>
          </w:p>
        </w:tc>
      </w:tr>
      <w:tr w:rsidR="00C978F0" w:rsidRPr="00DA352E" w14:paraId="16B58370" w14:textId="77777777" w:rsidTr="00B63507">
        <w:trPr>
          <w:gridAfter w:val="1"/>
          <w:wAfter w:w="8" w:type="pct"/>
          <w:cantSplit/>
        </w:trPr>
        <w:tc>
          <w:tcPr>
            <w:tcW w:w="4992" w:type="pct"/>
          </w:tcPr>
          <w:p w14:paraId="2BC0599A" w14:textId="073DC96C" w:rsidR="00C978F0" w:rsidRDefault="00473200" w:rsidP="002A71C8">
            <w:pPr>
              <w:pStyle w:val="Tabletextprimarysource"/>
            </w:pPr>
            <w:r>
              <w:t>TLV-TWA recommended to minimise the potential for irritation, narcosis</w:t>
            </w:r>
            <w:r w:rsidR="00B33D88">
              <w:t xml:space="preserve"> </w:t>
            </w:r>
            <w:r>
              <w:t>and the possibility for liver, kidney or vascular injury.</w:t>
            </w:r>
          </w:p>
          <w:p w14:paraId="3E418FB1" w14:textId="77777777" w:rsidR="00473200" w:rsidRDefault="00473200">
            <w:pPr>
              <w:pStyle w:val="Tabletextprimarysource"/>
            </w:pPr>
            <w:r>
              <w:t>Summary of data:</w:t>
            </w:r>
          </w:p>
          <w:p w14:paraId="71818CF7" w14:textId="75345875" w:rsidR="00473200" w:rsidRDefault="00473200" w:rsidP="003E14F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human data presented</w:t>
            </w:r>
            <w:r w:rsidR="002A71C8">
              <w:t>.</w:t>
            </w:r>
          </w:p>
          <w:p w14:paraId="74328679" w14:textId="1CBF7D4F" w:rsidR="00F352C4" w:rsidRDefault="00FF4246" w:rsidP="003E14F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specific derivation is provided but </w:t>
            </w:r>
            <w:r w:rsidR="00F352C4">
              <w:t>TLV-TWA recommendation is based on evidence in monkeys and in analogy with the comparable acute toxicity of heptane (TLV</w:t>
            </w:r>
            <w:r w:rsidR="00B33D88">
              <w:t>-</w:t>
            </w:r>
            <w:r w:rsidR="00F352C4">
              <w:t>TWA, 400</w:t>
            </w:r>
            <w:r w:rsidR="0058064B">
              <w:t> </w:t>
            </w:r>
            <w:r w:rsidR="00F352C4">
              <w:t>ppm (1</w:t>
            </w:r>
            <w:r w:rsidR="00A408B4">
              <w:t>,</w:t>
            </w:r>
            <w:r w:rsidR="00F352C4">
              <w:t>640 mg/m</w:t>
            </w:r>
            <w:r w:rsidR="00F352C4" w:rsidRPr="00A13A48">
              <w:rPr>
                <w:vertAlign w:val="superscript"/>
              </w:rPr>
              <w:t>3</w:t>
            </w:r>
            <w:r w:rsidR="00F352C4">
              <w:t>))</w:t>
            </w:r>
            <w:r w:rsidR="00A13A48">
              <w:t>.</w:t>
            </w:r>
          </w:p>
          <w:p w14:paraId="432944E0" w14:textId="13E5708D" w:rsidR="00473200" w:rsidRDefault="00473200" w:rsidP="002A71C8">
            <w:pPr>
              <w:pStyle w:val="Tabletextprimarysource"/>
            </w:pPr>
            <w:r>
              <w:t>Animal data:</w:t>
            </w:r>
          </w:p>
          <w:p w14:paraId="0E132BF8" w14:textId="6D148D37" w:rsidR="00473200" w:rsidRDefault="00473200" w:rsidP="003E14F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Prostration in white mice induced following exposure at 7,500</w:t>
            </w:r>
            <w:r w:rsidR="00B33D88">
              <w:t>–</w:t>
            </w:r>
            <w:r>
              <w:t>10,000 ppm for 2 h</w:t>
            </w:r>
          </w:p>
          <w:p w14:paraId="641B7B55" w14:textId="79821317" w:rsidR="00473200" w:rsidRDefault="00473200" w:rsidP="003E14F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Daily </w:t>
            </w:r>
            <w:r w:rsidR="00F352C4">
              <w:t xml:space="preserve">inhalation </w:t>
            </w:r>
            <w:r>
              <w:t xml:space="preserve">exposure of monkeys at 370 ppm, 6 h/d for 50 d did not result in adverse health </w:t>
            </w:r>
            <w:r w:rsidR="00FF4246">
              <w:t>effects; no further exposure data or information provided</w:t>
            </w:r>
          </w:p>
          <w:p w14:paraId="4896A176" w14:textId="7E38F156" w:rsidR="00473200" w:rsidRDefault="00473200" w:rsidP="003E14F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Slight cellular injury was observed in the liver and kidneys of rabbits exposed</w:t>
            </w:r>
            <w:r w:rsidR="00F352C4">
              <w:t xml:space="preserve"> via inhalation</w:t>
            </w:r>
            <w:r>
              <w:t xml:space="preserve"> at 2,880 ppm for 90 h</w:t>
            </w:r>
            <w:r w:rsidR="00FF4246">
              <w:t>; no signs of intoxication noted</w:t>
            </w:r>
          </w:p>
          <w:p w14:paraId="2B05AFEC" w14:textId="6A63B24B" w:rsidR="00FF4246" w:rsidRDefault="00FF4246" w:rsidP="003E14F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of rabbits 6 h/d for a total of 10 d at 10,000 ppm resulted in convulsions, narcosis and death</w:t>
            </w:r>
          </w:p>
          <w:p w14:paraId="6D933A11" w14:textId="3D267405" w:rsidR="00FF4246" w:rsidRDefault="00FF4246" w:rsidP="003E14F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Vascular, renal and hepatic degeneration have been reported after high, repeated inhalation exposures in animals; no further information is </w:t>
            </w:r>
            <w:r w:rsidR="001E4247">
              <w:t>provided</w:t>
            </w:r>
            <w:r w:rsidR="00CF7533">
              <w:t>.</w:t>
            </w:r>
          </w:p>
          <w:p w14:paraId="327AE2F1" w14:textId="77777777" w:rsidR="003E14F8" w:rsidRDefault="003E14F8" w:rsidP="002A71C8">
            <w:pPr>
              <w:pStyle w:val="Tabletextprimarysource"/>
            </w:pPr>
          </w:p>
          <w:p w14:paraId="395A850E" w14:textId="77777777" w:rsidR="00473200" w:rsidRDefault="008D104F" w:rsidP="002A71C8">
            <w:pPr>
              <w:pStyle w:val="Tabletextprimarysource"/>
            </w:pPr>
            <w:r>
              <w:t>Insufficient data to recommend a skin sensitiser or carcinogen notation or TLV-STEL.</w:t>
            </w:r>
          </w:p>
          <w:p w14:paraId="01A449F2" w14:textId="73E528C8" w:rsidR="003E14F8" w:rsidRPr="00DA352E" w:rsidRDefault="003E14F8" w:rsidP="002A71C8">
            <w:pPr>
              <w:pStyle w:val="Tabletextprimarysource"/>
            </w:pPr>
          </w:p>
        </w:tc>
      </w:tr>
      <w:tr w:rsidR="00C978F0" w:rsidRPr="00DA352E" w14:paraId="679FF89C" w14:textId="77777777" w:rsidTr="00B6350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C800DD8" w14:textId="634EA730" w:rsidR="00C978F0" w:rsidRPr="00DA352E" w:rsidRDefault="00DA352E" w:rsidP="00E30C03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06C06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306C06">
                  <w:t>MAK: 200 ppm (810 mg/m</w:t>
                </w:r>
                <w:r w:rsidR="00306C06" w:rsidRPr="00306C06">
                  <w:rPr>
                    <w:vertAlign w:val="superscript"/>
                  </w:rPr>
                  <w:t>3</w:t>
                </w:r>
                <w:r w:rsidR="00306C06">
                  <w:t>)</w:t>
                </w:r>
              </w:sdtContent>
            </w:sdt>
          </w:p>
        </w:tc>
      </w:tr>
      <w:tr w:rsidR="00C978F0" w:rsidRPr="00DA352E" w14:paraId="5C541B2D" w14:textId="77777777" w:rsidTr="00B63507">
        <w:trPr>
          <w:gridAfter w:val="1"/>
          <w:wAfter w:w="8" w:type="pct"/>
          <w:cantSplit/>
        </w:trPr>
        <w:tc>
          <w:tcPr>
            <w:tcW w:w="4992" w:type="pct"/>
          </w:tcPr>
          <w:p w14:paraId="19C39728" w14:textId="474A556A" w:rsidR="00C978F0" w:rsidRDefault="008D104F" w:rsidP="002A71C8">
            <w:pPr>
              <w:pStyle w:val="Tabletextprimarysource"/>
            </w:pPr>
            <w:r>
              <w:t xml:space="preserve">MAK recommended to protect for </w:t>
            </w:r>
            <w:r w:rsidR="00BC5441">
              <w:t>renal toxicity as identified in animals</w:t>
            </w:r>
            <w:r w:rsidR="002A71C8">
              <w:t>.</w:t>
            </w:r>
          </w:p>
          <w:p w14:paraId="4138A03D" w14:textId="77777777" w:rsidR="00BC5441" w:rsidRDefault="00BC5441">
            <w:pPr>
              <w:pStyle w:val="Tabletextprimarysource"/>
            </w:pPr>
            <w:r>
              <w:t>Summary of additional data:</w:t>
            </w:r>
          </w:p>
          <w:p w14:paraId="4FB74C2D" w14:textId="3FB6A027" w:rsidR="00BC5441" w:rsidRDefault="00BC5441" w:rsidP="003E14F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Human data </w:t>
            </w:r>
            <w:r w:rsidR="00E30B60">
              <w:t>not available</w:t>
            </w:r>
          </w:p>
          <w:p w14:paraId="5FB6AE03" w14:textId="1602D58C" w:rsidR="003E14F8" w:rsidRDefault="00BC5441" w:rsidP="003E14F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NOE</w:t>
            </w:r>
            <w:r w:rsidR="003C0FE2">
              <w:t>C</w:t>
            </w:r>
            <w:r>
              <w:t xml:space="preserve"> of 400 ppm for kidney effects in male rats; female rats NOE</w:t>
            </w:r>
            <w:r w:rsidR="003C0FE2">
              <w:t>C</w:t>
            </w:r>
            <w:r>
              <w:t xml:space="preserve"> of 2,000 ppm; </w:t>
            </w:r>
            <w:r w:rsidR="003C0FE2">
              <w:t xml:space="preserve">inhalation exposure </w:t>
            </w:r>
            <w:r>
              <w:t>6</w:t>
            </w:r>
            <w:r w:rsidR="002A71C8">
              <w:t> </w:t>
            </w:r>
            <w:r>
              <w:t>h/d, 5</w:t>
            </w:r>
            <w:r w:rsidR="003E14F8">
              <w:t> </w:t>
            </w:r>
            <w:r>
              <w:t>d/</w:t>
            </w:r>
            <w:proofErr w:type="spellStart"/>
            <w:r>
              <w:t>wk</w:t>
            </w:r>
            <w:proofErr w:type="spellEnd"/>
            <w:r>
              <w:t xml:space="preserve"> for 12 </w:t>
            </w:r>
            <w:proofErr w:type="spellStart"/>
            <w:r>
              <w:t>m</w:t>
            </w:r>
            <w:r w:rsidR="00E30C03">
              <w:t>o</w:t>
            </w:r>
            <w:proofErr w:type="spellEnd"/>
            <w:r>
              <w:t>; basis for MAK</w:t>
            </w:r>
          </w:p>
          <w:p w14:paraId="0E2B9177" w14:textId="4DA10A92" w:rsidR="00BC5441" w:rsidRDefault="00BC5441" w:rsidP="003E14F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Not irritating to eye of rabbit in Draize test for 1 h.</w:t>
            </w:r>
          </w:p>
          <w:p w14:paraId="361F6BF1" w14:textId="05C71495" w:rsidR="00150CB5" w:rsidRDefault="00150CB5" w:rsidP="003E14F8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</w:rPr>
              <w:t>Starting with the NOEC of 400 ppm for kidney effects in rats and applying a factor of 2 for interspecies variation results in a MAK of 200 ppm</w:t>
            </w:r>
            <w:r w:rsidR="00A13A48">
              <w:rPr>
                <w:rFonts w:cs="Arial"/>
              </w:rPr>
              <w:t>.</w:t>
            </w:r>
          </w:p>
          <w:p w14:paraId="7F1178CC" w14:textId="0CF42B3E" w:rsidR="003E14F8" w:rsidRPr="00DA352E" w:rsidRDefault="003E14F8" w:rsidP="003E14F8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</w:p>
        </w:tc>
      </w:tr>
      <w:tr w:rsidR="00C978F0" w:rsidRPr="00DA352E" w14:paraId="154A27A5" w14:textId="77777777" w:rsidTr="00B6350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1A36AEF" w14:textId="1C03B8B6" w:rsidR="00C978F0" w:rsidRPr="00DA352E" w:rsidRDefault="00DA352E" w:rsidP="00E30C03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306C0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306C06">
                  <w:t>NA</w:t>
                </w:r>
                <w:proofErr w:type="spellEnd"/>
              </w:sdtContent>
            </w:sdt>
          </w:p>
        </w:tc>
      </w:tr>
      <w:tr w:rsidR="00C978F0" w:rsidRPr="00DA352E" w14:paraId="187369AE" w14:textId="77777777" w:rsidTr="00B63507">
        <w:trPr>
          <w:gridAfter w:val="1"/>
          <w:wAfter w:w="8" w:type="pct"/>
          <w:cantSplit/>
        </w:trPr>
        <w:tc>
          <w:tcPr>
            <w:tcW w:w="4992" w:type="pct"/>
          </w:tcPr>
          <w:p w14:paraId="58DFB018" w14:textId="644CBEC3" w:rsidR="00C978F0" w:rsidRPr="00DA352E" w:rsidRDefault="00306C06" w:rsidP="002A71C8">
            <w:pPr>
              <w:pStyle w:val="Tabletextprimarysource"/>
            </w:pPr>
            <w:r>
              <w:t>No report</w:t>
            </w:r>
            <w:r w:rsidR="002A71C8">
              <w:t>.</w:t>
            </w:r>
          </w:p>
        </w:tc>
      </w:tr>
      <w:tr w:rsidR="00DA352E" w:rsidRPr="00DA352E" w14:paraId="7802CDC3" w14:textId="77777777" w:rsidTr="00B6350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EA9ED56" w14:textId="49813B0D" w:rsidR="00DA352E" w:rsidRPr="00DA352E" w:rsidRDefault="00DA352E" w:rsidP="00E30C03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306C0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306C06">
                  <w:t>NA</w:t>
                </w:r>
                <w:proofErr w:type="spellEnd"/>
              </w:sdtContent>
            </w:sdt>
          </w:p>
        </w:tc>
      </w:tr>
      <w:tr w:rsidR="00DA352E" w:rsidRPr="00DA352E" w14:paraId="7A3F3A92" w14:textId="77777777" w:rsidTr="00B63507">
        <w:trPr>
          <w:gridAfter w:val="1"/>
          <w:wAfter w:w="8" w:type="pct"/>
          <w:cantSplit/>
        </w:trPr>
        <w:tc>
          <w:tcPr>
            <w:tcW w:w="4992" w:type="pct"/>
          </w:tcPr>
          <w:p w14:paraId="1E9CA3A9" w14:textId="6F3F2065" w:rsidR="00DA352E" w:rsidRPr="00DA352E" w:rsidRDefault="00306C06" w:rsidP="002A71C8">
            <w:pPr>
              <w:pStyle w:val="Tabletextprimarysource"/>
            </w:pPr>
            <w:r>
              <w:t>No report</w:t>
            </w:r>
            <w:r w:rsidR="002A71C8">
              <w:t>.</w:t>
            </w:r>
          </w:p>
        </w:tc>
      </w:tr>
      <w:tr w:rsidR="00DA352E" w:rsidRPr="00DA352E" w14:paraId="127090ED" w14:textId="77777777" w:rsidTr="00B6350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6B6EB5F" w14:textId="4B4B9AC2" w:rsidR="00DA352E" w:rsidRPr="00DA352E" w:rsidRDefault="00DA352E" w:rsidP="00E30C03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06C06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E30B60">
                  <w:t>TWA: 48 ppm (2</w:t>
                </w:r>
                <w:r w:rsidR="00306C06">
                  <w:t>00 mg/m</w:t>
                </w:r>
                <w:r w:rsidR="00306C06" w:rsidRPr="00306C06">
                  <w:rPr>
                    <w:vertAlign w:val="superscript"/>
                  </w:rPr>
                  <w:t>3</w:t>
                </w:r>
                <w:r w:rsidR="00306C06">
                  <w:t>)</w:t>
                </w:r>
              </w:sdtContent>
            </w:sdt>
          </w:p>
        </w:tc>
      </w:tr>
      <w:tr w:rsidR="00DA352E" w:rsidRPr="00DA352E" w14:paraId="2C225A4E" w14:textId="77777777" w:rsidTr="00B63507">
        <w:trPr>
          <w:gridAfter w:val="1"/>
          <w:wAfter w:w="8" w:type="pct"/>
          <w:cantSplit/>
        </w:trPr>
        <w:tc>
          <w:tcPr>
            <w:tcW w:w="4992" w:type="pct"/>
          </w:tcPr>
          <w:p w14:paraId="09EC65E1" w14:textId="63CAAF8F" w:rsidR="00DA352E" w:rsidRDefault="00E30B60" w:rsidP="002A71C8">
            <w:pPr>
              <w:pStyle w:val="Tabletextprimarysource"/>
            </w:pPr>
            <w:r>
              <w:t>TWA recommended to protect for effects in the kidney as identified in animals</w:t>
            </w:r>
            <w:r w:rsidR="002A71C8">
              <w:t>.</w:t>
            </w:r>
          </w:p>
          <w:p w14:paraId="58FB2374" w14:textId="77777777" w:rsidR="00E30B60" w:rsidRDefault="00E30B60" w:rsidP="002A71C8">
            <w:pPr>
              <w:pStyle w:val="Tabletextprimarysource"/>
            </w:pPr>
            <w:r>
              <w:t>Summary of additional data:</w:t>
            </w:r>
          </w:p>
          <w:p w14:paraId="7ACA4958" w14:textId="55CBDAFC" w:rsidR="00E30B60" w:rsidRDefault="00E30B60" w:rsidP="003E14F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TWA based on NOE</w:t>
            </w:r>
            <w:r w:rsidR="00E63AB5">
              <w:t>C</w:t>
            </w:r>
            <w:r>
              <w:t xml:space="preserve"> of 400 ppm (1,636 mg/m</w:t>
            </w:r>
            <w:r>
              <w:rPr>
                <w:vertAlign w:val="superscript"/>
              </w:rPr>
              <w:t>3</w:t>
            </w:r>
            <w:r>
              <w:t>) (cited by DFG, 2000) as starting point; overall factor of 9 to account for intraspecies variation and confidence in the database</w:t>
            </w:r>
            <w:r w:rsidR="002A71C8">
              <w:t>.</w:t>
            </w:r>
          </w:p>
          <w:p w14:paraId="03749FC7" w14:textId="56830100" w:rsidR="003E14F8" w:rsidRPr="00DA352E" w:rsidRDefault="003E14F8" w:rsidP="003E14F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3CEF20FA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1"/>
        <w:gridCol w:w="423"/>
        <w:gridCol w:w="661"/>
        <w:gridCol w:w="6451"/>
      </w:tblGrid>
      <w:tr w:rsidR="004966BF" w:rsidRPr="00B63507" w14:paraId="219CD7A1" w14:textId="77777777" w:rsidTr="00B63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1" w:type="dxa"/>
            <w:shd w:val="clear" w:color="auto" w:fill="BFBFBF" w:themeFill="background1" w:themeFillShade="BF"/>
            <w:vAlign w:val="center"/>
          </w:tcPr>
          <w:p w14:paraId="3CD0EAF7" w14:textId="77777777" w:rsidR="004966BF" w:rsidRPr="00B63507" w:rsidRDefault="004966BF" w:rsidP="00263255">
            <w:pPr>
              <w:pStyle w:val="Tableheader"/>
              <w:rPr>
                <w:b/>
              </w:rPr>
            </w:pPr>
            <w:r w:rsidRPr="00B63507">
              <w:rPr>
                <w:b/>
              </w:rPr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5D2DEE5" w14:textId="77777777" w:rsidR="004966BF" w:rsidRPr="00B63507" w:rsidRDefault="004966BF" w:rsidP="00263255">
            <w:pPr>
              <w:pStyle w:val="Tableheader"/>
              <w:rPr>
                <w:b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5BDD6DF" w14:textId="77777777" w:rsidR="004966BF" w:rsidRPr="00B63507" w:rsidRDefault="004966BF" w:rsidP="00263255">
            <w:pPr>
              <w:pStyle w:val="Tableheader"/>
              <w:rPr>
                <w:b/>
              </w:rPr>
            </w:pPr>
            <w:r w:rsidRPr="00B63507">
              <w:rPr>
                <w:b/>
              </w:rP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0EE9277E" w14:textId="77777777" w:rsidR="004966BF" w:rsidRPr="00B63507" w:rsidRDefault="004966BF" w:rsidP="00263255">
            <w:pPr>
              <w:pStyle w:val="Tableheader"/>
              <w:rPr>
                <w:b/>
              </w:rPr>
            </w:pPr>
            <w:r w:rsidRPr="00B63507">
              <w:rPr>
                <w:b/>
              </w:rPr>
              <w:t>Additional information</w:t>
            </w:r>
          </w:p>
        </w:tc>
      </w:tr>
      <w:tr w:rsidR="004966BF" w:rsidRPr="004C23F4" w14:paraId="242539EE" w14:textId="77777777" w:rsidTr="00B63507">
        <w:trPr>
          <w:cantSplit/>
        </w:trPr>
        <w:tc>
          <w:tcPr>
            <w:tcW w:w="1491" w:type="dxa"/>
          </w:tcPr>
          <w:p w14:paraId="2CA28194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7151D88A" w14:textId="2662DE95" w:rsidR="004966BF" w:rsidRPr="00CE617F" w:rsidRDefault="00B6350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30B6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BED14CD" w14:textId="154CCF69" w:rsidR="004966BF" w:rsidRPr="004C23F4" w:rsidRDefault="00E30B6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51" w:type="dxa"/>
          </w:tcPr>
          <w:p w14:paraId="0143E141" w14:textId="4F99CECC" w:rsidR="004966BF" w:rsidRPr="004C23F4" w:rsidRDefault="00E30B60" w:rsidP="003E14F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Human equivalent NOAEL of 816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C16561">
              <w:rPr>
                <w:rStyle w:val="checkbox"/>
                <w:rFonts w:ascii="Arial" w:hAnsi="Arial" w:cs="Arial"/>
              </w:rPr>
              <w:t xml:space="preserve"> </w:t>
            </w:r>
            <w:r w:rsidR="001E4247">
              <w:rPr>
                <w:rStyle w:val="checkbox"/>
                <w:rFonts w:ascii="Arial" w:hAnsi="Arial" w:cs="Arial"/>
              </w:rPr>
              <w:t>(</w:t>
            </w:r>
            <w:r w:rsidR="00B33D88">
              <w:rPr>
                <w:rStyle w:val="checkbox"/>
                <w:rFonts w:ascii="Arial" w:hAnsi="Arial" w:cs="Arial"/>
              </w:rPr>
              <w:t>≈</w:t>
            </w:r>
            <w:r w:rsidR="001E4247">
              <w:rPr>
                <w:rStyle w:val="checkbox"/>
                <w:rFonts w:ascii="Arial" w:hAnsi="Arial" w:cs="Arial"/>
              </w:rPr>
              <w:t xml:space="preserve">204 ppm) </w:t>
            </w:r>
            <w:r w:rsidR="00C16561">
              <w:rPr>
                <w:rStyle w:val="checkbox"/>
                <w:rFonts w:ascii="Arial" w:hAnsi="Arial" w:cs="Arial"/>
              </w:rPr>
              <w:t xml:space="preserve">based on the </w:t>
            </w:r>
            <w:r w:rsidR="001E4247">
              <w:rPr>
                <w:rStyle w:val="checkbox"/>
                <w:rFonts w:ascii="Arial" w:hAnsi="Arial" w:cs="Arial"/>
              </w:rPr>
              <w:t>NOAEL of 4,570 mg/m</w:t>
            </w:r>
            <w:r w:rsidR="001E4247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1E4247">
              <w:rPr>
                <w:rStyle w:val="checkbox"/>
                <w:rFonts w:ascii="Arial" w:hAnsi="Arial" w:cs="Arial"/>
              </w:rPr>
              <w:t xml:space="preserve"> (highest concentration) in </w:t>
            </w:r>
            <w:r w:rsidR="00C16561">
              <w:rPr>
                <w:rStyle w:val="checkbox"/>
                <w:rFonts w:ascii="Arial" w:hAnsi="Arial" w:cs="Arial"/>
              </w:rPr>
              <w:t>rabbits exposed intermittent</w:t>
            </w:r>
            <w:r w:rsidR="00A13A48">
              <w:rPr>
                <w:rStyle w:val="checkbox"/>
                <w:rFonts w:ascii="Arial" w:hAnsi="Arial" w:cs="Arial"/>
              </w:rPr>
              <w:t xml:space="preserve">ly </w:t>
            </w:r>
            <w:r w:rsidR="00A13A48" w:rsidRPr="00A961F6">
              <w:rPr>
                <w:rStyle w:val="checkbox"/>
                <w:rFonts w:ascii="Arial" w:hAnsi="Arial" w:cs="Arial"/>
                <w:i/>
              </w:rPr>
              <w:t>via</w:t>
            </w:r>
            <w:r w:rsidR="00A13A48">
              <w:rPr>
                <w:rStyle w:val="checkbox"/>
                <w:rFonts w:ascii="Arial" w:hAnsi="Arial" w:cs="Arial"/>
              </w:rPr>
              <w:t xml:space="preserve"> inhalation</w:t>
            </w:r>
            <w:r w:rsidR="00C16561">
              <w:rPr>
                <w:rStyle w:val="checkbox"/>
                <w:rFonts w:ascii="Arial" w:hAnsi="Arial" w:cs="Arial"/>
              </w:rPr>
              <w:t xml:space="preserve"> for 10</w:t>
            </w:r>
            <w:r w:rsidR="002A71C8">
              <w:rPr>
                <w:rStyle w:val="checkbox"/>
                <w:rFonts w:ascii="Arial" w:hAnsi="Arial" w:cs="Arial"/>
              </w:rPr>
              <w:t> </w:t>
            </w:r>
            <w:proofErr w:type="spellStart"/>
            <w:r w:rsidR="00C16561">
              <w:rPr>
                <w:rStyle w:val="checkbox"/>
                <w:rFonts w:ascii="Arial" w:hAnsi="Arial" w:cs="Arial"/>
              </w:rPr>
              <w:t>wk</w:t>
            </w:r>
            <w:proofErr w:type="spellEnd"/>
            <w:r w:rsidR="00C16561">
              <w:rPr>
                <w:rStyle w:val="checkbox"/>
                <w:rFonts w:ascii="Arial" w:hAnsi="Arial" w:cs="Arial"/>
              </w:rPr>
              <w:t>; effects not presented</w:t>
            </w:r>
            <w:r w:rsidR="002A71C8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3F17898B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2549891E" w14:textId="77777777" w:rsidTr="00C16561">
        <w:trPr>
          <w:trHeight w:val="454"/>
          <w:tblHeader/>
        </w:trPr>
        <w:tc>
          <w:tcPr>
            <w:tcW w:w="6603" w:type="dxa"/>
            <w:vAlign w:val="center"/>
          </w:tcPr>
          <w:p w14:paraId="050470CB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1667C050" w14:textId="3669CC36" w:rsidR="002E0D61" w:rsidRDefault="00C1656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1DB75863" w14:textId="77777777" w:rsidTr="00C16561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61E4A664" w14:textId="4F7CEB83" w:rsidR="008A36CF" w:rsidRPr="006901A2" w:rsidRDefault="00C16561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BD03614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73098998" w14:textId="77777777" w:rsidR="00687890" w:rsidRPr="004C23F4" w:rsidRDefault="00B479A9" w:rsidP="00474E33">
      <w:pPr>
        <w:pStyle w:val="Heading2"/>
      </w:pPr>
      <w:r w:rsidRPr="004C23F4">
        <w:t>Notations</w:t>
      </w:r>
      <w:bookmarkStart w:id="2" w:name="_GoBack"/>
      <w:bookmarkEnd w:id="2"/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B63507" w14:paraId="49A4A178" w14:textId="77777777" w:rsidTr="00B63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FF0768B" w14:textId="77777777" w:rsidR="00687890" w:rsidRPr="00B63507" w:rsidRDefault="00687890" w:rsidP="00263255">
            <w:pPr>
              <w:pStyle w:val="Tableheader"/>
              <w:rPr>
                <w:b/>
              </w:rPr>
            </w:pPr>
            <w:bookmarkStart w:id="3" w:name="Notations"/>
            <w:r w:rsidRPr="00B63507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70082BE" w14:textId="77777777" w:rsidR="00687890" w:rsidRPr="00B63507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B63507">
              <w:rPr>
                <w:b/>
              </w:rPr>
              <w:t>Notations</w:t>
            </w:r>
            <w:r w:rsidR="003A2B94" w:rsidRPr="00B63507">
              <w:rPr>
                <w:b/>
              </w:rPr>
              <w:tab/>
            </w:r>
          </w:p>
        </w:tc>
      </w:tr>
      <w:tr w:rsidR="00687890" w:rsidRPr="004C23F4" w14:paraId="5591CBAD" w14:textId="77777777" w:rsidTr="00B63507">
        <w:trPr>
          <w:cantSplit/>
        </w:trPr>
        <w:tc>
          <w:tcPr>
            <w:tcW w:w="3227" w:type="dxa"/>
          </w:tcPr>
          <w:p w14:paraId="4BD3486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38D0F54" w14:textId="3FB4CB6A" w:rsidR="00687890" w:rsidRPr="00DD2F9B" w:rsidRDefault="00306C06" w:rsidP="00DD2F9B">
            <w:pPr>
              <w:pStyle w:val="Tablefont"/>
            </w:pPr>
            <w:r w:rsidRPr="00306C06">
              <w:t>—</w:t>
            </w:r>
          </w:p>
        </w:tc>
      </w:tr>
      <w:tr w:rsidR="007925F0" w:rsidRPr="004C23F4" w14:paraId="1173C44E" w14:textId="77777777" w:rsidTr="00B63507">
        <w:trPr>
          <w:cantSplit/>
        </w:trPr>
        <w:tc>
          <w:tcPr>
            <w:tcW w:w="3227" w:type="dxa"/>
          </w:tcPr>
          <w:p w14:paraId="553F9499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33488E1" w14:textId="15F90ADD" w:rsidR="007925F0" w:rsidRPr="00DD2F9B" w:rsidRDefault="00306C06" w:rsidP="00DD2F9B">
            <w:pPr>
              <w:pStyle w:val="Tablefont"/>
            </w:pPr>
            <w:r w:rsidRPr="00306C06">
              <w:t>—</w:t>
            </w:r>
          </w:p>
        </w:tc>
      </w:tr>
      <w:tr w:rsidR="00AF483F" w:rsidRPr="004C23F4" w14:paraId="47E8739F" w14:textId="77777777" w:rsidTr="00B63507">
        <w:trPr>
          <w:cantSplit/>
        </w:trPr>
        <w:tc>
          <w:tcPr>
            <w:tcW w:w="3227" w:type="dxa"/>
          </w:tcPr>
          <w:p w14:paraId="213EB065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D01C4D1" w14:textId="2E1D5C8B" w:rsidR="00AF483F" w:rsidRPr="00DD2F9B" w:rsidRDefault="00306C06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51134029" w14:textId="77777777" w:rsidTr="00B63507">
        <w:trPr>
          <w:cantSplit/>
        </w:trPr>
        <w:tc>
          <w:tcPr>
            <w:tcW w:w="3227" w:type="dxa"/>
          </w:tcPr>
          <w:p w14:paraId="3BA8719B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81B0ECA" w14:textId="19D0DB2E" w:rsidR="00687890" w:rsidRPr="00DD2F9B" w:rsidRDefault="00306C06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58A28B51" w14:textId="77777777" w:rsidTr="00B63507">
        <w:trPr>
          <w:cantSplit/>
        </w:trPr>
        <w:tc>
          <w:tcPr>
            <w:tcW w:w="3227" w:type="dxa"/>
          </w:tcPr>
          <w:p w14:paraId="6A914A7F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2E3CFAA" w14:textId="4E60BA9B" w:rsidR="00E41A26" w:rsidRPr="00DD2F9B" w:rsidRDefault="00306C0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664215C" w14:textId="77777777" w:rsidTr="00B63507">
        <w:trPr>
          <w:cantSplit/>
        </w:trPr>
        <w:tc>
          <w:tcPr>
            <w:tcW w:w="3227" w:type="dxa"/>
          </w:tcPr>
          <w:p w14:paraId="6EC7851B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74A3F1D" w14:textId="3E61844D" w:rsidR="002E0D61" w:rsidRPr="00DD2F9B" w:rsidRDefault="00306C06" w:rsidP="00DD2F9B">
            <w:pPr>
              <w:pStyle w:val="Tablefont"/>
            </w:pPr>
            <w:r w:rsidRPr="00306C06">
              <w:t>—</w:t>
            </w:r>
          </w:p>
        </w:tc>
      </w:tr>
      <w:tr w:rsidR="002E0D61" w:rsidRPr="004C23F4" w14:paraId="72F010C0" w14:textId="77777777" w:rsidTr="00B63507">
        <w:trPr>
          <w:cantSplit/>
        </w:trPr>
        <w:tc>
          <w:tcPr>
            <w:tcW w:w="3227" w:type="dxa"/>
          </w:tcPr>
          <w:p w14:paraId="7A60C0E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CD643B3" w14:textId="3ED5201F" w:rsidR="002E0D61" w:rsidRPr="00DD2F9B" w:rsidRDefault="00AD51A2" w:rsidP="00DD2F9B">
            <w:pPr>
              <w:pStyle w:val="Tablefont"/>
            </w:pPr>
            <w:r w:rsidRPr="00306C06">
              <w:t>—</w:t>
            </w:r>
          </w:p>
        </w:tc>
      </w:tr>
      <w:tr w:rsidR="002E0D61" w:rsidRPr="004C23F4" w14:paraId="556BEBA6" w14:textId="77777777" w:rsidTr="00B63507">
        <w:trPr>
          <w:cantSplit/>
        </w:trPr>
        <w:tc>
          <w:tcPr>
            <w:tcW w:w="3227" w:type="dxa"/>
          </w:tcPr>
          <w:p w14:paraId="7EBF9726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7168152" w14:textId="46CDA982" w:rsidR="002E0D61" w:rsidRPr="00DD2F9B" w:rsidRDefault="00AD51A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024DF8" w14:textId="77777777" w:rsidTr="00B63507">
        <w:trPr>
          <w:cantSplit/>
        </w:trPr>
        <w:tc>
          <w:tcPr>
            <w:tcW w:w="3227" w:type="dxa"/>
          </w:tcPr>
          <w:p w14:paraId="283C1660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43316E6" w14:textId="40F657EE" w:rsidR="002E0D61" w:rsidRPr="00DD2F9B" w:rsidRDefault="00AD51A2" w:rsidP="00DD2F9B">
            <w:pPr>
              <w:pStyle w:val="Tablefont"/>
            </w:pPr>
            <w:r w:rsidRPr="00306C06">
              <w:t>—</w:t>
            </w:r>
          </w:p>
        </w:tc>
      </w:tr>
      <w:tr w:rsidR="00386093" w:rsidRPr="004C23F4" w14:paraId="44D4BCB8" w14:textId="77777777" w:rsidTr="00B63507">
        <w:trPr>
          <w:cantSplit/>
        </w:trPr>
        <w:tc>
          <w:tcPr>
            <w:tcW w:w="3227" w:type="dxa"/>
          </w:tcPr>
          <w:p w14:paraId="0E7609D3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1639840" w14:textId="500CF4FD" w:rsidR="00386093" w:rsidRPr="00DD2F9B" w:rsidRDefault="00AD51A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47D962D" w14:textId="77777777" w:rsidTr="00B63507">
        <w:trPr>
          <w:cantSplit/>
        </w:trPr>
        <w:tc>
          <w:tcPr>
            <w:tcW w:w="3227" w:type="dxa"/>
          </w:tcPr>
          <w:p w14:paraId="3058C725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8DCAA49" w14:textId="52A05DE6" w:rsidR="00386093" w:rsidRPr="00DD2F9B" w:rsidRDefault="00AD51A2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00F7062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FB3DCCA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C1B2AA6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229E3F6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4C1DFC0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293FEF08" w14:textId="58688E6A" w:rsidR="00932DCE" w:rsidRPr="004C23F4" w:rsidRDefault="00C16561" w:rsidP="00F9496B">
            <w:pPr>
              <w:pStyle w:val="Tablefont"/>
            </w:pPr>
            <w:r>
              <w:t xml:space="preserve">Insufficient data to </w:t>
            </w:r>
            <w:r w:rsidR="002A71C8">
              <w:t>assign a skin notation</w:t>
            </w:r>
          </w:p>
        </w:tc>
      </w:tr>
    </w:tbl>
    <w:bookmarkEnd w:id="4"/>
    <w:p w14:paraId="6CB1740E" w14:textId="77777777" w:rsidR="00EB3D1B" w:rsidRDefault="00EB3D1B" w:rsidP="00EB3D1B">
      <w:pPr>
        <w:pStyle w:val="Heading3"/>
      </w:pPr>
      <w:r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6"/>
        <w:gridCol w:w="4760"/>
      </w:tblGrid>
      <w:tr w:rsidR="00EB3D1B" w14:paraId="5304B294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EBE3CD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330D269" w14:textId="4E3FC5AB" w:rsidR="00EB3D1B" w:rsidRDefault="00306C06" w:rsidP="00EB3D1B">
                <w:pPr>
                  <w:pStyle w:val="Tablefont"/>
                </w:pPr>
                <w:r>
                  <w:t>Yes, based on LEL</w:t>
                </w:r>
              </w:p>
            </w:tc>
          </w:sdtContent>
        </w:sdt>
      </w:tr>
    </w:tbl>
    <w:p w14:paraId="7643A696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4A329DB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C5ACBFE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250A0B8" w14:textId="623B6324" w:rsidR="001B79E5" w:rsidRDefault="00AD51A2" w:rsidP="001B79E5">
                <w:pPr>
                  <w:pStyle w:val="Tablefont"/>
                </w:pPr>
                <w:r>
                  <w:t>98.19</w:t>
                </w:r>
              </w:p>
            </w:tc>
          </w:sdtContent>
        </w:sdt>
      </w:tr>
      <w:tr w:rsidR="00A31D99" w:rsidRPr="004C23F4" w14:paraId="5BFAD10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2D869E4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3631A76" w14:textId="5B1DD25C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AD51A2">
                  <w:t>4.01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D51A2">
                  <w:t>0.250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B62586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328B55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E180AC7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E003E32" w14:textId="77777777" w:rsidTr="00EA6243">
        <w:trPr>
          <w:cantSplit/>
        </w:trPr>
        <w:tc>
          <w:tcPr>
            <w:tcW w:w="4077" w:type="dxa"/>
            <w:vAlign w:val="center"/>
          </w:tcPr>
          <w:p w14:paraId="76E60E4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2BFAA96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8C2906" w14:textId="77777777" w:rsidTr="00EA6243">
        <w:trPr>
          <w:cantSplit/>
        </w:trPr>
        <w:tc>
          <w:tcPr>
            <w:tcW w:w="4077" w:type="dxa"/>
            <w:vAlign w:val="center"/>
          </w:tcPr>
          <w:p w14:paraId="2A5EC7D3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124C452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1A8DBB3" w14:textId="77777777" w:rsidTr="00EA6243">
        <w:trPr>
          <w:cantSplit/>
        </w:trPr>
        <w:tc>
          <w:tcPr>
            <w:tcW w:w="4077" w:type="dxa"/>
            <w:vAlign w:val="center"/>
          </w:tcPr>
          <w:p w14:paraId="7E0E9D9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1C0EF4B" w14:textId="77777777" w:rsidR="00E06F40" w:rsidRPr="00A006A0" w:rsidRDefault="00B63507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601387F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688BDD1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7E12B2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440D71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24679F9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6E6A556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961A6B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4C23313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92E5623" w14:textId="2E80A046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7916C55" w14:textId="29DEC520" w:rsidR="00AD51A2" w:rsidRDefault="00AD51A2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(2007) </w:t>
      </w:r>
      <w:proofErr w:type="spellStart"/>
      <w:r w:rsidRPr="00AD51A2">
        <w:t>Methylcyclohexan</w:t>
      </w:r>
      <w:proofErr w:type="spellEnd"/>
      <w:r>
        <w:t xml:space="preserve"> – MAK value documentation.</w:t>
      </w:r>
    </w:p>
    <w:p w14:paraId="4DF202F2" w14:textId="275529A9" w:rsidR="00AD51A2" w:rsidRDefault="00AD51A2" w:rsidP="00084859">
      <w:r w:rsidRPr="002022B6">
        <w:t>Health Council of the Netherlands</w:t>
      </w:r>
      <w:r>
        <w:t xml:space="preserve"> (HCOTN) (</w:t>
      </w:r>
      <w:r w:rsidRPr="00AD51A2">
        <w:t>2005</w:t>
      </w:r>
      <w:r>
        <w:t xml:space="preserve">) </w:t>
      </w:r>
      <w:r w:rsidRPr="00AD51A2">
        <w:t>Methylcyclohexane</w:t>
      </w:r>
      <w:r w:rsidRPr="005F7416">
        <w:t xml:space="preserve">. Health-based calculated occupational cancer risk values. The Hague: Health Council of the Netherlands; publication no. </w:t>
      </w:r>
      <w:r w:rsidRPr="00AD51A2">
        <w:t>2000/15OSH/154</w:t>
      </w:r>
      <w:r>
        <w:t>.</w:t>
      </w:r>
    </w:p>
    <w:p w14:paraId="092C0174" w14:textId="578F1D53" w:rsidR="00C16561" w:rsidRDefault="00C16561" w:rsidP="00C16561">
      <w:r w:rsidRPr="00C16561">
        <w:t xml:space="preserve">US Environmental </w:t>
      </w:r>
      <w:r>
        <w:t>Protection Agency (US EPA) (2013</w:t>
      </w:r>
      <w:r w:rsidRPr="00C16561">
        <w:t xml:space="preserve">) </w:t>
      </w:r>
      <w:r>
        <w:t>Provisional Peer-Reviewed Toxicity Values for Methylcyclohexane.</w:t>
      </w:r>
    </w:p>
    <w:p w14:paraId="43DA179F" w14:textId="2DC0BA77" w:rsidR="00AD51A2" w:rsidRPr="00351FE0" w:rsidRDefault="00AD51A2" w:rsidP="00084859">
      <w:r w:rsidRPr="00D86E03">
        <w:t>US National Institute for Occupational Safety and Health (NIOSH)</w:t>
      </w:r>
      <w:r>
        <w:t xml:space="preserve"> (</w:t>
      </w:r>
      <w:r w:rsidRPr="00AD51A2">
        <w:t>1994</w:t>
      </w:r>
      <w:r>
        <w:t xml:space="preserve">) Immediately dangerous to life or health concentrations – </w:t>
      </w:r>
      <w:r w:rsidRPr="00AD51A2">
        <w:t>Methylcyclohexane</w:t>
      </w:r>
      <w:r>
        <w:t>.</w:t>
      </w:r>
    </w:p>
    <w:sectPr w:rsidR="00AD51A2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0978E" w14:textId="77777777" w:rsidR="00573D30" w:rsidRDefault="00573D30" w:rsidP="00F43AD5">
      <w:pPr>
        <w:spacing w:after="0" w:line="240" w:lineRule="auto"/>
      </w:pPr>
      <w:r>
        <w:separator/>
      </w:r>
    </w:p>
  </w:endnote>
  <w:endnote w:type="continuationSeparator" w:id="0">
    <w:p w14:paraId="3F756581" w14:textId="77777777" w:rsidR="00573D30" w:rsidRDefault="00573D30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AA57C" w14:textId="77777777" w:rsidR="00B63507" w:rsidRDefault="00B63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92ACCF2" w14:textId="3CC65462" w:rsidR="008A36CF" w:rsidRDefault="00306C06" w:rsidP="0034744C">
        <w:pPr>
          <w:pStyle w:val="Footer"/>
          <w:rPr>
            <w:sz w:val="18"/>
            <w:szCs w:val="18"/>
          </w:rPr>
        </w:pPr>
        <w:r w:rsidRPr="00306C06">
          <w:rPr>
            <w:b/>
            <w:sz w:val="18"/>
            <w:szCs w:val="18"/>
          </w:rPr>
          <w:t>Methylcyclohexane</w:t>
        </w:r>
        <w:r w:rsidR="008A36CF">
          <w:rPr>
            <w:b/>
            <w:sz w:val="18"/>
            <w:szCs w:val="18"/>
          </w:rPr>
          <w:t xml:space="preserve"> (</w:t>
        </w:r>
        <w:r w:rsidR="002822A3" w:rsidRPr="002822A3">
          <w:rPr>
            <w:b/>
            <w:sz w:val="18"/>
            <w:szCs w:val="18"/>
          </w:rPr>
          <w:t>108-87-2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A0547C5" w14:textId="0790F56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7F5C90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5B611" w14:textId="77777777" w:rsidR="00B63507" w:rsidRDefault="00B63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E85E5" w14:textId="77777777" w:rsidR="00573D30" w:rsidRDefault="00573D30" w:rsidP="00F43AD5">
      <w:pPr>
        <w:spacing w:after="0" w:line="240" w:lineRule="auto"/>
      </w:pPr>
      <w:r>
        <w:separator/>
      </w:r>
    </w:p>
  </w:footnote>
  <w:footnote w:type="continuationSeparator" w:id="0">
    <w:p w14:paraId="277730B6" w14:textId="77777777" w:rsidR="00573D30" w:rsidRDefault="00573D30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182AB" w14:textId="2752C64C" w:rsidR="00B63507" w:rsidRDefault="00B63507">
    <w:pPr>
      <w:pStyle w:val="Header"/>
    </w:pPr>
    <w:r>
      <w:rPr>
        <w:noProof/>
      </w:rPr>
      <w:pict w14:anchorId="62385C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792251" o:spid="_x0000_s10242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7DC77" w14:textId="757C8B72" w:rsidR="008A36CF" w:rsidRDefault="00B63507" w:rsidP="00F43AD5">
    <w:pPr>
      <w:pStyle w:val="Header"/>
      <w:jc w:val="right"/>
    </w:pPr>
    <w:r>
      <w:rPr>
        <w:noProof/>
      </w:rPr>
      <w:pict w14:anchorId="3F31D3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792252" o:spid="_x0000_s10243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C92D" w14:textId="4C373B70" w:rsidR="00B63507" w:rsidRDefault="00B63507">
    <w:pPr>
      <w:pStyle w:val="Header"/>
    </w:pPr>
    <w:r>
      <w:rPr>
        <w:noProof/>
      </w:rPr>
      <w:pict w14:anchorId="2D846C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792250" o:spid="_x0000_s10241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6C46E" w14:textId="55664719" w:rsidR="00B63507" w:rsidRDefault="00B63507">
    <w:pPr>
      <w:pStyle w:val="Header"/>
    </w:pPr>
    <w:r>
      <w:rPr>
        <w:noProof/>
      </w:rPr>
      <w:pict w14:anchorId="05D4F2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792254" o:spid="_x0000_s10245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7AD5C" w14:textId="0A40C088" w:rsidR="008A36CF" w:rsidRDefault="00B63507" w:rsidP="00F43AD5">
    <w:pPr>
      <w:pStyle w:val="Header"/>
      <w:jc w:val="right"/>
    </w:pPr>
    <w:r>
      <w:rPr>
        <w:noProof/>
      </w:rPr>
      <w:pict w14:anchorId="3132F0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792255" o:spid="_x0000_s10246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41879810" wp14:editId="09E1666C">
          <wp:extent cx="2938145" cy="59436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6756" w14:textId="54805D5F" w:rsidR="00B63507" w:rsidRDefault="00B63507">
    <w:pPr>
      <w:pStyle w:val="Header"/>
    </w:pPr>
    <w:r>
      <w:rPr>
        <w:noProof/>
      </w:rPr>
      <w:pict w14:anchorId="78B50B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792253" o:spid="_x0000_s10244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79A8C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7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20D9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182C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0CB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247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135F"/>
    <w:rsid w:val="0025734A"/>
    <w:rsid w:val="00263255"/>
    <w:rsid w:val="00276494"/>
    <w:rsid w:val="00277B0C"/>
    <w:rsid w:val="002822A3"/>
    <w:rsid w:val="002A71C8"/>
    <w:rsid w:val="002B1A2C"/>
    <w:rsid w:val="002B2129"/>
    <w:rsid w:val="002B3280"/>
    <w:rsid w:val="002C2893"/>
    <w:rsid w:val="002C34F2"/>
    <w:rsid w:val="002C58FF"/>
    <w:rsid w:val="002C7AFE"/>
    <w:rsid w:val="002D05D2"/>
    <w:rsid w:val="002E0D61"/>
    <w:rsid w:val="002E4C7B"/>
    <w:rsid w:val="00306C06"/>
    <w:rsid w:val="0030740C"/>
    <w:rsid w:val="00315833"/>
    <w:rsid w:val="003215EE"/>
    <w:rsid w:val="003224BF"/>
    <w:rsid w:val="0032303B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3BF3"/>
    <w:rsid w:val="00374291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0FE2"/>
    <w:rsid w:val="003C4456"/>
    <w:rsid w:val="003D4FA3"/>
    <w:rsid w:val="003E0807"/>
    <w:rsid w:val="003E14F8"/>
    <w:rsid w:val="003E51FB"/>
    <w:rsid w:val="003E6B39"/>
    <w:rsid w:val="003F07E1"/>
    <w:rsid w:val="003F396D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3200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C7A5A"/>
    <w:rsid w:val="004D16A3"/>
    <w:rsid w:val="004D4AA1"/>
    <w:rsid w:val="004D6D68"/>
    <w:rsid w:val="004E5EDD"/>
    <w:rsid w:val="004F1989"/>
    <w:rsid w:val="004F2EDA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BEA"/>
    <w:rsid w:val="00544D2F"/>
    <w:rsid w:val="00551BD8"/>
    <w:rsid w:val="00573D30"/>
    <w:rsid w:val="0058064B"/>
    <w:rsid w:val="00581055"/>
    <w:rsid w:val="005825DC"/>
    <w:rsid w:val="00591E38"/>
    <w:rsid w:val="005A19C5"/>
    <w:rsid w:val="005A3034"/>
    <w:rsid w:val="005A462D"/>
    <w:rsid w:val="005B253B"/>
    <w:rsid w:val="005B771D"/>
    <w:rsid w:val="005C5D16"/>
    <w:rsid w:val="005D3193"/>
    <w:rsid w:val="005D3B09"/>
    <w:rsid w:val="005D4A6E"/>
    <w:rsid w:val="005E6979"/>
    <w:rsid w:val="005E75CB"/>
    <w:rsid w:val="005F295A"/>
    <w:rsid w:val="006013C1"/>
    <w:rsid w:val="0060669E"/>
    <w:rsid w:val="00610F2E"/>
    <w:rsid w:val="00611399"/>
    <w:rsid w:val="00624C4E"/>
    <w:rsid w:val="00625200"/>
    <w:rsid w:val="00626654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66DAB"/>
    <w:rsid w:val="0067305D"/>
    <w:rsid w:val="00677D9B"/>
    <w:rsid w:val="006867F3"/>
    <w:rsid w:val="00687890"/>
    <w:rsid w:val="006901A2"/>
    <w:rsid w:val="00690368"/>
    <w:rsid w:val="0069079C"/>
    <w:rsid w:val="00690B53"/>
    <w:rsid w:val="00695086"/>
    <w:rsid w:val="00695B72"/>
    <w:rsid w:val="006B160A"/>
    <w:rsid w:val="006B4E6C"/>
    <w:rsid w:val="006B50B6"/>
    <w:rsid w:val="006D79EA"/>
    <w:rsid w:val="006E5D05"/>
    <w:rsid w:val="00701053"/>
    <w:rsid w:val="00701507"/>
    <w:rsid w:val="00710C06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7F5C90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0AC4"/>
    <w:rsid w:val="008A36CF"/>
    <w:rsid w:val="008A3BC4"/>
    <w:rsid w:val="008B403C"/>
    <w:rsid w:val="008B7983"/>
    <w:rsid w:val="008C2511"/>
    <w:rsid w:val="008D026D"/>
    <w:rsid w:val="008D104F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37905"/>
    <w:rsid w:val="00946044"/>
    <w:rsid w:val="0094660B"/>
    <w:rsid w:val="00946A33"/>
    <w:rsid w:val="0095260E"/>
    <w:rsid w:val="009578DD"/>
    <w:rsid w:val="00961124"/>
    <w:rsid w:val="009621B6"/>
    <w:rsid w:val="0096329C"/>
    <w:rsid w:val="0097374A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49C8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3A48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08B4"/>
    <w:rsid w:val="00A53681"/>
    <w:rsid w:val="00A633D4"/>
    <w:rsid w:val="00A6461A"/>
    <w:rsid w:val="00A84504"/>
    <w:rsid w:val="00A8672F"/>
    <w:rsid w:val="00A93057"/>
    <w:rsid w:val="00A961F6"/>
    <w:rsid w:val="00A967DD"/>
    <w:rsid w:val="00A968B0"/>
    <w:rsid w:val="00AB03B8"/>
    <w:rsid w:val="00AB2672"/>
    <w:rsid w:val="00AB2817"/>
    <w:rsid w:val="00AB43C4"/>
    <w:rsid w:val="00AC32E7"/>
    <w:rsid w:val="00AC3A9F"/>
    <w:rsid w:val="00AC6D2F"/>
    <w:rsid w:val="00AD51A2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3D88"/>
    <w:rsid w:val="00B40C60"/>
    <w:rsid w:val="00B4625E"/>
    <w:rsid w:val="00B479A9"/>
    <w:rsid w:val="00B52EDF"/>
    <w:rsid w:val="00B63507"/>
    <w:rsid w:val="00B71188"/>
    <w:rsid w:val="00B76A41"/>
    <w:rsid w:val="00B87D4C"/>
    <w:rsid w:val="00B93646"/>
    <w:rsid w:val="00BA0B38"/>
    <w:rsid w:val="00BA1DBB"/>
    <w:rsid w:val="00BA4510"/>
    <w:rsid w:val="00BA529A"/>
    <w:rsid w:val="00BA76ED"/>
    <w:rsid w:val="00BB612A"/>
    <w:rsid w:val="00BC5441"/>
    <w:rsid w:val="00BD499F"/>
    <w:rsid w:val="00BD56DE"/>
    <w:rsid w:val="00BF2406"/>
    <w:rsid w:val="00C06E43"/>
    <w:rsid w:val="00C15E06"/>
    <w:rsid w:val="00C16315"/>
    <w:rsid w:val="00C16561"/>
    <w:rsid w:val="00C254C6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A60DA"/>
    <w:rsid w:val="00CB1181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14C8"/>
    <w:rsid w:val="00CF7533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27F8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49C"/>
    <w:rsid w:val="00E06F40"/>
    <w:rsid w:val="00E07CE8"/>
    <w:rsid w:val="00E26A07"/>
    <w:rsid w:val="00E30B60"/>
    <w:rsid w:val="00E30C03"/>
    <w:rsid w:val="00E32595"/>
    <w:rsid w:val="00E37CFD"/>
    <w:rsid w:val="00E41A26"/>
    <w:rsid w:val="00E46BCB"/>
    <w:rsid w:val="00E51CAF"/>
    <w:rsid w:val="00E60F04"/>
    <w:rsid w:val="00E62AAC"/>
    <w:rsid w:val="00E63AB5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52C4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0C69"/>
    <w:rsid w:val="00FD11BD"/>
    <w:rsid w:val="00FD1871"/>
    <w:rsid w:val="00FD3110"/>
    <w:rsid w:val="00FF424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473200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7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1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1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1C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94B97937D0E148A2AA2066BFCDCB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806E-1C71-43FD-A8DB-B2BF54718341}"/>
      </w:docPartPr>
      <w:docPartBody>
        <w:p w:rsidR="0058539C" w:rsidRDefault="008D7AF2" w:rsidP="008D7AF2">
          <w:pPr>
            <w:pStyle w:val="94B97937D0E148A2AA2066BFCDCB165F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58539C"/>
    <w:rsid w:val="008D7AF2"/>
    <w:rsid w:val="00C3172F"/>
    <w:rsid w:val="00D21A9F"/>
    <w:rsid w:val="00D8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AF2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D3F8D62A6E44885A4F0BCAADFABFD77">
    <w:name w:val="3D3F8D62A6E44885A4F0BCAADFABFD77"/>
    <w:rsid w:val="00D8276D"/>
  </w:style>
  <w:style w:type="paragraph" w:customStyle="1" w:styleId="A6F940B2C7E7469F9B7F9899C08E7CA3">
    <w:name w:val="A6F940B2C7E7469F9B7F9899C08E7CA3"/>
    <w:rsid w:val="00D8276D"/>
  </w:style>
  <w:style w:type="paragraph" w:customStyle="1" w:styleId="69959D6B8EFD4F0C9754B742766D24AB">
    <w:name w:val="69959D6B8EFD4F0C9754B742766D24AB"/>
    <w:rsid w:val="00D8276D"/>
  </w:style>
  <w:style w:type="paragraph" w:customStyle="1" w:styleId="4B016132FBB742CA9F5262C5F008E9BC">
    <w:name w:val="4B016132FBB742CA9F5262C5F008E9BC"/>
    <w:rsid w:val="00D8276D"/>
  </w:style>
  <w:style w:type="paragraph" w:customStyle="1" w:styleId="BCDF954C77DB4B6082C9201BA183E025">
    <w:name w:val="BCDF954C77DB4B6082C9201BA183E025"/>
    <w:rsid w:val="00D8276D"/>
  </w:style>
  <w:style w:type="paragraph" w:customStyle="1" w:styleId="78AC320E6C694C8694AA094EC5913F4B">
    <w:name w:val="78AC320E6C694C8694AA094EC5913F4B"/>
    <w:rsid w:val="00D8276D"/>
  </w:style>
  <w:style w:type="paragraph" w:customStyle="1" w:styleId="6A5AC19EA99A4903B3BC5BA0812DF588">
    <w:name w:val="6A5AC19EA99A4903B3BC5BA0812DF588"/>
    <w:rsid w:val="00D8276D"/>
  </w:style>
  <w:style w:type="paragraph" w:customStyle="1" w:styleId="94B97937D0E148A2AA2066BFCDCB165F">
    <w:name w:val="94B97937D0E148A2AA2066BFCDCB165F"/>
    <w:rsid w:val="008D7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687B-B323-4B10-A715-43D320575BF5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f54d604-3e62-4e70-ba33-9e9084b96a6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C34DEC-FB37-4586-9D86-AF007ACCD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25E33-9AA5-42E6-9B4E-313856A83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2C813C-37F5-4058-B5A9-FA0EEEB5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2020-02-04T05:19:00Z</dcterms:created>
  <dcterms:modified xsi:type="dcterms:W3CDTF">2020-03-12T23:12:00Z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