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394ECD31" w14:textId="07F36AFC" w:rsidR="00BD499F" w:rsidRPr="004C23F4" w:rsidRDefault="00BD2F16" w:rsidP="00B40C60">
          <w:pPr>
            <w:pStyle w:val="Heading1"/>
            <w:jc w:val="center"/>
            <w:rPr>
              <w:rFonts w:ascii="Arial" w:hAnsi="Arial" w:cs="Arial"/>
            </w:rPr>
          </w:pPr>
          <w:r w:rsidRPr="00E543A7">
            <w:rPr>
              <w:rFonts w:ascii="Arial" w:hAnsi="Arial" w:cs="Arial"/>
            </w:rPr>
            <w:t>Methylcyclohexanol</w:t>
          </w:r>
          <w:r>
            <w:rPr>
              <w:rFonts w:ascii="Arial" w:hAnsi="Arial" w:cs="Arial"/>
            </w:rPr>
            <w:t xml:space="preserve"> (ALL isomers)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80"/>
        <w:gridCol w:w="5046"/>
      </w:tblGrid>
      <w:tr w:rsidR="00F43AD5" w:rsidRPr="004C23F4" w14:paraId="4EBD204B" w14:textId="77777777" w:rsidTr="00B76A41">
        <w:trPr>
          <w:cantSplit/>
          <w:tblHeader/>
        </w:trPr>
        <w:tc>
          <w:tcPr>
            <w:tcW w:w="4077" w:type="dxa"/>
          </w:tcPr>
          <w:p w14:paraId="1F22AA31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0FE7E807" w14:textId="007A1834" w:rsidR="00F43AD5" w:rsidRPr="00717D45" w:rsidRDefault="003629A7" w:rsidP="00B76A41">
            <w:pPr>
              <w:pStyle w:val="Tablefont"/>
            </w:pPr>
            <w:r w:rsidRPr="003629A7">
              <w:t>25639-42-3</w:t>
            </w:r>
          </w:p>
        </w:tc>
      </w:tr>
      <w:tr w:rsidR="00F43AD5" w:rsidRPr="004C23F4" w14:paraId="12D6CD66" w14:textId="77777777" w:rsidTr="00B76A41">
        <w:trPr>
          <w:cantSplit/>
        </w:trPr>
        <w:tc>
          <w:tcPr>
            <w:tcW w:w="4077" w:type="dxa"/>
          </w:tcPr>
          <w:p w14:paraId="488CCF96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5D048E5F" w14:textId="1568303E" w:rsidR="00F43AD5" w:rsidRPr="00717D45" w:rsidRDefault="003629A7" w:rsidP="00B76A41">
            <w:pPr>
              <w:pStyle w:val="Tablefont"/>
            </w:pPr>
            <w:proofErr w:type="spellStart"/>
            <w:r>
              <w:t>Hexahydrocresol</w:t>
            </w:r>
            <w:proofErr w:type="spellEnd"/>
            <w:r>
              <w:t xml:space="preserve">, </w:t>
            </w:r>
            <w:proofErr w:type="spellStart"/>
            <w:r>
              <w:t>methylhexalin</w:t>
            </w:r>
            <w:proofErr w:type="spellEnd"/>
          </w:p>
        </w:tc>
      </w:tr>
      <w:tr w:rsidR="00F43AD5" w:rsidRPr="004C23F4" w14:paraId="5FA912C7" w14:textId="77777777" w:rsidTr="00B76A41">
        <w:trPr>
          <w:cantSplit/>
        </w:trPr>
        <w:tc>
          <w:tcPr>
            <w:tcW w:w="4077" w:type="dxa"/>
          </w:tcPr>
          <w:p w14:paraId="55927155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6E12BB51" w14:textId="0819B72A" w:rsidR="00F43AD5" w:rsidRPr="00717D45" w:rsidRDefault="00B547C5" w:rsidP="00B76A41">
            <w:pPr>
              <w:pStyle w:val="Tablefont"/>
            </w:pPr>
            <w:r>
              <w:t>C</w:t>
            </w:r>
            <w:r w:rsidRPr="00B547C5">
              <w:rPr>
                <w:vertAlign w:val="subscript"/>
              </w:rPr>
              <w:t>7</w:t>
            </w:r>
            <w:r>
              <w:t>H</w:t>
            </w:r>
            <w:r w:rsidRPr="00B547C5">
              <w:rPr>
                <w:vertAlign w:val="subscript"/>
              </w:rPr>
              <w:t>14</w:t>
            </w:r>
            <w:r>
              <w:t>O</w:t>
            </w:r>
          </w:p>
        </w:tc>
      </w:tr>
      <w:tr w:rsidR="00F43AD5" w:rsidRPr="004C23F4" w14:paraId="269A6B0B" w14:textId="77777777" w:rsidTr="00B76A41">
        <w:trPr>
          <w:cantSplit/>
        </w:trPr>
        <w:tc>
          <w:tcPr>
            <w:tcW w:w="4077" w:type="dxa"/>
          </w:tcPr>
          <w:p w14:paraId="74423BF9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2C03BDF0" w14:textId="55AC9EA4" w:rsidR="00F43AD5" w:rsidRPr="00592D0C" w:rsidRDefault="00B547C5" w:rsidP="00B76A41">
            <w:pPr>
              <w:pStyle w:val="Tablerowheading"/>
              <w:rPr>
                <w:b w:val="0"/>
              </w:rPr>
            </w:pPr>
            <w:r w:rsidRPr="00561625">
              <w:rPr>
                <w:b w:val="0"/>
              </w:rPr>
              <w:t>—</w:t>
            </w:r>
          </w:p>
        </w:tc>
      </w:tr>
    </w:tbl>
    <w:p w14:paraId="0D094A15" w14:textId="34C4DC72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FC41EA">
            <w:rPr>
              <w:rStyle w:val="WESstatus"/>
            </w:rPr>
            <w:t>(retained)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05"/>
        <w:gridCol w:w="5021"/>
      </w:tblGrid>
      <w:tr w:rsidR="002C7AFE" w:rsidRPr="004C23F4" w14:paraId="0A427D9E" w14:textId="77777777" w:rsidTr="00010DC7">
        <w:trPr>
          <w:cantSplit/>
          <w:tblHeader/>
        </w:trPr>
        <w:tc>
          <w:tcPr>
            <w:tcW w:w="4005" w:type="dxa"/>
            <w:vAlign w:val="center"/>
          </w:tcPr>
          <w:p w14:paraId="386BCD3D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21" w:type="dxa"/>
          </w:tcPr>
          <w:p w14:paraId="1AAD6D30" w14:textId="2C3D3C43" w:rsidR="002C7AFE" w:rsidRPr="00FC41EA" w:rsidRDefault="00FC41EA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50 ppm (234 mg/m</w:t>
            </w:r>
            <w:r>
              <w:rPr>
                <w:b/>
                <w:vertAlign w:val="superscript"/>
              </w:rPr>
              <w:t>3</w:t>
            </w:r>
            <w:r>
              <w:rPr>
                <w:b/>
              </w:rPr>
              <w:t>)</w:t>
            </w:r>
          </w:p>
        </w:tc>
      </w:tr>
      <w:tr w:rsidR="00010DC7" w:rsidRPr="004C23F4" w14:paraId="2E85405C" w14:textId="77777777" w:rsidTr="00010DC7">
        <w:trPr>
          <w:cantSplit/>
        </w:trPr>
        <w:tc>
          <w:tcPr>
            <w:tcW w:w="4005" w:type="dxa"/>
            <w:vAlign w:val="center"/>
          </w:tcPr>
          <w:p w14:paraId="33D9CC33" w14:textId="77777777" w:rsidR="00010DC7" w:rsidRPr="002C58FF" w:rsidRDefault="00010DC7" w:rsidP="00010DC7">
            <w:pPr>
              <w:pStyle w:val="Tablerowright"/>
            </w:pPr>
            <w:r w:rsidRPr="002C58FF">
              <w:t>STEL</w:t>
            </w:r>
            <w:r>
              <w:t>:</w:t>
            </w:r>
          </w:p>
        </w:tc>
        <w:tc>
          <w:tcPr>
            <w:tcW w:w="5021" w:type="dxa"/>
          </w:tcPr>
          <w:p w14:paraId="457B840A" w14:textId="4994D49D" w:rsidR="00010DC7" w:rsidRPr="00592D0C" w:rsidRDefault="00010DC7" w:rsidP="00010DC7">
            <w:pPr>
              <w:pStyle w:val="Tablefont"/>
              <w:rPr>
                <w:b/>
              </w:rPr>
            </w:pPr>
            <w:r w:rsidRPr="00561625">
              <w:rPr>
                <w:b/>
              </w:rPr>
              <w:t>—</w:t>
            </w:r>
          </w:p>
        </w:tc>
      </w:tr>
      <w:tr w:rsidR="00010DC7" w:rsidRPr="004C23F4" w14:paraId="28DE737B" w14:textId="77777777" w:rsidTr="00010DC7">
        <w:trPr>
          <w:cantSplit/>
        </w:trPr>
        <w:tc>
          <w:tcPr>
            <w:tcW w:w="4005" w:type="dxa"/>
            <w:vAlign w:val="center"/>
          </w:tcPr>
          <w:p w14:paraId="4902E343" w14:textId="77777777" w:rsidR="00010DC7" w:rsidRPr="002C58FF" w:rsidRDefault="00010DC7" w:rsidP="00010DC7">
            <w:pPr>
              <w:pStyle w:val="Tablerowright"/>
            </w:pPr>
            <w:r>
              <w:t>Peak limitation:</w:t>
            </w:r>
          </w:p>
        </w:tc>
        <w:tc>
          <w:tcPr>
            <w:tcW w:w="5021" w:type="dxa"/>
          </w:tcPr>
          <w:p w14:paraId="0ED55304" w14:textId="6DAD755B" w:rsidR="00010DC7" w:rsidRPr="00592D0C" w:rsidRDefault="00010DC7" w:rsidP="00010DC7">
            <w:pPr>
              <w:pStyle w:val="Tablefont"/>
              <w:rPr>
                <w:b/>
              </w:rPr>
            </w:pPr>
            <w:r w:rsidRPr="00561625">
              <w:rPr>
                <w:b/>
              </w:rPr>
              <w:t>—</w:t>
            </w:r>
          </w:p>
        </w:tc>
      </w:tr>
      <w:tr w:rsidR="00010DC7" w:rsidRPr="004C23F4" w14:paraId="0E778E1C" w14:textId="77777777" w:rsidTr="00010DC7">
        <w:trPr>
          <w:cantSplit/>
        </w:trPr>
        <w:tc>
          <w:tcPr>
            <w:tcW w:w="4005" w:type="dxa"/>
          </w:tcPr>
          <w:p w14:paraId="790103E8" w14:textId="77777777" w:rsidR="00010DC7" w:rsidRPr="002C58FF" w:rsidRDefault="00010DC7" w:rsidP="00010DC7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Pr="003241A8">
              <w:t>Notations</w:t>
            </w:r>
            <w:r>
              <w:t>:</w:t>
            </w:r>
          </w:p>
        </w:tc>
        <w:tc>
          <w:tcPr>
            <w:tcW w:w="5021" w:type="dxa"/>
          </w:tcPr>
          <w:p w14:paraId="36FFCD66" w14:textId="327C1A99" w:rsidR="00010DC7" w:rsidRPr="00592D0C" w:rsidRDefault="00010DC7" w:rsidP="00010DC7">
            <w:pPr>
              <w:pStyle w:val="Tablefont"/>
              <w:rPr>
                <w:b/>
              </w:rPr>
            </w:pPr>
            <w:r w:rsidRPr="00561625">
              <w:rPr>
                <w:b/>
              </w:rPr>
              <w:t>—</w:t>
            </w:r>
          </w:p>
        </w:tc>
      </w:tr>
      <w:tr w:rsidR="002C7AFE" w:rsidRPr="004C23F4" w14:paraId="6B3389C3" w14:textId="77777777" w:rsidTr="00010DC7">
        <w:trPr>
          <w:cantSplit/>
        </w:trPr>
        <w:tc>
          <w:tcPr>
            <w:tcW w:w="4005" w:type="dxa"/>
            <w:vAlign w:val="center"/>
          </w:tcPr>
          <w:p w14:paraId="1B9389A9" w14:textId="77777777" w:rsidR="00F10C97" w:rsidRPr="002C58FF" w:rsidRDefault="00921DE7" w:rsidP="009F04D2">
            <w:pPr>
              <w:pStyle w:val="Tablerowright"/>
            </w:pPr>
            <w:r>
              <w:t>IDLH:</w:t>
            </w:r>
          </w:p>
        </w:tc>
        <w:tc>
          <w:tcPr>
            <w:tcW w:w="5021" w:type="dxa"/>
          </w:tcPr>
          <w:p w14:paraId="0614E8CC" w14:textId="3622ED0C" w:rsidR="002C7AFE" w:rsidRPr="00EB3D1B" w:rsidRDefault="00B547C5" w:rsidP="00017C82">
            <w:pPr>
              <w:pStyle w:val="Tablefont"/>
              <w:rPr>
                <w:b/>
              </w:rPr>
            </w:pPr>
            <w:r>
              <w:rPr>
                <w:b/>
              </w:rPr>
              <w:t xml:space="preserve">500 ppm </w:t>
            </w:r>
          </w:p>
        </w:tc>
      </w:tr>
      <w:tr w:rsidR="00592D0C" w:rsidRPr="004C23F4" w14:paraId="473D150F" w14:textId="77777777" w:rsidTr="00D83240">
        <w:trPr>
          <w:cantSplit/>
        </w:trPr>
        <w:tc>
          <w:tcPr>
            <w:tcW w:w="9026" w:type="dxa"/>
            <w:gridSpan w:val="2"/>
            <w:vAlign w:val="center"/>
          </w:tcPr>
          <w:p w14:paraId="29B95D4D" w14:textId="52914428" w:rsidR="00592D0C" w:rsidRPr="00EB3D1B" w:rsidRDefault="00592D0C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Sampling and analysi</w:t>
            </w:r>
            <w:r w:rsidRPr="00592D0C">
              <w:rPr>
                <w:b/>
              </w:rPr>
              <w:t>s:</w:t>
            </w:r>
            <w:r w:rsidRPr="00592D0C">
              <w:rPr>
                <w:rStyle w:val="WESstatus"/>
                <w:color w:val="auto"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EE5E5C4072AC403AA62F5E64E3F481A0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="00561625">
                  <w:rPr>
                    <w:rStyle w:val="WESstatus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0D5DC23C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60F12CD8" w14:textId="2D7536C2" w:rsidR="006639B4" w:rsidRPr="004C23F4" w:rsidRDefault="00010DC7" w:rsidP="000C139A">
      <w:pPr>
        <w:rPr>
          <w:rFonts w:cs="Arial"/>
        </w:rPr>
      </w:pPr>
      <w:r w:rsidRPr="00010DC7">
        <w:rPr>
          <w:rFonts w:cs="Arial"/>
        </w:rPr>
        <w:t xml:space="preserve">A TWA of </w:t>
      </w:r>
      <w:r w:rsidR="00D84C8D">
        <w:rPr>
          <w:rFonts w:cs="Arial"/>
        </w:rPr>
        <w:t>50</w:t>
      </w:r>
      <w:r w:rsidRPr="00010DC7">
        <w:rPr>
          <w:rFonts w:cs="Arial"/>
        </w:rPr>
        <w:t xml:space="preserve"> ppm </w:t>
      </w:r>
      <w:r w:rsidR="00D84C8D">
        <w:rPr>
          <w:rFonts w:cs="Arial"/>
        </w:rPr>
        <w:t>(232 mg/</w:t>
      </w:r>
      <w:r w:rsidR="00D84C8D" w:rsidRPr="00D84C8D">
        <w:rPr>
          <w:rFonts w:cs="Arial"/>
        </w:rPr>
        <w:t>m</w:t>
      </w:r>
      <w:r w:rsidR="00D84C8D" w:rsidRPr="00533E16">
        <w:rPr>
          <w:rFonts w:cs="Arial"/>
          <w:vertAlign w:val="superscript"/>
        </w:rPr>
        <w:t>3</w:t>
      </w:r>
      <w:r w:rsidR="00D84C8D">
        <w:rPr>
          <w:rFonts w:cs="Arial"/>
        </w:rPr>
        <w:t xml:space="preserve">) </w:t>
      </w:r>
      <w:r w:rsidRPr="00D84C8D">
        <w:rPr>
          <w:rFonts w:cs="Arial"/>
        </w:rPr>
        <w:t>is</w:t>
      </w:r>
      <w:r w:rsidRPr="00010DC7">
        <w:rPr>
          <w:rFonts w:cs="Arial"/>
        </w:rPr>
        <w:t xml:space="preserve"> recommended to </w:t>
      </w:r>
      <w:r>
        <w:rPr>
          <w:rFonts w:cs="Arial"/>
        </w:rPr>
        <w:t>protect</w:t>
      </w:r>
      <w:r w:rsidRPr="00010DC7">
        <w:rPr>
          <w:rFonts w:cs="Arial"/>
        </w:rPr>
        <w:t xml:space="preserve"> for </w:t>
      </w:r>
      <w:r w:rsidR="00494F9A">
        <w:rPr>
          <w:rFonts w:cs="Arial"/>
        </w:rPr>
        <w:t xml:space="preserve">respiratory tract </w:t>
      </w:r>
      <w:r w:rsidRPr="00010DC7">
        <w:rPr>
          <w:rFonts w:cs="Arial"/>
        </w:rPr>
        <w:t xml:space="preserve">irritation and liver and </w:t>
      </w:r>
      <w:r w:rsidR="00D60484" w:rsidRPr="00010DC7">
        <w:rPr>
          <w:rFonts w:cs="Arial"/>
        </w:rPr>
        <w:t>kidney</w:t>
      </w:r>
      <w:r w:rsidR="00D60484">
        <w:rPr>
          <w:rFonts w:cs="Arial"/>
        </w:rPr>
        <w:t xml:space="preserve"> effects </w:t>
      </w:r>
      <w:r>
        <w:rPr>
          <w:rFonts w:cs="Arial"/>
        </w:rPr>
        <w:t>in exposed workers</w:t>
      </w:r>
      <w:r w:rsidRPr="00010DC7">
        <w:rPr>
          <w:rFonts w:cs="Arial"/>
        </w:rPr>
        <w:t>.</w:t>
      </w:r>
    </w:p>
    <w:p w14:paraId="1F524B63" w14:textId="77777777" w:rsidR="00C7155E" w:rsidRPr="004C23F4" w:rsidRDefault="00F10C97" w:rsidP="003365A5">
      <w:pPr>
        <w:pStyle w:val="Heading2"/>
      </w:pPr>
      <w:r>
        <w:t>Discussion and conclusions</w:t>
      </w:r>
    </w:p>
    <w:p w14:paraId="74105F4A" w14:textId="23A6C8DD" w:rsidR="00D60484" w:rsidRDefault="007C1FF0" w:rsidP="007C1FF0">
      <w:pPr>
        <w:rPr>
          <w:rFonts w:cs="Arial"/>
        </w:rPr>
      </w:pPr>
      <w:proofErr w:type="spellStart"/>
      <w:r w:rsidRPr="007C1FF0">
        <w:rPr>
          <w:rFonts w:cs="Arial"/>
        </w:rPr>
        <w:t>Methylcyclohex</w:t>
      </w:r>
      <w:r>
        <w:rPr>
          <w:rFonts w:cs="Arial"/>
        </w:rPr>
        <w:t>anol</w:t>
      </w:r>
      <w:proofErr w:type="spellEnd"/>
      <w:r>
        <w:rPr>
          <w:rFonts w:cs="Arial"/>
        </w:rPr>
        <w:t xml:space="preserve"> has been used in various applications including as a solvent </w:t>
      </w:r>
      <w:r w:rsidRPr="007C1FF0">
        <w:rPr>
          <w:rFonts w:cs="Arial"/>
        </w:rPr>
        <w:t>for cellulose</w:t>
      </w:r>
      <w:r>
        <w:rPr>
          <w:rFonts w:cs="Arial"/>
        </w:rPr>
        <w:t xml:space="preserve"> esters and ethers, a lubricant </w:t>
      </w:r>
      <w:r w:rsidRPr="007C1FF0">
        <w:rPr>
          <w:rFonts w:cs="Arial"/>
        </w:rPr>
        <w:t>antioxidant</w:t>
      </w:r>
      <w:r w:rsidR="00D60484">
        <w:rPr>
          <w:rFonts w:cs="Arial"/>
        </w:rPr>
        <w:t xml:space="preserve"> and</w:t>
      </w:r>
      <w:r>
        <w:rPr>
          <w:rFonts w:cs="Arial"/>
        </w:rPr>
        <w:t xml:space="preserve"> a blending agent for soaps and detergents. It is also used</w:t>
      </w:r>
      <w:r w:rsidRPr="007C1FF0">
        <w:rPr>
          <w:rFonts w:cs="Arial"/>
        </w:rPr>
        <w:t xml:space="preserve"> in the textile an</w:t>
      </w:r>
      <w:r>
        <w:rPr>
          <w:rFonts w:cs="Arial"/>
        </w:rPr>
        <w:t xml:space="preserve">d artificial silk industry and </w:t>
      </w:r>
      <w:r w:rsidRPr="007C1FF0">
        <w:rPr>
          <w:rFonts w:cs="Arial"/>
        </w:rPr>
        <w:t>as a degreasing agent</w:t>
      </w:r>
      <w:r>
        <w:rPr>
          <w:rFonts w:cs="Arial"/>
        </w:rPr>
        <w:t xml:space="preserve">. </w:t>
      </w:r>
    </w:p>
    <w:p w14:paraId="3322E48A" w14:textId="5369B77F" w:rsidR="006639B4" w:rsidRDefault="00D60484" w:rsidP="007C1FF0">
      <w:pPr>
        <w:rPr>
          <w:rFonts w:cs="Arial"/>
        </w:rPr>
      </w:pPr>
      <w:r>
        <w:rPr>
          <w:rFonts w:cs="Arial"/>
        </w:rPr>
        <w:t>The c</w:t>
      </w:r>
      <w:r w:rsidR="007C1FF0">
        <w:rPr>
          <w:rFonts w:cs="Arial"/>
        </w:rPr>
        <w:t xml:space="preserve">ritical effects </w:t>
      </w:r>
      <w:r>
        <w:rPr>
          <w:rFonts w:cs="Arial"/>
        </w:rPr>
        <w:t>of</w:t>
      </w:r>
      <w:r w:rsidR="007C1FF0">
        <w:rPr>
          <w:rFonts w:cs="Arial"/>
        </w:rPr>
        <w:t xml:space="preserve"> exposure are irritation</w:t>
      </w:r>
      <w:r w:rsidR="00494F9A">
        <w:rPr>
          <w:rFonts w:cs="Arial"/>
        </w:rPr>
        <w:t xml:space="preserve"> of the respiratory tract</w:t>
      </w:r>
      <w:r w:rsidR="007C1FF0">
        <w:rPr>
          <w:rFonts w:cs="Arial"/>
        </w:rPr>
        <w:t xml:space="preserve"> and liver</w:t>
      </w:r>
      <w:r>
        <w:rPr>
          <w:rFonts w:cs="Arial"/>
        </w:rPr>
        <w:t xml:space="preserve"> and kidney</w:t>
      </w:r>
      <w:r w:rsidR="007C1FF0">
        <w:rPr>
          <w:rFonts w:cs="Arial"/>
        </w:rPr>
        <w:t xml:space="preserve"> effects.</w:t>
      </w:r>
    </w:p>
    <w:p w14:paraId="5DF42632" w14:textId="41ED1FE3" w:rsidR="007C1FF0" w:rsidRDefault="00B13EA5" w:rsidP="006639B4">
      <w:pPr>
        <w:rPr>
          <w:rFonts w:cs="Arial"/>
        </w:rPr>
      </w:pPr>
      <w:r w:rsidRPr="00B13EA5">
        <w:rPr>
          <w:rFonts w:cs="Arial"/>
        </w:rPr>
        <w:t>In humans, a concent</w:t>
      </w:r>
      <w:r>
        <w:rPr>
          <w:rFonts w:cs="Arial"/>
        </w:rPr>
        <w:t xml:space="preserve">ration of 500 ppm </w:t>
      </w:r>
      <w:r w:rsidRPr="00B13EA5">
        <w:rPr>
          <w:rFonts w:cs="Arial"/>
        </w:rPr>
        <w:t>can caus</w:t>
      </w:r>
      <w:r>
        <w:rPr>
          <w:rFonts w:cs="Arial"/>
        </w:rPr>
        <w:t>e upper respiratory</w:t>
      </w:r>
      <w:r w:rsidR="00D60484">
        <w:rPr>
          <w:rFonts w:cs="Arial"/>
        </w:rPr>
        <w:t xml:space="preserve"> tract</w:t>
      </w:r>
      <w:r>
        <w:rPr>
          <w:rFonts w:cs="Arial"/>
        </w:rPr>
        <w:t xml:space="preserve"> irritation. This concentration </w:t>
      </w:r>
      <w:r w:rsidR="00D60484">
        <w:rPr>
          <w:rFonts w:cs="Arial"/>
        </w:rPr>
        <w:t>is reported as the</w:t>
      </w:r>
      <w:r>
        <w:rPr>
          <w:rFonts w:cs="Arial"/>
        </w:rPr>
        <w:t xml:space="preserve"> odour threshold (HCOTN, 2000). A </w:t>
      </w:r>
      <w:r w:rsidR="008C0678">
        <w:rPr>
          <w:rFonts w:cs="Arial"/>
        </w:rPr>
        <w:t xml:space="preserve">LOAEC </w:t>
      </w:r>
      <w:r>
        <w:rPr>
          <w:rFonts w:cs="Arial"/>
        </w:rPr>
        <w:t xml:space="preserve">of </w:t>
      </w:r>
      <w:r w:rsidR="008A409D">
        <w:rPr>
          <w:rFonts w:cs="Arial"/>
        </w:rPr>
        <w:t>560 mg/m</w:t>
      </w:r>
      <w:r w:rsidR="008A409D">
        <w:rPr>
          <w:rFonts w:cs="Arial"/>
          <w:vertAlign w:val="superscript"/>
        </w:rPr>
        <w:t>3</w:t>
      </w:r>
      <w:r w:rsidR="008A409D">
        <w:rPr>
          <w:rFonts w:cs="Arial"/>
        </w:rPr>
        <w:t xml:space="preserve"> (</w:t>
      </w:r>
      <w:r w:rsidR="00CA3C3A">
        <w:rPr>
          <w:rFonts w:cs="Arial"/>
        </w:rPr>
        <w:t>reported as 121 ppm by ACGIH and 118 by HCOTN</w:t>
      </w:r>
      <w:r w:rsidR="008A409D">
        <w:rPr>
          <w:rFonts w:cs="Arial"/>
        </w:rPr>
        <w:t>)</w:t>
      </w:r>
      <w:r>
        <w:rPr>
          <w:rFonts w:cs="Arial"/>
        </w:rPr>
        <w:t xml:space="preserve"> </w:t>
      </w:r>
      <w:r w:rsidR="00D60484">
        <w:rPr>
          <w:rFonts w:cs="Arial"/>
        </w:rPr>
        <w:t xml:space="preserve">is </w:t>
      </w:r>
      <w:r w:rsidR="008A409D">
        <w:rPr>
          <w:rFonts w:cs="Arial"/>
        </w:rPr>
        <w:t xml:space="preserve">identified in an inhalation study </w:t>
      </w:r>
      <w:r>
        <w:rPr>
          <w:rFonts w:cs="Arial"/>
        </w:rPr>
        <w:t xml:space="preserve">in rabbits based on </w:t>
      </w:r>
      <w:r w:rsidR="00CA3C3A">
        <w:rPr>
          <w:rFonts w:cs="Arial"/>
        </w:rPr>
        <w:t>slight</w:t>
      </w:r>
      <w:r>
        <w:rPr>
          <w:rFonts w:cs="Arial"/>
        </w:rPr>
        <w:t xml:space="preserve"> </w:t>
      </w:r>
      <w:r>
        <w:t xml:space="preserve">microscopic changes in the liver and kidneys following </w:t>
      </w:r>
      <w:r w:rsidR="001C70BC">
        <w:t>ten </w:t>
      </w:r>
      <w:r>
        <w:t>weeks of exposure</w:t>
      </w:r>
      <w:r w:rsidR="004E171E">
        <w:t>. This was the lowest exposure concentration in the study</w:t>
      </w:r>
      <w:r>
        <w:t xml:space="preserve"> (ACGIH, 2018; HCOTN, 2000</w:t>
      </w:r>
      <w:r w:rsidR="009007DE">
        <w:t>)</w:t>
      </w:r>
      <w:r w:rsidR="0070577F">
        <w:t>.</w:t>
      </w:r>
      <w:r w:rsidR="00C24BCB">
        <w:t xml:space="preserve"> </w:t>
      </w:r>
      <w:r w:rsidR="008A409D">
        <w:t xml:space="preserve">The ACGIH (2018) based the recommended </w:t>
      </w:r>
      <w:r w:rsidR="00CA3C3A">
        <w:t>TLV-</w:t>
      </w:r>
      <w:r w:rsidR="008A409D">
        <w:t xml:space="preserve">TWA </w:t>
      </w:r>
      <w:r w:rsidR="00BB5E05">
        <w:t xml:space="preserve">of 50 ppm </w:t>
      </w:r>
      <w:r w:rsidR="008A409D">
        <w:t>on th</w:t>
      </w:r>
      <w:r w:rsidR="00CA3C3A">
        <w:t>is</w:t>
      </w:r>
      <w:r w:rsidR="008A409D">
        <w:t xml:space="preserve"> LOAEC</w:t>
      </w:r>
      <w:r w:rsidR="00271B4B">
        <w:t>;</w:t>
      </w:r>
      <w:r w:rsidR="008A409D">
        <w:t xml:space="preserve"> no specific </w:t>
      </w:r>
      <w:r w:rsidR="00CD02D3">
        <w:t>derivation</w:t>
      </w:r>
      <w:r w:rsidR="008A409D">
        <w:t xml:space="preserve"> was </w:t>
      </w:r>
      <w:r w:rsidR="0039525A">
        <w:t>described</w:t>
      </w:r>
      <w:r w:rsidR="008A409D">
        <w:t>.</w:t>
      </w:r>
      <w:r w:rsidR="00BB5E05">
        <w:t xml:space="preserve"> HCOTN (2000) recommended an OEL of 10.5 ppm by applying different uncertainty factors based on this same LOAEC, while the </w:t>
      </w:r>
      <w:r w:rsidR="005858F3">
        <w:t xml:space="preserve">published </w:t>
      </w:r>
      <w:r w:rsidR="00BB5E05">
        <w:t xml:space="preserve">administrative OEL </w:t>
      </w:r>
      <w:r w:rsidR="005858F3">
        <w:t xml:space="preserve">by HCOTN is </w:t>
      </w:r>
      <w:r w:rsidR="00BB5E05">
        <w:t>50 ppm.</w:t>
      </w:r>
      <w:r w:rsidR="008A409D">
        <w:t xml:space="preserve"> </w:t>
      </w:r>
    </w:p>
    <w:p w14:paraId="778CD60F" w14:textId="75834CDA" w:rsidR="007C1FF0" w:rsidRPr="004C23F4" w:rsidRDefault="001C70BC" w:rsidP="006639B4">
      <w:pPr>
        <w:rPr>
          <w:rFonts w:cs="Arial"/>
        </w:rPr>
      </w:pPr>
      <w:r>
        <w:rPr>
          <w:rFonts w:cs="Arial"/>
        </w:rPr>
        <w:t>The</w:t>
      </w:r>
      <w:r w:rsidR="008C0678">
        <w:rPr>
          <w:rFonts w:cs="Arial"/>
        </w:rPr>
        <w:t xml:space="preserve"> </w:t>
      </w:r>
      <w:r w:rsidR="00CA3C3A">
        <w:rPr>
          <w:rFonts w:cs="Arial"/>
        </w:rPr>
        <w:t xml:space="preserve">SWA </w:t>
      </w:r>
      <w:r w:rsidR="009007DE">
        <w:rPr>
          <w:rFonts w:cs="Arial"/>
        </w:rPr>
        <w:t>TWA of 50</w:t>
      </w:r>
      <w:r w:rsidR="007C1FF0" w:rsidRPr="007C1FF0">
        <w:rPr>
          <w:rFonts w:cs="Arial"/>
        </w:rPr>
        <w:t xml:space="preserve"> ppm</w:t>
      </w:r>
      <w:r w:rsidR="00BE584E">
        <w:rPr>
          <w:rFonts w:cs="Arial"/>
        </w:rPr>
        <w:t xml:space="preserve"> (323 mg/m</w:t>
      </w:r>
      <w:r w:rsidR="00BE584E" w:rsidRPr="00533E16">
        <w:rPr>
          <w:rFonts w:cs="Arial"/>
          <w:vertAlign w:val="superscript"/>
        </w:rPr>
        <w:t>3</w:t>
      </w:r>
      <w:r w:rsidR="00BE584E">
        <w:rPr>
          <w:rFonts w:cs="Arial"/>
        </w:rPr>
        <w:t>)</w:t>
      </w:r>
      <w:r w:rsidR="00752017">
        <w:rPr>
          <w:rFonts w:cs="Arial"/>
        </w:rPr>
        <w:t xml:space="preserve">, </w:t>
      </w:r>
      <w:r w:rsidR="0039525A">
        <w:rPr>
          <w:rFonts w:cs="Arial"/>
        </w:rPr>
        <w:t>by</w:t>
      </w:r>
      <w:r w:rsidR="008C0678">
        <w:rPr>
          <w:rFonts w:cs="Arial"/>
        </w:rPr>
        <w:t xml:space="preserve"> </w:t>
      </w:r>
      <w:r w:rsidR="005858F3">
        <w:rPr>
          <w:rFonts w:cs="Arial"/>
        </w:rPr>
        <w:t>ACGIH (2018)</w:t>
      </w:r>
      <w:r w:rsidR="00752017">
        <w:rPr>
          <w:rFonts w:cs="Arial"/>
        </w:rPr>
        <w:t>,</w:t>
      </w:r>
      <w:r w:rsidR="00BE0A93">
        <w:rPr>
          <w:rFonts w:cs="Arial"/>
        </w:rPr>
        <w:t xml:space="preserve"> </w:t>
      </w:r>
      <w:r w:rsidR="007C1FF0" w:rsidRPr="007C1FF0">
        <w:rPr>
          <w:rFonts w:cs="Arial"/>
        </w:rPr>
        <w:t>is reco</w:t>
      </w:r>
      <w:r w:rsidR="00010DC7">
        <w:rPr>
          <w:rFonts w:cs="Arial"/>
        </w:rPr>
        <w:t xml:space="preserve">mmended </w:t>
      </w:r>
      <w:r w:rsidR="00DD52D2">
        <w:rPr>
          <w:rFonts w:cs="Arial"/>
        </w:rPr>
        <w:t xml:space="preserve">to </w:t>
      </w:r>
      <w:r w:rsidR="008C0678">
        <w:rPr>
          <w:rFonts w:cs="Arial"/>
        </w:rPr>
        <w:t>be retained</w:t>
      </w:r>
      <w:r w:rsidR="00B13EA5">
        <w:rPr>
          <w:rFonts w:cs="Arial"/>
        </w:rPr>
        <w:t xml:space="preserve">. </w:t>
      </w:r>
      <w:r w:rsidR="005858F3">
        <w:rPr>
          <w:rFonts w:cs="Arial"/>
        </w:rPr>
        <w:t xml:space="preserve">The recommended TWA </w:t>
      </w:r>
      <w:r w:rsidR="007C1FF0" w:rsidRPr="007C1FF0">
        <w:rPr>
          <w:rFonts w:cs="Arial"/>
        </w:rPr>
        <w:t xml:space="preserve">is considered protective for irritation effects </w:t>
      </w:r>
      <w:r w:rsidR="00B13EA5">
        <w:rPr>
          <w:rFonts w:cs="Arial"/>
        </w:rPr>
        <w:t>and effects on the liver and kidneys</w:t>
      </w:r>
      <w:r w:rsidR="00BE584E">
        <w:rPr>
          <w:rFonts w:cs="Arial"/>
        </w:rPr>
        <w:t xml:space="preserve"> in exposed workers</w:t>
      </w:r>
      <w:r w:rsidR="00B13EA5">
        <w:rPr>
          <w:rFonts w:cs="Arial"/>
        </w:rPr>
        <w:t>.</w:t>
      </w:r>
    </w:p>
    <w:p w14:paraId="5CA65839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0D52BFB4" w14:textId="05886EC2" w:rsidR="003629A7" w:rsidRDefault="003629A7" w:rsidP="003629A7">
      <w:pPr>
        <w:rPr>
          <w:rFonts w:cs="Arial"/>
        </w:rPr>
      </w:pPr>
      <w:r>
        <w:rPr>
          <w:rFonts w:cs="Arial"/>
        </w:rPr>
        <w:t>Not classified as a carcinogen according to the Globally Harmonized System of</w:t>
      </w:r>
      <w:r w:rsidR="00B13EA5">
        <w:rPr>
          <w:rFonts w:cs="Arial"/>
        </w:rPr>
        <w:t xml:space="preserve"> Classification and Labelling of</w:t>
      </w:r>
      <w:r>
        <w:rPr>
          <w:rFonts w:cs="Arial"/>
        </w:rPr>
        <w:t xml:space="preserve"> Chemicals (GHS). </w:t>
      </w:r>
    </w:p>
    <w:p w14:paraId="3A91029B" w14:textId="1947BBD7" w:rsidR="003629A7" w:rsidRDefault="003629A7" w:rsidP="003629A7">
      <w:pPr>
        <w:rPr>
          <w:rFonts w:cs="Arial"/>
        </w:rPr>
      </w:pPr>
      <w:r>
        <w:rPr>
          <w:rFonts w:cs="Arial"/>
        </w:rPr>
        <w:lastRenderedPageBreak/>
        <w:t xml:space="preserve">Not classified as a skin </w:t>
      </w:r>
      <w:r w:rsidR="00B13EA5">
        <w:rPr>
          <w:rFonts w:cs="Arial"/>
        </w:rPr>
        <w:t xml:space="preserve">sensitiser </w:t>
      </w:r>
      <w:r>
        <w:rPr>
          <w:rFonts w:cs="Arial"/>
        </w:rPr>
        <w:t>or respiratory sensitiser according to the GHS.</w:t>
      </w:r>
    </w:p>
    <w:p w14:paraId="681DC035" w14:textId="1AB927FE" w:rsidR="003629A7" w:rsidRDefault="00561625" w:rsidP="003629A7">
      <w:pPr>
        <w:rPr>
          <w:rFonts w:cs="Arial"/>
        </w:rPr>
      </w:pPr>
      <w:r>
        <w:rPr>
          <w:rFonts w:cs="Arial"/>
        </w:rPr>
        <w:t xml:space="preserve">There </w:t>
      </w:r>
      <w:r w:rsidR="00E11106">
        <w:rPr>
          <w:rFonts w:cs="Arial"/>
        </w:rPr>
        <w:t>are</w:t>
      </w:r>
      <w:r>
        <w:rPr>
          <w:rFonts w:cs="Arial"/>
        </w:rPr>
        <w:t xml:space="preserve"> i</w:t>
      </w:r>
      <w:r w:rsidR="003629A7">
        <w:rPr>
          <w:rFonts w:cs="Arial"/>
        </w:rPr>
        <w:t xml:space="preserve">nsufficient </w:t>
      </w:r>
      <w:r>
        <w:rPr>
          <w:rFonts w:cs="Arial"/>
        </w:rPr>
        <w:t xml:space="preserve">data </w:t>
      </w:r>
      <w:r w:rsidR="003629A7">
        <w:rPr>
          <w:rFonts w:cs="Arial"/>
        </w:rPr>
        <w:t>to recommend a skin notation.</w:t>
      </w:r>
    </w:p>
    <w:p w14:paraId="42F7BB88" w14:textId="5242A917" w:rsidR="005E6979" w:rsidRPr="00677073" w:rsidRDefault="005E6979" w:rsidP="00D60484">
      <w:pPr>
        <w:tabs>
          <w:tab w:val="center" w:pos="4513"/>
        </w:tabs>
        <w:rPr>
          <w:rFonts w:cs="Arial"/>
        </w:rPr>
        <w:sectPr w:rsidR="005E6979" w:rsidRPr="00677073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18D09462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14D92F66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20" w:firstRow="1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B5219F" w14:paraId="62A1E970" w14:textId="77777777" w:rsidTr="00B5219F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" w:type="pct"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6AFC0D94" w14:textId="77777777" w:rsidR="00C978F0" w:rsidRPr="00B5219F" w:rsidRDefault="00C978F0" w:rsidP="0070577F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  <w:rPr>
                <w:b/>
              </w:rPr>
            </w:pPr>
            <w:r w:rsidRPr="00B5219F">
              <w:rPr>
                <w:b/>
              </w:rPr>
              <w:t>Source</w:t>
            </w:r>
            <w:r w:rsidR="00DA352E" w:rsidRPr="00B5219F">
              <w:rPr>
                <w:b/>
              </w:rPr>
              <w:tab/>
              <w:t>Year set</w:t>
            </w:r>
            <w:r w:rsidR="00DA352E" w:rsidRPr="00B5219F">
              <w:rPr>
                <w:b/>
              </w:rPr>
              <w:tab/>
              <w:t>Standard</w:t>
            </w:r>
            <w:r w:rsidR="00974F2D" w:rsidRPr="00B5219F">
              <w:rPr>
                <w:b/>
              </w:rPr>
              <w:tab/>
            </w:r>
          </w:p>
        </w:tc>
        <w:bookmarkStart w:id="0" w:name="_GoBack"/>
        <w:bookmarkEnd w:id="0"/>
      </w:tr>
      <w:tr w:rsidR="00DE26E8" w:rsidRPr="003365A5" w14:paraId="3093A3FC" w14:textId="77777777" w:rsidTr="00B5219F">
        <w:tc>
          <w:tcPr>
            <w:tcW w:w="5000" w:type="pct"/>
            <w:gridSpan w:val="2"/>
            <w:shd w:val="clear" w:color="auto" w:fill="F2F2F2" w:themeFill="background1" w:themeFillShade="F2"/>
          </w:tcPr>
          <w:p w14:paraId="7885657F" w14:textId="100018E2" w:rsidR="00DE26E8" w:rsidRPr="003365A5" w:rsidRDefault="00DE26E8" w:rsidP="00561625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spacing w:before="60" w:after="60"/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B547C5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B547C5">
                  <w:t>TWA: 50 ppm (234 mg/m</w:t>
                </w:r>
                <w:r w:rsidR="00B547C5" w:rsidRPr="00B547C5">
                  <w:rPr>
                    <w:vertAlign w:val="superscript"/>
                  </w:rPr>
                  <w:t>3</w:t>
                </w:r>
                <w:r w:rsidR="00B547C5">
                  <w:t>)</w:t>
                </w:r>
              </w:sdtContent>
            </w:sdt>
          </w:p>
        </w:tc>
      </w:tr>
      <w:tr w:rsidR="00C978F0" w:rsidRPr="00DA352E" w14:paraId="40312A16" w14:textId="77777777" w:rsidTr="00B5219F">
        <w:trPr>
          <w:gridAfter w:val="1"/>
          <w:wAfter w:w="8" w:type="pct"/>
        </w:trPr>
        <w:tc>
          <w:tcPr>
            <w:tcW w:w="4992" w:type="pct"/>
          </w:tcPr>
          <w:p w14:paraId="2B06D549" w14:textId="77777777" w:rsidR="00C978F0" w:rsidRPr="00DA352E" w:rsidRDefault="00C978F0" w:rsidP="0070577F">
            <w:pPr>
              <w:pStyle w:val="Tabletextprimarysource"/>
            </w:pPr>
          </w:p>
        </w:tc>
      </w:tr>
      <w:tr w:rsidR="00C978F0" w:rsidRPr="00DA352E" w14:paraId="5C697BF7" w14:textId="77777777" w:rsidTr="00B5219F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39285C4B" w14:textId="7A981C74" w:rsidR="00C978F0" w:rsidRPr="00DA352E" w:rsidRDefault="00DA352E" w:rsidP="00561625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spacing w:before="60" w:after="60"/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B547C5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B547C5">
                  <w:t>TLV-TWA: 50 ppm (234 mg/m</w:t>
                </w:r>
                <w:r w:rsidR="00B547C5" w:rsidRPr="00B547C5">
                  <w:rPr>
                    <w:vertAlign w:val="superscript"/>
                  </w:rPr>
                  <w:t>3</w:t>
                </w:r>
                <w:r w:rsidR="00B547C5">
                  <w:t>)</w:t>
                </w:r>
              </w:sdtContent>
            </w:sdt>
          </w:p>
        </w:tc>
      </w:tr>
      <w:tr w:rsidR="00C978F0" w:rsidRPr="00DA352E" w14:paraId="19BC6B89" w14:textId="77777777" w:rsidTr="00B5219F">
        <w:trPr>
          <w:gridAfter w:val="1"/>
          <w:wAfter w:w="8" w:type="pct"/>
        </w:trPr>
        <w:tc>
          <w:tcPr>
            <w:tcW w:w="4992" w:type="pct"/>
          </w:tcPr>
          <w:p w14:paraId="1CAB5924" w14:textId="77777777" w:rsidR="00C978F0" w:rsidRDefault="00312F21" w:rsidP="0070577F">
            <w:pPr>
              <w:pStyle w:val="Tabletextprimarysource"/>
            </w:pPr>
            <w:r>
              <w:t>TLV-TWA recommended to minimise the potential for eye and mucous membrane irritation and for histologic changes in the liver and kidneys in workers.</w:t>
            </w:r>
          </w:p>
          <w:p w14:paraId="3B81E938" w14:textId="092E0582" w:rsidR="00312F21" w:rsidRDefault="00312F21">
            <w:pPr>
              <w:pStyle w:val="Tabletextprimarysource"/>
            </w:pPr>
            <w:r>
              <w:t>Summary of data:</w:t>
            </w:r>
          </w:p>
          <w:p w14:paraId="4595FB5B" w14:textId="3FC8B69A" w:rsidR="009007DE" w:rsidRDefault="009007DE">
            <w:pPr>
              <w:pStyle w:val="Tabletextprimarysource"/>
            </w:pPr>
            <w:r>
              <w:t>No derivation of TLV-TWA provided.</w:t>
            </w:r>
          </w:p>
          <w:p w14:paraId="2104461B" w14:textId="35211ABD" w:rsidR="00E11106" w:rsidRDefault="00E11106">
            <w:pPr>
              <w:pStyle w:val="Tabletextprimarysource"/>
            </w:pPr>
            <w:r>
              <w:t>Human data:</w:t>
            </w:r>
          </w:p>
          <w:p w14:paraId="2F8FD5AF" w14:textId="09411661" w:rsidR="00312F21" w:rsidRDefault="00312F21">
            <w:pPr>
              <w:pStyle w:val="Tabletextprimarysource"/>
            </w:pPr>
            <w:r>
              <w:t>No human data presented</w:t>
            </w:r>
            <w:r w:rsidR="0070577F">
              <w:t>.</w:t>
            </w:r>
          </w:p>
          <w:p w14:paraId="3546B1D5" w14:textId="771BC2EB" w:rsidR="00312F21" w:rsidRDefault="00312F21">
            <w:pPr>
              <w:pStyle w:val="Tabletextprimarysource"/>
            </w:pPr>
            <w:r>
              <w:t>Animal data</w:t>
            </w:r>
            <w:r w:rsidR="00E11106">
              <w:t>:</w:t>
            </w:r>
          </w:p>
          <w:p w14:paraId="150D6504" w14:textId="310D5FEB" w:rsidR="00CF6EC6" w:rsidRDefault="00CF6EC6" w:rsidP="00561625">
            <w:pPr>
              <w:pStyle w:val="ListBullet"/>
              <w:spacing w:before="60" w:after="60"/>
              <w:ind w:left="720"/>
              <w:contextualSpacing w:val="0"/>
            </w:pPr>
            <w:r>
              <w:t>LD</w:t>
            </w:r>
            <w:r>
              <w:rPr>
                <w:vertAlign w:val="subscript"/>
              </w:rPr>
              <w:t>50</w:t>
            </w:r>
            <w:r w:rsidR="00561625">
              <w:t xml:space="preserve">: </w:t>
            </w:r>
            <w:r>
              <w:t xml:space="preserve">1.25 g/kg </w:t>
            </w:r>
            <w:r w:rsidR="00561625">
              <w:t>(r</w:t>
            </w:r>
            <w:r>
              <w:t>abbits</w:t>
            </w:r>
            <w:r w:rsidR="00561625">
              <w:t>, oral)</w:t>
            </w:r>
            <w:r>
              <w:t>; acute parenchymal and vascular damage in the heart, liver and kidneys and vascular damage in the lungs; sub-lethal dose showed liver damage</w:t>
            </w:r>
          </w:p>
          <w:p w14:paraId="54B88F17" w14:textId="1472EF3D" w:rsidR="00BA6791" w:rsidRDefault="00CF6EC6" w:rsidP="00561625">
            <w:pPr>
              <w:pStyle w:val="ListBullet"/>
              <w:spacing w:before="60" w:after="60"/>
              <w:ind w:left="720"/>
              <w:contextualSpacing w:val="0"/>
            </w:pPr>
            <w:r>
              <w:t>Rabbits exposed at 121</w:t>
            </w:r>
            <w:r w:rsidR="00011717">
              <w:t>, 232 or 503</w:t>
            </w:r>
            <w:r>
              <w:t xml:space="preserve"> ppm 6 h/d, 5 d/</w:t>
            </w:r>
            <w:proofErr w:type="spellStart"/>
            <w:r>
              <w:t>wk</w:t>
            </w:r>
            <w:proofErr w:type="spellEnd"/>
            <w:r>
              <w:t xml:space="preserve">, for 10 </w:t>
            </w:r>
            <w:proofErr w:type="spellStart"/>
            <w:r>
              <w:t>wk</w:t>
            </w:r>
            <w:proofErr w:type="spellEnd"/>
            <w:r w:rsidR="00BA6791">
              <w:t>:</w:t>
            </w:r>
            <w:r w:rsidR="00011717">
              <w:t xml:space="preserve"> </w:t>
            </w:r>
          </w:p>
          <w:p w14:paraId="197DD4F9" w14:textId="1850AD43" w:rsidR="00BA6791" w:rsidRDefault="00011717" w:rsidP="00BA6791">
            <w:pPr>
              <w:pStyle w:val="ListBullet"/>
              <w:numPr>
                <w:ilvl w:val="0"/>
                <w:numId w:val="9"/>
              </w:numPr>
              <w:spacing w:before="60" w:after="60"/>
              <w:contextualSpacing w:val="0"/>
            </w:pPr>
            <w:r>
              <w:t>exposure at 121 ppm</w:t>
            </w:r>
            <w:r w:rsidR="002809B3">
              <w:t xml:space="preserve"> (560 mg/m</w:t>
            </w:r>
            <w:r w:rsidR="002809B3">
              <w:rPr>
                <w:vertAlign w:val="superscript"/>
              </w:rPr>
              <w:t>3</w:t>
            </w:r>
            <w:r w:rsidR="002809B3">
              <w:t>)</w:t>
            </w:r>
            <w:r w:rsidR="00CF6EC6">
              <w:t xml:space="preserve"> showed barely detectable microscopic tissue changes in the liver and </w:t>
            </w:r>
            <w:r w:rsidR="00400B4C">
              <w:t>kidneys</w:t>
            </w:r>
            <w:r w:rsidR="00CF6EC6">
              <w:t xml:space="preserve"> </w:t>
            </w:r>
          </w:p>
          <w:p w14:paraId="788CEABF" w14:textId="47300D5F" w:rsidR="00CF6EC6" w:rsidRDefault="00C27EC6" w:rsidP="00BA6791">
            <w:pPr>
              <w:pStyle w:val="ListBullet"/>
              <w:numPr>
                <w:ilvl w:val="0"/>
                <w:numId w:val="9"/>
              </w:numPr>
              <w:spacing w:before="60" w:after="60"/>
              <w:contextualSpacing w:val="0"/>
            </w:pPr>
            <w:r>
              <w:t>authors</w:t>
            </w:r>
            <w:r w:rsidR="000D7604">
              <w:t xml:space="preserve"> of the study concluded that the</w:t>
            </w:r>
            <w:r>
              <w:t xml:space="preserve"> maximum, safe, long-term concentration for rabbits </w:t>
            </w:r>
            <w:r w:rsidR="00400B4C">
              <w:t xml:space="preserve">reported </w:t>
            </w:r>
            <w:r>
              <w:t xml:space="preserve">as slightly </w:t>
            </w:r>
            <w:r w:rsidR="00677073">
              <w:t>&lt;</w:t>
            </w:r>
            <w:r>
              <w:t xml:space="preserve">120 ppm </w:t>
            </w:r>
          </w:p>
          <w:p w14:paraId="289C1607" w14:textId="5B6AFEB0" w:rsidR="00C27EC6" w:rsidRDefault="00C27EC6" w:rsidP="00561625">
            <w:pPr>
              <w:pStyle w:val="ListBullet"/>
              <w:spacing w:before="60" w:after="60"/>
              <w:ind w:left="720"/>
              <w:contextualSpacing w:val="0"/>
            </w:pPr>
            <w:r>
              <w:t xml:space="preserve">Repeated cutaneous application of 6.8, 9.4 or 16.6 g/kg resulted in skin irritation; at highest doses resulted in weakness, </w:t>
            </w:r>
            <w:r w:rsidR="00677073">
              <w:t>tremor</w:t>
            </w:r>
            <w:r>
              <w:t>, narcosis and death</w:t>
            </w:r>
            <w:r w:rsidR="0070577F">
              <w:t>.</w:t>
            </w:r>
          </w:p>
          <w:p w14:paraId="55C5A0F3" w14:textId="5839486B" w:rsidR="00E11106" w:rsidRPr="00DA352E" w:rsidRDefault="00E11106" w:rsidP="00533E16">
            <w:pPr>
              <w:pStyle w:val="ListBullet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</w:p>
        </w:tc>
      </w:tr>
      <w:tr w:rsidR="00C978F0" w:rsidRPr="00DA352E" w14:paraId="0E46419C" w14:textId="77777777" w:rsidTr="00B5219F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6C7637C4" w14:textId="0A6BAFD0" w:rsidR="00C978F0" w:rsidRPr="00DA352E" w:rsidRDefault="00DA352E" w:rsidP="00561625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spacing w:before="60" w:after="60"/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B547C5">
                  <w:t>1998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B547C5">
                  <w:t>Not assigned</w:t>
                </w:r>
              </w:sdtContent>
            </w:sdt>
          </w:p>
        </w:tc>
      </w:tr>
      <w:tr w:rsidR="00C978F0" w:rsidRPr="00DA352E" w14:paraId="625D66B8" w14:textId="77777777" w:rsidTr="00B5219F">
        <w:trPr>
          <w:gridAfter w:val="1"/>
          <w:wAfter w:w="8" w:type="pct"/>
        </w:trPr>
        <w:tc>
          <w:tcPr>
            <w:tcW w:w="4992" w:type="pct"/>
          </w:tcPr>
          <w:p w14:paraId="384FA443" w14:textId="77777777" w:rsidR="00C978F0" w:rsidRPr="00DA352E" w:rsidRDefault="002627B8" w:rsidP="0070577F">
            <w:pPr>
              <w:pStyle w:val="Tabletextprimarysource"/>
            </w:pPr>
            <w:r>
              <w:t>Insufficient data to recommend a health-based MAK value.</w:t>
            </w:r>
          </w:p>
        </w:tc>
      </w:tr>
      <w:tr w:rsidR="00C978F0" w:rsidRPr="00DA352E" w14:paraId="452D7E77" w14:textId="77777777" w:rsidTr="00B5219F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343A8C84" w14:textId="2899442E" w:rsidR="00C978F0" w:rsidRPr="00DA352E" w:rsidRDefault="00DA352E" w:rsidP="00561625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spacing w:before="60" w:after="60"/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B547C5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proofErr w:type="spellStart"/>
                <w:r w:rsidR="00B547C5">
                  <w:t>NA</w:t>
                </w:r>
                <w:proofErr w:type="spellEnd"/>
              </w:sdtContent>
            </w:sdt>
          </w:p>
        </w:tc>
      </w:tr>
      <w:tr w:rsidR="00C978F0" w:rsidRPr="00DA352E" w14:paraId="6E59E946" w14:textId="77777777" w:rsidTr="00B5219F">
        <w:trPr>
          <w:gridAfter w:val="1"/>
          <w:wAfter w:w="8" w:type="pct"/>
        </w:trPr>
        <w:tc>
          <w:tcPr>
            <w:tcW w:w="4992" w:type="pct"/>
          </w:tcPr>
          <w:p w14:paraId="7D598540" w14:textId="77777777" w:rsidR="00C978F0" w:rsidRPr="00DA352E" w:rsidRDefault="00B547C5" w:rsidP="0070577F">
            <w:pPr>
              <w:pStyle w:val="Tabletextprimarysource"/>
            </w:pPr>
            <w:r>
              <w:t>No report</w:t>
            </w:r>
            <w:r w:rsidR="0070577F">
              <w:t>.</w:t>
            </w:r>
          </w:p>
        </w:tc>
      </w:tr>
      <w:tr w:rsidR="00DA352E" w:rsidRPr="00DA352E" w14:paraId="4AA20091" w14:textId="77777777" w:rsidTr="00B5219F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0A571A8B" w14:textId="0CA5B1FE" w:rsidR="00DA352E" w:rsidRPr="00DA352E" w:rsidRDefault="00DA352E" w:rsidP="00561625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spacing w:before="60" w:after="60"/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B547C5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B547C5">
                  <w:t>NA</w:t>
                </w:r>
                <w:proofErr w:type="spellEnd"/>
              </w:sdtContent>
            </w:sdt>
          </w:p>
        </w:tc>
      </w:tr>
      <w:tr w:rsidR="00DA352E" w:rsidRPr="00DA352E" w14:paraId="4A8A0CC1" w14:textId="77777777" w:rsidTr="00B5219F">
        <w:trPr>
          <w:gridAfter w:val="1"/>
          <w:wAfter w:w="8" w:type="pct"/>
        </w:trPr>
        <w:tc>
          <w:tcPr>
            <w:tcW w:w="4992" w:type="pct"/>
          </w:tcPr>
          <w:p w14:paraId="43FC8BC0" w14:textId="77777777" w:rsidR="00DA352E" w:rsidRPr="00DA352E" w:rsidRDefault="00B547C5" w:rsidP="0070577F">
            <w:pPr>
              <w:pStyle w:val="Tabletextprimarysource"/>
            </w:pPr>
            <w:r>
              <w:t>No report</w:t>
            </w:r>
            <w:r w:rsidR="0070577F">
              <w:t>.</w:t>
            </w:r>
          </w:p>
        </w:tc>
      </w:tr>
      <w:tr w:rsidR="00DA352E" w:rsidRPr="00DA352E" w14:paraId="150E9A75" w14:textId="77777777" w:rsidTr="00B5219F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2D18374F" w14:textId="7ADA45B1" w:rsidR="00DA352E" w:rsidRPr="00DA352E" w:rsidRDefault="00DA352E" w:rsidP="00561625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spacing w:before="60" w:after="60"/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B547C5">
                  <w:t>2000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B547C5">
                  <w:t>TWA: 50 ppm (235 mg/m</w:t>
                </w:r>
                <w:r w:rsidR="00B547C5" w:rsidRPr="00B547C5">
                  <w:rPr>
                    <w:vertAlign w:val="superscript"/>
                  </w:rPr>
                  <w:t>3</w:t>
                </w:r>
                <w:r w:rsidR="00B547C5">
                  <w:t>)</w:t>
                </w:r>
              </w:sdtContent>
            </w:sdt>
          </w:p>
        </w:tc>
      </w:tr>
      <w:tr w:rsidR="00DA352E" w:rsidRPr="00DA352E" w14:paraId="2A3DCF28" w14:textId="77777777" w:rsidTr="00B5219F">
        <w:trPr>
          <w:gridAfter w:val="1"/>
          <w:wAfter w:w="8" w:type="pct"/>
        </w:trPr>
        <w:tc>
          <w:tcPr>
            <w:tcW w:w="4992" w:type="pct"/>
          </w:tcPr>
          <w:p w14:paraId="49F10FA3" w14:textId="1ACDE3AB" w:rsidR="002627B8" w:rsidRDefault="00BE0A93" w:rsidP="0070577F">
            <w:pPr>
              <w:pStyle w:val="Tabletextprimarysource"/>
            </w:pPr>
            <w:r>
              <w:t>Current TWA is an administrative OEL</w:t>
            </w:r>
          </w:p>
          <w:p w14:paraId="5CD43203" w14:textId="34340002" w:rsidR="00312F21" w:rsidRDefault="00312F21">
            <w:pPr>
              <w:pStyle w:val="Tabletextprimarysource"/>
            </w:pPr>
            <w:r>
              <w:t>Summary of additional data:</w:t>
            </w:r>
          </w:p>
          <w:p w14:paraId="1085E26D" w14:textId="75934DC8" w:rsidR="00BA6791" w:rsidRDefault="007C1FF0" w:rsidP="00BA6791">
            <w:pPr>
              <w:pStyle w:val="ListBullet"/>
              <w:spacing w:after="60"/>
              <w:ind w:left="720"/>
              <w:contextualSpacing w:val="0"/>
            </w:pPr>
            <w:r>
              <w:t>In humans, a concentration of 500 ppm (2,375 mg/m</w:t>
            </w:r>
            <w:r>
              <w:rPr>
                <w:vertAlign w:val="superscript"/>
              </w:rPr>
              <w:t>3</w:t>
            </w:r>
            <w:r>
              <w:t>) can cause upper respiratory irritation; equivalent to odour threshold; no further information</w:t>
            </w:r>
          </w:p>
          <w:p w14:paraId="056BDF23" w14:textId="1B59CC33" w:rsidR="00BA6791" w:rsidRDefault="002809B3" w:rsidP="00BA6791">
            <w:pPr>
              <w:pStyle w:val="ListBullet"/>
              <w:numPr>
                <w:ilvl w:val="0"/>
                <w:numId w:val="7"/>
              </w:numPr>
              <w:spacing w:after="60"/>
              <w:contextualSpacing w:val="0"/>
            </w:pPr>
            <w:r>
              <w:t xml:space="preserve">Based on data from the 10 </w:t>
            </w:r>
            <w:proofErr w:type="spellStart"/>
            <w:r>
              <w:t>wk</w:t>
            </w:r>
            <w:proofErr w:type="spellEnd"/>
            <w:r>
              <w:t xml:space="preserve"> study of rabbits (as cited by ACGIH, 2018), the committee considers the </w:t>
            </w:r>
            <w:r w:rsidR="00400B4C">
              <w:t>LOAEC</w:t>
            </w:r>
            <w:r w:rsidR="002627B8">
              <w:t xml:space="preserve"> </w:t>
            </w:r>
            <w:r>
              <w:t xml:space="preserve">to be </w:t>
            </w:r>
            <w:r w:rsidR="002627B8">
              <w:t>560 mg/m</w:t>
            </w:r>
            <w:r w:rsidR="002627B8" w:rsidRPr="00BA6791">
              <w:rPr>
                <w:vertAlign w:val="superscript"/>
              </w:rPr>
              <w:t>3</w:t>
            </w:r>
            <w:r w:rsidR="006E09D7" w:rsidRPr="00BA6791">
              <w:rPr>
                <w:vertAlign w:val="superscript"/>
              </w:rPr>
              <w:t xml:space="preserve"> </w:t>
            </w:r>
            <w:r w:rsidR="006E09D7">
              <w:t>(118 ppm</w:t>
            </w:r>
            <w:r w:rsidR="00B07BB2">
              <w:t>)</w:t>
            </w:r>
            <w:r w:rsidR="002627B8">
              <w:t xml:space="preserve"> (</w:t>
            </w:r>
            <w:r>
              <w:t>reported as 121 ppm by ACGIH, 2018)</w:t>
            </w:r>
            <w:r w:rsidR="00BA6791">
              <w:t>:</w:t>
            </w:r>
          </w:p>
          <w:p w14:paraId="2FCE204D" w14:textId="5D739E2B" w:rsidR="00C72281" w:rsidRDefault="002809B3" w:rsidP="00BA6791">
            <w:pPr>
              <w:pStyle w:val="ListBullet"/>
              <w:numPr>
                <w:ilvl w:val="0"/>
                <w:numId w:val="8"/>
              </w:numPr>
              <w:spacing w:after="60"/>
              <w:contextualSpacing w:val="0"/>
            </w:pPr>
            <w:r>
              <w:t xml:space="preserve">this </w:t>
            </w:r>
            <w:r w:rsidR="00BA6791">
              <w:t xml:space="preserve">LOAEC </w:t>
            </w:r>
            <w:r>
              <w:t xml:space="preserve">is used as the starting point for the </w:t>
            </w:r>
            <w:r w:rsidR="006E09D7">
              <w:t>health-based OEL recommendation</w:t>
            </w:r>
          </w:p>
          <w:p w14:paraId="08D0902B" w14:textId="45DBE752" w:rsidR="006E09D7" w:rsidRDefault="002809B3" w:rsidP="00561625">
            <w:pPr>
              <w:pStyle w:val="ListBullet"/>
              <w:spacing w:before="60" w:after="60"/>
              <w:ind w:left="720"/>
              <w:contextualSpacing w:val="0"/>
            </w:pPr>
            <w:r>
              <w:t>In review of the assigned administrative TWA a r</w:t>
            </w:r>
            <w:r w:rsidR="00BE0A93">
              <w:t>ecommendation</w:t>
            </w:r>
            <w:r>
              <w:t xml:space="preserve"> is made regarding the</w:t>
            </w:r>
            <w:r w:rsidR="00BE0A93">
              <w:t xml:space="preserve"> </w:t>
            </w:r>
            <w:r>
              <w:t xml:space="preserve">potential for a </w:t>
            </w:r>
            <w:r w:rsidR="00677073">
              <w:t>HBROEL</w:t>
            </w:r>
            <w:r w:rsidR="00BA6791">
              <w:t>:</w:t>
            </w:r>
          </w:p>
          <w:p w14:paraId="53599F59" w14:textId="5E1A8054" w:rsidR="006E09D7" w:rsidRDefault="001C70BC" w:rsidP="001C70BC">
            <w:pPr>
              <w:pStyle w:val="ListBullet"/>
              <w:numPr>
                <w:ilvl w:val="0"/>
                <w:numId w:val="5"/>
              </w:numPr>
              <w:spacing w:before="60" w:after="60"/>
              <w:contextualSpacing w:val="0"/>
            </w:pPr>
            <w:r>
              <w:t>s</w:t>
            </w:r>
            <w:r w:rsidR="006E09D7">
              <w:t>tart with the LOAEC of 560 mg/m</w:t>
            </w:r>
            <w:r w:rsidR="006E09D7">
              <w:rPr>
                <w:vertAlign w:val="superscript"/>
              </w:rPr>
              <w:t>3</w:t>
            </w:r>
          </w:p>
          <w:p w14:paraId="6A71069B" w14:textId="65F23331" w:rsidR="006E09D7" w:rsidRDefault="001C70BC" w:rsidP="001C70BC">
            <w:pPr>
              <w:pStyle w:val="ListBullet"/>
              <w:numPr>
                <w:ilvl w:val="0"/>
                <w:numId w:val="5"/>
              </w:numPr>
              <w:spacing w:before="60" w:after="60"/>
              <w:contextualSpacing w:val="0"/>
            </w:pPr>
            <w:r>
              <w:t>a</w:t>
            </w:r>
            <w:r w:rsidR="00BE0A93">
              <w:t>ppl</w:t>
            </w:r>
            <w:r w:rsidR="006E09D7">
              <w:t>y an</w:t>
            </w:r>
            <w:r w:rsidR="00C72281">
              <w:t xml:space="preserve"> </w:t>
            </w:r>
            <w:r w:rsidR="00677073">
              <w:t xml:space="preserve">UF </w:t>
            </w:r>
            <w:r w:rsidR="00C72281">
              <w:t xml:space="preserve">of 18 to </w:t>
            </w:r>
            <w:r w:rsidR="00BE584E">
              <w:t xml:space="preserve">the </w:t>
            </w:r>
            <w:r w:rsidR="00C72281">
              <w:t>LOAEL</w:t>
            </w:r>
            <w:r w:rsidR="00BE0A93">
              <w:t xml:space="preserve"> </w:t>
            </w:r>
            <w:r w:rsidR="00BE584E">
              <w:t xml:space="preserve">to </w:t>
            </w:r>
            <w:r w:rsidR="00C72281">
              <w:t>account for lack of NOAEL and inter- and intraspecies uncertainty</w:t>
            </w:r>
          </w:p>
          <w:p w14:paraId="54C87927" w14:textId="15529B26" w:rsidR="00DA352E" w:rsidRDefault="00BA6791" w:rsidP="001C70BC">
            <w:pPr>
              <w:pStyle w:val="ListBullet"/>
              <w:numPr>
                <w:ilvl w:val="0"/>
                <w:numId w:val="5"/>
              </w:numPr>
              <w:spacing w:before="60" w:after="60"/>
              <w:contextualSpacing w:val="0"/>
            </w:pPr>
            <w:r>
              <w:lastRenderedPageBreak/>
              <w:t>results in</w:t>
            </w:r>
            <w:r w:rsidR="00BE0A93">
              <w:t xml:space="preserve"> 31 mg/m</w:t>
            </w:r>
            <w:r w:rsidR="00BE0A93">
              <w:rPr>
                <w:vertAlign w:val="superscript"/>
              </w:rPr>
              <w:t>3</w:t>
            </w:r>
            <w:r w:rsidR="00BE0A93">
              <w:t xml:space="preserve"> </w:t>
            </w:r>
            <w:r w:rsidR="006E09D7">
              <w:t xml:space="preserve">rounded </w:t>
            </w:r>
            <w:r w:rsidR="001F30DC">
              <w:t xml:space="preserve">up </w:t>
            </w:r>
            <w:r w:rsidR="006E09D7">
              <w:t>to</w:t>
            </w:r>
            <w:r w:rsidR="00BE0A93">
              <w:t xml:space="preserve"> 50 mg/m</w:t>
            </w:r>
            <w:r w:rsidR="00BE0A93">
              <w:rPr>
                <w:vertAlign w:val="superscript"/>
              </w:rPr>
              <w:t>3</w:t>
            </w:r>
            <w:r w:rsidR="00BE0A93">
              <w:t xml:space="preserve"> (10.5 ppm)</w:t>
            </w:r>
            <w:r>
              <w:t xml:space="preserve"> according to HCOTN methodology</w:t>
            </w:r>
            <w:r w:rsidR="001F30DC">
              <w:t xml:space="preserve"> </w:t>
            </w:r>
            <w:r w:rsidR="00DE5D99">
              <w:t>to</w:t>
            </w:r>
            <w:r w:rsidR="001F30DC">
              <w:t xml:space="preserve"> recommend TWA OEL</w:t>
            </w:r>
            <w:r w:rsidR="00BE0A93">
              <w:t>.</w:t>
            </w:r>
          </w:p>
          <w:p w14:paraId="6C483C4A" w14:textId="1A83FE88" w:rsidR="00E11106" w:rsidRPr="00DA352E" w:rsidRDefault="00E11106" w:rsidP="00533E16">
            <w:pPr>
              <w:pStyle w:val="ListBullet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</w:p>
        </w:tc>
      </w:tr>
    </w:tbl>
    <w:p w14:paraId="2040F724" w14:textId="77777777" w:rsidR="00A20751" w:rsidRPr="004C23F4" w:rsidRDefault="00A20751" w:rsidP="003365A5">
      <w:pPr>
        <w:pStyle w:val="Heading3"/>
      </w:pPr>
      <w:bookmarkStart w:id="1" w:name="SecondSource"/>
      <w:r w:rsidRPr="004C23F4">
        <w:lastRenderedPageBreak/>
        <w:t xml:space="preserve">Secondary </w:t>
      </w:r>
      <w:r w:rsidR="0088798F">
        <w:t xml:space="preserve">source reports relied upon </w:t>
      </w:r>
    </w:p>
    <w:p w14:paraId="26A7ECC8" w14:textId="0F2C2B99" w:rsidR="007E2A4B" w:rsidRDefault="0070577F">
      <w:r>
        <w:t>NIL</w:t>
      </w:r>
      <w:r w:rsidR="00533E16">
        <w:t>.</w:t>
      </w:r>
    </w:p>
    <w:bookmarkEnd w:id="1"/>
    <w:p w14:paraId="13338369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3"/>
        <w:gridCol w:w="2423"/>
      </w:tblGrid>
      <w:tr w:rsidR="002E0D61" w14:paraId="7C10DE11" w14:textId="77777777" w:rsidTr="00C72281">
        <w:trPr>
          <w:trHeight w:val="454"/>
          <w:tblHeader/>
        </w:trPr>
        <w:tc>
          <w:tcPr>
            <w:tcW w:w="6603" w:type="dxa"/>
            <w:vAlign w:val="center"/>
          </w:tcPr>
          <w:p w14:paraId="3A4502F3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2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3" w:type="dxa"/>
                <w:vAlign w:val="center"/>
              </w:tcPr>
              <w:p w14:paraId="048EF9C6" w14:textId="62E0204F" w:rsidR="002E0D61" w:rsidRDefault="00C72281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8A36CF" w14:paraId="3C29F1B2" w14:textId="77777777" w:rsidTr="00C72281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603" w:type="dxa"/>
                <w:vAlign w:val="center"/>
              </w:tcPr>
              <w:p w14:paraId="75DA8018" w14:textId="01C5173B" w:rsidR="008A36CF" w:rsidRPr="006901A2" w:rsidRDefault="00C72281" w:rsidP="008A36CF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23" w:type="dxa"/>
            <w:vAlign w:val="center"/>
          </w:tcPr>
          <w:p w14:paraId="5A71006B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</w:p>
        </w:tc>
      </w:tr>
    </w:tbl>
    <w:bookmarkEnd w:id="2"/>
    <w:p w14:paraId="223192DE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20" w:firstRow="1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B5219F" w14:paraId="4556CFDC" w14:textId="77777777" w:rsidTr="00B521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62DC00D9" w14:textId="77777777" w:rsidR="00687890" w:rsidRPr="00B5219F" w:rsidRDefault="00687890" w:rsidP="00263255">
            <w:pPr>
              <w:pStyle w:val="Tableheader"/>
              <w:rPr>
                <w:b/>
              </w:rPr>
            </w:pPr>
            <w:bookmarkStart w:id="3" w:name="Notations"/>
            <w:r w:rsidRPr="00B5219F">
              <w:rPr>
                <w:b/>
              </w:rPr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2D19797F" w14:textId="77777777" w:rsidR="00687890" w:rsidRPr="00B5219F" w:rsidRDefault="00687890" w:rsidP="00F4402E">
            <w:pPr>
              <w:pStyle w:val="Tableheader"/>
              <w:tabs>
                <w:tab w:val="right" w:pos="5272"/>
              </w:tabs>
              <w:rPr>
                <w:b/>
              </w:rPr>
            </w:pPr>
            <w:r w:rsidRPr="00B5219F">
              <w:rPr>
                <w:b/>
              </w:rPr>
              <w:t>Notations</w:t>
            </w:r>
            <w:r w:rsidR="003A2B94" w:rsidRPr="00B5219F">
              <w:rPr>
                <w:b/>
              </w:rPr>
              <w:tab/>
            </w:r>
          </w:p>
        </w:tc>
      </w:tr>
      <w:tr w:rsidR="00687890" w:rsidRPr="004C23F4" w14:paraId="378EFB39" w14:textId="77777777" w:rsidTr="00B5219F">
        <w:trPr>
          <w:cantSplit/>
        </w:trPr>
        <w:tc>
          <w:tcPr>
            <w:tcW w:w="3227" w:type="dxa"/>
          </w:tcPr>
          <w:p w14:paraId="2E70F2C8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3E1E9D8D" w14:textId="0250C61E" w:rsidR="00687890" w:rsidRPr="00DD2F9B" w:rsidRDefault="008D1357" w:rsidP="00DD2F9B">
            <w:pPr>
              <w:pStyle w:val="Tablefont"/>
            </w:pPr>
            <w:r>
              <w:t>—</w:t>
            </w:r>
          </w:p>
        </w:tc>
      </w:tr>
      <w:tr w:rsidR="007925F0" w:rsidRPr="004C23F4" w14:paraId="3B27D7FD" w14:textId="77777777" w:rsidTr="00B5219F">
        <w:trPr>
          <w:cantSplit/>
        </w:trPr>
        <w:tc>
          <w:tcPr>
            <w:tcW w:w="3227" w:type="dxa"/>
          </w:tcPr>
          <w:p w14:paraId="03487AC0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0E99BE57" w14:textId="7D3B571B" w:rsidR="007925F0" w:rsidRPr="00DD2F9B" w:rsidRDefault="008D1357" w:rsidP="00DD2F9B">
            <w:pPr>
              <w:pStyle w:val="Tablefont"/>
            </w:pPr>
            <w:r>
              <w:t>NA</w:t>
            </w:r>
          </w:p>
        </w:tc>
      </w:tr>
      <w:tr w:rsidR="00AF483F" w:rsidRPr="004C23F4" w14:paraId="2B47D805" w14:textId="77777777" w:rsidTr="00B5219F">
        <w:trPr>
          <w:cantSplit/>
        </w:trPr>
        <w:tc>
          <w:tcPr>
            <w:tcW w:w="3227" w:type="dxa"/>
          </w:tcPr>
          <w:p w14:paraId="0295E13A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4AEE1927" w14:textId="541CFB8C" w:rsidR="00AF483F" w:rsidRPr="00DD2F9B" w:rsidRDefault="008D1357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0BCFC92E" w14:textId="77777777" w:rsidTr="00B5219F">
        <w:trPr>
          <w:cantSplit/>
        </w:trPr>
        <w:tc>
          <w:tcPr>
            <w:tcW w:w="3227" w:type="dxa"/>
          </w:tcPr>
          <w:p w14:paraId="7E37030A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1F7CA4ED" w14:textId="61C7104F" w:rsidR="00687890" w:rsidRPr="00DD2F9B" w:rsidRDefault="008D1357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2CE606FC" w14:textId="77777777" w:rsidTr="00B5219F">
        <w:trPr>
          <w:cantSplit/>
        </w:trPr>
        <w:tc>
          <w:tcPr>
            <w:tcW w:w="3227" w:type="dxa"/>
          </w:tcPr>
          <w:p w14:paraId="3D659C37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7E26ADC9" w14:textId="3336B4F7" w:rsidR="00E41A26" w:rsidRPr="00DD2F9B" w:rsidRDefault="008D1357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2D4C54A9" w14:textId="77777777" w:rsidTr="00B5219F">
        <w:trPr>
          <w:cantSplit/>
        </w:trPr>
        <w:tc>
          <w:tcPr>
            <w:tcW w:w="3227" w:type="dxa"/>
          </w:tcPr>
          <w:p w14:paraId="0FA6BAE8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0A5D0318" w14:textId="24957740" w:rsidR="002E0D61" w:rsidRPr="00DD2F9B" w:rsidRDefault="008D1357" w:rsidP="00DD2F9B">
            <w:pPr>
              <w:pStyle w:val="Tablefont"/>
            </w:pPr>
            <w:r>
              <w:t>—</w:t>
            </w:r>
          </w:p>
        </w:tc>
      </w:tr>
      <w:tr w:rsidR="002E0D61" w:rsidRPr="004C23F4" w14:paraId="008B743F" w14:textId="77777777" w:rsidTr="00B5219F">
        <w:trPr>
          <w:cantSplit/>
        </w:trPr>
        <w:tc>
          <w:tcPr>
            <w:tcW w:w="3227" w:type="dxa"/>
          </w:tcPr>
          <w:p w14:paraId="64589FEC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36FC1A58" w14:textId="7D08D174" w:rsidR="002E0D61" w:rsidRPr="00DD2F9B" w:rsidRDefault="008D1357" w:rsidP="00DD2F9B">
            <w:pPr>
              <w:pStyle w:val="Tablefont"/>
            </w:pPr>
            <w:r>
              <w:t>—</w:t>
            </w:r>
          </w:p>
        </w:tc>
      </w:tr>
      <w:tr w:rsidR="002E0D61" w:rsidRPr="004C23F4" w14:paraId="4421C5AA" w14:textId="77777777" w:rsidTr="00B5219F">
        <w:trPr>
          <w:cantSplit/>
        </w:trPr>
        <w:tc>
          <w:tcPr>
            <w:tcW w:w="3227" w:type="dxa"/>
          </w:tcPr>
          <w:p w14:paraId="00F732F0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2669CE72" w14:textId="0DAD85BD" w:rsidR="002E0D61" w:rsidRPr="00DD2F9B" w:rsidRDefault="008D1357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41380A7D" w14:textId="77777777" w:rsidTr="00B5219F">
        <w:trPr>
          <w:cantSplit/>
        </w:trPr>
        <w:tc>
          <w:tcPr>
            <w:tcW w:w="3227" w:type="dxa"/>
          </w:tcPr>
          <w:p w14:paraId="5EA8D892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0E89380D" w14:textId="4E5BFDF4" w:rsidR="002E0D61" w:rsidRPr="00DD2F9B" w:rsidRDefault="008D1357" w:rsidP="00DD2F9B">
            <w:pPr>
              <w:pStyle w:val="Tablefont"/>
            </w:pPr>
            <w:r>
              <w:t>—</w:t>
            </w:r>
          </w:p>
        </w:tc>
      </w:tr>
      <w:tr w:rsidR="00386093" w:rsidRPr="004C23F4" w14:paraId="5FC96BD9" w14:textId="77777777" w:rsidTr="00B5219F">
        <w:trPr>
          <w:cantSplit/>
        </w:trPr>
        <w:tc>
          <w:tcPr>
            <w:tcW w:w="3227" w:type="dxa"/>
          </w:tcPr>
          <w:p w14:paraId="1DF726FE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2D9F9FFD" w14:textId="2A1D1FFD" w:rsidR="00386093" w:rsidRPr="00DD2F9B" w:rsidRDefault="008D1357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169E648F" w14:textId="77777777" w:rsidTr="00B5219F">
        <w:trPr>
          <w:cantSplit/>
        </w:trPr>
        <w:tc>
          <w:tcPr>
            <w:tcW w:w="3227" w:type="dxa"/>
          </w:tcPr>
          <w:p w14:paraId="4D3B53D9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780C9ADF" w14:textId="1DDE7301" w:rsidR="00386093" w:rsidRPr="00DD2F9B" w:rsidRDefault="008D1357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3"/>
    <w:p w14:paraId="55848C0D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58FDC136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465E4BF7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19EA2370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4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34F1A4A9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p w14:paraId="2A951920" w14:textId="0A7D7BD6" w:rsidR="00932DCE" w:rsidRPr="004C23F4" w:rsidRDefault="00FC41EA" w:rsidP="00F9496B">
            <w:pPr>
              <w:pStyle w:val="Tablefont"/>
            </w:pPr>
            <w:r>
              <w:t xml:space="preserve">Insufficient data to </w:t>
            </w:r>
            <w:r w:rsidR="0070577F">
              <w:t>assign a skin notation</w:t>
            </w:r>
          </w:p>
        </w:tc>
      </w:tr>
    </w:tbl>
    <w:bookmarkEnd w:id="4"/>
    <w:p w14:paraId="3546BE8A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8"/>
        <w:gridCol w:w="4758"/>
      </w:tblGrid>
      <w:tr w:rsidR="00EB3D1B" w14:paraId="453E9A8C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7608711F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3CE8ACEB" w14:textId="7F74E7CB" w:rsidR="00EB3D1B" w:rsidRDefault="008D1357" w:rsidP="00EB3D1B">
                <w:pPr>
                  <w:pStyle w:val="Tablefont"/>
                </w:pPr>
                <w:r>
                  <w:t>Yes</w:t>
                </w:r>
              </w:p>
            </w:tc>
          </w:sdtContent>
        </w:sdt>
      </w:tr>
    </w:tbl>
    <w:p w14:paraId="0DBBCB46" w14:textId="77777777" w:rsidR="00687890" w:rsidRPr="004C23F4" w:rsidRDefault="00B479A9" w:rsidP="00474E33">
      <w:pPr>
        <w:pStyle w:val="Heading2"/>
      </w:pPr>
      <w:r w:rsidRPr="004C23F4">
        <w:lastRenderedPageBreak/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6"/>
        <w:gridCol w:w="5030"/>
      </w:tblGrid>
      <w:tr w:rsidR="001B79E5" w:rsidRPr="004C23F4" w14:paraId="40CC119D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7871EACF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4549F1BF" w14:textId="14C589B3" w:rsidR="001B79E5" w:rsidRDefault="008D1357" w:rsidP="001B79E5">
                <w:pPr>
                  <w:pStyle w:val="Tablefont"/>
                </w:pPr>
                <w:r>
                  <w:t>114.19</w:t>
                </w:r>
              </w:p>
            </w:tc>
          </w:sdtContent>
        </w:sdt>
      </w:tr>
      <w:tr w:rsidR="00A31D99" w:rsidRPr="004C23F4" w14:paraId="4E2449A1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6FCC9D15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17B321CC" w14:textId="09ACA5A0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</w:sdtPr>
              <w:sdtEndPr/>
              <w:sdtContent>
                <w:r w:rsidR="008D1357">
                  <w:t>4.66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8D1357">
                  <w:t>0.215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508F2B97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61297A01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0F3A745F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1503F76A" w14:textId="77777777" w:rsidTr="00EA6243">
        <w:trPr>
          <w:cantSplit/>
        </w:trPr>
        <w:tc>
          <w:tcPr>
            <w:tcW w:w="4077" w:type="dxa"/>
            <w:vAlign w:val="center"/>
          </w:tcPr>
          <w:p w14:paraId="1F8819D9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43545314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3B02FC9B" w14:textId="77777777" w:rsidTr="00EA6243">
        <w:trPr>
          <w:cantSplit/>
        </w:trPr>
        <w:tc>
          <w:tcPr>
            <w:tcW w:w="4077" w:type="dxa"/>
            <w:vAlign w:val="center"/>
          </w:tcPr>
          <w:p w14:paraId="54376C7B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6D4995C1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45ECE91D" w14:textId="77777777" w:rsidTr="00EA6243">
        <w:trPr>
          <w:cantSplit/>
        </w:trPr>
        <w:tc>
          <w:tcPr>
            <w:tcW w:w="4077" w:type="dxa"/>
            <w:vAlign w:val="center"/>
          </w:tcPr>
          <w:p w14:paraId="7CA1AAEF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612790DA" w14:textId="77777777" w:rsidR="00E06F40" w:rsidRPr="00A006A0" w:rsidRDefault="00B5219F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2CB7E949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6E6650EF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267D50A4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5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308B631E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360A3547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663BD543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20714FAC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5"/>
    <w:p w14:paraId="40AABCAF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711561E2" w14:textId="5521B860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140047B3" w14:textId="227F8076" w:rsidR="008D1357" w:rsidRDefault="008D1357" w:rsidP="00084859">
      <w:r w:rsidRPr="002022B6">
        <w:t xml:space="preserve">Deutsche </w:t>
      </w:r>
      <w:proofErr w:type="spellStart"/>
      <w:r w:rsidRPr="002022B6">
        <w:t>Forschungsgemeinschaft</w:t>
      </w:r>
      <w:proofErr w:type="spellEnd"/>
      <w:r w:rsidRPr="002022B6">
        <w:t xml:space="preserve"> (DFG)</w:t>
      </w:r>
      <w:r>
        <w:t xml:space="preserve"> (1998) </w:t>
      </w:r>
      <w:proofErr w:type="spellStart"/>
      <w:r>
        <w:t>methylcyclohexanol</w:t>
      </w:r>
      <w:proofErr w:type="spellEnd"/>
      <w:r>
        <w:t xml:space="preserve"> (</w:t>
      </w:r>
      <w:proofErr w:type="spellStart"/>
      <w:r>
        <w:t>alle</w:t>
      </w:r>
      <w:proofErr w:type="spellEnd"/>
      <w:r>
        <w:t xml:space="preserve"> </w:t>
      </w:r>
      <w:proofErr w:type="spellStart"/>
      <w:r>
        <w:t>isomeren</w:t>
      </w:r>
      <w:proofErr w:type="spellEnd"/>
      <w:r>
        <w:t>) – MAK value documentation.</w:t>
      </w:r>
    </w:p>
    <w:p w14:paraId="7DBE0F54" w14:textId="5ACA41E4" w:rsidR="008D1357" w:rsidRDefault="008D1357" w:rsidP="00084859">
      <w:r w:rsidRPr="002022B6">
        <w:t>Health Council of the Netherlands</w:t>
      </w:r>
      <w:r>
        <w:t xml:space="preserve"> (HCOTN) (</w:t>
      </w:r>
      <w:r w:rsidRPr="008D1357">
        <w:t>2000</w:t>
      </w:r>
      <w:r>
        <w:t xml:space="preserve">) </w:t>
      </w:r>
      <w:proofErr w:type="spellStart"/>
      <w:r w:rsidRPr="008D1357">
        <w:t>Methylcyclohexanol</w:t>
      </w:r>
      <w:proofErr w:type="spellEnd"/>
      <w:r w:rsidRPr="008D1357">
        <w:t xml:space="preserve"> (mixed isomers)</w:t>
      </w:r>
      <w:r w:rsidRPr="005F7416">
        <w:t xml:space="preserve">. Health-based calculated occupational cancer risk values. The Hague: Health Council of the Netherlands; publication no. </w:t>
      </w:r>
      <w:r w:rsidRPr="008D1357">
        <w:t>2000/15OSH/010</w:t>
      </w:r>
      <w:r>
        <w:t>.</w:t>
      </w:r>
    </w:p>
    <w:p w14:paraId="21B137A9" w14:textId="6848BDE8" w:rsidR="008D1357" w:rsidRPr="00351FE0" w:rsidRDefault="008D1357" w:rsidP="00084859">
      <w:r w:rsidRPr="00D86E03">
        <w:t>US National Institute for Occupational Safety and Health (NIOSH)</w:t>
      </w:r>
      <w:r>
        <w:t xml:space="preserve"> (</w:t>
      </w:r>
      <w:r w:rsidRPr="008D1357">
        <w:t>1994</w:t>
      </w:r>
      <w:r>
        <w:t xml:space="preserve">) Immediately dangerous to life or health concentrations – </w:t>
      </w:r>
      <w:proofErr w:type="spellStart"/>
      <w:r w:rsidRPr="008D1357">
        <w:t>Methylcyclohexanol</w:t>
      </w:r>
      <w:proofErr w:type="spellEnd"/>
      <w:r>
        <w:t>.</w:t>
      </w:r>
    </w:p>
    <w:sectPr w:rsidR="008D1357" w:rsidRPr="00351FE0" w:rsidSect="00B87D4C">
      <w:headerReference w:type="even" r:id="rId18"/>
      <w:headerReference w:type="default" r:id="rId19"/>
      <w:headerReference w:type="first" r:id="rId20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9612CF" w14:textId="77777777" w:rsidR="00872F5C" w:rsidRDefault="00872F5C" w:rsidP="00F43AD5">
      <w:pPr>
        <w:spacing w:after="0" w:line="240" w:lineRule="auto"/>
      </w:pPr>
      <w:r>
        <w:separator/>
      </w:r>
    </w:p>
  </w:endnote>
  <w:endnote w:type="continuationSeparator" w:id="0">
    <w:p w14:paraId="22B51C20" w14:textId="77777777" w:rsidR="00872F5C" w:rsidRDefault="00872F5C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6348A" w14:textId="77777777" w:rsidR="00B5219F" w:rsidRDefault="00B521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106DDBC9" w14:textId="43E1D6B6" w:rsidR="008A36CF" w:rsidRDefault="003629A7" w:rsidP="0034744C">
        <w:pPr>
          <w:pStyle w:val="Footer"/>
          <w:rPr>
            <w:sz w:val="18"/>
            <w:szCs w:val="18"/>
          </w:rPr>
        </w:pPr>
        <w:proofErr w:type="spellStart"/>
        <w:r w:rsidRPr="003629A7">
          <w:rPr>
            <w:b/>
            <w:sz w:val="18"/>
            <w:szCs w:val="18"/>
          </w:rPr>
          <w:t>Methylcyclohexanol</w:t>
        </w:r>
        <w:proofErr w:type="spellEnd"/>
        <w:r w:rsidR="00677073">
          <w:rPr>
            <w:b/>
            <w:sz w:val="18"/>
            <w:szCs w:val="18"/>
          </w:rPr>
          <w:t xml:space="preserve"> (</w:t>
        </w:r>
        <w:r w:rsidR="00BD2F16">
          <w:rPr>
            <w:b/>
            <w:sz w:val="18"/>
            <w:szCs w:val="18"/>
          </w:rPr>
          <w:t xml:space="preserve">all </w:t>
        </w:r>
        <w:r w:rsidR="00677073">
          <w:rPr>
            <w:b/>
            <w:sz w:val="18"/>
            <w:szCs w:val="18"/>
          </w:rPr>
          <w:t>isomers)</w:t>
        </w:r>
        <w:r w:rsidR="008A36CF">
          <w:rPr>
            <w:b/>
            <w:sz w:val="18"/>
            <w:szCs w:val="18"/>
          </w:rPr>
          <w:t xml:space="preserve"> (</w:t>
        </w:r>
        <w:r w:rsidRPr="003629A7">
          <w:rPr>
            <w:b/>
            <w:sz w:val="18"/>
            <w:szCs w:val="18"/>
          </w:rPr>
          <w:t>25639-42-3</w:t>
        </w:r>
        <w:r w:rsidR="008A36CF">
          <w:rPr>
            <w:b/>
            <w:sz w:val="18"/>
            <w:szCs w:val="18"/>
          </w:rPr>
          <w:t>)</w:t>
        </w:r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201</w:t>
        </w:r>
        <w:r w:rsidR="00351FE0">
          <w:rPr>
            <w:sz w:val="18"/>
            <w:szCs w:val="18"/>
          </w:rPr>
          <w:t>9</w:t>
        </w:r>
      </w:p>
      <w:p w14:paraId="619574D3" w14:textId="0C68CE4D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C52CDD">
          <w:rPr>
            <w:noProof/>
            <w:sz w:val="18"/>
            <w:szCs w:val="18"/>
          </w:rPr>
          <w:t>4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7D6CE" w14:textId="77777777" w:rsidR="00B5219F" w:rsidRDefault="00B521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620BCB" w14:textId="77777777" w:rsidR="00872F5C" w:rsidRDefault="00872F5C" w:rsidP="00F43AD5">
      <w:pPr>
        <w:spacing w:after="0" w:line="240" w:lineRule="auto"/>
      </w:pPr>
      <w:r>
        <w:separator/>
      </w:r>
    </w:p>
  </w:footnote>
  <w:footnote w:type="continuationSeparator" w:id="0">
    <w:p w14:paraId="7BA988E6" w14:textId="77777777" w:rsidR="00872F5C" w:rsidRDefault="00872F5C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BD01E" w14:textId="34F3B027" w:rsidR="00B5219F" w:rsidRDefault="00B5219F">
    <w:pPr>
      <w:pStyle w:val="Header"/>
    </w:pPr>
    <w:r>
      <w:rPr>
        <w:noProof/>
      </w:rPr>
      <w:pict w14:anchorId="3D27A50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0845422" o:spid="_x0000_s10242" type="#_x0000_t136" style="position:absolute;margin-left:0;margin-top:0;width:454.5pt;height:181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F6368" w14:textId="3B4EF5D3" w:rsidR="008A36CF" w:rsidRDefault="00B5219F" w:rsidP="00F43AD5">
    <w:pPr>
      <w:pStyle w:val="Header"/>
      <w:jc w:val="right"/>
    </w:pPr>
    <w:r>
      <w:rPr>
        <w:noProof/>
      </w:rPr>
      <w:pict w14:anchorId="370AFB1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0845423" o:spid="_x0000_s10243" type="#_x0000_t136" style="position:absolute;left:0;text-align:left;margin-left:0;margin-top:0;width:454.5pt;height:181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  <w:r w:rsidR="008A36CF">
      <w:rPr>
        <w:noProof/>
        <w:lang w:eastAsia="en-AU"/>
      </w:rPr>
      <w:drawing>
        <wp:inline distT="0" distB="0" distL="0" distR="0" wp14:anchorId="1F50867D" wp14:editId="6F441983">
          <wp:extent cx="2938272" cy="594360"/>
          <wp:effectExtent l="0" t="0" r="0" b="0"/>
          <wp:docPr id="2" name="Picture 2" descr="Safe Work Australia logo" title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A_logo_inline Hi-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272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130C7" w14:textId="6140FC50" w:rsidR="00B5219F" w:rsidRDefault="00B5219F">
    <w:pPr>
      <w:pStyle w:val="Header"/>
    </w:pPr>
    <w:r>
      <w:rPr>
        <w:noProof/>
      </w:rPr>
      <w:pict w14:anchorId="674871C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0845421" o:spid="_x0000_s10241" type="#_x0000_t136" style="position:absolute;margin-left:0;margin-top:0;width:454.5pt;height:181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4BD00" w14:textId="1649AF82" w:rsidR="00B5219F" w:rsidRDefault="00B5219F">
    <w:pPr>
      <w:pStyle w:val="Header"/>
    </w:pPr>
    <w:r>
      <w:rPr>
        <w:noProof/>
      </w:rPr>
      <w:pict w14:anchorId="4F9EB31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0845425" o:spid="_x0000_s10245" type="#_x0000_t136" style="position:absolute;margin-left:0;margin-top:0;width:454.5pt;height:181.8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75F91" w14:textId="09CE44CD" w:rsidR="008A36CF" w:rsidRDefault="00B5219F" w:rsidP="00F43AD5">
    <w:pPr>
      <w:pStyle w:val="Header"/>
      <w:jc w:val="right"/>
    </w:pPr>
    <w:r>
      <w:rPr>
        <w:noProof/>
      </w:rPr>
      <w:pict w14:anchorId="25109FC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0845426" o:spid="_x0000_s10246" type="#_x0000_t136" style="position:absolute;left:0;text-align:left;margin-left:0;margin-top:0;width:454.5pt;height:181.8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  <w:r>
      <w:rPr>
        <w:noProof/>
      </w:rPr>
      <w:drawing>
        <wp:inline distT="0" distB="0" distL="0" distR="0" wp14:anchorId="7C0794FC" wp14:editId="49EB7265">
          <wp:extent cx="2938145" cy="594360"/>
          <wp:effectExtent l="0" t="0" r="0" b="0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20AA8" w14:textId="4EDD38BB" w:rsidR="00B5219F" w:rsidRDefault="00B5219F">
    <w:pPr>
      <w:pStyle w:val="Header"/>
    </w:pPr>
    <w:r>
      <w:rPr>
        <w:noProof/>
      </w:rPr>
      <w:pict w14:anchorId="74D9494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0845424" o:spid="_x0000_s10244" type="#_x0000_t136" style="position:absolute;margin-left:0;margin-top:0;width:454.5pt;height:181.8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87E3D9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62464A0"/>
    <w:multiLevelType w:val="hybridMultilevel"/>
    <w:tmpl w:val="5454B4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60EAC"/>
    <w:multiLevelType w:val="hybridMultilevel"/>
    <w:tmpl w:val="05886BE8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AD1ED3"/>
    <w:multiLevelType w:val="hybridMultilevel"/>
    <w:tmpl w:val="946220DA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0312CFA"/>
    <w:multiLevelType w:val="hybridMultilevel"/>
    <w:tmpl w:val="7F02DF1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9BA1FC2"/>
    <w:multiLevelType w:val="hybridMultilevel"/>
    <w:tmpl w:val="2F984C38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0247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0DC7"/>
    <w:rsid w:val="00011717"/>
    <w:rsid w:val="00013A22"/>
    <w:rsid w:val="00014C3F"/>
    <w:rsid w:val="00017C82"/>
    <w:rsid w:val="00032B88"/>
    <w:rsid w:val="00046DF5"/>
    <w:rsid w:val="00052060"/>
    <w:rsid w:val="0005574A"/>
    <w:rsid w:val="00055FE1"/>
    <w:rsid w:val="00056EC2"/>
    <w:rsid w:val="00060B48"/>
    <w:rsid w:val="00067F32"/>
    <w:rsid w:val="00071807"/>
    <w:rsid w:val="000803E1"/>
    <w:rsid w:val="00084513"/>
    <w:rsid w:val="00084859"/>
    <w:rsid w:val="00092D94"/>
    <w:rsid w:val="000B0868"/>
    <w:rsid w:val="000B3E12"/>
    <w:rsid w:val="000B3E78"/>
    <w:rsid w:val="000B7B48"/>
    <w:rsid w:val="000C096D"/>
    <w:rsid w:val="000C139A"/>
    <w:rsid w:val="000C2053"/>
    <w:rsid w:val="000C248C"/>
    <w:rsid w:val="000D291C"/>
    <w:rsid w:val="000D7604"/>
    <w:rsid w:val="000E5A54"/>
    <w:rsid w:val="000E63D3"/>
    <w:rsid w:val="000E67CF"/>
    <w:rsid w:val="0010461E"/>
    <w:rsid w:val="00106FAA"/>
    <w:rsid w:val="00113443"/>
    <w:rsid w:val="001269A7"/>
    <w:rsid w:val="00131092"/>
    <w:rsid w:val="00140E6A"/>
    <w:rsid w:val="00146545"/>
    <w:rsid w:val="00146B75"/>
    <w:rsid w:val="0015266D"/>
    <w:rsid w:val="0015288A"/>
    <w:rsid w:val="00160F47"/>
    <w:rsid w:val="00177CA1"/>
    <w:rsid w:val="00183823"/>
    <w:rsid w:val="00183942"/>
    <w:rsid w:val="001A009E"/>
    <w:rsid w:val="001A1287"/>
    <w:rsid w:val="001A3859"/>
    <w:rsid w:val="001A3C9D"/>
    <w:rsid w:val="001A43F8"/>
    <w:rsid w:val="001A4B75"/>
    <w:rsid w:val="001B79E5"/>
    <w:rsid w:val="001C70BC"/>
    <w:rsid w:val="001D5190"/>
    <w:rsid w:val="001D56F0"/>
    <w:rsid w:val="001D663B"/>
    <w:rsid w:val="001D7B41"/>
    <w:rsid w:val="001E46DA"/>
    <w:rsid w:val="001E7D80"/>
    <w:rsid w:val="001F30DC"/>
    <w:rsid w:val="001F4B6C"/>
    <w:rsid w:val="001F62CB"/>
    <w:rsid w:val="001F6ED0"/>
    <w:rsid w:val="001F72E6"/>
    <w:rsid w:val="001F73C5"/>
    <w:rsid w:val="002046A6"/>
    <w:rsid w:val="00204956"/>
    <w:rsid w:val="00213640"/>
    <w:rsid w:val="00221547"/>
    <w:rsid w:val="002216FC"/>
    <w:rsid w:val="00222533"/>
    <w:rsid w:val="00222F30"/>
    <w:rsid w:val="00224EE2"/>
    <w:rsid w:val="00227EC7"/>
    <w:rsid w:val="00244AD1"/>
    <w:rsid w:val="002463BC"/>
    <w:rsid w:val="002465CE"/>
    <w:rsid w:val="0025734A"/>
    <w:rsid w:val="002627B8"/>
    <w:rsid w:val="00263255"/>
    <w:rsid w:val="00271B4B"/>
    <w:rsid w:val="00276494"/>
    <w:rsid w:val="00277B0C"/>
    <w:rsid w:val="002809B3"/>
    <w:rsid w:val="002B1A2C"/>
    <w:rsid w:val="002C34F2"/>
    <w:rsid w:val="002C58FF"/>
    <w:rsid w:val="002C7AFE"/>
    <w:rsid w:val="002D05D2"/>
    <w:rsid w:val="002E0D61"/>
    <w:rsid w:val="002E4C7B"/>
    <w:rsid w:val="002F6A73"/>
    <w:rsid w:val="00306AA7"/>
    <w:rsid w:val="0030740C"/>
    <w:rsid w:val="00312F21"/>
    <w:rsid w:val="003143F7"/>
    <w:rsid w:val="00315833"/>
    <w:rsid w:val="003215EE"/>
    <w:rsid w:val="003224BF"/>
    <w:rsid w:val="00322C66"/>
    <w:rsid w:val="003241A8"/>
    <w:rsid w:val="00324B80"/>
    <w:rsid w:val="003253F0"/>
    <w:rsid w:val="003321FB"/>
    <w:rsid w:val="003337DA"/>
    <w:rsid w:val="00333B30"/>
    <w:rsid w:val="00334EFB"/>
    <w:rsid w:val="00335CDE"/>
    <w:rsid w:val="003365A5"/>
    <w:rsid w:val="00345206"/>
    <w:rsid w:val="00347192"/>
    <w:rsid w:val="0034744C"/>
    <w:rsid w:val="00351FE0"/>
    <w:rsid w:val="00352615"/>
    <w:rsid w:val="0035412B"/>
    <w:rsid w:val="003567A8"/>
    <w:rsid w:val="00362895"/>
    <w:rsid w:val="003629A7"/>
    <w:rsid w:val="00370DBF"/>
    <w:rsid w:val="00386093"/>
    <w:rsid w:val="003904A4"/>
    <w:rsid w:val="00391841"/>
    <w:rsid w:val="00391B6D"/>
    <w:rsid w:val="00394922"/>
    <w:rsid w:val="0039525A"/>
    <w:rsid w:val="003A0E32"/>
    <w:rsid w:val="003A2B94"/>
    <w:rsid w:val="003B387D"/>
    <w:rsid w:val="003C0D58"/>
    <w:rsid w:val="003C5913"/>
    <w:rsid w:val="003D4FA3"/>
    <w:rsid w:val="003E0807"/>
    <w:rsid w:val="003E51FB"/>
    <w:rsid w:val="003E6B39"/>
    <w:rsid w:val="003F07E1"/>
    <w:rsid w:val="00400B4C"/>
    <w:rsid w:val="004030BC"/>
    <w:rsid w:val="00403F7D"/>
    <w:rsid w:val="00406785"/>
    <w:rsid w:val="004079B4"/>
    <w:rsid w:val="00417A56"/>
    <w:rsid w:val="00420957"/>
    <w:rsid w:val="00422A10"/>
    <w:rsid w:val="00430179"/>
    <w:rsid w:val="00437A97"/>
    <w:rsid w:val="004414B5"/>
    <w:rsid w:val="00444482"/>
    <w:rsid w:val="00444B42"/>
    <w:rsid w:val="00445E44"/>
    <w:rsid w:val="004509E2"/>
    <w:rsid w:val="004515EE"/>
    <w:rsid w:val="004529F0"/>
    <w:rsid w:val="00460A03"/>
    <w:rsid w:val="00472A11"/>
    <w:rsid w:val="00472AAD"/>
    <w:rsid w:val="00474E33"/>
    <w:rsid w:val="00475868"/>
    <w:rsid w:val="00476803"/>
    <w:rsid w:val="00485BFD"/>
    <w:rsid w:val="004867A2"/>
    <w:rsid w:val="004873F2"/>
    <w:rsid w:val="00490D4C"/>
    <w:rsid w:val="00493A35"/>
    <w:rsid w:val="00494F9A"/>
    <w:rsid w:val="0049527A"/>
    <w:rsid w:val="004966BF"/>
    <w:rsid w:val="00497984"/>
    <w:rsid w:val="004A5088"/>
    <w:rsid w:val="004C1E3F"/>
    <w:rsid w:val="004C23F4"/>
    <w:rsid w:val="004C3475"/>
    <w:rsid w:val="004C58B6"/>
    <w:rsid w:val="004D16A3"/>
    <w:rsid w:val="004D4AA1"/>
    <w:rsid w:val="004D6D68"/>
    <w:rsid w:val="004E171E"/>
    <w:rsid w:val="004E5EDD"/>
    <w:rsid w:val="004F448A"/>
    <w:rsid w:val="004F493D"/>
    <w:rsid w:val="004F65E8"/>
    <w:rsid w:val="0050005E"/>
    <w:rsid w:val="00502B88"/>
    <w:rsid w:val="00513C9A"/>
    <w:rsid w:val="005142C4"/>
    <w:rsid w:val="0051509C"/>
    <w:rsid w:val="005272E2"/>
    <w:rsid w:val="0053108F"/>
    <w:rsid w:val="00532B56"/>
    <w:rsid w:val="00533E16"/>
    <w:rsid w:val="00534B10"/>
    <w:rsid w:val="005446A2"/>
    <w:rsid w:val="005448DB"/>
    <w:rsid w:val="00544D2F"/>
    <w:rsid w:val="00551BD8"/>
    <w:rsid w:val="00561625"/>
    <w:rsid w:val="005629E5"/>
    <w:rsid w:val="00581055"/>
    <w:rsid w:val="005858F3"/>
    <w:rsid w:val="00591E38"/>
    <w:rsid w:val="00592D0C"/>
    <w:rsid w:val="005964FF"/>
    <w:rsid w:val="005A19C5"/>
    <w:rsid w:val="005A3034"/>
    <w:rsid w:val="005A462D"/>
    <w:rsid w:val="005B253B"/>
    <w:rsid w:val="005B771D"/>
    <w:rsid w:val="005C5D16"/>
    <w:rsid w:val="005D3193"/>
    <w:rsid w:val="005D4A6E"/>
    <w:rsid w:val="005E6979"/>
    <w:rsid w:val="005E75CB"/>
    <w:rsid w:val="006013C1"/>
    <w:rsid w:val="0060669E"/>
    <w:rsid w:val="00610F2E"/>
    <w:rsid w:val="00611399"/>
    <w:rsid w:val="00624C4E"/>
    <w:rsid w:val="00625200"/>
    <w:rsid w:val="006363A8"/>
    <w:rsid w:val="00636DB7"/>
    <w:rsid w:val="0064467C"/>
    <w:rsid w:val="00650905"/>
    <w:rsid w:val="006532ED"/>
    <w:rsid w:val="006549F2"/>
    <w:rsid w:val="006567B7"/>
    <w:rsid w:val="00656C8A"/>
    <w:rsid w:val="00657BFB"/>
    <w:rsid w:val="0066333C"/>
    <w:rsid w:val="006639B4"/>
    <w:rsid w:val="006650FE"/>
    <w:rsid w:val="0067305D"/>
    <w:rsid w:val="00677073"/>
    <w:rsid w:val="00677D9B"/>
    <w:rsid w:val="006867F3"/>
    <w:rsid w:val="00687890"/>
    <w:rsid w:val="006901A2"/>
    <w:rsid w:val="00690368"/>
    <w:rsid w:val="0069079C"/>
    <w:rsid w:val="00690B53"/>
    <w:rsid w:val="00695B72"/>
    <w:rsid w:val="006A4375"/>
    <w:rsid w:val="006B160A"/>
    <w:rsid w:val="006B4E6C"/>
    <w:rsid w:val="006B50B6"/>
    <w:rsid w:val="006D79EA"/>
    <w:rsid w:val="006E09D7"/>
    <w:rsid w:val="006E5D05"/>
    <w:rsid w:val="00701053"/>
    <w:rsid w:val="00701507"/>
    <w:rsid w:val="0070577F"/>
    <w:rsid w:val="00714021"/>
    <w:rsid w:val="00716A0F"/>
    <w:rsid w:val="00717D45"/>
    <w:rsid w:val="007208F7"/>
    <w:rsid w:val="007218AF"/>
    <w:rsid w:val="007365D1"/>
    <w:rsid w:val="00737D9C"/>
    <w:rsid w:val="00740E0E"/>
    <w:rsid w:val="00750212"/>
    <w:rsid w:val="00752017"/>
    <w:rsid w:val="00754779"/>
    <w:rsid w:val="0075716D"/>
    <w:rsid w:val="00765F14"/>
    <w:rsid w:val="00770E31"/>
    <w:rsid w:val="007770F1"/>
    <w:rsid w:val="00783FB1"/>
    <w:rsid w:val="00785CDD"/>
    <w:rsid w:val="00791847"/>
    <w:rsid w:val="007925F0"/>
    <w:rsid w:val="007939B3"/>
    <w:rsid w:val="0079509C"/>
    <w:rsid w:val="00796708"/>
    <w:rsid w:val="007B1B42"/>
    <w:rsid w:val="007C1FF0"/>
    <w:rsid w:val="007C30EB"/>
    <w:rsid w:val="007E063C"/>
    <w:rsid w:val="007E2A4B"/>
    <w:rsid w:val="007E307D"/>
    <w:rsid w:val="007E6A4E"/>
    <w:rsid w:val="007E6C94"/>
    <w:rsid w:val="007F1005"/>
    <w:rsid w:val="007F25E0"/>
    <w:rsid w:val="007F5328"/>
    <w:rsid w:val="00804F5A"/>
    <w:rsid w:val="00810C6D"/>
    <w:rsid w:val="00812887"/>
    <w:rsid w:val="00826F21"/>
    <w:rsid w:val="00830B32"/>
    <w:rsid w:val="00834CC8"/>
    <w:rsid w:val="00835E00"/>
    <w:rsid w:val="00837113"/>
    <w:rsid w:val="008414E4"/>
    <w:rsid w:val="00843E21"/>
    <w:rsid w:val="0084508E"/>
    <w:rsid w:val="00857A8A"/>
    <w:rsid w:val="008630EE"/>
    <w:rsid w:val="00864D13"/>
    <w:rsid w:val="00871CD5"/>
    <w:rsid w:val="00872F5C"/>
    <w:rsid w:val="008745A2"/>
    <w:rsid w:val="008768A8"/>
    <w:rsid w:val="0088798F"/>
    <w:rsid w:val="00887E4B"/>
    <w:rsid w:val="008915C8"/>
    <w:rsid w:val="008A36CF"/>
    <w:rsid w:val="008A3BC4"/>
    <w:rsid w:val="008A409D"/>
    <w:rsid w:val="008B403C"/>
    <w:rsid w:val="008B7983"/>
    <w:rsid w:val="008C0678"/>
    <w:rsid w:val="008C2511"/>
    <w:rsid w:val="008D026D"/>
    <w:rsid w:val="008D1357"/>
    <w:rsid w:val="008D23AB"/>
    <w:rsid w:val="008D4B8B"/>
    <w:rsid w:val="008D5A78"/>
    <w:rsid w:val="008E1C9A"/>
    <w:rsid w:val="008E7B64"/>
    <w:rsid w:val="008F5DCD"/>
    <w:rsid w:val="009007DE"/>
    <w:rsid w:val="00900951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78DD"/>
    <w:rsid w:val="00961124"/>
    <w:rsid w:val="009621B6"/>
    <w:rsid w:val="00974F2D"/>
    <w:rsid w:val="00977524"/>
    <w:rsid w:val="00977E88"/>
    <w:rsid w:val="00984920"/>
    <w:rsid w:val="0099303A"/>
    <w:rsid w:val="009971C2"/>
    <w:rsid w:val="009A1254"/>
    <w:rsid w:val="009B2FF2"/>
    <w:rsid w:val="009B380C"/>
    <w:rsid w:val="009B4843"/>
    <w:rsid w:val="009B6543"/>
    <w:rsid w:val="009C199D"/>
    <w:rsid w:val="009C278F"/>
    <w:rsid w:val="009C2B94"/>
    <w:rsid w:val="009C5874"/>
    <w:rsid w:val="009D3B5A"/>
    <w:rsid w:val="009E0664"/>
    <w:rsid w:val="009E0C05"/>
    <w:rsid w:val="009E0D1C"/>
    <w:rsid w:val="009E2214"/>
    <w:rsid w:val="009E355A"/>
    <w:rsid w:val="009E63E2"/>
    <w:rsid w:val="009F04D2"/>
    <w:rsid w:val="009F05CF"/>
    <w:rsid w:val="009F0F3A"/>
    <w:rsid w:val="00A01D0C"/>
    <w:rsid w:val="00A0643F"/>
    <w:rsid w:val="00A067EE"/>
    <w:rsid w:val="00A10FCE"/>
    <w:rsid w:val="00A16D91"/>
    <w:rsid w:val="00A174CC"/>
    <w:rsid w:val="00A2073D"/>
    <w:rsid w:val="00A20751"/>
    <w:rsid w:val="00A27E2D"/>
    <w:rsid w:val="00A314C1"/>
    <w:rsid w:val="00A31D99"/>
    <w:rsid w:val="00A357BA"/>
    <w:rsid w:val="00A35ADC"/>
    <w:rsid w:val="00A402A3"/>
    <w:rsid w:val="00A53681"/>
    <w:rsid w:val="00A633D4"/>
    <w:rsid w:val="00A6461A"/>
    <w:rsid w:val="00A84504"/>
    <w:rsid w:val="00A8672F"/>
    <w:rsid w:val="00A93057"/>
    <w:rsid w:val="00A968B0"/>
    <w:rsid w:val="00AB1582"/>
    <w:rsid w:val="00AB2672"/>
    <w:rsid w:val="00AB2817"/>
    <w:rsid w:val="00AB43C4"/>
    <w:rsid w:val="00AC32E7"/>
    <w:rsid w:val="00AC3A9F"/>
    <w:rsid w:val="00AC6683"/>
    <w:rsid w:val="00AC6D2F"/>
    <w:rsid w:val="00AE2745"/>
    <w:rsid w:val="00AE2F64"/>
    <w:rsid w:val="00AF42CB"/>
    <w:rsid w:val="00AF483F"/>
    <w:rsid w:val="00AF5E07"/>
    <w:rsid w:val="00AF5F06"/>
    <w:rsid w:val="00B00A25"/>
    <w:rsid w:val="00B07BB2"/>
    <w:rsid w:val="00B13EA5"/>
    <w:rsid w:val="00B1422A"/>
    <w:rsid w:val="00B1765C"/>
    <w:rsid w:val="00B213C4"/>
    <w:rsid w:val="00B40C60"/>
    <w:rsid w:val="00B479A9"/>
    <w:rsid w:val="00B5219F"/>
    <w:rsid w:val="00B52EDF"/>
    <w:rsid w:val="00B547C5"/>
    <w:rsid w:val="00B71188"/>
    <w:rsid w:val="00B76A41"/>
    <w:rsid w:val="00B87D4C"/>
    <w:rsid w:val="00B93646"/>
    <w:rsid w:val="00BA0B38"/>
    <w:rsid w:val="00BA1DBB"/>
    <w:rsid w:val="00BA4510"/>
    <w:rsid w:val="00BA529A"/>
    <w:rsid w:val="00BA6791"/>
    <w:rsid w:val="00BB5E05"/>
    <w:rsid w:val="00BB612A"/>
    <w:rsid w:val="00BD2F16"/>
    <w:rsid w:val="00BD499F"/>
    <w:rsid w:val="00BD56DE"/>
    <w:rsid w:val="00BE0A93"/>
    <w:rsid w:val="00BE584E"/>
    <w:rsid w:val="00BF2406"/>
    <w:rsid w:val="00C06E43"/>
    <w:rsid w:val="00C16315"/>
    <w:rsid w:val="00C24BCB"/>
    <w:rsid w:val="00C27EC6"/>
    <w:rsid w:val="00C3091E"/>
    <w:rsid w:val="00C40FF1"/>
    <w:rsid w:val="00C419E2"/>
    <w:rsid w:val="00C5020E"/>
    <w:rsid w:val="00C52CDD"/>
    <w:rsid w:val="00C57452"/>
    <w:rsid w:val="00C61EDF"/>
    <w:rsid w:val="00C6239D"/>
    <w:rsid w:val="00C6594B"/>
    <w:rsid w:val="00C67FFB"/>
    <w:rsid w:val="00C7155E"/>
    <w:rsid w:val="00C71D1E"/>
    <w:rsid w:val="00C71D7D"/>
    <w:rsid w:val="00C72281"/>
    <w:rsid w:val="00C72CEF"/>
    <w:rsid w:val="00C74833"/>
    <w:rsid w:val="00C850A0"/>
    <w:rsid w:val="00C85A86"/>
    <w:rsid w:val="00C978F0"/>
    <w:rsid w:val="00CA3C3A"/>
    <w:rsid w:val="00CA58FE"/>
    <w:rsid w:val="00CB1CB1"/>
    <w:rsid w:val="00CB6BC1"/>
    <w:rsid w:val="00CB6CB8"/>
    <w:rsid w:val="00CC1A68"/>
    <w:rsid w:val="00CC2123"/>
    <w:rsid w:val="00CD02D3"/>
    <w:rsid w:val="00CD2BFD"/>
    <w:rsid w:val="00CE5AD6"/>
    <w:rsid w:val="00CE617F"/>
    <w:rsid w:val="00CE78EF"/>
    <w:rsid w:val="00CF6EC6"/>
    <w:rsid w:val="00D048F7"/>
    <w:rsid w:val="00D0517E"/>
    <w:rsid w:val="00D140FC"/>
    <w:rsid w:val="00D21D8C"/>
    <w:rsid w:val="00D31357"/>
    <w:rsid w:val="00D33220"/>
    <w:rsid w:val="00D334D1"/>
    <w:rsid w:val="00D44C89"/>
    <w:rsid w:val="00D516CD"/>
    <w:rsid w:val="00D60484"/>
    <w:rsid w:val="00D668E6"/>
    <w:rsid w:val="00D70670"/>
    <w:rsid w:val="00D74D80"/>
    <w:rsid w:val="00D76624"/>
    <w:rsid w:val="00D84C8D"/>
    <w:rsid w:val="00D87570"/>
    <w:rsid w:val="00D91CB9"/>
    <w:rsid w:val="00D97989"/>
    <w:rsid w:val="00D97D8D"/>
    <w:rsid w:val="00DA352E"/>
    <w:rsid w:val="00DC7694"/>
    <w:rsid w:val="00DD1BF6"/>
    <w:rsid w:val="00DD2F9B"/>
    <w:rsid w:val="00DD52D2"/>
    <w:rsid w:val="00DE2513"/>
    <w:rsid w:val="00DE26E8"/>
    <w:rsid w:val="00DE5D99"/>
    <w:rsid w:val="00DF6F36"/>
    <w:rsid w:val="00E0084C"/>
    <w:rsid w:val="00E025AB"/>
    <w:rsid w:val="00E02B23"/>
    <w:rsid w:val="00E02C16"/>
    <w:rsid w:val="00E06F40"/>
    <w:rsid w:val="00E07CE8"/>
    <w:rsid w:val="00E11106"/>
    <w:rsid w:val="00E212A0"/>
    <w:rsid w:val="00E26A07"/>
    <w:rsid w:val="00E32595"/>
    <w:rsid w:val="00E37CFD"/>
    <w:rsid w:val="00E41A26"/>
    <w:rsid w:val="00E46BCB"/>
    <w:rsid w:val="00E51CAF"/>
    <w:rsid w:val="00E543A7"/>
    <w:rsid w:val="00E60F04"/>
    <w:rsid w:val="00E62AAC"/>
    <w:rsid w:val="00E67C2F"/>
    <w:rsid w:val="00E67EF5"/>
    <w:rsid w:val="00E804EA"/>
    <w:rsid w:val="00E80A71"/>
    <w:rsid w:val="00E82337"/>
    <w:rsid w:val="00E92499"/>
    <w:rsid w:val="00E949AF"/>
    <w:rsid w:val="00E96077"/>
    <w:rsid w:val="00EA0A06"/>
    <w:rsid w:val="00EA6243"/>
    <w:rsid w:val="00EA74AB"/>
    <w:rsid w:val="00EB3D1B"/>
    <w:rsid w:val="00ED1D89"/>
    <w:rsid w:val="00ED66BC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6019"/>
    <w:rsid w:val="00F20E68"/>
    <w:rsid w:val="00F22093"/>
    <w:rsid w:val="00F236DF"/>
    <w:rsid w:val="00F43AD5"/>
    <w:rsid w:val="00F4402E"/>
    <w:rsid w:val="00F56DD0"/>
    <w:rsid w:val="00F56F6A"/>
    <w:rsid w:val="00F6491C"/>
    <w:rsid w:val="00F67BBB"/>
    <w:rsid w:val="00F87D92"/>
    <w:rsid w:val="00F90AA7"/>
    <w:rsid w:val="00F92498"/>
    <w:rsid w:val="00F9496B"/>
    <w:rsid w:val="00F970C9"/>
    <w:rsid w:val="00FA06A8"/>
    <w:rsid w:val="00FA3DF5"/>
    <w:rsid w:val="00FA741F"/>
    <w:rsid w:val="00FA78CF"/>
    <w:rsid w:val="00FB4E07"/>
    <w:rsid w:val="00FB755A"/>
    <w:rsid w:val="00FC41EA"/>
    <w:rsid w:val="00FC60A2"/>
    <w:rsid w:val="00FD1871"/>
    <w:rsid w:val="00FD3110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7"/>
    <o:shapelayout v:ext="edit">
      <o:idmap v:ext="edit" data="1"/>
    </o:shapelayout>
  </w:shapeDefaults>
  <w:decimalSymbol w:val="."/>
  <w:listSeparator w:val=","/>
  <w14:docId w14:val="090CAC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paragraph" w:styleId="ListBullet">
    <w:name w:val="List Bullet"/>
    <w:basedOn w:val="Normal"/>
    <w:uiPriority w:val="99"/>
    <w:unhideWhenUsed/>
    <w:rsid w:val="00312F21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33E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3E1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3E1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3E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3E16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EE5E5C4072AC403AA62F5E64E3F48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927C7-BD3E-4324-8810-58AE2FECB8F2}"/>
      </w:docPartPr>
      <w:docPartBody>
        <w:p w:rsidR="00AA2522" w:rsidRDefault="00CC1FB3" w:rsidP="00CC1FB3">
          <w:pPr>
            <w:pStyle w:val="EE5E5C4072AC403AA62F5E64E3F481A0"/>
          </w:pPr>
          <w:r>
            <w:rPr>
              <w:rStyle w:val="PlaceholderText"/>
            </w:rPr>
            <w:t>Has this value changed?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A9F"/>
    <w:rsid w:val="000467E1"/>
    <w:rsid w:val="001A0D8B"/>
    <w:rsid w:val="00203929"/>
    <w:rsid w:val="00373B55"/>
    <w:rsid w:val="00AA2522"/>
    <w:rsid w:val="00CC1FB3"/>
    <w:rsid w:val="00D2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1FB3"/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D4D0B90E11044F8195140E462BC80855">
    <w:name w:val="D4D0B90E11044F8195140E462BC80855"/>
    <w:rsid w:val="00203929"/>
  </w:style>
  <w:style w:type="paragraph" w:customStyle="1" w:styleId="891221CC566E45D1824AB94DFF74E1AC">
    <w:name w:val="891221CC566E45D1824AB94DFF74E1AC"/>
    <w:rsid w:val="00203929"/>
  </w:style>
  <w:style w:type="paragraph" w:customStyle="1" w:styleId="17AFCB576B45490F9263600F53F4FEE4">
    <w:name w:val="17AFCB576B45490F9263600F53F4FEE4"/>
    <w:rsid w:val="00203929"/>
  </w:style>
  <w:style w:type="paragraph" w:customStyle="1" w:styleId="230FDF004BE44070AE1F474AD0C8073A">
    <w:name w:val="230FDF004BE44070AE1F474AD0C8073A"/>
    <w:rsid w:val="00203929"/>
  </w:style>
  <w:style w:type="paragraph" w:customStyle="1" w:styleId="E7CEED461F884EF991BAF2635479563C">
    <w:name w:val="E7CEED461F884EF991BAF2635479563C"/>
    <w:rsid w:val="00203929"/>
  </w:style>
  <w:style w:type="paragraph" w:customStyle="1" w:styleId="70059D56C7B94F65A59F840B98739EC3">
    <w:name w:val="70059D56C7B94F65A59F840B98739EC3"/>
    <w:rsid w:val="00203929"/>
  </w:style>
  <w:style w:type="paragraph" w:customStyle="1" w:styleId="42D7E601A4DA4BC7967418E9F4BF1F89">
    <w:name w:val="42D7E601A4DA4BC7967418E9F4BF1F89"/>
    <w:rsid w:val="00203929"/>
  </w:style>
  <w:style w:type="paragraph" w:customStyle="1" w:styleId="EE5E5C4072AC403AA62F5E64E3F481A0">
    <w:name w:val="EE5E5C4072AC403AA62F5E64E3F481A0"/>
    <w:rsid w:val="00CC1F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4" ma:contentTypeDescription="Create a new document." ma:contentTypeScope="" ma:versionID="064d7b978d02efd1e6483567367d0895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d17ff28f510e71dda79b4a1724ec235d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47944-5421-4B8C-8E72-57DC3921C3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9074FB-6ACF-4381-A5B0-FD10AC8B52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58CC9F-79D5-4BDA-A3E3-815C709D3991}">
  <ds:schemaRefs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bf54d604-3e62-4e70-ba33-9e9084b96a66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D59559C-B79B-4EBB-9536-BE1C1F0FA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2020-01-20T04:05:00Z</dcterms:created>
  <dcterms:modified xsi:type="dcterms:W3CDTF">2020-03-12T23:13:00Z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