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606A5D2E" w14:textId="77777777" w:rsidR="00BD499F" w:rsidRPr="004C23F4" w:rsidRDefault="00754B78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N-nitrosodimethylamine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3"/>
        <w:gridCol w:w="5053"/>
      </w:tblGrid>
      <w:tr w:rsidR="00F43AD5" w:rsidRPr="004C23F4" w14:paraId="50C4C47F" w14:textId="77777777" w:rsidTr="00B76A41">
        <w:trPr>
          <w:cantSplit/>
          <w:tblHeader/>
        </w:trPr>
        <w:tc>
          <w:tcPr>
            <w:tcW w:w="4077" w:type="dxa"/>
          </w:tcPr>
          <w:p w14:paraId="6B85A7EB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0187C608" w14:textId="77777777" w:rsidR="00F43AD5" w:rsidRPr="00717D45" w:rsidRDefault="00BF69A3" w:rsidP="00B76A41">
            <w:pPr>
              <w:pStyle w:val="Tablefont"/>
            </w:pPr>
            <w:r w:rsidRPr="00BF69A3">
              <w:t>62-75-9</w:t>
            </w:r>
          </w:p>
        </w:tc>
      </w:tr>
      <w:tr w:rsidR="00F43AD5" w:rsidRPr="003861C9" w14:paraId="1A9C0FC1" w14:textId="77777777" w:rsidTr="00B76A41">
        <w:trPr>
          <w:cantSplit/>
        </w:trPr>
        <w:tc>
          <w:tcPr>
            <w:tcW w:w="4077" w:type="dxa"/>
          </w:tcPr>
          <w:p w14:paraId="27B320B2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1DFA0277" w14:textId="77777777" w:rsidR="00BF69A3" w:rsidRDefault="00BF69A3" w:rsidP="00BF69A3">
            <w:pPr>
              <w:pStyle w:val="Tablefont"/>
            </w:pPr>
            <w:r>
              <w:t>N-methyl-N-</w:t>
            </w:r>
            <w:proofErr w:type="spellStart"/>
            <w:r>
              <w:t>nitrosomethanamine</w:t>
            </w:r>
            <w:proofErr w:type="spellEnd"/>
            <w:r>
              <w:t>, N-</w:t>
            </w:r>
            <w:proofErr w:type="spellStart"/>
            <w:r>
              <w:t>nitrosodimethylamine</w:t>
            </w:r>
            <w:proofErr w:type="spellEnd"/>
            <w:r>
              <w:t xml:space="preserve">, DMN, DMNA, </w:t>
            </w:r>
            <w:proofErr w:type="spellStart"/>
            <w:r>
              <w:t>dimethylnitrosoamine</w:t>
            </w:r>
            <w:proofErr w:type="spellEnd"/>
            <w:r>
              <w:t xml:space="preserve">, </w:t>
            </w:r>
            <w:proofErr w:type="spellStart"/>
            <w:r>
              <w:t>nitrosodimethylamine</w:t>
            </w:r>
            <w:proofErr w:type="spellEnd"/>
            <w:r>
              <w:t>,</w:t>
            </w:r>
          </w:p>
          <w:p w14:paraId="1B3D52BE" w14:textId="77777777" w:rsidR="00F43AD5" w:rsidRPr="00B91D39" w:rsidRDefault="00BF69A3" w:rsidP="00BF69A3">
            <w:pPr>
              <w:pStyle w:val="Tablefont"/>
              <w:rPr>
                <w:lang w:val="it-IT"/>
              </w:rPr>
            </w:pPr>
            <w:r w:rsidRPr="00B91D39">
              <w:rPr>
                <w:lang w:val="it-IT"/>
              </w:rPr>
              <w:t>methanamine,N-methyl-N-nitroso-, dimethylamine,N-nitroso-</w:t>
            </w:r>
          </w:p>
        </w:tc>
      </w:tr>
      <w:tr w:rsidR="00F43AD5" w:rsidRPr="004C23F4" w14:paraId="36C2A095" w14:textId="77777777" w:rsidTr="00B76A41">
        <w:trPr>
          <w:cantSplit/>
        </w:trPr>
        <w:tc>
          <w:tcPr>
            <w:tcW w:w="4077" w:type="dxa"/>
          </w:tcPr>
          <w:p w14:paraId="70151296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7376FC86" w14:textId="77777777" w:rsidR="00F43AD5" w:rsidRPr="00717D45" w:rsidRDefault="006F34C4" w:rsidP="00B76A41">
            <w:pPr>
              <w:pStyle w:val="Tablefont"/>
            </w:pPr>
            <w:r w:rsidRPr="006F34C4">
              <w:t>C</w:t>
            </w:r>
            <w:r w:rsidRPr="006F34C4">
              <w:rPr>
                <w:vertAlign w:val="subscript"/>
              </w:rPr>
              <w:t>2</w:t>
            </w:r>
            <w:r w:rsidRPr="006F34C4">
              <w:t>H</w:t>
            </w:r>
            <w:r w:rsidRPr="006F34C4">
              <w:rPr>
                <w:vertAlign w:val="subscript"/>
              </w:rPr>
              <w:t>6</w:t>
            </w:r>
            <w:r w:rsidRPr="006F34C4">
              <w:t>N</w:t>
            </w:r>
            <w:r w:rsidRPr="006F34C4">
              <w:rPr>
                <w:vertAlign w:val="subscript"/>
              </w:rPr>
              <w:t>2</w:t>
            </w:r>
            <w:r w:rsidRPr="006F34C4">
              <w:t>O</w:t>
            </w:r>
          </w:p>
        </w:tc>
      </w:tr>
      <w:tr w:rsidR="00F43AD5" w:rsidRPr="004C23F4" w14:paraId="09061919" w14:textId="77777777" w:rsidTr="00B76A41">
        <w:trPr>
          <w:cantSplit/>
        </w:trPr>
        <w:tc>
          <w:tcPr>
            <w:tcW w:w="4077" w:type="dxa"/>
          </w:tcPr>
          <w:p w14:paraId="6397505D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3EF2F0A1" w14:textId="77777777" w:rsidR="00F43AD5" w:rsidRPr="00B40C60" w:rsidRDefault="00037E52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49FD87EF" w14:textId="558AE7EA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1A0DFB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59632A68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1E54A9FA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3109A09B" w14:textId="119E54A7" w:rsidR="002C7AFE" w:rsidRPr="00D24E80" w:rsidRDefault="00047711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2C6C35FC" w14:textId="77777777" w:rsidTr="00037E52">
        <w:trPr>
          <w:cantSplit/>
        </w:trPr>
        <w:tc>
          <w:tcPr>
            <w:tcW w:w="4010" w:type="dxa"/>
            <w:vAlign w:val="center"/>
          </w:tcPr>
          <w:p w14:paraId="4C5EB84A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68D0C6EC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60166BE0" w14:textId="77777777" w:rsidTr="00037E52">
        <w:trPr>
          <w:cantSplit/>
        </w:trPr>
        <w:tc>
          <w:tcPr>
            <w:tcW w:w="4010" w:type="dxa"/>
            <w:vAlign w:val="center"/>
          </w:tcPr>
          <w:p w14:paraId="4E5FCDC0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4C652A59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5509856D" w14:textId="77777777" w:rsidTr="00037E52">
        <w:trPr>
          <w:cantSplit/>
        </w:trPr>
        <w:tc>
          <w:tcPr>
            <w:tcW w:w="4010" w:type="dxa"/>
          </w:tcPr>
          <w:p w14:paraId="57355E85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3577EE9B" w14:textId="77777777" w:rsidR="00037E52" w:rsidRPr="00EB3D1B" w:rsidRDefault="005C3819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Carc. 1B, Sk.</w:t>
            </w:r>
          </w:p>
        </w:tc>
      </w:tr>
      <w:tr w:rsidR="00037E52" w:rsidRPr="004C23F4" w14:paraId="48D4E191" w14:textId="77777777" w:rsidTr="00037E52">
        <w:trPr>
          <w:cantSplit/>
        </w:trPr>
        <w:tc>
          <w:tcPr>
            <w:tcW w:w="4010" w:type="dxa"/>
            <w:vAlign w:val="center"/>
          </w:tcPr>
          <w:p w14:paraId="69508D9F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52560399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670785" w:rsidRPr="004C23F4" w14:paraId="534E4B14" w14:textId="77777777" w:rsidTr="007D4A19">
        <w:trPr>
          <w:cantSplit/>
        </w:trPr>
        <w:tc>
          <w:tcPr>
            <w:tcW w:w="9026" w:type="dxa"/>
            <w:gridSpan w:val="2"/>
            <w:vAlign w:val="center"/>
          </w:tcPr>
          <w:p w14:paraId="29DE617A" w14:textId="77777777" w:rsidR="00670785" w:rsidRPr="00EB3D1B" w:rsidRDefault="00670785" w:rsidP="00037E52">
            <w:pPr>
              <w:pStyle w:val="Tablefont"/>
              <w:rPr>
                <w:b/>
              </w:rPr>
            </w:pPr>
            <w:r w:rsidRPr="00E82B18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8F3957412DEA434EA00B5BCB24317060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5C3819">
                  <w:rPr>
                    <w:rStyle w:val="WESstatus"/>
                    <w:color w:val="auto"/>
                  </w:rPr>
                  <w:t>The recommended value is likely to be below the current limit of detection for standard sampling and analysis techniques.</w:t>
                </w:r>
              </w:sdtContent>
            </w:sdt>
          </w:p>
        </w:tc>
      </w:tr>
    </w:tbl>
    <w:p w14:paraId="7DA31C39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757EAE5D" w14:textId="4567C6E6" w:rsidR="006639B4" w:rsidRDefault="008D40FD" w:rsidP="000C139A">
      <w:pPr>
        <w:rPr>
          <w:rFonts w:cs="Arial"/>
        </w:rPr>
      </w:pPr>
      <w:r w:rsidRPr="008D40FD">
        <w:rPr>
          <w:rFonts w:cs="Arial"/>
        </w:rPr>
        <w:t xml:space="preserve">A </w:t>
      </w:r>
      <w:r>
        <w:rPr>
          <w:rFonts w:cs="Arial"/>
        </w:rPr>
        <w:t xml:space="preserve">TWA </w:t>
      </w:r>
      <w:r w:rsidRPr="008D40FD">
        <w:rPr>
          <w:rFonts w:cs="Arial"/>
        </w:rPr>
        <w:t>is not recommended as the available data is considered insufficient to support a health-based recommendation</w:t>
      </w:r>
      <w:r w:rsidR="00047711">
        <w:rPr>
          <w:rFonts w:cs="Arial"/>
        </w:rPr>
        <w:t>.</w:t>
      </w:r>
    </w:p>
    <w:p w14:paraId="1C7DC4B0" w14:textId="22BCF09F" w:rsidR="00047711" w:rsidRPr="004C23F4" w:rsidRDefault="00047711" w:rsidP="000C139A">
      <w:pPr>
        <w:rPr>
          <w:rFonts w:cs="Arial"/>
        </w:rPr>
      </w:pPr>
      <w:r>
        <w:rPr>
          <w:rFonts w:cs="Arial"/>
        </w:rPr>
        <w:t>Uncertainties exist regarding carcinogenicity in humans</w:t>
      </w:r>
      <w:r w:rsidR="008D40FD">
        <w:rPr>
          <w:rFonts w:cs="Arial"/>
        </w:rPr>
        <w:t>. T</w:t>
      </w:r>
      <w:r>
        <w:rPr>
          <w:rFonts w:cs="Arial"/>
        </w:rPr>
        <w:t>herefore</w:t>
      </w:r>
      <w:r w:rsidR="008D40FD">
        <w:rPr>
          <w:rFonts w:cs="Arial"/>
        </w:rPr>
        <w:t>,</w:t>
      </w:r>
      <w:r w:rsidRPr="00047711">
        <w:rPr>
          <w:rFonts w:cs="Arial"/>
        </w:rPr>
        <w:t xml:space="preserve"> it is recommended that a review of additional sources be conducted at the next scheduled review</w:t>
      </w:r>
      <w:r>
        <w:rPr>
          <w:rFonts w:cs="Arial"/>
        </w:rPr>
        <w:t>.</w:t>
      </w:r>
    </w:p>
    <w:p w14:paraId="17F42923" w14:textId="77777777" w:rsidR="00C7155E" w:rsidRPr="004C23F4" w:rsidRDefault="00F10C97" w:rsidP="003365A5">
      <w:pPr>
        <w:pStyle w:val="Heading2"/>
      </w:pPr>
      <w:r>
        <w:t>Discussion and conclusions</w:t>
      </w:r>
    </w:p>
    <w:p w14:paraId="0CDAE73B" w14:textId="3C35EE51" w:rsidR="007B5711" w:rsidRDefault="00E34676" w:rsidP="00E34676">
      <w:r>
        <w:t>N-nitrosodimethylamine (DMNA)</w:t>
      </w:r>
      <w:r w:rsidRPr="00E34676">
        <w:t xml:space="preserve"> </w:t>
      </w:r>
      <w:r w:rsidR="007B5711">
        <w:t xml:space="preserve">is used </w:t>
      </w:r>
      <w:r w:rsidR="007B5711" w:rsidRPr="007B5711">
        <w:t>primar</w:t>
      </w:r>
      <w:r w:rsidR="0026338D">
        <w:t>ily as a research chemical</w:t>
      </w:r>
      <w:r w:rsidR="00F62044">
        <w:t>. H</w:t>
      </w:r>
      <w:r w:rsidR="007B5711">
        <w:t>owever</w:t>
      </w:r>
      <w:r w:rsidR="00B91D39">
        <w:t>,</w:t>
      </w:r>
      <w:r w:rsidR="007B5711">
        <w:t xml:space="preserve"> </w:t>
      </w:r>
      <w:r w:rsidR="00B91D39">
        <w:t xml:space="preserve">it </w:t>
      </w:r>
      <w:r w:rsidR="0026338D">
        <w:t xml:space="preserve">has </w:t>
      </w:r>
      <w:r w:rsidR="003270CF">
        <w:t xml:space="preserve">also </w:t>
      </w:r>
      <w:r w:rsidR="0026338D">
        <w:t>been</w:t>
      </w:r>
      <w:r w:rsidR="007B5711">
        <w:t xml:space="preserve"> used </w:t>
      </w:r>
      <w:r w:rsidR="007B5711" w:rsidRPr="007B5711">
        <w:t>as an antioxidant, lubricant</w:t>
      </w:r>
      <w:r w:rsidR="00B91D39">
        <w:t>’</w:t>
      </w:r>
      <w:r w:rsidR="007B5711" w:rsidRPr="007B5711">
        <w:t>s additive and in the production of rocket fuels.</w:t>
      </w:r>
      <w:r w:rsidR="007B5711">
        <w:t xml:space="preserve"> </w:t>
      </w:r>
      <w:r w:rsidR="0026338D">
        <w:t>DMNA</w:t>
      </w:r>
      <w:r w:rsidR="007B5711" w:rsidRPr="007B5711">
        <w:t xml:space="preserve"> may be formed </w:t>
      </w:r>
      <w:r w:rsidR="0026338D">
        <w:t>as a by-product in the manufacture of cured meats, tobacco, rubber, dyes and in tanneries.</w:t>
      </w:r>
    </w:p>
    <w:p w14:paraId="44E568CC" w14:textId="3AD0EB20" w:rsidR="00E34676" w:rsidRPr="00E34676" w:rsidRDefault="008D40FD" w:rsidP="00E34676">
      <w:pPr>
        <w:rPr>
          <w:rFonts w:cs="Arial"/>
        </w:rPr>
      </w:pPr>
      <w:r>
        <w:t xml:space="preserve">No </w:t>
      </w:r>
      <w:r w:rsidR="0019321D">
        <w:t xml:space="preserve">quantitative </w:t>
      </w:r>
      <w:r>
        <w:t xml:space="preserve">human inhalation exposure data </w:t>
      </w:r>
      <w:r w:rsidR="0019321D">
        <w:t>are</w:t>
      </w:r>
      <w:r>
        <w:t xml:space="preserve"> available. </w:t>
      </w:r>
      <w:r w:rsidR="002D5515">
        <w:t>No robust evidence of carcinogenicity in humans</w:t>
      </w:r>
      <w:r w:rsidR="005A31F3" w:rsidRPr="005A31F3">
        <w:t xml:space="preserve"> </w:t>
      </w:r>
      <w:r w:rsidR="005A31F3">
        <w:t>is available</w:t>
      </w:r>
      <w:r w:rsidR="003861C9">
        <w:t xml:space="preserve"> in the primary sources</w:t>
      </w:r>
      <w:r w:rsidR="002D5515">
        <w:t xml:space="preserve">. </w:t>
      </w:r>
      <w:r w:rsidR="007B5711">
        <w:t xml:space="preserve">It </w:t>
      </w:r>
      <w:r w:rsidR="00E34676" w:rsidRPr="00E34676">
        <w:t>is carcinogenic in animals through multiple routes of exposure and it is assumed to have carcinogenic potential in humans by some sources. ACGIH (2018) classify its carcinogenicity as non-classifiable to humans</w:t>
      </w:r>
      <w:r w:rsidR="00E34676">
        <w:t>.</w:t>
      </w:r>
      <w:r w:rsidR="0062418E">
        <w:t xml:space="preserve"> However, DFG (</w:t>
      </w:r>
      <w:r w:rsidR="00E34676">
        <w:t>2004</w:t>
      </w:r>
      <w:r w:rsidR="0062418E">
        <w:t>)</w:t>
      </w:r>
      <w:r w:rsidR="00E34676" w:rsidRPr="00E34676">
        <w:t xml:space="preserve"> and </w:t>
      </w:r>
      <w:r w:rsidR="00E34676">
        <w:t>HCOTN</w:t>
      </w:r>
      <w:r w:rsidR="00E34676" w:rsidRPr="00E34676">
        <w:t xml:space="preserve"> (</w:t>
      </w:r>
      <w:r w:rsidR="00E34676">
        <w:t>1999</w:t>
      </w:r>
      <w:r w:rsidR="00E34676" w:rsidRPr="00E34676">
        <w:t xml:space="preserve">) cite the critical effects to humans as carcinogenicity and genotoxicity. </w:t>
      </w:r>
      <w:r w:rsidR="00E34676">
        <w:t>It is structurally related to known carcinogens and s</w:t>
      </w:r>
      <w:r w:rsidR="00E34676" w:rsidRPr="00435B01">
        <w:t>imilarities in metabolism between human and rodent tissues have been demonstrated</w:t>
      </w:r>
      <w:r w:rsidR="00E34676">
        <w:t xml:space="preserve">. Studies indicate </w:t>
      </w:r>
      <w:r w:rsidR="004540AA">
        <w:t>mutagenicity</w:t>
      </w:r>
      <w:r w:rsidR="00E34676">
        <w:t xml:space="preserve"> and </w:t>
      </w:r>
      <w:r w:rsidR="004540AA">
        <w:t xml:space="preserve">carcinogenicity </w:t>
      </w:r>
      <w:r w:rsidR="004540AA" w:rsidRPr="00B031DE">
        <w:rPr>
          <w:i/>
        </w:rPr>
        <w:t>via</w:t>
      </w:r>
      <w:r w:rsidR="004540AA">
        <w:t xml:space="preserve"> reactive</w:t>
      </w:r>
      <w:r w:rsidR="00E34676">
        <w:t xml:space="preserve"> metabolite</w:t>
      </w:r>
      <w:r w:rsidR="004540AA">
        <w:t>s</w:t>
      </w:r>
      <w:r w:rsidR="00E34676">
        <w:t xml:space="preserve"> (ACGIH, 2018; DFG, 2004).</w:t>
      </w:r>
      <w:r w:rsidR="00E34676" w:rsidRPr="00E34676">
        <w:rPr>
          <w:rFonts w:cs="Arial"/>
        </w:rPr>
        <w:t xml:space="preserve"> Mutagenicity is demonstrated in </w:t>
      </w:r>
      <w:r w:rsidR="00E34676" w:rsidRPr="00E34676">
        <w:rPr>
          <w:rFonts w:cs="Arial"/>
          <w:i/>
        </w:rPr>
        <w:t>in vitro</w:t>
      </w:r>
      <w:r w:rsidR="005065DB">
        <w:rPr>
          <w:rFonts w:cs="Arial"/>
          <w:i/>
        </w:rPr>
        <w:t xml:space="preserve"> </w:t>
      </w:r>
      <w:r w:rsidR="005065DB" w:rsidRPr="005065DB">
        <w:rPr>
          <w:rFonts w:cs="Arial"/>
        </w:rPr>
        <w:t>assays</w:t>
      </w:r>
      <w:r w:rsidR="00E34676" w:rsidRPr="00E34676">
        <w:rPr>
          <w:rFonts w:cs="Arial"/>
        </w:rPr>
        <w:t xml:space="preserve">. The mechanism of action for carcinogenicity </w:t>
      </w:r>
      <w:r w:rsidR="00E34676">
        <w:rPr>
          <w:rFonts w:cs="Arial"/>
        </w:rPr>
        <w:t>is likely to</w:t>
      </w:r>
      <w:r w:rsidR="00E34676" w:rsidRPr="00E34676">
        <w:rPr>
          <w:rFonts w:cs="Arial"/>
        </w:rPr>
        <w:t xml:space="preserve"> act </w:t>
      </w:r>
      <w:r w:rsidR="00E34676" w:rsidRPr="005065DB">
        <w:rPr>
          <w:rFonts w:cs="Arial"/>
          <w:i/>
        </w:rPr>
        <w:t>via</w:t>
      </w:r>
      <w:r w:rsidR="00E34676" w:rsidRPr="00E34676">
        <w:rPr>
          <w:rFonts w:cs="Arial"/>
        </w:rPr>
        <w:t xml:space="preserve"> a mutagenic mode of action (DFG, </w:t>
      </w:r>
      <w:r w:rsidR="00EE658A">
        <w:rPr>
          <w:rFonts w:cs="Arial"/>
        </w:rPr>
        <w:t xml:space="preserve">2004). </w:t>
      </w:r>
      <w:r w:rsidR="00E11EF7">
        <w:rPr>
          <w:rFonts w:cs="Arial"/>
        </w:rPr>
        <w:t>However, g</w:t>
      </w:r>
      <w:r w:rsidR="002D5515">
        <w:rPr>
          <w:rFonts w:cs="Arial"/>
        </w:rPr>
        <w:t>iven the evidence of carcinogenicity in humans is lacking</w:t>
      </w:r>
      <w:r w:rsidR="00F62044">
        <w:rPr>
          <w:rFonts w:cs="Arial"/>
        </w:rPr>
        <w:t>,</w:t>
      </w:r>
      <w:r w:rsidR="002D5515">
        <w:rPr>
          <w:rFonts w:cs="Arial"/>
        </w:rPr>
        <w:t xml:space="preserve"> </w:t>
      </w:r>
      <w:r w:rsidR="002D5515">
        <w:t xml:space="preserve">it is unclear if cancer is a critical effect in recommending a TWA. </w:t>
      </w:r>
    </w:p>
    <w:p w14:paraId="2FF233F3" w14:textId="30933FEE" w:rsidR="006639B4" w:rsidRPr="004C23F4" w:rsidRDefault="008D40FD" w:rsidP="00E34676">
      <w:pPr>
        <w:rPr>
          <w:rFonts w:cs="Arial"/>
        </w:rPr>
      </w:pPr>
      <w:r>
        <w:lastRenderedPageBreak/>
        <w:t xml:space="preserve">No occupational exposure limits are established by any of the primary </w:t>
      </w:r>
      <w:r w:rsidR="00E11EF7">
        <w:t>sources</w:t>
      </w:r>
      <w:r>
        <w:t xml:space="preserve">. </w:t>
      </w:r>
      <w:r w:rsidR="0019321D">
        <w:t xml:space="preserve">There is insufficient evidence to support a health-based recommendation. </w:t>
      </w:r>
      <w:r w:rsidR="00047711">
        <w:rPr>
          <w:rFonts w:cs="Arial"/>
        </w:rPr>
        <w:t xml:space="preserve">Given this, the status quo is recommended to be kept and no TWA is recommended. </w:t>
      </w:r>
      <w:r>
        <w:rPr>
          <w:rFonts w:cs="Arial"/>
        </w:rPr>
        <w:t xml:space="preserve">A </w:t>
      </w:r>
      <w:r w:rsidR="00047711">
        <w:t>review of additional data sources is recommended at the next scheduled review</w:t>
      </w:r>
      <w:r>
        <w:t xml:space="preserve"> to investigate the carcinogenic potential and genotoxicity in humans.</w:t>
      </w:r>
    </w:p>
    <w:p w14:paraId="79BFC2F2" w14:textId="77777777" w:rsidR="004529F0" w:rsidRPr="004C23F4" w:rsidRDefault="004529F0" w:rsidP="00670785">
      <w:pPr>
        <w:pStyle w:val="Heading2"/>
      </w:pPr>
      <w:r>
        <w:t>Recommendation for notations</w:t>
      </w:r>
    </w:p>
    <w:p w14:paraId="4CA6BDAB" w14:textId="77777777" w:rsidR="008E4F1F" w:rsidRPr="00E34676" w:rsidRDefault="001B2BEF" w:rsidP="005C3819">
      <w:pPr>
        <w:keepNext/>
        <w:rPr>
          <w:rFonts w:cs="Arial"/>
        </w:rPr>
      </w:pPr>
      <w:r w:rsidRPr="00E34676">
        <w:rPr>
          <w:rFonts w:cs="Arial"/>
        </w:rPr>
        <w:t>C</w:t>
      </w:r>
      <w:r w:rsidR="008E4F1F" w:rsidRPr="00E34676">
        <w:rPr>
          <w:rFonts w:cs="Arial"/>
        </w:rPr>
        <w:t xml:space="preserve">lassified as a </w:t>
      </w:r>
      <w:r w:rsidR="005C3819" w:rsidRPr="00E34676">
        <w:rPr>
          <w:rFonts w:cs="Arial"/>
        </w:rPr>
        <w:t xml:space="preserve">category 1B </w:t>
      </w:r>
      <w:r w:rsidR="008E4F1F" w:rsidRPr="00E34676">
        <w:rPr>
          <w:rFonts w:cs="Arial"/>
        </w:rPr>
        <w:t>carcinogen</w:t>
      </w:r>
      <w:r w:rsidRPr="00E34676">
        <w:rPr>
          <w:rFonts w:cs="Arial"/>
        </w:rPr>
        <w:t xml:space="preserve"> </w:t>
      </w:r>
      <w:r w:rsidR="008E4F1F" w:rsidRPr="00E34676">
        <w:rPr>
          <w:rFonts w:cs="Arial"/>
        </w:rPr>
        <w:t>according to the Globally Harmonized System of</w:t>
      </w:r>
      <w:r w:rsidRPr="00E34676">
        <w:rPr>
          <w:rFonts w:cs="Arial"/>
        </w:rPr>
        <w:t xml:space="preserve"> Classification and Labelling of</w:t>
      </w:r>
      <w:r w:rsidR="008E4F1F" w:rsidRPr="00E34676">
        <w:rPr>
          <w:rFonts w:cs="Arial"/>
        </w:rPr>
        <w:t xml:space="preserve"> Chemicals (GHS). </w:t>
      </w:r>
    </w:p>
    <w:p w14:paraId="33C7176C" w14:textId="77777777" w:rsidR="008E4F1F" w:rsidRPr="00E34676" w:rsidRDefault="008E4F1F" w:rsidP="005C3819">
      <w:pPr>
        <w:keepNext/>
        <w:rPr>
          <w:rFonts w:cs="Arial"/>
        </w:rPr>
      </w:pPr>
      <w:r w:rsidRPr="00E34676">
        <w:rPr>
          <w:rFonts w:cs="Arial"/>
        </w:rPr>
        <w:t xml:space="preserve">Not classified as a skin </w:t>
      </w:r>
      <w:r w:rsidR="001B2BEF" w:rsidRPr="00E34676">
        <w:rPr>
          <w:rFonts w:cs="Arial"/>
        </w:rPr>
        <w:t xml:space="preserve">sensitiser </w:t>
      </w:r>
      <w:r w:rsidRPr="00E34676">
        <w:rPr>
          <w:rFonts w:cs="Arial"/>
        </w:rPr>
        <w:t>or respiratory sensitiser according to the GHS.</w:t>
      </w:r>
    </w:p>
    <w:p w14:paraId="77DA5CF4" w14:textId="77777777" w:rsidR="004529F0" w:rsidRPr="004C23F4" w:rsidRDefault="009508FB" w:rsidP="005C3819">
      <w:pPr>
        <w:keepNext/>
        <w:rPr>
          <w:rFonts w:cs="Arial"/>
        </w:rPr>
      </w:pPr>
      <w:r>
        <w:rPr>
          <w:rFonts w:cs="Arial"/>
        </w:rPr>
        <w:t>A s</w:t>
      </w:r>
      <w:r w:rsidR="001B2BEF" w:rsidRPr="00E34676">
        <w:rPr>
          <w:rFonts w:cs="Arial"/>
        </w:rPr>
        <w:t xml:space="preserve">kin notation </w:t>
      </w:r>
      <w:r w:rsidR="005C3819">
        <w:rPr>
          <w:rFonts w:cs="Arial"/>
        </w:rPr>
        <w:t xml:space="preserve">is </w:t>
      </w:r>
      <w:r w:rsidR="001B2BEF" w:rsidRPr="00E34676">
        <w:rPr>
          <w:rFonts w:cs="Arial"/>
        </w:rPr>
        <w:t>recommended based on</w:t>
      </w:r>
      <w:r w:rsidR="00E34676" w:rsidRPr="00E34676">
        <w:rPr>
          <w:rFonts w:cs="Arial"/>
        </w:rPr>
        <w:t xml:space="preserve"> systemic effects following dermal exposure in humans.</w:t>
      </w:r>
    </w:p>
    <w:p w14:paraId="0F2CEADD" w14:textId="77777777" w:rsidR="0025734A" w:rsidRPr="004C23F4" w:rsidRDefault="0025734A">
      <w:pPr>
        <w:rPr>
          <w:rFonts w:cs="Arial"/>
        </w:rPr>
      </w:pPr>
    </w:p>
    <w:p w14:paraId="493ADB41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1FA249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245A250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475D9D" w14:paraId="4D45A6AB" w14:textId="77777777" w:rsidTr="00475D9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314C0AC3" w14:textId="77777777" w:rsidR="00C978F0" w:rsidRPr="00475D9D" w:rsidRDefault="00C978F0" w:rsidP="00670785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  <w:rPr>
                <w:b/>
              </w:rPr>
            </w:pPr>
            <w:r w:rsidRPr="00475D9D">
              <w:rPr>
                <w:b/>
              </w:rPr>
              <w:t>Source</w:t>
            </w:r>
            <w:r w:rsidR="00DA352E" w:rsidRPr="00475D9D">
              <w:rPr>
                <w:b/>
              </w:rPr>
              <w:tab/>
              <w:t>Year set</w:t>
            </w:r>
            <w:r w:rsidR="00DA352E" w:rsidRPr="00475D9D">
              <w:rPr>
                <w:b/>
              </w:rPr>
              <w:tab/>
              <w:t>Standard</w:t>
            </w:r>
            <w:r w:rsidR="00974F2D" w:rsidRPr="00475D9D">
              <w:rPr>
                <w:b/>
              </w:rPr>
              <w:tab/>
            </w:r>
          </w:p>
        </w:tc>
      </w:tr>
      <w:tr w:rsidR="00DE26E8" w:rsidRPr="003365A5" w14:paraId="1E5685F0" w14:textId="77777777" w:rsidTr="00475D9D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0417C112" w14:textId="77777777" w:rsidR="00DE26E8" w:rsidRPr="003365A5" w:rsidRDefault="00DE26E8" w:rsidP="005C3819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7B11AA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7B11AA">
                  <w:t>Not assigned</w:t>
                </w:r>
              </w:sdtContent>
            </w:sdt>
          </w:p>
        </w:tc>
      </w:tr>
      <w:tr w:rsidR="00C978F0" w:rsidRPr="00DA352E" w14:paraId="273180C1" w14:textId="77777777" w:rsidTr="00475D9D">
        <w:trPr>
          <w:gridAfter w:val="1"/>
          <w:wAfter w:w="8" w:type="pct"/>
          <w:cantSplit/>
        </w:trPr>
        <w:tc>
          <w:tcPr>
            <w:tcW w:w="4992" w:type="pct"/>
          </w:tcPr>
          <w:p w14:paraId="785D1D14" w14:textId="77777777" w:rsidR="00C978F0" w:rsidRPr="00DA352E" w:rsidRDefault="00C978F0" w:rsidP="00670785">
            <w:pPr>
              <w:pStyle w:val="Tabletextprimarysource"/>
            </w:pPr>
          </w:p>
        </w:tc>
      </w:tr>
      <w:tr w:rsidR="00C978F0" w:rsidRPr="00DA352E" w14:paraId="78ACB05A" w14:textId="77777777" w:rsidTr="00475D9D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1252296" w14:textId="77777777" w:rsidR="00C978F0" w:rsidRPr="00DA352E" w:rsidRDefault="00DA352E" w:rsidP="005C3819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7B11AA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7B11AA">
                  <w:t>Not assigned</w:t>
                </w:r>
              </w:sdtContent>
            </w:sdt>
          </w:p>
        </w:tc>
      </w:tr>
      <w:tr w:rsidR="00C978F0" w:rsidRPr="00DA352E" w14:paraId="2B806634" w14:textId="77777777" w:rsidTr="00475D9D">
        <w:trPr>
          <w:gridAfter w:val="1"/>
          <w:wAfter w:w="8" w:type="pct"/>
          <w:cantSplit/>
        </w:trPr>
        <w:tc>
          <w:tcPr>
            <w:tcW w:w="4992" w:type="pct"/>
          </w:tcPr>
          <w:p w14:paraId="13F66110" w14:textId="77777777" w:rsidR="00C978F0" w:rsidRDefault="008D7DAD" w:rsidP="00670785">
            <w:pPr>
              <w:pStyle w:val="Tabletextprimarysource"/>
            </w:pPr>
            <w:r>
              <w:t>No OEL recommended due to extreme carcinogenic potential in animals and absence of data supporting a threshold for neoplasia.</w:t>
            </w:r>
          </w:p>
          <w:p w14:paraId="6DF659BC" w14:textId="77777777" w:rsidR="008D7DAD" w:rsidRDefault="008D7DAD" w:rsidP="00670785">
            <w:pPr>
              <w:pStyle w:val="Tabletextprimarysource"/>
            </w:pPr>
            <w:r>
              <w:t>Summary of data:</w:t>
            </w:r>
          </w:p>
          <w:p w14:paraId="1EDD609C" w14:textId="77777777" w:rsidR="008D7DAD" w:rsidRDefault="008D7DAD" w:rsidP="00670785">
            <w:pPr>
              <w:pStyle w:val="Tabletextprimarysource"/>
            </w:pPr>
            <w:r>
              <w:t>Human data:</w:t>
            </w:r>
          </w:p>
          <w:p w14:paraId="2DCFF5F3" w14:textId="77777777" w:rsidR="008D7DAD" w:rsidRDefault="008D7DAD" w:rsidP="005C3819">
            <w:pPr>
              <w:pStyle w:val="ListBullet"/>
              <w:spacing w:before="60" w:after="60"/>
              <w:ind w:left="720"/>
              <w:contextualSpacing w:val="0"/>
            </w:pPr>
            <w:r>
              <w:t>1 death and several cases of hepatic dysfunction in workers handling DMNA; warrants skin notation</w:t>
            </w:r>
          </w:p>
          <w:p w14:paraId="1E1B2460" w14:textId="77777777" w:rsidR="008D7DAD" w:rsidRDefault="008D7DAD" w:rsidP="005C3819">
            <w:pPr>
              <w:pStyle w:val="ListBullet"/>
              <w:spacing w:before="60" w:after="60"/>
              <w:ind w:left="720"/>
              <w:contextualSpacing w:val="0"/>
            </w:pPr>
            <w:r>
              <w:t>Metabolic studies indicate carcinogenic potential</w:t>
            </w:r>
            <w:r w:rsidR="00BE1894">
              <w:t xml:space="preserve"> </w:t>
            </w:r>
            <w:r w:rsidR="00BE1894" w:rsidRPr="000C4B4A">
              <w:rPr>
                <w:i/>
              </w:rPr>
              <w:t>via</w:t>
            </w:r>
            <w:r w:rsidR="00BE1894">
              <w:t xml:space="preserve"> mutagenic and carcinogenic metabolite</w:t>
            </w:r>
            <w:r w:rsidR="00670785">
              <w:t>.</w:t>
            </w:r>
          </w:p>
          <w:p w14:paraId="124F3A17" w14:textId="77777777" w:rsidR="008D7DAD" w:rsidRDefault="008D7DAD" w:rsidP="005C3819">
            <w:pPr>
              <w:spacing w:before="60" w:after="60"/>
            </w:pPr>
            <w:r>
              <w:t>Animal data:</w:t>
            </w:r>
          </w:p>
          <w:p w14:paraId="04743536" w14:textId="77777777" w:rsidR="008D7DAD" w:rsidRDefault="00BE1894" w:rsidP="005C3819">
            <w:pPr>
              <w:pStyle w:val="ListBullet"/>
              <w:spacing w:before="60" w:after="60"/>
              <w:ind w:left="720"/>
              <w:contextualSpacing w:val="0"/>
            </w:pPr>
            <w:r>
              <w:t>Oral LD</w:t>
            </w:r>
            <w:r>
              <w:rPr>
                <w:vertAlign w:val="subscript"/>
              </w:rPr>
              <w:t xml:space="preserve">50 </w:t>
            </w:r>
            <w:r>
              <w:t>27</w:t>
            </w:r>
            <w:r w:rsidR="00670785">
              <w:t>–</w:t>
            </w:r>
            <w:r>
              <w:t>41 mg/kg in male rats; hepatoxicity</w:t>
            </w:r>
          </w:p>
          <w:p w14:paraId="792A1C93" w14:textId="77777777" w:rsidR="00BE1894" w:rsidRDefault="00BE1894" w:rsidP="005C3819">
            <w:pPr>
              <w:pStyle w:val="ListBullet"/>
              <w:spacing w:before="60" w:after="60"/>
              <w:ind w:left="720"/>
              <w:contextualSpacing w:val="0"/>
            </w:pPr>
            <w:r>
              <w:t>4 h LC</w:t>
            </w:r>
            <w:r>
              <w:rPr>
                <w:vertAlign w:val="subscript"/>
              </w:rPr>
              <w:t xml:space="preserve">50 </w:t>
            </w:r>
            <w:r>
              <w:t>78 ppm in the rat; 57 ppm mouse</w:t>
            </w:r>
          </w:p>
          <w:p w14:paraId="5F9729F0" w14:textId="77777777" w:rsidR="00BE1894" w:rsidRDefault="00BE1894" w:rsidP="005C3819">
            <w:pPr>
              <w:pStyle w:val="ListBullet"/>
              <w:spacing w:before="60" w:after="60"/>
              <w:ind w:left="720"/>
              <w:contextualSpacing w:val="0"/>
            </w:pPr>
            <w:r>
              <w:t>Induced tumours via all routes of administration in all animal species tested</w:t>
            </w:r>
          </w:p>
          <w:p w14:paraId="4530C3D0" w14:textId="77777777" w:rsidR="00BE1894" w:rsidRDefault="00BE1894" w:rsidP="005C3819">
            <w:pPr>
              <w:pStyle w:val="ListBullet"/>
              <w:spacing w:before="60" w:after="60"/>
              <w:ind w:left="720"/>
              <w:contextualSpacing w:val="0"/>
            </w:pPr>
            <w:r>
              <w:t>Hepatic, renal and nasal carcinogen in rodents</w:t>
            </w:r>
          </w:p>
          <w:p w14:paraId="7AD4E46A" w14:textId="77777777" w:rsidR="00BE1894" w:rsidRDefault="00BE1894" w:rsidP="005C3819">
            <w:pPr>
              <w:pStyle w:val="ListBullet"/>
              <w:spacing w:before="60" w:after="60"/>
              <w:ind w:left="720"/>
              <w:contextualSpacing w:val="0"/>
            </w:pPr>
            <w:r>
              <w:t>Synergistic relationship with other genotoxic chemicals</w:t>
            </w:r>
            <w:r w:rsidR="00670785">
              <w:t>.</w:t>
            </w:r>
          </w:p>
          <w:p w14:paraId="544BBF40" w14:textId="77777777" w:rsidR="00624DB5" w:rsidRDefault="00624DB5" w:rsidP="005C3819">
            <w:pPr>
              <w:spacing w:before="60" w:after="60"/>
            </w:pPr>
          </w:p>
          <w:p w14:paraId="78F4E71E" w14:textId="77777777" w:rsidR="00BE1894" w:rsidRDefault="00BE1894" w:rsidP="005C3819">
            <w:pPr>
              <w:spacing w:before="60" w:after="60"/>
            </w:pPr>
            <w:r>
              <w:t>Significant mutagenicity demonstrated in mouse liver microsomes</w:t>
            </w:r>
            <w:r w:rsidR="00670785">
              <w:t>.</w:t>
            </w:r>
          </w:p>
          <w:p w14:paraId="6653672D" w14:textId="77777777" w:rsidR="00BE1894" w:rsidRDefault="00BE1894" w:rsidP="005C3819">
            <w:pPr>
              <w:spacing w:before="60" w:after="60"/>
            </w:pPr>
            <w:r>
              <w:t>Change in base sequence and deletion of 1 or more base pair changes</w:t>
            </w:r>
            <w:r w:rsidR="0029106D">
              <w:t xml:space="preserve"> via alkylation of DNA by reactive metabolites</w:t>
            </w:r>
            <w:r>
              <w:t xml:space="preserve"> indicate genotoxic mechanism in carcinogenesis</w:t>
            </w:r>
            <w:r w:rsidR="00670785">
              <w:t>.</w:t>
            </w:r>
          </w:p>
          <w:p w14:paraId="28AA1E2A" w14:textId="77777777" w:rsidR="0029106D" w:rsidRDefault="0029106D" w:rsidP="005C3819">
            <w:pPr>
              <w:spacing w:before="60" w:after="60"/>
            </w:pPr>
            <w:r>
              <w:t>Insufficient data to recommend a sensitiser notation.</w:t>
            </w:r>
          </w:p>
          <w:p w14:paraId="2153EB8E" w14:textId="77777777" w:rsidR="00624DB5" w:rsidRPr="00DA352E" w:rsidRDefault="00624DB5" w:rsidP="005C3819">
            <w:pPr>
              <w:spacing w:before="60" w:after="60"/>
            </w:pPr>
          </w:p>
        </w:tc>
      </w:tr>
      <w:tr w:rsidR="00C978F0" w:rsidRPr="00DA352E" w14:paraId="0A9815BA" w14:textId="77777777" w:rsidTr="00475D9D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7DD9488" w14:textId="77777777" w:rsidR="00C978F0" w:rsidRPr="00DA352E" w:rsidRDefault="00DA352E" w:rsidP="005C3819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7A1D99">
                  <w:t>2004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7A1D99">
                  <w:t>Not assigned</w:t>
                </w:r>
              </w:sdtContent>
            </w:sdt>
          </w:p>
        </w:tc>
      </w:tr>
      <w:tr w:rsidR="00C978F0" w:rsidRPr="00DA352E" w14:paraId="5D763AC5" w14:textId="77777777" w:rsidTr="00475D9D">
        <w:trPr>
          <w:gridAfter w:val="1"/>
          <w:wAfter w:w="8" w:type="pct"/>
          <w:cantSplit/>
        </w:trPr>
        <w:tc>
          <w:tcPr>
            <w:tcW w:w="4992" w:type="pct"/>
          </w:tcPr>
          <w:p w14:paraId="07863ED7" w14:textId="77777777" w:rsidR="00C978F0" w:rsidRDefault="00F7691B" w:rsidP="00670785">
            <w:pPr>
              <w:pStyle w:val="Tabletextprimarysource"/>
            </w:pPr>
            <w:r>
              <w:t>No MAK recommended due to carcinogenic potential.</w:t>
            </w:r>
          </w:p>
          <w:p w14:paraId="44256F69" w14:textId="77777777" w:rsidR="00F7691B" w:rsidRDefault="00F7691B" w:rsidP="00670785">
            <w:pPr>
              <w:pStyle w:val="Tabletextprimarysource"/>
            </w:pPr>
            <w:r>
              <w:t>Summary of additional data:</w:t>
            </w:r>
          </w:p>
          <w:p w14:paraId="6B2FD68D" w14:textId="77777777" w:rsidR="00F7691B" w:rsidRDefault="00F7691B" w:rsidP="005C3819">
            <w:pPr>
              <w:pStyle w:val="ListBullet"/>
              <w:spacing w:before="60" w:after="60"/>
              <w:ind w:left="720"/>
              <w:contextualSpacing w:val="0"/>
            </w:pPr>
            <w:r>
              <w:t>Reviewed as part of N-nitrosamines</w:t>
            </w:r>
          </w:p>
          <w:p w14:paraId="2546BD09" w14:textId="77777777" w:rsidR="00F7691B" w:rsidRDefault="00B34360" w:rsidP="005C3819">
            <w:pPr>
              <w:pStyle w:val="ListBullet"/>
              <w:spacing w:before="60" w:after="60"/>
              <w:ind w:left="720"/>
              <w:contextualSpacing w:val="0"/>
            </w:pPr>
            <w:r>
              <w:t>Principal target organs established in animals: liver, kidney, lung, blood vessels</w:t>
            </w:r>
          </w:p>
          <w:p w14:paraId="25CEC5A2" w14:textId="77777777" w:rsidR="00B34360" w:rsidRDefault="00B34360" w:rsidP="005C3819">
            <w:pPr>
              <w:pStyle w:val="ListBullet"/>
              <w:spacing w:before="60" w:after="60"/>
              <w:ind w:left="720"/>
              <w:contextualSpacing w:val="0"/>
            </w:pPr>
            <w:r>
              <w:t>Ca</w:t>
            </w:r>
            <w:r w:rsidRPr="00B34360">
              <w:t xml:space="preserve">rcinogenic effect may be demonstrated </w:t>
            </w:r>
            <w:r>
              <w:t xml:space="preserve">in rodents </w:t>
            </w:r>
            <w:r w:rsidR="007B5711">
              <w:t>from</w:t>
            </w:r>
            <w:r w:rsidRPr="00B34360">
              <w:t xml:space="preserve"> total dose of 1 mg/kg</w:t>
            </w:r>
          </w:p>
          <w:p w14:paraId="088096A5" w14:textId="77777777" w:rsidR="00B34360" w:rsidRDefault="00B34360" w:rsidP="005C3819">
            <w:pPr>
              <w:pStyle w:val="ListBullet"/>
              <w:spacing w:before="60" w:after="60"/>
              <w:ind w:left="720"/>
              <w:contextualSpacing w:val="0"/>
            </w:pPr>
            <w:r>
              <w:t>87 rats continuously exposed at 0.005 mg/m</w:t>
            </w:r>
            <w:r>
              <w:rPr>
                <w:vertAlign w:val="superscript"/>
              </w:rPr>
              <w:t>3</w:t>
            </w:r>
            <w:r>
              <w:t xml:space="preserve"> for 25 mo; no carcinogenic effects</w:t>
            </w:r>
          </w:p>
          <w:p w14:paraId="481FF3A9" w14:textId="77777777" w:rsidR="00B34360" w:rsidRDefault="00B34360" w:rsidP="005C3819">
            <w:pPr>
              <w:pStyle w:val="ListBullet"/>
              <w:spacing w:before="60" w:after="60"/>
              <w:ind w:left="720"/>
              <w:contextualSpacing w:val="0"/>
            </w:pPr>
            <w:r>
              <w:t>61 rats continuously exposed at 0.2 mg/m</w:t>
            </w:r>
            <w:r>
              <w:rPr>
                <w:vertAlign w:val="superscript"/>
              </w:rPr>
              <w:t>3</w:t>
            </w:r>
            <w:r>
              <w:t xml:space="preserve"> for 25 mo:</w:t>
            </w:r>
          </w:p>
          <w:p w14:paraId="0CD36B52" w14:textId="77777777" w:rsidR="00B34360" w:rsidRDefault="00B34360" w:rsidP="00B07CEE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12/61 lung tumours (control 5/77)</w:t>
            </w:r>
          </w:p>
          <w:p w14:paraId="25C8E2DC" w14:textId="77777777" w:rsidR="00B34360" w:rsidRDefault="00B34360" w:rsidP="00B07CEE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12/61 liver tumours (control 3/77)</w:t>
            </w:r>
          </w:p>
          <w:p w14:paraId="26B3E2FF" w14:textId="77777777" w:rsidR="00F7691B" w:rsidRDefault="00B34360" w:rsidP="00B07CEE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32/61 kidney tumours (control 2/77)</w:t>
            </w:r>
            <w:r w:rsidR="00670785">
              <w:t>.</w:t>
            </w:r>
          </w:p>
          <w:p w14:paraId="5E1818A4" w14:textId="77777777" w:rsidR="00624DB5" w:rsidRPr="00DA352E" w:rsidRDefault="00624DB5" w:rsidP="00B07CEE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3770CFBA" w14:textId="77777777" w:rsidTr="00475D9D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BB986B0" w14:textId="77777777" w:rsidR="00C978F0" w:rsidRPr="00DA352E" w:rsidRDefault="00DA352E" w:rsidP="005C3819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0551E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0551E3">
                  <w:t>NA</w:t>
                </w:r>
              </w:sdtContent>
            </w:sdt>
          </w:p>
        </w:tc>
      </w:tr>
      <w:tr w:rsidR="00C978F0" w:rsidRPr="00DA352E" w14:paraId="42C6AC38" w14:textId="77777777" w:rsidTr="00475D9D">
        <w:trPr>
          <w:gridAfter w:val="1"/>
          <w:wAfter w:w="8" w:type="pct"/>
          <w:cantSplit/>
        </w:trPr>
        <w:tc>
          <w:tcPr>
            <w:tcW w:w="4992" w:type="pct"/>
          </w:tcPr>
          <w:p w14:paraId="7DDDD87A" w14:textId="77777777" w:rsidR="00C978F0" w:rsidRPr="00DA352E" w:rsidRDefault="000551E3" w:rsidP="00670785">
            <w:pPr>
              <w:pStyle w:val="Tabletextprimarysource"/>
            </w:pPr>
            <w:r>
              <w:t>No report</w:t>
            </w:r>
            <w:r w:rsidR="00670785">
              <w:t>.</w:t>
            </w:r>
          </w:p>
        </w:tc>
      </w:tr>
      <w:tr w:rsidR="00DA352E" w:rsidRPr="00DA352E" w14:paraId="05748BB8" w14:textId="77777777" w:rsidTr="00475D9D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AC9A966" w14:textId="77777777" w:rsidR="00DA352E" w:rsidRPr="00DA352E" w:rsidRDefault="00DA352E" w:rsidP="005C3819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0551E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0551E3">
                  <w:t>NA</w:t>
                </w:r>
              </w:sdtContent>
            </w:sdt>
          </w:p>
        </w:tc>
      </w:tr>
      <w:tr w:rsidR="00DA352E" w:rsidRPr="00DA352E" w14:paraId="7B896918" w14:textId="77777777" w:rsidTr="00475D9D">
        <w:trPr>
          <w:gridAfter w:val="1"/>
          <w:wAfter w:w="8" w:type="pct"/>
          <w:cantSplit/>
        </w:trPr>
        <w:tc>
          <w:tcPr>
            <w:tcW w:w="4992" w:type="pct"/>
          </w:tcPr>
          <w:p w14:paraId="6320C744" w14:textId="77777777" w:rsidR="00DA352E" w:rsidRPr="00DA352E" w:rsidRDefault="000551E3" w:rsidP="00670785">
            <w:pPr>
              <w:pStyle w:val="Tabletextprimarysource"/>
            </w:pPr>
            <w:r>
              <w:t>No report</w:t>
            </w:r>
            <w:r w:rsidR="00670785">
              <w:t>.</w:t>
            </w:r>
          </w:p>
        </w:tc>
      </w:tr>
      <w:tr w:rsidR="00DA352E" w:rsidRPr="00DA352E" w14:paraId="304F4B8D" w14:textId="77777777" w:rsidTr="00475D9D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191C56A" w14:textId="77777777" w:rsidR="00DA352E" w:rsidRPr="00DA352E" w:rsidRDefault="00DA352E" w:rsidP="005C3819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lastRenderedPageBreak/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0551E3">
                  <w:t>1999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0551E3">
                  <w:t>Not assigned</w:t>
                </w:r>
              </w:sdtContent>
            </w:sdt>
          </w:p>
        </w:tc>
      </w:tr>
      <w:tr w:rsidR="00DA352E" w:rsidRPr="00DA352E" w14:paraId="5561FF52" w14:textId="77777777" w:rsidTr="00475D9D">
        <w:trPr>
          <w:gridAfter w:val="1"/>
          <w:wAfter w:w="8" w:type="pct"/>
          <w:cantSplit/>
        </w:trPr>
        <w:tc>
          <w:tcPr>
            <w:tcW w:w="4992" w:type="pct"/>
          </w:tcPr>
          <w:p w14:paraId="6D12241B" w14:textId="77777777" w:rsidR="00DA352E" w:rsidRDefault="0030170C" w:rsidP="00670785">
            <w:pPr>
              <w:pStyle w:val="Tabletextprimarysource"/>
            </w:pPr>
            <w:r>
              <w:t>No OEL recommended.</w:t>
            </w:r>
          </w:p>
          <w:p w14:paraId="6C000F60" w14:textId="77777777" w:rsidR="0030170C" w:rsidRDefault="0030170C" w:rsidP="00670785">
            <w:pPr>
              <w:pStyle w:val="Tabletextprimarysource"/>
            </w:pPr>
            <w:r>
              <w:t>Summary of additional data:</w:t>
            </w:r>
          </w:p>
          <w:p w14:paraId="595AC18C" w14:textId="77777777" w:rsidR="00435B01" w:rsidRDefault="00435B01" w:rsidP="005C3819">
            <w:pPr>
              <w:pStyle w:val="ListBullet"/>
              <w:spacing w:before="60" w:after="60"/>
              <w:ind w:left="720"/>
              <w:contextualSpacing w:val="0"/>
            </w:pPr>
            <w:r>
              <w:t>S</w:t>
            </w:r>
            <w:r w:rsidRPr="00435B01">
              <w:t>imilarities in metabolism between human and rodent tissues have been demonstrated</w:t>
            </w:r>
          </w:p>
          <w:p w14:paraId="09BFF274" w14:textId="7BD8F4CD" w:rsidR="0030170C" w:rsidRDefault="0030170C" w:rsidP="005C3819">
            <w:pPr>
              <w:pStyle w:val="ListBullet"/>
              <w:spacing w:before="60" w:after="60"/>
              <w:ind w:left="720"/>
              <w:contextualSpacing w:val="0"/>
            </w:pPr>
            <w:r>
              <w:t>Estimate</w:t>
            </w:r>
            <w:r w:rsidR="00F62044">
              <w:t>d</w:t>
            </w:r>
            <w:r>
              <w:t xml:space="preserve"> the additional lifetime risk of cancer in humans under workplace exposure conditions, assuming:</w:t>
            </w:r>
          </w:p>
          <w:p w14:paraId="23C4F068" w14:textId="77777777" w:rsidR="0030170C" w:rsidRDefault="0030170C" w:rsidP="00B07CEE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lifetime of 75 yr</w:t>
            </w:r>
          </w:p>
          <w:p w14:paraId="55479C53" w14:textId="77777777" w:rsidR="0030170C" w:rsidRDefault="0030170C" w:rsidP="00B07CEE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exposure for 8 h/d, 5 d/wk for 40 yr</w:t>
            </w:r>
          </w:p>
          <w:p w14:paraId="3744EE20" w14:textId="0C97AA5E" w:rsidR="0030170C" w:rsidRDefault="0030170C" w:rsidP="00B07CEE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inhales 10 m</w:t>
            </w:r>
            <w:r w:rsidRPr="0030170C">
              <w:rPr>
                <w:vertAlign w:val="superscript"/>
              </w:rPr>
              <w:t>3</w:t>
            </w:r>
            <w:r>
              <w:t xml:space="preserve"> over 8</w:t>
            </w:r>
            <w:r w:rsidR="00670785">
              <w:t xml:space="preserve"> </w:t>
            </w:r>
            <w:r>
              <w:t>h workday</w:t>
            </w:r>
          </w:p>
          <w:p w14:paraId="6A701086" w14:textId="77777777" w:rsidR="0030170C" w:rsidRDefault="00435B01" w:rsidP="005C3819">
            <w:pPr>
              <w:pStyle w:val="ListBullet"/>
              <w:spacing w:before="60" w:after="60"/>
              <w:ind w:left="720"/>
              <w:contextualSpacing w:val="0"/>
            </w:pPr>
            <w:r>
              <w:t>4 x 10</w:t>
            </w:r>
            <w:r>
              <w:rPr>
                <w:vertAlign w:val="superscript"/>
              </w:rPr>
              <w:t>-5</w:t>
            </w:r>
            <w:r>
              <w:t xml:space="preserve"> for 40 yr exposure at 0.</w:t>
            </w:r>
            <w:r w:rsidR="007B5711">
              <w:t>00</w:t>
            </w:r>
            <w:r>
              <w:t xml:space="preserve">2 </w:t>
            </w:r>
            <w:r>
              <w:rPr>
                <w:rFonts w:cs="Arial"/>
              </w:rPr>
              <w:t>µ</w:t>
            </w:r>
            <w:r>
              <w:t>g/m</w:t>
            </w:r>
            <w:r>
              <w:rPr>
                <w:vertAlign w:val="superscript"/>
              </w:rPr>
              <w:t>3</w:t>
            </w:r>
          </w:p>
          <w:p w14:paraId="6836C8C8" w14:textId="77777777" w:rsidR="0030170C" w:rsidRDefault="00435B01" w:rsidP="005C3819">
            <w:pPr>
              <w:pStyle w:val="ListBullet"/>
              <w:spacing w:before="60" w:after="60"/>
              <w:ind w:left="720"/>
              <w:contextualSpacing w:val="0"/>
            </w:pPr>
            <w:r>
              <w:t>4 x 10</w:t>
            </w:r>
            <w:r>
              <w:rPr>
                <w:vertAlign w:val="superscript"/>
              </w:rPr>
              <w:t>-3</w:t>
            </w:r>
            <w:r>
              <w:t xml:space="preserve"> for 40 yr exposure at 0.2 </w:t>
            </w:r>
            <w:r>
              <w:rPr>
                <w:rFonts w:cs="Arial"/>
              </w:rPr>
              <w:t>µ</w:t>
            </w:r>
            <w:r>
              <w:t>g/m</w:t>
            </w:r>
            <w:r>
              <w:rPr>
                <w:vertAlign w:val="superscript"/>
              </w:rPr>
              <w:t>3</w:t>
            </w:r>
            <w:r w:rsidR="00670785">
              <w:t>.</w:t>
            </w:r>
          </w:p>
          <w:p w14:paraId="18C19446" w14:textId="77777777" w:rsidR="00624DB5" w:rsidRPr="00DA352E" w:rsidRDefault="00624DB5" w:rsidP="00B07CEE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</w:tbl>
    <w:p w14:paraId="2B8CC7FA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3"/>
        <w:gridCol w:w="423"/>
        <w:gridCol w:w="661"/>
        <w:gridCol w:w="6449"/>
      </w:tblGrid>
      <w:tr w:rsidR="004966BF" w:rsidRPr="00475D9D" w14:paraId="0A2CC860" w14:textId="77777777" w:rsidTr="00475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93" w:type="dxa"/>
            <w:shd w:val="clear" w:color="auto" w:fill="BFBFBF" w:themeFill="background1" w:themeFillShade="BF"/>
            <w:vAlign w:val="center"/>
          </w:tcPr>
          <w:p w14:paraId="52E09DD5" w14:textId="77777777" w:rsidR="004966BF" w:rsidRPr="00475D9D" w:rsidRDefault="004966BF" w:rsidP="00263255">
            <w:pPr>
              <w:pStyle w:val="Tableheader"/>
              <w:rPr>
                <w:b/>
              </w:rPr>
            </w:pPr>
            <w:r w:rsidRPr="00475D9D">
              <w:rPr>
                <w:b/>
              </w:rPr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0E13D052" w14:textId="77777777" w:rsidR="004966BF" w:rsidRPr="00475D9D" w:rsidRDefault="004966BF" w:rsidP="00263255">
            <w:pPr>
              <w:pStyle w:val="Tableheader"/>
              <w:rPr>
                <w:b/>
              </w:rPr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292B8865" w14:textId="77777777" w:rsidR="004966BF" w:rsidRPr="00475D9D" w:rsidRDefault="004966BF" w:rsidP="00263255">
            <w:pPr>
              <w:pStyle w:val="Tableheader"/>
              <w:rPr>
                <w:b/>
              </w:rPr>
            </w:pPr>
            <w:r w:rsidRPr="00475D9D">
              <w:rPr>
                <w:b/>
              </w:rPr>
              <w:t>Year</w:t>
            </w:r>
          </w:p>
        </w:tc>
        <w:tc>
          <w:tcPr>
            <w:tcW w:w="6449" w:type="dxa"/>
            <w:shd w:val="clear" w:color="auto" w:fill="BFBFBF" w:themeFill="background1" w:themeFillShade="BF"/>
            <w:vAlign w:val="center"/>
          </w:tcPr>
          <w:p w14:paraId="061C63C9" w14:textId="77777777" w:rsidR="004966BF" w:rsidRPr="00475D9D" w:rsidRDefault="004966BF" w:rsidP="00263255">
            <w:pPr>
              <w:pStyle w:val="Tableheader"/>
              <w:rPr>
                <w:b/>
              </w:rPr>
            </w:pPr>
            <w:r w:rsidRPr="00475D9D">
              <w:rPr>
                <w:b/>
              </w:rPr>
              <w:t>Additional information</w:t>
            </w:r>
          </w:p>
        </w:tc>
      </w:tr>
      <w:tr w:rsidR="004966BF" w:rsidRPr="004C23F4" w14:paraId="7EACABC3" w14:textId="77777777" w:rsidTr="00475D9D">
        <w:trPr>
          <w:cantSplit/>
        </w:trPr>
        <w:tc>
          <w:tcPr>
            <w:tcW w:w="1493" w:type="dxa"/>
          </w:tcPr>
          <w:p w14:paraId="730FC0BF" w14:textId="77777777" w:rsidR="004966BF" w:rsidRPr="004C23F4" w:rsidRDefault="004966BF" w:rsidP="00224EE2">
            <w:pPr>
              <w:pStyle w:val="Tablefont"/>
            </w:pPr>
            <w:r>
              <w:t>IARC</w:t>
            </w:r>
          </w:p>
        </w:tc>
        <w:tc>
          <w:tcPr>
            <w:tcW w:w="423" w:type="dxa"/>
          </w:tcPr>
          <w:p w14:paraId="3E62503B" w14:textId="77777777" w:rsidR="004966BF" w:rsidRPr="00CE617F" w:rsidRDefault="00475D9D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592279139"/>
                <w:placeholder>
                  <w:docPart w:val="20BC8D26515A4C11AC6304FB75A7CBA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1B2BEF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CACB030" w14:textId="77777777" w:rsidR="004966BF" w:rsidRPr="004C23F4" w:rsidRDefault="001B2BEF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1978</w:t>
            </w:r>
          </w:p>
        </w:tc>
        <w:tc>
          <w:tcPr>
            <w:tcW w:w="6449" w:type="dxa"/>
          </w:tcPr>
          <w:p w14:paraId="1C46FEDF" w14:textId="7B2B42CD" w:rsidR="001A766F" w:rsidRPr="003F4E32" w:rsidRDefault="001A766F" w:rsidP="00B07CEE">
            <w:pPr>
              <w:pStyle w:val="ListBullet"/>
              <w:spacing w:before="60" w:after="60"/>
              <w:ind w:left="737" w:hanging="357"/>
              <w:contextualSpacing w:val="0"/>
              <w:rPr>
                <w:rFonts w:cs="Arial"/>
                <w:lang w:eastAsia="en-AU"/>
              </w:rPr>
            </w:pPr>
            <w:r>
              <w:t>Carcinogenic in all animal species tested: mice, rats, hamsters, guinea pigs, rabbits and other animals</w:t>
            </w:r>
          </w:p>
          <w:p w14:paraId="3EBE0651" w14:textId="52FBCE77" w:rsidR="001A766F" w:rsidRPr="003F4E32" w:rsidRDefault="001A766F" w:rsidP="00B07CEE">
            <w:pPr>
              <w:pStyle w:val="ListBullet"/>
              <w:spacing w:before="60" w:after="60"/>
              <w:ind w:left="737" w:hanging="357"/>
              <w:contextualSpacing w:val="0"/>
              <w:rPr>
                <w:rFonts w:cs="Arial"/>
                <w:lang w:eastAsia="en-AU"/>
              </w:rPr>
            </w:pPr>
            <w:r>
              <w:t>It induces benign and malignant tumours following administration by various routes, including ingestion an inhalation, in various organs in various species</w:t>
            </w:r>
          </w:p>
          <w:p w14:paraId="212C8BAA" w14:textId="29EDF7DE" w:rsidR="001A766F" w:rsidRPr="003F4E32" w:rsidRDefault="001A766F" w:rsidP="00B07CEE">
            <w:pPr>
              <w:pStyle w:val="ListBullet"/>
              <w:spacing w:before="60" w:after="60"/>
              <w:ind w:left="737" w:hanging="357"/>
              <w:contextualSpacing w:val="0"/>
              <w:rPr>
                <w:rFonts w:cs="Arial"/>
                <w:lang w:eastAsia="en-AU"/>
              </w:rPr>
            </w:pPr>
            <w:r>
              <w:t xml:space="preserve">Considered </w:t>
            </w:r>
            <w:proofErr w:type="gramStart"/>
            <w:r>
              <w:t>sufficient</w:t>
            </w:r>
            <w:proofErr w:type="gramEnd"/>
            <w:r>
              <w:t xml:space="preserve"> evidence of carcinogenicity in the animal species tested</w:t>
            </w:r>
          </w:p>
          <w:p w14:paraId="38D55760" w14:textId="5363FFBC" w:rsidR="001A766F" w:rsidRPr="003F4E32" w:rsidRDefault="001A766F" w:rsidP="00B07CEE">
            <w:pPr>
              <w:pStyle w:val="ListBullet"/>
              <w:spacing w:before="60" w:after="60"/>
              <w:ind w:left="737" w:hanging="357"/>
              <w:contextualSpacing w:val="0"/>
              <w:rPr>
                <w:rFonts w:cs="Arial"/>
                <w:lang w:eastAsia="en-AU"/>
              </w:rPr>
            </w:pPr>
            <w:r>
              <w:t>No human case report or epidemiological studies were available at time of review</w:t>
            </w:r>
          </w:p>
          <w:p w14:paraId="3E56AC6F" w14:textId="2ABA7FD1" w:rsidR="001A766F" w:rsidRPr="003F4E32" w:rsidRDefault="001A766F" w:rsidP="00B07CEE">
            <w:pPr>
              <w:pStyle w:val="ListBullet"/>
              <w:spacing w:before="60" w:after="60"/>
              <w:ind w:left="737" w:hanging="357"/>
              <w:contextualSpacing w:val="0"/>
              <w:rPr>
                <w:rFonts w:cs="Arial"/>
                <w:lang w:eastAsia="en-AU"/>
              </w:rPr>
            </w:pPr>
            <w:r>
              <w:t>Similarities in metabolism by human and rodent tissues</w:t>
            </w:r>
            <w:r w:rsidR="008D7C9B">
              <w:t xml:space="preserve"> have been demonstrated</w:t>
            </w:r>
          </w:p>
          <w:p w14:paraId="67F00996" w14:textId="7F2C0B53" w:rsidR="004966BF" w:rsidRPr="004C23F4" w:rsidRDefault="000C4B4A" w:rsidP="00B07CEE">
            <w:pPr>
              <w:pStyle w:val="ListBullet"/>
              <w:spacing w:before="60" w:after="60"/>
              <w:ind w:left="737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Agency considered that for practical purposes it should be regarded as carcinogenic in humans</w:t>
            </w:r>
            <w:r w:rsidR="007B5711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8D7C9B" w:rsidRPr="004C23F4" w14:paraId="1A3C1DE5" w14:textId="77777777" w:rsidTr="00475D9D">
        <w:trPr>
          <w:cantSplit/>
        </w:trPr>
        <w:tc>
          <w:tcPr>
            <w:tcW w:w="1493" w:type="dxa"/>
          </w:tcPr>
          <w:p w14:paraId="380D8DC8" w14:textId="25707F26" w:rsidR="008D7C9B" w:rsidRDefault="008D7C9B" w:rsidP="00224EE2">
            <w:pPr>
              <w:pStyle w:val="Tablefont"/>
            </w:pPr>
            <w:r>
              <w:t>NTP</w:t>
            </w:r>
          </w:p>
        </w:tc>
        <w:tc>
          <w:tcPr>
            <w:tcW w:w="423" w:type="dxa"/>
          </w:tcPr>
          <w:p w14:paraId="7B04F430" w14:textId="77777777" w:rsidR="008D7C9B" w:rsidRDefault="008D7C9B" w:rsidP="00AB43C4">
            <w:pPr>
              <w:spacing w:before="40"/>
              <w:jc w:val="center"/>
              <w:rPr>
                <w:rStyle w:val="checkbox"/>
              </w:rPr>
            </w:pPr>
          </w:p>
        </w:tc>
        <w:tc>
          <w:tcPr>
            <w:tcW w:w="661" w:type="dxa"/>
          </w:tcPr>
          <w:p w14:paraId="0818E108" w14:textId="187AA5F8" w:rsidR="008D7C9B" w:rsidRDefault="002D5515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2016</w:t>
            </w:r>
          </w:p>
        </w:tc>
        <w:tc>
          <w:tcPr>
            <w:tcW w:w="6449" w:type="dxa"/>
          </w:tcPr>
          <w:p w14:paraId="22B77233" w14:textId="28441A7A" w:rsidR="00022959" w:rsidRDefault="00022959" w:rsidP="00B07CEE">
            <w:pPr>
              <w:pStyle w:val="ListBullet"/>
              <w:spacing w:before="60" w:after="60"/>
              <w:ind w:left="737" w:hanging="357"/>
              <w:contextualSpacing w:val="0"/>
            </w:pPr>
            <w:r>
              <w:t>Ecological studies also suggested an association between high dietary intake and high rates of oesophageal cancer in populations</w:t>
            </w:r>
          </w:p>
          <w:p w14:paraId="3D7DB2AB" w14:textId="3C419CD8" w:rsidR="008D7C9B" w:rsidRDefault="00022959" w:rsidP="00B07CEE">
            <w:pPr>
              <w:pStyle w:val="ListBullet"/>
              <w:spacing w:before="60" w:after="60"/>
              <w:ind w:left="737" w:hanging="357"/>
              <w:contextualSpacing w:val="0"/>
            </w:pPr>
            <w:r>
              <w:t xml:space="preserve">Reasonably anticipated to be a human carcinogen based on </w:t>
            </w:r>
            <w:r w:rsidR="000C4B4A">
              <w:t>enough</w:t>
            </w:r>
            <w:r>
              <w:t xml:space="preserve"> evidence of carcinogenicity from studies in experimental animals; based primarily on IARC, 1978</w:t>
            </w:r>
            <w:r w:rsidR="003F4E32">
              <w:t>.</w:t>
            </w:r>
          </w:p>
        </w:tc>
      </w:tr>
      <w:tr w:rsidR="004966BF" w:rsidRPr="004C23F4" w14:paraId="69FA2776" w14:textId="77777777" w:rsidTr="00475D9D">
        <w:trPr>
          <w:cantSplit/>
        </w:trPr>
        <w:tc>
          <w:tcPr>
            <w:tcW w:w="1493" w:type="dxa"/>
          </w:tcPr>
          <w:p w14:paraId="414643BD" w14:textId="77777777" w:rsidR="004966BF" w:rsidRPr="004C23F4" w:rsidRDefault="004966BF" w:rsidP="00224EE2">
            <w:pPr>
              <w:pStyle w:val="Tablefont"/>
            </w:pPr>
            <w:r>
              <w:t>US EPA</w:t>
            </w:r>
          </w:p>
        </w:tc>
        <w:tc>
          <w:tcPr>
            <w:tcW w:w="423" w:type="dxa"/>
          </w:tcPr>
          <w:p w14:paraId="3FA172B7" w14:textId="77777777" w:rsidR="004966BF" w:rsidRPr="00CE617F" w:rsidRDefault="00475D9D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FFDE270CB50461B826B0194984892C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435B01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2FBAB424" w14:textId="77777777" w:rsidR="004966BF" w:rsidRPr="004C23F4" w:rsidRDefault="001B2BEF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1987</w:t>
            </w:r>
          </w:p>
        </w:tc>
        <w:tc>
          <w:tcPr>
            <w:tcW w:w="6449" w:type="dxa"/>
          </w:tcPr>
          <w:p w14:paraId="289DA4DE" w14:textId="735E2551" w:rsidR="00435B01" w:rsidRDefault="00435B01" w:rsidP="00B07CEE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Probable human carcinogen</w:t>
            </w:r>
            <w:r w:rsidR="00D24E80">
              <w:rPr>
                <w:rStyle w:val="checkbox"/>
                <w:rFonts w:ascii="Arial" w:hAnsi="Arial" w:cs="Arial"/>
              </w:rPr>
              <w:t xml:space="preserve">; </w:t>
            </w:r>
            <w:r w:rsidR="005065DB">
              <w:t>i</w:t>
            </w:r>
            <w:r w:rsidR="00D24E80">
              <w:t>nduction of tumours at multiple sites in both rodents and non</w:t>
            </w:r>
            <w:r w:rsidR="005065DB">
              <w:t>-</w:t>
            </w:r>
            <w:r w:rsidR="00D24E80">
              <w:t>rodent mammals exposed by various routes</w:t>
            </w:r>
          </w:p>
          <w:p w14:paraId="42CA9FAE" w14:textId="77777777" w:rsidR="004966BF" w:rsidRPr="00435B01" w:rsidRDefault="00435B01" w:rsidP="00B07CEE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Mutagenic for </w:t>
            </w:r>
            <w:r w:rsidRPr="00435B01">
              <w:rPr>
                <w:rStyle w:val="checkbox"/>
                <w:rFonts w:ascii="Arial" w:hAnsi="Arial" w:cs="Arial"/>
                <w:i/>
              </w:rPr>
              <w:t>E. coli</w:t>
            </w:r>
            <w:r>
              <w:rPr>
                <w:rStyle w:val="checkbox"/>
                <w:rFonts w:ascii="Arial" w:hAnsi="Arial" w:cs="Arial"/>
              </w:rPr>
              <w:t xml:space="preserve"> and </w:t>
            </w:r>
            <w:r w:rsidRPr="00435B01">
              <w:rPr>
                <w:rStyle w:val="checkbox"/>
                <w:rFonts w:ascii="Arial" w:hAnsi="Arial" w:cs="Arial"/>
                <w:i/>
              </w:rPr>
              <w:t>S.</w:t>
            </w:r>
            <w:r>
              <w:rPr>
                <w:rStyle w:val="checkbox"/>
                <w:rFonts w:ascii="Arial" w:hAnsi="Arial" w:cs="Arial"/>
                <w:i/>
              </w:rPr>
              <w:t xml:space="preserve"> </w:t>
            </w:r>
            <w:r w:rsidRPr="00435B01">
              <w:rPr>
                <w:rStyle w:val="checkbox"/>
                <w:rFonts w:ascii="Arial" w:hAnsi="Arial" w:cs="Arial"/>
                <w:i/>
              </w:rPr>
              <w:t>typhimurium</w:t>
            </w:r>
            <w:r>
              <w:rPr>
                <w:rStyle w:val="checkbox"/>
                <w:rFonts w:ascii="Arial" w:hAnsi="Arial" w:cs="Arial"/>
              </w:rPr>
              <w:t xml:space="preserve">; </w:t>
            </w:r>
            <w:r>
              <w:t>dependent upon the addition of a mammalian metabolism system</w:t>
            </w:r>
          </w:p>
          <w:p w14:paraId="27EA7D75" w14:textId="77777777" w:rsidR="000C4B4A" w:rsidRPr="000C4B4A" w:rsidRDefault="00435B01" w:rsidP="00B07CEE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</w:rPr>
            </w:pPr>
            <w:r>
              <w:t>Structurally related to known carcinogens</w:t>
            </w:r>
          </w:p>
          <w:p w14:paraId="725CB78A" w14:textId="0791E72E" w:rsidR="00435B01" w:rsidRPr="00435B01" w:rsidRDefault="008D40FD" w:rsidP="00B07CEE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t>A</w:t>
            </w:r>
            <w:r w:rsidR="000C4B4A">
              <w:t xml:space="preserve"> </w:t>
            </w:r>
            <w:r w:rsidRPr="008D40FD">
              <w:t>one in one hundred thousand inhalational risk</w:t>
            </w:r>
            <w:r w:rsidRPr="008D40FD" w:rsidDel="008D40FD">
              <w:t xml:space="preserve"> </w:t>
            </w:r>
            <w:r w:rsidR="005A31F3">
              <w:t xml:space="preserve">of </w:t>
            </w:r>
            <w:r w:rsidR="005A31F3" w:rsidRPr="005A31F3">
              <w:t>0.0007</w:t>
            </w:r>
            <w:r w:rsidR="00D55B2C">
              <w:t> </w:t>
            </w:r>
            <w:r w:rsidR="005A31F3" w:rsidRPr="005A31F3">
              <w:t>µg/m</w:t>
            </w:r>
            <w:r w:rsidR="005A31F3" w:rsidRPr="005A31F3">
              <w:rPr>
                <w:vertAlign w:val="superscript"/>
              </w:rPr>
              <w:t>3</w:t>
            </w:r>
            <w:r w:rsidR="007B5711">
              <w:t>.</w:t>
            </w:r>
          </w:p>
        </w:tc>
      </w:tr>
    </w:tbl>
    <w:bookmarkEnd w:id="0"/>
    <w:p w14:paraId="3CC8BD4C" w14:textId="77777777"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12D5402B" w14:textId="77777777" w:rsidTr="00966BBB">
        <w:trPr>
          <w:trHeight w:val="454"/>
          <w:tblHeader/>
        </w:trPr>
        <w:tc>
          <w:tcPr>
            <w:tcW w:w="6597" w:type="dxa"/>
            <w:vAlign w:val="center"/>
          </w:tcPr>
          <w:p w14:paraId="7C12E7DE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7C5638FD" w14:textId="77777777" w:rsidR="002E0D61" w:rsidRDefault="00D24E80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14:paraId="426B72C9" w14:textId="77777777" w:rsidTr="00966BBB">
        <w:trPr>
          <w:trHeight w:val="454"/>
        </w:trPr>
        <w:tc>
          <w:tcPr>
            <w:tcW w:w="6597" w:type="dxa"/>
            <w:vAlign w:val="center"/>
          </w:tcPr>
          <w:p w14:paraId="1A0B67A6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4293FD5B" w14:textId="5724AF4D" w:rsidR="008A36CF" w:rsidRDefault="00E11EF7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05B9CBF9" w14:textId="77777777" w:rsidTr="00966BBB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597" w:type="dxa"/>
                <w:vAlign w:val="center"/>
              </w:tcPr>
              <w:p w14:paraId="2F1F63FC" w14:textId="7AEA4333" w:rsidR="008A36CF" w:rsidRPr="006901A2" w:rsidRDefault="00E11EF7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  <w:tc>
          <w:tcPr>
            <w:tcW w:w="2429" w:type="dxa"/>
            <w:vAlign w:val="center"/>
          </w:tcPr>
          <w:p w14:paraId="624B81A7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7A798FA3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75D9D" w14:paraId="27C83A24" w14:textId="77777777" w:rsidTr="00475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24884A51" w14:textId="77777777" w:rsidR="00687890" w:rsidRPr="00475D9D" w:rsidRDefault="00687890" w:rsidP="00263255">
            <w:pPr>
              <w:pStyle w:val="Tableheader"/>
              <w:rPr>
                <w:b/>
              </w:rPr>
            </w:pPr>
            <w:bookmarkStart w:id="2" w:name="Notations"/>
            <w:bookmarkStart w:id="3" w:name="_GoBack" w:colFirst="0" w:colLast="2"/>
            <w:r w:rsidRPr="00475D9D">
              <w:rPr>
                <w:b/>
              </w:rPr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1B97C0B2" w14:textId="77777777" w:rsidR="00687890" w:rsidRPr="00475D9D" w:rsidRDefault="00687890" w:rsidP="00F4402E">
            <w:pPr>
              <w:pStyle w:val="Tableheader"/>
              <w:tabs>
                <w:tab w:val="right" w:pos="5272"/>
              </w:tabs>
              <w:rPr>
                <w:b/>
              </w:rPr>
            </w:pPr>
            <w:r w:rsidRPr="00475D9D">
              <w:rPr>
                <w:b/>
              </w:rPr>
              <w:t>Notations</w:t>
            </w:r>
            <w:r w:rsidR="003A2B94" w:rsidRPr="00475D9D">
              <w:rPr>
                <w:b/>
              </w:rPr>
              <w:tab/>
            </w:r>
          </w:p>
        </w:tc>
      </w:tr>
      <w:bookmarkEnd w:id="3"/>
      <w:tr w:rsidR="00687890" w:rsidRPr="004C23F4" w14:paraId="1C4EB2AA" w14:textId="77777777" w:rsidTr="00475D9D">
        <w:trPr>
          <w:cantSplit/>
        </w:trPr>
        <w:tc>
          <w:tcPr>
            <w:tcW w:w="3227" w:type="dxa"/>
          </w:tcPr>
          <w:p w14:paraId="476B49E0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79FDE532" w14:textId="77777777" w:rsidR="00687890" w:rsidRPr="00DD2F9B" w:rsidRDefault="007B11AA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4E964B3F" w14:textId="77777777" w:rsidTr="00475D9D">
        <w:trPr>
          <w:cantSplit/>
        </w:trPr>
        <w:tc>
          <w:tcPr>
            <w:tcW w:w="3227" w:type="dxa"/>
          </w:tcPr>
          <w:p w14:paraId="1228F535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4853B6BD" w14:textId="77777777" w:rsidR="007925F0" w:rsidRPr="00DD2F9B" w:rsidRDefault="00775F33" w:rsidP="00DD2F9B">
            <w:pPr>
              <w:pStyle w:val="Tablefont"/>
            </w:pPr>
            <w:r w:rsidRPr="00775F33">
              <w:t>Carcinogenicity – category 1B</w:t>
            </w:r>
          </w:p>
        </w:tc>
      </w:tr>
      <w:tr w:rsidR="00AF483F" w:rsidRPr="004C23F4" w14:paraId="51CBD234" w14:textId="77777777" w:rsidTr="00475D9D">
        <w:trPr>
          <w:cantSplit/>
        </w:trPr>
        <w:tc>
          <w:tcPr>
            <w:tcW w:w="3227" w:type="dxa"/>
          </w:tcPr>
          <w:p w14:paraId="76D1A0E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6315AE47" w14:textId="77777777" w:rsidR="00AF483F" w:rsidRPr="00DD2F9B" w:rsidRDefault="002D48CA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7BA4207D" w14:textId="77777777" w:rsidTr="00475D9D">
        <w:trPr>
          <w:cantSplit/>
        </w:trPr>
        <w:tc>
          <w:tcPr>
            <w:tcW w:w="3227" w:type="dxa"/>
          </w:tcPr>
          <w:p w14:paraId="134BEAC3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6279F475" w14:textId="77777777" w:rsidR="00687890" w:rsidRPr="00DD2F9B" w:rsidRDefault="002D48CA" w:rsidP="00DD2F9B">
            <w:pPr>
              <w:pStyle w:val="Tablefont"/>
            </w:pPr>
            <w:r w:rsidRPr="002D48CA">
              <w:t>Carcinogenicity – category 1B</w:t>
            </w:r>
          </w:p>
        </w:tc>
      </w:tr>
      <w:tr w:rsidR="00E41A26" w:rsidRPr="004C23F4" w14:paraId="3EEA51F5" w14:textId="77777777" w:rsidTr="00475D9D">
        <w:trPr>
          <w:cantSplit/>
        </w:trPr>
        <w:tc>
          <w:tcPr>
            <w:tcW w:w="3227" w:type="dxa"/>
          </w:tcPr>
          <w:p w14:paraId="627F6281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4BF2DBE2" w14:textId="77777777" w:rsidR="00E41A26" w:rsidRPr="00DD2F9B" w:rsidRDefault="002D48CA" w:rsidP="00DD2F9B">
            <w:pPr>
              <w:pStyle w:val="Tablefont"/>
            </w:pPr>
            <w:r w:rsidRPr="002D48CA">
              <w:t>Carcinogenicity – category 1B</w:t>
            </w:r>
          </w:p>
        </w:tc>
      </w:tr>
      <w:tr w:rsidR="002E0D61" w:rsidRPr="004C23F4" w14:paraId="41A1F41D" w14:textId="77777777" w:rsidTr="00475D9D">
        <w:trPr>
          <w:cantSplit/>
        </w:trPr>
        <w:tc>
          <w:tcPr>
            <w:tcW w:w="3227" w:type="dxa"/>
          </w:tcPr>
          <w:p w14:paraId="3E56EA36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2763FB07" w14:textId="77777777" w:rsidR="002E0D61" w:rsidRPr="00DD2F9B" w:rsidRDefault="007B11AA" w:rsidP="00DD2F9B">
            <w:pPr>
              <w:pStyle w:val="Tablefont"/>
            </w:pPr>
            <w:r w:rsidRPr="007B11AA">
              <w:t>Carcinogenicity – A3</w:t>
            </w:r>
            <w:r>
              <w:t>, Skin</w:t>
            </w:r>
          </w:p>
        </w:tc>
      </w:tr>
      <w:tr w:rsidR="002E0D61" w:rsidRPr="004C23F4" w14:paraId="3E771C90" w14:textId="77777777" w:rsidTr="00475D9D">
        <w:trPr>
          <w:cantSplit/>
        </w:trPr>
        <w:tc>
          <w:tcPr>
            <w:tcW w:w="3227" w:type="dxa"/>
          </w:tcPr>
          <w:p w14:paraId="7D1EDBB1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23DF095E" w14:textId="77777777" w:rsidR="002E0D61" w:rsidRPr="00DD2F9B" w:rsidRDefault="007A1D99" w:rsidP="00DD2F9B">
            <w:pPr>
              <w:pStyle w:val="Tablefont"/>
            </w:pPr>
            <w:r w:rsidRPr="007A1D99">
              <w:t>Carcinogenicity – 2</w:t>
            </w:r>
            <w:r>
              <w:t>, H (skin)</w:t>
            </w:r>
          </w:p>
        </w:tc>
      </w:tr>
      <w:tr w:rsidR="002E0D61" w:rsidRPr="004C23F4" w14:paraId="053FCA85" w14:textId="77777777" w:rsidTr="00475D9D">
        <w:trPr>
          <w:cantSplit/>
        </w:trPr>
        <w:tc>
          <w:tcPr>
            <w:tcW w:w="3227" w:type="dxa"/>
          </w:tcPr>
          <w:p w14:paraId="7A8F89BD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6FA41829" w14:textId="77777777" w:rsidR="002E0D61" w:rsidRPr="00DD2F9B" w:rsidRDefault="002D48CA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791BCCD7" w14:textId="77777777" w:rsidTr="00475D9D">
        <w:trPr>
          <w:cantSplit/>
        </w:trPr>
        <w:tc>
          <w:tcPr>
            <w:tcW w:w="3227" w:type="dxa"/>
          </w:tcPr>
          <w:p w14:paraId="7B48F9E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39A7E57D" w14:textId="77777777" w:rsidR="002E0D61" w:rsidRPr="00DD2F9B" w:rsidRDefault="002D48CA" w:rsidP="00DD2F9B">
            <w:pPr>
              <w:pStyle w:val="Tablefont"/>
            </w:pPr>
            <w:r>
              <w:t>—</w:t>
            </w:r>
          </w:p>
        </w:tc>
      </w:tr>
      <w:tr w:rsidR="00386093" w:rsidRPr="004C23F4" w14:paraId="6F9B6C6F" w14:textId="77777777" w:rsidTr="00475D9D">
        <w:trPr>
          <w:cantSplit/>
        </w:trPr>
        <w:tc>
          <w:tcPr>
            <w:tcW w:w="3227" w:type="dxa"/>
          </w:tcPr>
          <w:p w14:paraId="3A8E4B8B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FF4DBA6" w14:textId="77777777" w:rsidR="00386093" w:rsidRPr="00DD2F9B" w:rsidRDefault="002D48CA" w:rsidP="00DD2F9B">
            <w:pPr>
              <w:pStyle w:val="Tablefont"/>
            </w:pPr>
            <w:r w:rsidRPr="002D48CA">
              <w:t>Carcinogenicity – Group 2A</w:t>
            </w:r>
          </w:p>
        </w:tc>
      </w:tr>
      <w:tr w:rsidR="00386093" w:rsidRPr="004C23F4" w14:paraId="48D0D47A" w14:textId="77777777" w:rsidTr="00475D9D">
        <w:trPr>
          <w:cantSplit/>
        </w:trPr>
        <w:tc>
          <w:tcPr>
            <w:tcW w:w="3227" w:type="dxa"/>
          </w:tcPr>
          <w:p w14:paraId="389BC55A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4AEEDE3E" w14:textId="77777777" w:rsidR="00386093" w:rsidRPr="00DD2F9B" w:rsidRDefault="0071431F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0E743200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1AAEF023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45268270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443F22CA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2C6648AD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927" w:type="dxa"/>
              <w:tblLook w:val="04A0" w:firstRow="1" w:lastRow="0" w:firstColumn="1" w:lastColumn="0" w:noHBand="0" w:noVBand="1"/>
            </w:tblPr>
            <w:tblGrid>
              <w:gridCol w:w="3826"/>
              <w:gridCol w:w="1129"/>
              <w:gridCol w:w="1129"/>
              <w:gridCol w:w="2726"/>
            </w:tblGrid>
            <w:tr w:rsidR="001B2BEF" w:rsidRPr="001B2BEF" w14:paraId="49E03044" w14:textId="77777777" w:rsidTr="001B2BEF">
              <w:trPr>
                <w:trHeight w:val="342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166E178" w14:textId="77777777" w:rsidR="001B2BEF" w:rsidRPr="001B2BEF" w:rsidRDefault="001B2BEF" w:rsidP="001B2BE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B2B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12E4B02F" w14:textId="77777777" w:rsidR="001B2BEF" w:rsidRPr="001B2BEF" w:rsidRDefault="001B2BEF" w:rsidP="001B2BE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1B2BEF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A47AAA7" w14:textId="77777777" w:rsidR="001B2BEF" w:rsidRPr="001B2BEF" w:rsidRDefault="001B2BEF" w:rsidP="001B2BE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B2BE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2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A6AAF9E" w14:textId="77777777" w:rsidR="001B2BEF" w:rsidRPr="001B2BEF" w:rsidRDefault="001B2BEF" w:rsidP="001B2BE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B2B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B2BEF" w:rsidRPr="001B2BEF" w14:paraId="4CFFE1F8" w14:textId="77777777" w:rsidTr="001B2BEF">
              <w:trPr>
                <w:trHeight w:val="342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8A881D0" w14:textId="77777777" w:rsidR="001B2BEF" w:rsidRPr="001B2BEF" w:rsidRDefault="001B2BEF" w:rsidP="001B2BE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B2B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1B2B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1B2B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388CBA0" w14:textId="77777777" w:rsidR="001B2BEF" w:rsidRPr="001B2BEF" w:rsidRDefault="001B2BEF" w:rsidP="001B2BE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B2B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1F88268" w14:textId="77777777" w:rsidR="001B2BEF" w:rsidRPr="001B2BEF" w:rsidRDefault="001B2BEF" w:rsidP="001B2BE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B2BE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5AF9BFB" w14:textId="77777777" w:rsidR="001B2BEF" w:rsidRPr="001B2BEF" w:rsidRDefault="001B2BEF" w:rsidP="001B2BE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B2B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B2BEF" w:rsidRPr="001B2BEF" w14:paraId="16A62CAA" w14:textId="77777777" w:rsidTr="001B2BEF">
              <w:trPr>
                <w:trHeight w:val="342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F8CD59E" w14:textId="77777777" w:rsidR="001B2BEF" w:rsidRPr="001B2BEF" w:rsidRDefault="001B2BEF" w:rsidP="001B2BE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B2B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8EBBECE" w14:textId="77777777" w:rsidR="001B2BEF" w:rsidRPr="001B2BEF" w:rsidRDefault="001B2BEF" w:rsidP="001B2BE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B2B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703A559" w14:textId="77777777" w:rsidR="001B2BEF" w:rsidRPr="001B2BEF" w:rsidRDefault="001B2BEF" w:rsidP="001B2BE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B2BE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1EB303B" w14:textId="77777777" w:rsidR="001B2BEF" w:rsidRPr="001B2BEF" w:rsidRDefault="001B2BEF" w:rsidP="001B2BE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B2B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B2BEF" w:rsidRPr="001B2BEF" w14:paraId="37F4CCCB" w14:textId="77777777" w:rsidTr="001B2BEF">
              <w:trPr>
                <w:trHeight w:val="342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00C3873" w14:textId="77777777" w:rsidR="001B2BEF" w:rsidRPr="001B2BEF" w:rsidRDefault="001B2BEF" w:rsidP="001B2BE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B2B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1B2B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1B2B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1B2B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1B2B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FDE3A37" w14:textId="77777777" w:rsidR="001B2BEF" w:rsidRPr="001B2BEF" w:rsidRDefault="001B2BEF" w:rsidP="001B2BE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B2B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B6C30CA" w14:textId="77777777" w:rsidR="001B2BEF" w:rsidRPr="001B2BEF" w:rsidRDefault="001B2BEF" w:rsidP="001B2BE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B2BE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09890B8" w14:textId="77777777" w:rsidR="001B2BEF" w:rsidRPr="001B2BEF" w:rsidRDefault="001B2BEF" w:rsidP="001B2BE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B2B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B2BEF" w:rsidRPr="001B2BEF" w14:paraId="615357E6" w14:textId="77777777" w:rsidTr="001B2BEF">
              <w:trPr>
                <w:trHeight w:val="342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5615B71" w14:textId="77777777" w:rsidR="001B2BEF" w:rsidRPr="001B2BEF" w:rsidRDefault="001B2BEF" w:rsidP="001B2BE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1B2BEF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1B2B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2FDD3C5" w14:textId="77777777" w:rsidR="001B2BEF" w:rsidRPr="001B2BEF" w:rsidRDefault="001B2BEF" w:rsidP="001B2BE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B2B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EB1FE9E" w14:textId="77777777" w:rsidR="001B2BEF" w:rsidRPr="001B2BEF" w:rsidRDefault="001B2BEF" w:rsidP="001B2BE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B2BE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D81A2E8" w14:textId="77777777" w:rsidR="001B2BEF" w:rsidRPr="001B2BEF" w:rsidRDefault="001B2BEF" w:rsidP="001B2BE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B2B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B2BEF" w:rsidRPr="001B2BEF" w14:paraId="2C268BF0" w14:textId="77777777" w:rsidTr="001B2BEF">
              <w:trPr>
                <w:trHeight w:val="342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560068B" w14:textId="77777777" w:rsidR="001B2BEF" w:rsidRPr="001B2BEF" w:rsidRDefault="001B2BEF" w:rsidP="001B2BE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B2B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FE7E33A" w14:textId="77777777" w:rsidR="001B2BEF" w:rsidRPr="001B2BEF" w:rsidRDefault="001B2BEF" w:rsidP="001B2BE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B2B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051504" w14:textId="77777777" w:rsidR="001B2BEF" w:rsidRPr="001B2BEF" w:rsidRDefault="001B2BEF" w:rsidP="001B2BE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B2BE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4041858" w14:textId="77777777" w:rsidR="001B2BEF" w:rsidRPr="001B2BEF" w:rsidRDefault="001B2BEF" w:rsidP="001B2BE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B2B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B2BEF" w:rsidRPr="001B2BEF" w14:paraId="260D7BEA" w14:textId="77777777" w:rsidTr="001B2BEF">
              <w:trPr>
                <w:trHeight w:val="342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DD330DB" w14:textId="77777777" w:rsidR="001B2BEF" w:rsidRPr="001B2BEF" w:rsidRDefault="001B2BEF" w:rsidP="001B2BE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B2B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A062405" w14:textId="77777777" w:rsidR="001B2BEF" w:rsidRPr="001B2BEF" w:rsidRDefault="001B2BEF" w:rsidP="001B2BE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B2B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8A07ADB" w14:textId="77777777" w:rsidR="001B2BEF" w:rsidRPr="001B2BEF" w:rsidRDefault="001B2BEF" w:rsidP="001B2BE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B2BE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F95EF63" w14:textId="77777777" w:rsidR="001B2BEF" w:rsidRPr="001B2BEF" w:rsidRDefault="001B2BEF" w:rsidP="001B2BEF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1B2BEF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6E577667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6AFEE70B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4249705B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4FF274CD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2377B437" w14:textId="77777777" w:rsidR="00EB3D1B" w:rsidRDefault="0071431F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16682CC0" w14:textId="77777777" w:rsidR="00687890" w:rsidRPr="004C23F4" w:rsidRDefault="00B479A9" w:rsidP="00474E33">
      <w:pPr>
        <w:pStyle w:val="Heading2"/>
      </w:pPr>
      <w:r w:rsidRPr="004C23F4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6C432BAF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589857C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77D2C7AD" w14:textId="77777777" w:rsidR="001B79E5" w:rsidRDefault="009C3651" w:rsidP="001B79E5">
                <w:pPr>
                  <w:pStyle w:val="Tablefont"/>
                </w:pPr>
                <w:r>
                  <w:t>74.08</w:t>
                </w:r>
              </w:p>
            </w:tc>
          </w:sdtContent>
        </w:sdt>
      </w:tr>
      <w:tr w:rsidR="00A31D99" w:rsidRPr="004C23F4" w14:paraId="025E7E0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7EFD1E2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7653A7EF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76498011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E1686DF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1410429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3431D71" w14:textId="77777777" w:rsidTr="00EA6243">
        <w:trPr>
          <w:cantSplit/>
        </w:trPr>
        <w:tc>
          <w:tcPr>
            <w:tcW w:w="4077" w:type="dxa"/>
            <w:vAlign w:val="center"/>
          </w:tcPr>
          <w:p w14:paraId="7CC310F2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26E0F05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699DE84D" w14:textId="77777777" w:rsidTr="00EA6243">
        <w:trPr>
          <w:cantSplit/>
        </w:trPr>
        <w:tc>
          <w:tcPr>
            <w:tcW w:w="4077" w:type="dxa"/>
            <w:vAlign w:val="center"/>
          </w:tcPr>
          <w:p w14:paraId="30CD3DBC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CC62C4A" w14:textId="77777777" w:rsidR="00687890" w:rsidRPr="004C23F4" w:rsidRDefault="0026338D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E06F40" w:rsidRPr="004C23F4" w14:paraId="4D17E740" w14:textId="77777777" w:rsidTr="00EA6243">
        <w:trPr>
          <w:cantSplit/>
        </w:trPr>
        <w:tc>
          <w:tcPr>
            <w:tcW w:w="4077" w:type="dxa"/>
            <w:vAlign w:val="center"/>
          </w:tcPr>
          <w:p w14:paraId="69E5AE82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2B649795" w14:textId="77777777" w:rsidR="00E06F40" w:rsidRPr="00A006A0" w:rsidRDefault="00475D9D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290F5DF7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70D4D51E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4D948CCB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56EA2D33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5A1F7A5A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3000C6B4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8D3A2F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04A5B760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647887D5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6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7EFFEBCA" w14:textId="77777777" w:rsidR="008E4F1F" w:rsidRDefault="008E4F1F" w:rsidP="008E4F1F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EC4127">
        <w:t>2004</w:t>
      </w:r>
      <w:r>
        <w:t xml:space="preserve">) </w:t>
      </w:r>
      <w:r w:rsidR="00EC4127" w:rsidRPr="00EC4127">
        <w:t>N</w:t>
      </w:r>
      <w:r w:rsidR="00EC4127" w:rsidRPr="00EC4127">
        <w:rPr>
          <w:rFonts w:ascii="Cambria Math" w:hAnsi="Cambria Math" w:cs="Cambria Math"/>
        </w:rPr>
        <w:t>‐</w:t>
      </w:r>
      <w:proofErr w:type="spellStart"/>
      <w:r w:rsidR="00EC4127" w:rsidRPr="00EC4127">
        <w:t>Nitrosodimethylamin</w:t>
      </w:r>
      <w:proofErr w:type="spellEnd"/>
      <w:r>
        <w:t xml:space="preserve"> – MAK value documentation.</w:t>
      </w:r>
    </w:p>
    <w:p w14:paraId="3B05966D" w14:textId="77777777" w:rsidR="00806AC1" w:rsidRDefault="00806AC1" w:rsidP="008E4F1F">
      <w:r w:rsidRPr="00806AC1">
        <w:t>European Chemicals Agency Regulation (ECHA) No 1907/2006 of the European Parliament and of the Council of 18 December 2006 concerning the Registration, Evaluation, Authorisation and Restriction of Chemicals (REACH).</w:t>
      </w:r>
    </w:p>
    <w:p w14:paraId="606898C1" w14:textId="77777777" w:rsidR="008E4F1F" w:rsidRDefault="008E4F1F" w:rsidP="008E4F1F">
      <w:pPr>
        <w:rPr>
          <w:b/>
        </w:rPr>
      </w:pPr>
      <w:r w:rsidRPr="002022B6">
        <w:t>Health Council of the Netherlands</w:t>
      </w:r>
      <w:r>
        <w:t xml:space="preserve"> (HCOTN) (</w:t>
      </w:r>
      <w:r w:rsidR="00EC4127">
        <w:t>1999</w:t>
      </w:r>
      <w:r>
        <w:t xml:space="preserve">) </w:t>
      </w:r>
      <w:r w:rsidR="00EC4127" w:rsidRPr="00EC4127">
        <w:t>N-</w:t>
      </w:r>
      <w:proofErr w:type="spellStart"/>
      <w:r w:rsidR="00EC4127" w:rsidRPr="00EC4127">
        <w:t>Nitrosodi</w:t>
      </w:r>
      <w:r w:rsidR="006E5489">
        <w:t>u</w:t>
      </w:r>
      <w:r w:rsidR="00EC4127" w:rsidRPr="00EC4127">
        <w:t>methylamine</w:t>
      </w:r>
      <w:proofErr w:type="spellEnd"/>
      <w:r w:rsidR="00EC4127" w:rsidRPr="00EC4127">
        <w:t xml:space="preserve"> (NDMA)</w:t>
      </w:r>
      <w:r w:rsidRPr="005F7416">
        <w:t xml:space="preserve">. </w:t>
      </w:r>
      <w:r w:rsidR="00EC4127" w:rsidRPr="00EC4127">
        <w:t>Health based calculated occupational cancer risk values</w:t>
      </w:r>
      <w:r w:rsidRPr="005F7416">
        <w:t xml:space="preserve">. The Hague: Health Council of the Netherlands; publication no. </w:t>
      </w:r>
      <w:r w:rsidR="00EC4127">
        <w:t>1999/12OSH</w:t>
      </w:r>
      <w:r>
        <w:t>.</w:t>
      </w:r>
    </w:p>
    <w:p w14:paraId="27B9170E" w14:textId="51EB3F9B" w:rsidR="008E4F1F" w:rsidRDefault="008E4F1F" w:rsidP="008E4F1F">
      <w:r w:rsidRPr="002022B6">
        <w:t>International Agency for Research on Cancer</w:t>
      </w:r>
      <w:r>
        <w:t xml:space="preserve"> (IARC) (</w:t>
      </w:r>
      <w:r w:rsidR="00FD7F5A">
        <w:t>1978</w:t>
      </w:r>
      <w:r>
        <w:t>)</w:t>
      </w:r>
      <w:r w:rsidR="00FD7F5A">
        <w:t xml:space="preserve"> Volume 17,</w:t>
      </w:r>
      <w:r>
        <w:t xml:space="preserve"> </w:t>
      </w:r>
      <w:r w:rsidR="00FD7F5A" w:rsidRPr="00FD7F5A">
        <w:t xml:space="preserve">Some N-Nitroso </w:t>
      </w:r>
      <w:r w:rsidR="00FD7F5A">
        <w:t>c</w:t>
      </w:r>
      <w:r w:rsidR="00FD7F5A" w:rsidRPr="00FD7F5A">
        <w:t>ompounds</w:t>
      </w:r>
      <w:r>
        <w:t>. IARC Monographs on the evaluation of the carcinogenic risk to humans.</w:t>
      </w:r>
    </w:p>
    <w:p w14:paraId="48F41006" w14:textId="72F1AA0B" w:rsidR="002D5515" w:rsidRDefault="002D5515" w:rsidP="008E4F1F">
      <w:pPr>
        <w:rPr>
          <w:b/>
        </w:rPr>
      </w:pPr>
      <w:r>
        <w:t xml:space="preserve">National Toxicology Program (NTP (2016) </w:t>
      </w:r>
      <w:r w:rsidRPr="002D5515">
        <w:t>14th Report on Carcinogens</w:t>
      </w:r>
      <w:r w:rsidR="00EC3797">
        <w:t>.</w:t>
      </w:r>
    </w:p>
    <w:p w14:paraId="02B63FFE" w14:textId="77777777" w:rsidR="00F01CF5" w:rsidRDefault="00F01CF5" w:rsidP="00F01CF5">
      <w:r w:rsidRPr="00806AC1">
        <w:t>Tenth Adaptation to Technical Progress Commission Regulation (EU)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p w14:paraId="24C1A6D3" w14:textId="77777777" w:rsidR="006E5489" w:rsidRDefault="006E5489" w:rsidP="006E5489">
      <w:r>
        <w:t xml:space="preserve">US Environmental Protection Authority (US EPA) (1987) </w:t>
      </w:r>
      <w:r w:rsidRPr="003448DD">
        <w:t>Integrated R</w:t>
      </w:r>
      <w:r>
        <w:t xml:space="preserve">isk Information System (IRIS) </w:t>
      </w:r>
      <w:r w:rsidRPr="003448DD">
        <w:t>Chemical Assessment Summary</w:t>
      </w:r>
      <w:r>
        <w:t xml:space="preserve"> – </w:t>
      </w:r>
      <w:r w:rsidRPr="00EC4127">
        <w:t>N-</w:t>
      </w:r>
      <w:proofErr w:type="spellStart"/>
      <w:r w:rsidRPr="00EC4127">
        <w:t>Nitrosodi</w:t>
      </w:r>
      <w:r>
        <w:t>u</w:t>
      </w:r>
      <w:r w:rsidRPr="00EC4127">
        <w:t>methylamine</w:t>
      </w:r>
      <w:proofErr w:type="spellEnd"/>
      <w:r>
        <w:t>.</w:t>
      </w:r>
    </w:p>
    <w:p w14:paraId="3429C54C" w14:textId="77777777" w:rsidR="008E4F1F" w:rsidRPr="00351FE0" w:rsidRDefault="008E4F1F" w:rsidP="00084859"/>
    <w:sectPr w:rsidR="008E4F1F" w:rsidRPr="00351FE0" w:rsidSect="00B87D4C">
      <w:headerReference w:type="even" r:id="rId17"/>
      <w:headerReference w:type="default" r:id="rId18"/>
      <w:headerReference w:type="first" r:id="rId19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84A7D" w14:textId="77777777" w:rsidR="004E4055" w:rsidRDefault="004E4055" w:rsidP="00F43AD5">
      <w:pPr>
        <w:spacing w:after="0" w:line="240" w:lineRule="auto"/>
      </w:pPr>
      <w:r>
        <w:separator/>
      </w:r>
    </w:p>
  </w:endnote>
  <w:endnote w:type="continuationSeparator" w:id="0">
    <w:p w14:paraId="2AEB5D67" w14:textId="77777777" w:rsidR="004E4055" w:rsidRDefault="004E4055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0CD2D" w14:textId="77777777" w:rsidR="00475D9D" w:rsidRDefault="00475D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F80D1F4" w14:textId="77777777" w:rsidR="008A36CF" w:rsidRDefault="008802CC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N-Nitrosodimethylamine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62-75-9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</w:t>
        </w:r>
        <w:r w:rsidR="005C3819">
          <w:rPr>
            <w:sz w:val="18"/>
            <w:szCs w:val="18"/>
          </w:rPr>
          <w:t>20</w:t>
        </w:r>
      </w:p>
      <w:p w14:paraId="7C0353F4" w14:textId="529CCA46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62450A">
          <w:rPr>
            <w:noProof/>
            <w:sz w:val="18"/>
            <w:szCs w:val="18"/>
          </w:rPr>
          <w:t>6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2C9B9" w14:textId="77777777" w:rsidR="00475D9D" w:rsidRDefault="00475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607C3" w14:textId="77777777" w:rsidR="004E4055" w:rsidRDefault="004E4055" w:rsidP="00F43AD5">
      <w:pPr>
        <w:spacing w:after="0" w:line="240" w:lineRule="auto"/>
      </w:pPr>
      <w:r>
        <w:separator/>
      </w:r>
    </w:p>
  </w:footnote>
  <w:footnote w:type="continuationSeparator" w:id="0">
    <w:p w14:paraId="3D2E25CF" w14:textId="77777777" w:rsidR="004E4055" w:rsidRDefault="004E4055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BAEEB" w14:textId="681075F3" w:rsidR="00475D9D" w:rsidRDefault="00475D9D">
    <w:pPr>
      <w:pStyle w:val="Header"/>
    </w:pPr>
    <w:r>
      <w:rPr>
        <w:noProof/>
      </w:rPr>
      <w:pict w14:anchorId="138172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25469" o:spid="_x0000_s10242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2C456" w14:textId="68643605" w:rsidR="008A36CF" w:rsidRDefault="00475D9D" w:rsidP="00F43AD5">
    <w:pPr>
      <w:pStyle w:val="Header"/>
      <w:jc w:val="right"/>
    </w:pPr>
    <w:r>
      <w:rPr>
        <w:noProof/>
      </w:rPr>
      <w:pict w14:anchorId="481854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25470" o:spid="_x0000_s10243" type="#_x0000_t136" style="position:absolute;left:0;text-align:left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 w:rsidR="008A36CF">
      <w:rPr>
        <w:noProof/>
        <w:lang w:eastAsia="en-AU"/>
      </w:rPr>
      <w:drawing>
        <wp:inline distT="0" distB="0" distL="0" distR="0" wp14:anchorId="09D24D7B" wp14:editId="63F3135D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20ACE" w14:textId="5EF29CEC" w:rsidR="00475D9D" w:rsidRDefault="00475D9D">
    <w:pPr>
      <w:pStyle w:val="Header"/>
    </w:pPr>
    <w:r>
      <w:rPr>
        <w:noProof/>
      </w:rPr>
      <w:pict w14:anchorId="416F1E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25468" o:spid="_x0000_s10241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287A2" w14:textId="0FD22D8A" w:rsidR="00475D9D" w:rsidRDefault="00475D9D">
    <w:pPr>
      <w:pStyle w:val="Header"/>
    </w:pPr>
    <w:r>
      <w:rPr>
        <w:noProof/>
      </w:rPr>
      <w:pict w14:anchorId="543EFF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25472" o:spid="_x0000_s10245" type="#_x0000_t136" style="position:absolute;margin-left:0;margin-top:0;width:454.5pt;height:181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19AAA" w14:textId="6B26BEF8" w:rsidR="008A36CF" w:rsidRDefault="00475D9D" w:rsidP="00F43AD5">
    <w:pPr>
      <w:pStyle w:val="Header"/>
      <w:jc w:val="right"/>
    </w:pPr>
    <w:r>
      <w:rPr>
        <w:noProof/>
      </w:rPr>
      <w:pict w14:anchorId="508A77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25473" o:spid="_x0000_s10246" type="#_x0000_t136" style="position:absolute;left:0;text-align:left;margin-left:0;margin-top:0;width:454.5pt;height:181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>
      <w:rPr>
        <w:noProof/>
      </w:rPr>
      <w:drawing>
        <wp:inline distT="0" distB="0" distL="0" distR="0" wp14:anchorId="5C78FD19" wp14:editId="28927E40">
          <wp:extent cx="2938145" cy="594360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E17FE" w14:textId="4CFEC5CB" w:rsidR="00475D9D" w:rsidRDefault="00475D9D">
    <w:pPr>
      <w:pStyle w:val="Header"/>
    </w:pPr>
    <w:r>
      <w:rPr>
        <w:noProof/>
      </w:rPr>
      <w:pict w14:anchorId="484653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25471" o:spid="_x0000_s10244" type="#_x0000_t136" style="position:absolute;margin-left:0;margin-top:0;width:454.5pt;height:181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85E8B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D43688"/>
    <w:multiLevelType w:val="hybridMultilevel"/>
    <w:tmpl w:val="8912FB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FA7B10"/>
    <w:multiLevelType w:val="hybridMultilevel"/>
    <w:tmpl w:val="E5322A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7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008"/>
    <w:rsid w:val="00013A22"/>
    <w:rsid w:val="00014C3F"/>
    <w:rsid w:val="00017C82"/>
    <w:rsid w:val="00022959"/>
    <w:rsid w:val="00032B88"/>
    <w:rsid w:val="00037E52"/>
    <w:rsid w:val="00046DF5"/>
    <w:rsid w:val="00047711"/>
    <w:rsid w:val="00052060"/>
    <w:rsid w:val="000551E3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C4B4A"/>
    <w:rsid w:val="000D291C"/>
    <w:rsid w:val="000E5A54"/>
    <w:rsid w:val="000E63D3"/>
    <w:rsid w:val="000E67CF"/>
    <w:rsid w:val="0010461E"/>
    <w:rsid w:val="00106FAA"/>
    <w:rsid w:val="00113443"/>
    <w:rsid w:val="0011494A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915F6"/>
    <w:rsid w:val="0019321D"/>
    <w:rsid w:val="001A009E"/>
    <w:rsid w:val="001A0DFB"/>
    <w:rsid w:val="001A1287"/>
    <w:rsid w:val="001A3859"/>
    <w:rsid w:val="001A3C9D"/>
    <w:rsid w:val="001A43F8"/>
    <w:rsid w:val="001A766F"/>
    <w:rsid w:val="001B2BEF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6338D"/>
    <w:rsid w:val="00276494"/>
    <w:rsid w:val="00277B0C"/>
    <w:rsid w:val="0029106D"/>
    <w:rsid w:val="002B1A2C"/>
    <w:rsid w:val="002C34F2"/>
    <w:rsid w:val="002C58FF"/>
    <w:rsid w:val="002C7AFE"/>
    <w:rsid w:val="002D05D2"/>
    <w:rsid w:val="002D48CA"/>
    <w:rsid w:val="002D5515"/>
    <w:rsid w:val="002E0D61"/>
    <w:rsid w:val="002E4C7B"/>
    <w:rsid w:val="0030170C"/>
    <w:rsid w:val="0030740C"/>
    <w:rsid w:val="0031484D"/>
    <w:rsid w:val="00315833"/>
    <w:rsid w:val="003215EE"/>
    <w:rsid w:val="003224BF"/>
    <w:rsid w:val="003241A8"/>
    <w:rsid w:val="003253F0"/>
    <w:rsid w:val="003270CF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628DA"/>
    <w:rsid w:val="00370DBF"/>
    <w:rsid w:val="00386093"/>
    <w:rsid w:val="003861C9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3F4E32"/>
    <w:rsid w:val="004030BC"/>
    <w:rsid w:val="00403F7D"/>
    <w:rsid w:val="00406785"/>
    <w:rsid w:val="004079B4"/>
    <w:rsid w:val="00417A56"/>
    <w:rsid w:val="00420957"/>
    <w:rsid w:val="00422A10"/>
    <w:rsid w:val="00430179"/>
    <w:rsid w:val="00435B01"/>
    <w:rsid w:val="004414B5"/>
    <w:rsid w:val="00444482"/>
    <w:rsid w:val="00444B42"/>
    <w:rsid w:val="00445E44"/>
    <w:rsid w:val="004509E2"/>
    <w:rsid w:val="004515EE"/>
    <w:rsid w:val="004529F0"/>
    <w:rsid w:val="004540AA"/>
    <w:rsid w:val="00460A03"/>
    <w:rsid w:val="00472A11"/>
    <w:rsid w:val="00472AAD"/>
    <w:rsid w:val="00474E33"/>
    <w:rsid w:val="00475D9D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4055"/>
    <w:rsid w:val="004E5EDD"/>
    <w:rsid w:val="004F448A"/>
    <w:rsid w:val="004F493D"/>
    <w:rsid w:val="004F65E8"/>
    <w:rsid w:val="0050005E"/>
    <w:rsid w:val="00502B88"/>
    <w:rsid w:val="005065DB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77B6B"/>
    <w:rsid w:val="00581055"/>
    <w:rsid w:val="00591E38"/>
    <w:rsid w:val="005A19C5"/>
    <w:rsid w:val="005A3034"/>
    <w:rsid w:val="005A31F3"/>
    <w:rsid w:val="005A462D"/>
    <w:rsid w:val="005B253B"/>
    <w:rsid w:val="005B771D"/>
    <w:rsid w:val="005C3819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18E"/>
    <w:rsid w:val="0062450A"/>
    <w:rsid w:val="00624C4E"/>
    <w:rsid w:val="00624DB5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0785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489"/>
    <w:rsid w:val="006E5D05"/>
    <w:rsid w:val="006F34C4"/>
    <w:rsid w:val="00701053"/>
    <w:rsid w:val="00701507"/>
    <w:rsid w:val="00714021"/>
    <w:rsid w:val="0071431F"/>
    <w:rsid w:val="00716A0F"/>
    <w:rsid w:val="00717D45"/>
    <w:rsid w:val="007208F7"/>
    <w:rsid w:val="007218AF"/>
    <w:rsid w:val="007365D1"/>
    <w:rsid w:val="00740E0E"/>
    <w:rsid w:val="00750212"/>
    <w:rsid w:val="00754779"/>
    <w:rsid w:val="00754B78"/>
    <w:rsid w:val="0075716D"/>
    <w:rsid w:val="00765F14"/>
    <w:rsid w:val="00770E31"/>
    <w:rsid w:val="00775F33"/>
    <w:rsid w:val="007770F1"/>
    <w:rsid w:val="00783FB1"/>
    <w:rsid w:val="00785CDD"/>
    <w:rsid w:val="00791847"/>
    <w:rsid w:val="007925F0"/>
    <w:rsid w:val="007939B3"/>
    <w:rsid w:val="0079509C"/>
    <w:rsid w:val="00796708"/>
    <w:rsid w:val="007A1D99"/>
    <w:rsid w:val="007B11AA"/>
    <w:rsid w:val="007B1B42"/>
    <w:rsid w:val="007B5711"/>
    <w:rsid w:val="007C30EB"/>
    <w:rsid w:val="007C343E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06AC1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3BE8"/>
    <w:rsid w:val="00864D13"/>
    <w:rsid w:val="00871CD5"/>
    <w:rsid w:val="008745A2"/>
    <w:rsid w:val="00875BB9"/>
    <w:rsid w:val="008768A8"/>
    <w:rsid w:val="008802CC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0FD"/>
    <w:rsid w:val="008D4B8B"/>
    <w:rsid w:val="008D5A78"/>
    <w:rsid w:val="008D7C9B"/>
    <w:rsid w:val="008D7DAD"/>
    <w:rsid w:val="008E4F1F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08FB"/>
    <w:rsid w:val="0095260E"/>
    <w:rsid w:val="009578DD"/>
    <w:rsid w:val="00961124"/>
    <w:rsid w:val="009621B6"/>
    <w:rsid w:val="00966BBB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3651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04B9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87AAA"/>
    <w:rsid w:val="00A93057"/>
    <w:rsid w:val="00A968B0"/>
    <w:rsid w:val="00A97D4B"/>
    <w:rsid w:val="00AB2672"/>
    <w:rsid w:val="00AB2817"/>
    <w:rsid w:val="00AB43C4"/>
    <w:rsid w:val="00AB7E95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031DE"/>
    <w:rsid w:val="00B07CEE"/>
    <w:rsid w:val="00B1422A"/>
    <w:rsid w:val="00B1765C"/>
    <w:rsid w:val="00B213C4"/>
    <w:rsid w:val="00B34360"/>
    <w:rsid w:val="00B40C60"/>
    <w:rsid w:val="00B479A9"/>
    <w:rsid w:val="00B52EDF"/>
    <w:rsid w:val="00B71188"/>
    <w:rsid w:val="00B76A41"/>
    <w:rsid w:val="00B87D4C"/>
    <w:rsid w:val="00B91D39"/>
    <w:rsid w:val="00B93646"/>
    <w:rsid w:val="00BA0B38"/>
    <w:rsid w:val="00BA1DBB"/>
    <w:rsid w:val="00BA4510"/>
    <w:rsid w:val="00BA529A"/>
    <w:rsid w:val="00BB612A"/>
    <w:rsid w:val="00BD499F"/>
    <w:rsid w:val="00BD56DE"/>
    <w:rsid w:val="00BE1894"/>
    <w:rsid w:val="00BF2406"/>
    <w:rsid w:val="00BF69A3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D7A86"/>
    <w:rsid w:val="00CE5AD6"/>
    <w:rsid w:val="00CE617F"/>
    <w:rsid w:val="00CE78EF"/>
    <w:rsid w:val="00CF5631"/>
    <w:rsid w:val="00D048F7"/>
    <w:rsid w:val="00D0517E"/>
    <w:rsid w:val="00D140FC"/>
    <w:rsid w:val="00D21D8C"/>
    <w:rsid w:val="00D24E80"/>
    <w:rsid w:val="00D31357"/>
    <w:rsid w:val="00D33220"/>
    <w:rsid w:val="00D334D1"/>
    <w:rsid w:val="00D44C89"/>
    <w:rsid w:val="00D516CD"/>
    <w:rsid w:val="00D55B2C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11EF7"/>
    <w:rsid w:val="00E26A07"/>
    <w:rsid w:val="00E32595"/>
    <w:rsid w:val="00E34676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B7EE8"/>
    <w:rsid w:val="00EC3797"/>
    <w:rsid w:val="00EC4127"/>
    <w:rsid w:val="00ED1D89"/>
    <w:rsid w:val="00ED66BC"/>
    <w:rsid w:val="00EE658A"/>
    <w:rsid w:val="00EF233A"/>
    <w:rsid w:val="00EF303E"/>
    <w:rsid w:val="00EF3A40"/>
    <w:rsid w:val="00EF7F78"/>
    <w:rsid w:val="00F01B08"/>
    <w:rsid w:val="00F01C4D"/>
    <w:rsid w:val="00F01CF5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2044"/>
    <w:rsid w:val="00F6491C"/>
    <w:rsid w:val="00F67BBB"/>
    <w:rsid w:val="00F7691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301E"/>
    <w:rsid w:val="00FC60A2"/>
    <w:rsid w:val="00FD0157"/>
    <w:rsid w:val="00FD1871"/>
    <w:rsid w:val="00FD3110"/>
    <w:rsid w:val="00FD7F5A"/>
    <w:rsid w:val="00FE3C9C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7"/>
    <o:shapelayout v:ext="edit">
      <o:idmap v:ext="edit" data="1"/>
    </o:shapelayout>
  </w:shapeDefaults>
  <w:decimalSymbol w:val="."/>
  <w:listSeparator w:val=","/>
  <w14:docId w14:val="0EBE2071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8D7DAD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0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15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15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157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://www.acgih.org/tlv-bei-guidelines/policies-procedures-presentation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20BC8D26515A4C11AC6304FB75A7C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72BE-1073-48D1-A613-18F5D94AD94A}"/>
      </w:docPartPr>
      <w:docPartBody>
        <w:p w:rsidR="00D21A9F" w:rsidRDefault="00D21A9F">
          <w:pPr>
            <w:pStyle w:val="20BC8D26515A4C11AC6304FB75A7CBA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CFFDE270CB50461B826B0194984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0F8-F751-45C7-BEFB-A7D3397CEB99}"/>
      </w:docPartPr>
      <w:docPartBody>
        <w:p w:rsidR="00D21A9F" w:rsidRDefault="00D21A9F">
          <w:pPr>
            <w:pStyle w:val="CFFDE270CB50461B826B0194984892C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8F3957412DEA434EA00B5BCB24317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004AA-0037-4A6F-B388-BBFD78D6AE89}"/>
      </w:docPartPr>
      <w:docPartBody>
        <w:p w:rsidR="00894E38" w:rsidRDefault="00CD4F1C" w:rsidP="00CD4F1C">
          <w:pPr>
            <w:pStyle w:val="8F3957412DEA434EA00B5BCB24317060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115D96"/>
    <w:rsid w:val="00347D16"/>
    <w:rsid w:val="003E0149"/>
    <w:rsid w:val="005101FC"/>
    <w:rsid w:val="006A7BC4"/>
    <w:rsid w:val="00894E38"/>
    <w:rsid w:val="00CD4F1C"/>
    <w:rsid w:val="00D21A9F"/>
    <w:rsid w:val="00D8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5D96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8F3957412DEA434EA00B5BCB24317060">
    <w:name w:val="8F3957412DEA434EA00B5BCB24317060"/>
    <w:rsid w:val="00CD4F1C"/>
  </w:style>
  <w:style w:type="paragraph" w:customStyle="1" w:styleId="1401F366E928468296A1F537640006B7">
    <w:name w:val="1401F366E928468296A1F537640006B7"/>
    <w:rsid w:val="00115D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4AF7C5-7468-4F93-AB33-9FF1B6619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59A509-E7F1-40CC-95BE-F9F8C56E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6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HEARD,Jonathan</cp:lastModifiedBy>
  <cp:revision>56</cp:revision>
  <cp:lastPrinted>2018-10-22T22:41:00Z</cp:lastPrinted>
  <dcterms:created xsi:type="dcterms:W3CDTF">2019-04-14T23:55:00Z</dcterms:created>
  <dcterms:modified xsi:type="dcterms:W3CDTF">2020-03-12T23:21:00Z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