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66CF148E" w14:textId="6E129049" w:rsidR="00BD499F" w:rsidRPr="004C23F4" w:rsidRDefault="004807EA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N</w:t>
          </w:r>
          <w:r w:rsidR="006C6A1C">
            <w:rPr>
              <w:rFonts w:ascii="Arial" w:hAnsi="Arial" w:cs="Arial"/>
            </w:rPr>
            <w:t>itric acid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94"/>
        <w:gridCol w:w="5032"/>
      </w:tblGrid>
      <w:tr w:rsidR="00F43AD5" w:rsidRPr="004C23F4" w14:paraId="5F999DDD" w14:textId="77777777" w:rsidTr="00F74096">
        <w:trPr>
          <w:cantSplit/>
          <w:tblHeader/>
        </w:trPr>
        <w:tc>
          <w:tcPr>
            <w:tcW w:w="3994" w:type="dxa"/>
          </w:tcPr>
          <w:p w14:paraId="31548977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32" w:type="dxa"/>
          </w:tcPr>
          <w:p w14:paraId="132A7A11" w14:textId="77777777" w:rsidR="00F43AD5" w:rsidRPr="00717D45" w:rsidRDefault="006C6A1C" w:rsidP="00B76A41">
            <w:pPr>
              <w:pStyle w:val="Tablefont"/>
            </w:pPr>
            <w:r>
              <w:t>7697-37-2</w:t>
            </w:r>
          </w:p>
        </w:tc>
      </w:tr>
      <w:tr w:rsidR="00F43AD5" w:rsidRPr="004C23F4" w14:paraId="28339CEA" w14:textId="77777777" w:rsidTr="00F74096">
        <w:trPr>
          <w:cantSplit/>
        </w:trPr>
        <w:tc>
          <w:tcPr>
            <w:tcW w:w="3994" w:type="dxa"/>
          </w:tcPr>
          <w:p w14:paraId="234A1043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32" w:type="dxa"/>
          </w:tcPr>
          <w:p w14:paraId="6B5EA02C" w14:textId="3A870858" w:rsidR="00F43AD5" w:rsidRPr="00717D45" w:rsidRDefault="008830C0" w:rsidP="00B76A41">
            <w:pPr>
              <w:pStyle w:val="Tablefont"/>
            </w:pPr>
            <w:r>
              <w:t>—</w:t>
            </w:r>
          </w:p>
        </w:tc>
      </w:tr>
      <w:tr w:rsidR="00F43AD5" w:rsidRPr="004C23F4" w14:paraId="5469B49F" w14:textId="77777777" w:rsidTr="00F74096">
        <w:trPr>
          <w:cantSplit/>
        </w:trPr>
        <w:tc>
          <w:tcPr>
            <w:tcW w:w="3994" w:type="dxa"/>
          </w:tcPr>
          <w:p w14:paraId="5F178A42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32" w:type="dxa"/>
          </w:tcPr>
          <w:p w14:paraId="251FEA3C" w14:textId="77777777" w:rsidR="00F43AD5" w:rsidRPr="00717D45" w:rsidRDefault="006C6A1C" w:rsidP="00B76A41">
            <w:pPr>
              <w:pStyle w:val="Tablefont"/>
            </w:pPr>
            <w:r>
              <w:t>HNO</w:t>
            </w:r>
            <w:r w:rsidRPr="006C6A1C">
              <w:rPr>
                <w:vertAlign w:val="subscript"/>
              </w:rPr>
              <w:t>3</w:t>
            </w:r>
          </w:p>
        </w:tc>
      </w:tr>
    </w:tbl>
    <w:p w14:paraId="24D2D95C" w14:textId="769B30D4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745476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0BA97C23" w14:textId="77777777" w:rsidTr="00E6104E">
        <w:trPr>
          <w:cantSplit/>
          <w:tblHeader/>
        </w:trPr>
        <w:tc>
          <w:tcPr>
            <w:tcW w:w="4010" w:type="dxa"/>
            <w:vAlign w:val="center"/>
          </w:tcPr>
          <w:p w14:paraId="47E97304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61EE3D10" w14:textId="1851D05B" w:rsidR="002C7AFE" w:rsidRPr="00E6104E" w:rsidRDefault="00E6104E" w:rsidP="00017C82">
            <w:pPr>
              <w:pStyle w:val="Tablefont"/>
              <w:rPr>
                <w:b/>
              </w:rPr>
            </w:pPr>
            <w:r w:rsidRPr="00E6104E">
              <w:rPr>
                <w:b/>
              </w:rPr>
              <w:t>2 ppm (5.2 mg/m</w:t>
            </w:r>
            <w:r w:rsidRPr="00E6104E">
              <w:rPr>
                <w:b/>
                <w:vertAlign w:val="superscript"/>
              </w:rPr>
              <w:t>3</w:t>
            </w:r>
            <w:r w:rsidRPr="00E6104E">
              <w:rPr>
                <w:b/>
              </w:rPr>
              <w:t>)</w:t>
            </w:r>
          </w:p>
        </w:tc>
      </w:tr>
      <w:tr w:rsidR="006C6A1C" w:rsidRPr="004C23F4" w14:paraId="59653395" w14:textId="77777777" w:rsidTr="00E6104E">
        <w:trPr>
          <w:cantSplit/>
        </w:trPr>
        <w:tc>
          <w:tcPr>
            <w:tcW w:w="4010" w:type="dxa"/>
            <w:vAlign w:val="center"/>
          </w:tcPr>
          <w:p w14:paraId="000BFEB8" w14:textId="77777777" w:rsidR="006C6A1C" w:rsidRPr="002C58FF" w:rsidRDefault="006C6A1C" w:rsidP="006C6A1C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6" w:type="dxa"/>
          </w:tcPr>
          <w:p w14:paraId="67378E91" w14:textId="330744EF" w:rsidR="006C6A1C" w:rsidRPr="00E6104E" w:rsidRDefault="00745476" w:rsidP="006C6A1C">
            <w:pPr>
              <w:pStyle w:val="Tablefont"/>
              <w:rPr>
                <w:b/>
              </w:rPr>
            </w:pPr>
            <w:r w:rsidRPr="00DC7A69">
              <w:rPr>
                <w:b/>
              </w:rPr>
              <w:t>—</w:t>
            </w:r>
          </w:p>
        </w:tc>
      </w:tr>
      <w:tr w:rsidR="006C6A1C" w:rsidRPr="004C23F4" w14:paraId="4E4B60D0" w14:textId="77777777" w:rsidTr="00E6104E">
        <w:trPr>
          <w:cantSplit/>
        </w:trPr>
        <w:tc>
          <w:tcPr>
            <w:tcW w:w="4010" w:type="dxa"/>
            <w:vAlign w:val="center"/>
          </w:tcPr>
          <w:p w14:paraId="1A78B99E" w14:textId="77777777" w:rsidR="006C6A1C" w:rsidRPr="002C58FF" w:rsidRDefault="006C6A1C" w:rsidP="006C6A1C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247597C0" w14:textId="77777777" w:rsidR="006C6A1C" w:rsidRPr="006C6A1C" w:rsidRDefault="006C6A1C" w:rsidP="006C6A1C">
            <w:pPr>
              <w:pStyle w:val="Tablefont"/>
              <w:rPr>
                <w:b/>
              </w:rPr>
            </w:pPr>
            <w:r w:rsidRPr="00DC7A69">
              <w:rPr>
                <w:b/>
              </w:rPr>
              <w:t>—</w:t>
            </w:r>
          </w:p>
        </w:tc>
      </w:tr>
      <w:tr w:rsidR="006C6A1C" w:rsidRPr="004C23F4" w14:paraId="0555D2CD" w14:textId="77777777" w:rsidTr="00E6104E">
        <w:trPr>
          <w:cantSplit/>
        </w:trPr>
        <w:tc>
          <w:tcPr>
            <w:tcW w:w="4010" w:type="dxa"/>
          </w:tcPr>
          <w:p w14:paraId="3CCDF104" w14:textId="77777777" w:rsidR="006C6A1C" w:rsidRPr="002C58FF" w:rsidRDefault="006C6A1C" w:rsidP="006C6A1C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6" w:type="dxa"/>
          </w:tcPr>
          <w:p w14:paraId="43A3FE0B" w14:textId="77777777" w:rsidR="006C6A1C" w:rsidRPr="006C6A1C" w:rsidRDefault="006C6A1C" w:rsidP="006C6A1C">
            <w:pPr>
              <w:pStyle w:val="Tablefont"/>
              <w:rPr>
                <w:b/>
              </w:rPr>
            </w:pPr>
            <w:r w:rsidRPr="00DC7A69">
              <w:rPr>
                <w:b/>
              </w:rPr>
              <w:t>—</w:t>
            </w:r>
          </w:p>
        </w:tc>
      </w:tr>
      <w:tr w:rsidR="006C6A1C" w:rsidRPr="004C23F4" w14:paraId="455D7BDC" w14:textId="77777777" w:rsidTr="00E6104E">
        <w:trPr>
          <w:cantSplit/>
        </w:trPr>
        <w:tc>
          <w:tcPr>
            <w:tcW w:w="4010" w:type="dxa"/>
            <w:vAlign w:val="center"/>
          </w:tcPr>
          <w:p w14:paraId="4884BE0A" w14:textId="77777777" w:rsidR="006C6A1C" w:rsidRPr="002C58FF" w:rsidRDefault="006C6A1C" w:rsidP="006C6A1C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277B6EFC" w14:textId="77777777" w:rsidR="006C6A1C" w:rsidRPr="006C6A1C" w:rsidRDefault="00077734" w:rsidP="006C6A1C">
            <w:pPr>
              <w:pStyle w:val="Tablefont"/>
              <w:rPr>
                <w:b/>
              </w:rPr>
            </w:pPr>
            <w:r>
              <w:rPr>
                <w:b/>
              </w:rPr>
              <w:t>25 ppm</w:t>
            </w:r>
          </w:p>
        </w:tc>
      </w:tr>
      <w:tr w:rsidR="00E6104E" w14:paraId="5C635F37" w14:textId="77777777" w:rsidTr="00E6104E">
        <w:trPr>
          <w:cantSplit/>
        </w:trPr>
        <w:tc>
          <w:tcPr>
            <w:tcW w:w="9026" w:type="dxa"/>
            <w:gridSpan w:val="2"/>
            <w:vAlign w:val="center"/>
          </w:tcPr>
          <w:p w14:paraId="0DE319D9" w14:textId="5AD07E64" w:rsidR="00E6104E" w:rsidRDefault="00E6104E" w:rsidP="00CF65DF">
            <w:pPr>
              <w:pStyle w:val="Tablefont"/>
            </w:pPr>
            <w:r w:rsidRPr="00C9508E">
              <w:rPr>
                <w:b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82AA629022DB42999A0D5E06B3A80D2C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2C9E4DA9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66A29CC6" w14:textId="302036B5" w:rsidR="008830C0" w:rsidRDefault="008830C0" w:rsidP="008830C0">
      <w:r>
        <w:rPr>
          <w:rFonts w:cs="Arial"/>
        </w:rPr>
        <w:t>A TWA of 2 ppm</w:t>
      </w:r>
      <w:r w:rsidR="000929F1">
        <w:rPr>
          <w:rFonts w:cs="Arial"/>
        </w:rPr>
        <w:t xml:space="preserve"> </w:t>
      </w:r>
      <w:r w:rsidR="000929F1" w:rsidRPr="000929F1">
        <w:rPr>
          <w:bCs/>
        </w:rPr>
        <w:t>(5.2 mg/m</w:t>
      </w:r>
      <w:r w:rsidR="000929F1" w:rsidRPr="000929F1">
        <w:rPr>
          <w:bCs/>
          <w:vertAlign w:val="superscript"/>
        </w:rPr>
        <w:t>3</w:t>
      </w:r>
      <w:r w:rsidR="000929F1" w:rsidRPr="000929F1">
        <w:rPr>
          <w:bCs/>
        </w:rPr>
        <w:t>)</w:t>
      </w:r>
      <w:r>
        <w:rPr>
          <w:rFonts w:cs="Arial"/>
        </w:rPr>
        <w:t xml:space="preserve"> is recommended to protect for </w:t>
      </w:r>
      <w:r w:rsidR="00123A2D">
        <w:rPr>
          <w:rFonts w:cs="Arial"/>
        </w:rPr>
        <w:t xml:space="preserve">eye and respiratory tract </w:t>
      </w:r>
      <w:r>
        <w:t>irritation in exposed workers.</w:t>
      </w:r>
    </w:p>
    <w:p w14:paraId="411EF7D1" w14:textId="0D10E917" w:rsidR="004122CF" w:rsidRPr="004122CF" w:rsidRDefault="00745476" w:rsidP="004122CF">
      <w:pPr>
        <w:rPr>
          <w:lang w:eastAsia="en-AU"/>
        </w:rPr>
      </w:pPr>
      <w:r>
        <w:t xml:space="preserve">A STEL </w:t>
      </w:r>
      <w:r w:rsidR="00F74096">
        <w:t>is not recommended</w:t>
      </w:r>
      <w:r>
        <w:t xml:space="preserve"> as there </w:t>
      </w:r>
      <w:r w:rsidR="004122CF">
        <w:t>is</w:t>
      </w:r>
      <w:r>
        <w:t xml:space="preserve"> no evidence of acute adverse effects evident within ten times the TWA concentration. </w:t>
      </w:r>
    </w:p>
    <w:p w14:paraId="78B22C69" w14:textId="77777777" w:rsidR="00C7155E" w:rsidRPr="004C23F4" w:rsidRDefault="00F10C97" w:rsidP="003365A5">
      <w:pPr>
        <w:pStyle w:val="Heading2"/>
      </w:pPr>
      <w:r>
        <w:t>Discussion and conclusions</w:t>
      </w:r>
    </w:p>
    <w:p w14:paraId="23A4FC7A" w14:textId="77777777" w:rsidR="00123A2D" w:rsidRDefault="00F00D92" w:rsidP="008830C0">
      <w:r w:rsidRPr="00F00D92">
        <w:t xml:space="preserve">Nitric acid </w:t>
      </w:r>
      <w:r w:rsidR="008830C0">
        <w:t xml:space="preserve">is used </w:t>
      </w:r>
      <w:r w:rsidR="001A3F25">
        <w:t>to</w:t>
      </w:r>
      <w:r w:rsidR="008830C0">
        <w:t xml:space="preserve"> </w:t>
      </w:r>
      <w:r>
        <w:rPr>
          <w:rFonts w:cs="Arial"/>
        </w:rPr>
        <w:t>dissolve metals and to make nitrates and nitro compounds</w:t>
      </w:r>
      <w:r w:rsidR="008830C0">
        <w:t xml:space="preserve">. </w:t>
      </w:r>
    </w:p>
    <w:p w14:paraId="1ACA6358" w14:textId="5A4CA5D2" w:rsidR="008830C0" w:rsidRDefault="008830C0" w:rsidP="008830C0">
      <w:r>
        <w:t xml:space="preserve">The critical effects </w:t>
      </w:r>
      <w:r w:rsidR="00123A2D">
        <w:t xml:space="preserve">of exposure </w:t>
      </w:r>
      <w:r>
        <w:t>are eye</w:t>
      </w:r>
      <w:r w:rsidR="00F00D92">
        <w:t>, nose</w:t>
      </w:r>
      <w:r>
        <w:t xml:space="preserve"> and respiratory tract</w:t>
      </w:r>
      <w:r w:rsidR="00123A2D">
        <w:t xml:space="preserve"> irritation</w:t>
      </w:r>
      <w:r w:rsidR="00283FF6">
        <w:t>. It also causes severe burns on contact with skin</w:t>
      </w:r>
      <w:r>
        <w:t xml:space="preserve">. </w:t>
      </w:r>
      <w:r w:rsidR="00F00D92">
        <w:t xml:space="preserve">Humans inhaling 84 ppm </w:t>
      </w:r>
      <w:r w:rsidR="00F74096">
        <w:t>di</w:t>
      </w:r>
      <w:r w:rsidR="00F00D92">
        <w:t>d not tolerate exposure for more</w:t>
      </w:r>
      <w:r w:rsidR="001A3F25">
        <w:t xml:space="preserve"> than two to three minutes</w:t>
      </w:r>
      <w:r w:rsidR="00640B3B" w:rsidRPr="00640B3B">
        <w:t xml:space="preserve"> </w:t>
      </w:r>
      <w:r w:rsidR="00640B3B">
        <w:t>(DFG 1992, SCOEL 2001)</w:t>
      </w:r>
      <w:r w:rsidR="00097145">
        <w:t>.</w:t>
      </w:r>
      <w:r w:rsidR="001A3F25">
        <w:t xml:space="preserve"> </w:t>
      </w:r>
      <w:r w:rsidR="00097145">
        <w:t>H</w:t>
      </w:r>
      <w:r w:rsidR="001A3F25">
        <w:t>ea</w:t>
      </w:r>
      <w:r w:rsidR="00F00D92">
        <w:t xml:space="preserve">ted acid vapour concentrations around 12 ppm </w:t>
      </w:r>
      <w:r w:rsidR="00F74096">
        <w:t>are not</w:t>
      </w:r>
      <w:r w:rsidR="00F00D92">
        <w:t xml:space="preserve"> tolerated for longer than one hour, with 1.6 ppm tolerated for 10 minutes with no ill effects</w:t>
      </w:r>
      <w:r w:rsidR="00A44FB9">
        <w:t xml:space="preserve"> in humans</w:t>
      </w:r>
      <w:r w:rsidR="00F00D92">
        <w:t xml:space="preserve"> (DFG 199</w:t>
      </w:r>
      <w:r w:rsidR="00640B3B">
        <w:t>2</w:t>
      </w:r>
      <w:r w:rsidR="00F00D92">
        <w:t xml:space="preserve">, SCOEL 2001). </w:t>
      </w:r>
      <w:r w:rsidR="00D64421">
        <w:rPr>
          <w:rFonts w:cs="Arial"/>
        </w:rPr>
        <w:t>No visible toxic effects</w:t>
      </w:r>
      <w:r w:rsidR="00D64421">
        <w:t xml:space="preserve"> reported in</w:t>
      </w:r>
      <w:r w:rsidR="00F00D92">
        <w:t xml:space="preserve"> </w:t>
      </w:r>
      <w:r w:rsidR="001A3F25">
        <w:t>six</w:t>
      </w:r>
      <w:r w:rsidR="00D64421">
        <w:noBreakHyphen/>
      </w:r>
      <w:r w:rsidR="001A3F25">
        <w:t>month</w:t>
      </w:r>
      <w:r w:rsidR="00F00D92">
        <w:t xml:space="preserve"> animal inhalation</w:t>
      </w:r>
      <w:r w:rsidR="00BB347D">
        <w:t xml:space="preserve"> study</w:t>
      </w:r>
      <w:r w:rsidR="00F00D92">
        <w:t xml:space="preserve"> </w:t>
      </w:r>
      <w:r w:rsidR="00640B3B">
        <w:t>at</w:t>
      </w:r>
      <w:r w:rsidR="00891359">
        <w:t xml:space="preserve"> 4 ppm (DFG 199</w:t>
      </w:r>
      <w:r w:rsidR="00640B3B">
        <w:t>2</w:t>
      </w:r>
      <w:r w:rsidR="00891359">
        <w:t xml:space="preserve">). </w:t>
      </w:r>
      <w:r w:rsidR="00D64421">
        <w:t>E</w:t>
      </w:r>
      <w:r w:rsidR="00D64421" w:rsidRPr="00891359">
        <w:t xml:space="preserve">ffects </w:t>
      </w:r>
      <w:r w:rsidR="00A44FB9">
        <w:t xml:space="preserve">observed </w:t>
      </w:r>
      <w:r w:rsidR="00D64421" w:rsidRPr="00891359">
        <w:t>on both the conducting and respiratory airways</w:t>
      </w:r>
      <w:r w:rsidR="00D64421">
        <w:t xml:space="preserve"> at concentrations as low as 0.05 ppm in a four-</w:t>
      </w:r>
      <w:r w:rsidR="001A3F25">
        <w:t>week</w:t>
      </w:r>
      <w:r w:rsidR="00891359">
        <w:t xml:space="preserve"> inhalation study </w:t>
      </w:r>
      <w:r w:rsidR="00640B3B">
        <w:t xml:space="preserve">in </w:t>
      </w:r>
      <w:r w:rsidR="00891359">
        <w:t xml:space="preserve">rabbits </w:t>
      </w:r>
      <w:r w:rsidR="00970FC0">
        <w:t>(NICNAS, 2015)</w:t>
      </w:r>
      <w:r w:rsidR="00D0066E">
        <w:t>. Due</w:t>
      </w:r>
      <w:r w:rsidR="00891359">
        <w:t xml:space="preserve"> to the limitations of this study and the </w:t>
      </w:r>
      <w:r w:rsidR="001A3F25">
        <w:t>weight</w:t>
      </w:r>
      <w:r w:rsidR="00891359">
        <w:t xml:space="preserve"> of evidence to the contrary</w:t>
      </w:r>
      <w:r w:rsidR="00F74096">
        <w:t>,</w:t>
      </w:r>
      <w:r w:rsidR="00891359">
        <w:t xml:space="preserve"> </w:t>
      </w:r>
      <w:r w:rsidR="00D64421">
        <w:t xml:space="preserve">the SWA </w:t>
      </w:r>
      <w:r w:rsidR="000929F1">
        <w:t xml:space="preserve">TWA of 2 </w:t>
      </w:r>
      <w:r w:rsidR="000929F1" w:rsidRPr="000929F1">
        <w:t>ppm (5.2 mg/m</w:t>
      </w:r>
      <w:r w:rsidR="000929F1" w:rsidRPr="000929F1">
        <w:rPr>
          <w:vertAlign w:val="superscript"/>
        </w:rPr>
        <w:t>3</w:t>
      </w:r>
      <w:r w:rsidR="000929F1" w:rsidRPr="000929F1">
        <w:t xml:space="preserve">) is </w:t>
      </w:r>
      <w:r w:rsidR="00D64421">
        <w:t xml:space="preserve">recommended and </w:t>
      </w:r>
      <w:r w:rsidR="000929F1" w:rsidRPr="000929F1">
        <w:t>considered</w:t>
      </w:r>
      <w:r w:rsidR="000929F1">
        <w:t xml:space="preserve"> protective of irritant effects </w:t>
      </w:r>
      <w:r w:rsidR="000929F1">
        <w:rPr>
          <w:rFonts w:cs="Arial"/>
        </w:rPr>
        <w:t>a</w:t>
      </w:r>
      <w:r w:rsidR="00740147">
        <w:rPr>
          <w:rFonts w:cs="Arial"/>
        </w:rPr>
        <w:t>s reported</w:t>
      </w:r>
      <w:r w:rsidR="00740147" w:rsidRPr="00D261A4">
        <w:rPr>
          <w:rFonts w:cs="Arial"/>
        </w:rPr>
        <w:t xml:space="preserve"> by </w:t>
      </w:r>
      <w:r w:rsidR="00740147">
        <w:rPr>
          <w:rFonts w:cs="Arial"/>
        </w:rPr>
        <w:t>ACGIH</w:t>
      </w:r>
      <w:r w:rsidR="000929F1">
        <w:rPr>
          <w:rFonts w:cs="Arial"/>
        </w:rPr>
        <w:t xml:space="preserve"> (2018)</w:t>
      </w:r>
      <w:r w:rsidR="00740147">
        <w:rPr>
          <w:rFonts w:cs="Arial"/>
        </w:rPr>
        <w:t xml:space="preserve"> and </w:t>
      </w:r>
      <w:r w:rsidR="00740147" w:rsidRPr="00E35EB0">
        <w:rPr>
          <w:rFonts w:cs="Arial"/>
        </w:rPr>
        <w:t>DFG</w:t>
      </w:r>
      <w:r w:rsidR="000929F1">
        <w:rPr>
          <w:rFonts w:cs="Arial"/>
        </w:rPr>
        <w:t xml:space="preserve"> (1992). </w:t>
      </w:r>
    </w:p>
    <w:p w14:paraId="5AB92151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0B40067B" w14:textId="52F9A50D" w:rsidR="006C6A1C" w:rsidRPr="008830C0" w:rsidRDefault="006C6A1C" w:rsidP="006C6A1C">
      <w:pPr>
        <w:rPr>
          <w:rFonts w:cs="Arial"/>
        </w:rPr>
      </w:pPr>
      <w:r w:rsidRPr="008830C0">
        <w:rPr>
          <w:rFonts w:cs="Arial"/>
        </w:rPr>
        <w:t>Not classified as a carcinogen according to the Globally Harmonized System of Classification and Labelling o</w:t>
      </w:r>
      <w:r w:rsidR="004807EA">
        <w:rPr>
          <w:rFonts w:cs="Arial"/>
        </w:rPr>
        <w:t>f</w:t>
      </w:r>
      <w:r w:rsidRPr="008830C0">
        <w:rPr>
          <w:rFonts w:cs="Arial"/>
        </w:rPr>
        <w:t xml:space="preserve"> Chemicals (GHS). </w:t>
      </w:r>
    </w:p>
    <w:p w14:paraId="32455F4C" w14:textId="799F2850" w:rsidR="006C6A1C" w:rsidRPr="008830C0" w:rsidRDefault="006C6A1C" w:rsidP="006C6A1C">
      <w:pPr>
        <w:rPr>
          <w:rFonts w:cs="Arial"/>
        </w:rPr>
      </w:pPr>
      <w:r w:rsidRPr="008830C0">
        <w:rPr>
          <w:rFonts w:cs="Arial"/>
        </w:rPr>
        <w:t>Not classified as a skin</w:t>
      </w:r>
      <w:r w:rsidR="004807EA" w:rsidRPr="008830C0">
        <w:rPr>
          <w:rFonts w:cs="Arial"/>
        </w:rPr>
        <w:t xml:space="preserve"> sensitiser</w:t>
      </w:r>
      <w:r w:rsidRPr="008830C0">
        <w:rPr>
          <w:rFonts w:cs="Arial"/>
        </w:rPr>
        <w:t xml:space="preserve"> or respiratory sensitiser according to the GHS.</w:t>
      </w:r>
    </w:p>
    <w:p w14:paraId="102A1D5D" w14:textId="4CCEA618" w:rsidR="005E6979" w:rsidRPr="004C23F4" w:rsidRDefault="001A3F25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  <w:r>
        <w:rPr>
          <w:rFonts w:cs="Arial"/>
        </w:rPr>
        <w:t>There are i</w:t>
      </w:r>
      <w:r w:rsidR="006C6A1C" w:rsidRPr="008830C0">
        <w:rPr>
          <w:rFonts w:cs="Arial"/>
        </w:rPr>
        <w:t xml:space="preserve">nsufficient </w:t>
      </w:r>
      <w:r>
        <w:rPr>
          <w:rFonts w:cs="Arial"/>
        </w:rPr>
        <w:t>data</w:t>
      </w:r>
      <w:r w:rsidR="006C6A1C" w:rsidRPr="008830C0">
        <w:rPr>
          <w:rFonts w:cs="Arial"/>
        </w:rPr>
        <w:t xml:space="preserve"> to recommend a skin notation.</w:t>
      </w:r>
    </w:p>
    <w:p w14:paraId="3AB52FB5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53F41210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20" w:firstRow="1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86592E" w14:paraId="3D3ADA3D" w14:textId="77777777" w:rsidTr="0086592E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5565CB73" w14:textId="77777777" w:rsidR="00C978F0" w:rsidRPr="0086592E" w:rsidRDefault="00C978F0" w:rsidP="004807EA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  <w:rPr>
                <w:b/>
              </w:rPr>
            </w:pPr>
            <w:r w:rsidRPr="0086592E">
              <w:rPr>
                <w:b/>
              </w:rPr>
              <w:t>Source</w:t>
            </w:r>
            <w:r w:rsidR="00DA352E" w:rsidRPr="0086592E">
              <w:rPr>
                <w:b/>
              </w:rPr>
              <w:tab/>
              <w:t>Year set</w:t>
            </w:r>
            <w:r w:rsidR="00DA352E" w:rsidRPr="0086592E">
              <w:rPr>
                <w:b/>
              </w:rPr>
              <w:tab/>
              <w:t>Standard</w:t>
            </w:r>
            <w:r w:rsidR="00974F2D" w:rsidRPr="0086592E">
              <w:rPr>
                <w:b/>
              </w:rPr>
              <w:tab/>
            </w:r>
          </w:p>
        </w:tc>
      </w:tr>
      <w:tr w:rsidR="00DE26E8" w:rsidRPr="003365A5" w14:paraId="5E8128BA" w14:textId="77777777" w:rsidTr="0086592E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15D31960" w14:textId="77777777" w:rsidR="00DE26E8" w:rsidRPr="003365A5" w:rsidRDefault="00DE26E8" w:rsidP="001A3F25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7C1132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7C1132">
                  <w:t>TWA: 2 ppm (5.2 mg/m</w:t>
                </w:r>
                <w:r w:rsidR="007C1132" w:rsidRPr="007C1132">
                  <w:rPr>
                    <w:vertAlign w:val="superscript"/>
                  </w:rPr>
                  <w:t>3</w:t>
                </w:r>
                <w:r w:rsidR="007C1132">
                  <w:t>); STEL: 4 ppm (10 mg/m</w:t>
                </w:r>
                <w:r w:rsidR="007C1132" w:rsidRPr="007C1132">
                  <w:rPr>
                    <w:vertAlign w:val="superscript"/>
                  </w:rPr>
                  <w:t>3</w:t>
                </w:r>
                <w:r w:rsidR="007C1132">
                  <w:t>)</w:t>
                </w:r>
              </w:sdtContent>
            </w:sdt>
          </w:p>
        </w:tc>
      </w:tr>
      <w:tr w:rsidR="00C978F0" w:rsidRPr="00DA352E" w14:paraId="6CC68E5D" w14:textId="77777777" w:rsidTr="0086592E">
        <w:trPr>
          <w:gridAfter w:val="1"/>
          <w:wAfter w:w="8" w:type="pct"/>
          <w:cantSplit/>
        </w:trPr>
        <w:tc>
          <w:tcPr>
            <w:tcW w:w="4992" w:type="pct"/>
          </w:tcPr>
          <w:p w14:paraId="1C0451E5" w14:textId="77777777" w:rsidR="00C978F0" w:rsidRPr="00DA352E" w:rsidRDefault="00C978F0" w:rsidP="004807EA">
            <w:pPr>
              <w:pStyle w:val="Tabletextprimarysource"/>
            </w:pPr>
          </w:p>
        </w:tc>
      </w:tr>
      <w:tr w:rsidR="00C978F0" w:rsidRPr="00DA352E" w14:paraId="607C7755" w14:textId="77777777" w:rsidTr="0086592E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8506D44" w14:textId="77777777" w:rsidR="00C978F0" w:rsidRPr="00DA352E" w:rsidRDefault="00DA352E" w:rsidP="001A3F25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507DDC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507DDC">
                  <w:t>TLV-</w:t>
                </w:r>
                <w:r w:rsidR="00507DDC" w:rsidRPr="00507DDC">
                  <w:t>TWA: 2 ppm (5.2 mg/m</w:t>
                </w:r>
                <w:r w:rsidR="00507DDC" w:rsidRPr="00507DDC">
                  <w:rPr>
                    <w:vertAlign w:val="superscript"/>
                  </w:rPr>
                  <w:t>3</w:t>
                </w:r>
                <w:r w:rsidR="00507DDC" w:rsidRPr="00507DDC">
                  <w:t xml:space="preserve">); </w:t>
                </w:r>
                <w:r w:rsidR="00507DDC">
                  <w:t>TLV-</w:t>
                </w:r>
                <w:r w:rsidR="00507DDC" w:rsidRPr="00507DDC">
                  <w:t>STEL: 4 ppm (10 mg/m</w:t>
                </w:r>
                <w:r w:rsidR="00507DDC" w:rsidRPr="00507DDC">
                  <w:rPr>
                    <w:vertAlign w:val="superscript"/>
                  </w:rPr>
                  <w:t>3</w:t>
                </w:r>
                <w:r w:rsidR="00507DDC" w:rsidRPr="00507DDC">
                  <w:t>)</w:t>
                </w:r>
              </w:sdtContent>
            </w:sdt>
          </w:p>
        </w:tc>
      </w:tr>
      <w:tr w:rsidR="00C978F0" w:rsidRPr="00DA352E" w14:paraId="608DA2AF" w14:textId="77777777" w:rsidTr="0086592E">
        <w:trPr>
          <w:gridAfter w:val="1"/>
          <w:wAfter w:w="8" w:type="pct"/>
          <w:cantSplit/>
        </w:trPr>
        <w:tc>
          <w:tcPr>
            <w:tcW w:w="4992" w:type="pct"/>
          </w:tcPr>
          <w:p w14:paraId="21FAE979" w14:textId="77777777" w:rsidR="00182A8E" w:rsidRDefault="00182A8E" w:rsidP="004807EA">
            <w:pPr>
              <w:pStyle w:val="Tabletextprimarysource"/>
            </w:pPr>
            <w:r>
              <w:t>TLV-TWA recommended to minimise the risk of eye, skin, mucous membrane and upper respiratory tract irritation in exposed workers.</w:t>
            </w:r>
          </w:p>
          <w:p w14:paraId="31DB8885" w14:textId="77777777" w:rsidR="00182A8E" w:rsidRDefault="00182A8E" w:rsidP="004807EA">
            <w:pPr>
              <w:pStyle w:val="Tabletextprimarysource"/>
            </w:pPr>
            <w:r>
              <w:t>Summary of data:</w:t>
            </w:r>
          </w:p>
          <w:p w14:paraId="0412647A" w14:textId="77777777" w:rsidR="00182A8E" w:rsidRDefault="00182A8E" w:rsidP="001A3F25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  <w:r>
              <w:t>Human data:</w:t>
            </w:r>
          </w:p>
          <w:p w14:paraId="50A53DE3" w14:textId="5DAC24BF" w:rsidR="00182A8E" w:rsidRDefault="00182A8E" w:rsidP="001A3F25">
            <w:pPr>
              <w:pStyle w:val="ListBullet"/>
              <w:spacing w:before="60" w:after="60"/>
              <w:ind w:left="720"/>
              <w:contextualSpacing w:val="0"/>
            </w:pPr>
            <w:r>
              <w:t>Severe burns observed on dermal contact, diluted solutions produce</w:t>
            </w:r>
            <w:r w:rsidR="001A3F25">
              <w:t xml:space="preserve"> irritation</w:t>
            </w:r>
          </w:p>
          <w:p w14:paraId="445326D1" w14:textId="2E592BA1" w:rsidR="00120631" w:rsidRDefault="001725B4" w:rsidP="001A3F25">
            <w:pPr>
              <w:pStyle w:val="ListBullet"/>
              <w:spacing w:before="60" w:after="60"/>
              <w:ind w:left="720"/>
              <w:contextualSpacing w:val="0"/>
            </w:pPr>
            <w:r>
              <w:t>Multiple fatalities resulted from acute inhalation exposure (unknown concentration)</w:t>
            </w:r>
            <w:r w:rsidR="00203A93">
              <w:t>:</w:t>
            </w:r>
          </w:p>
          <w:p w14:paraId="6E4415B0" w14:textId="4ADAEF9D" w:rsidR="00182A8E" w:rsidRDefault="004D7717" w:rsidP="00283FF6">
            <w:pPr>
              <w:pStyle w:val="ListBullet"/>
              <w:numPr>
                <w:ilvl w:val="0"/>
                <w:numId w:val="19"/>
              </w:numPr>
              <w:spacing w:before="60" w:after="60"/>
              <w:contextualSpacing w:val="0"/>
            </w:pPr>
            <w:r>
              <w:t>death can be delayed for several days</w:t>
            </w:r>
          </w:p>
          <w:p w14:paraId="6FE36835" w14:textId="24D3867B" w:rsidR="00F74096" w:rsidRDefault="004D7717" w:rsidP="001A3F25">
            <w:pPr>
              <w:pStyle w:val="ListBullet"/>
              <w:spacing w:before="60" w:after="60"/>
              <w:ind w:left="720"/>
              <w:contextualSpacing w:val="0"/>
            </w:pPr>
            <w:r>
              <w:t xml:space="preserve">Acute occupational exposure in combination with </w:t>
            </w:r>
            <w:r w:rsidR="00F74096">
              <w:t>NO</w:t>
            </w:r>
            <w:r w:rsidR="00F74096" w:rsidRPr="00F74096">
              <w:rPr>
                <w:vertAlign w:val="subscript"/>
              </w:rPr>
              <w:t>2</w:t>
            </w:r>
            <w:r>
              <w:t xml:space="preserve"> and </w:t>
            </w:r>
            <w:r w:rsidR="00F74096">
              <w:t>NO</w:t>
            </w:r>
            <w:r>
              <w:t xml:space="preserve"> led to a variety of respiratory tract irritation effects</w:t>
            </w:r>
            <w:r w:rsidR="00203A93">
              <w:t>:</w:t>
            </w:r>
          </w:p>
          <w:p w14:paraId="4500F42D" w14:textId="2370D4B1" w:rsidR="001725B4" w:rsidRDefault="004D7717" w:rsidP="00F74096">
            <w:pPr>
              <w:pStyle w:val="ListBullet"/>
              <w:numPr>
                <w:ilvl w:val="0"/>
                <w:numId w:val="19"/>
              </w:numPr>
              <w:spacing w:before="60" w:after="60"/>
              <w:contextualSpacing w:val="0"/>
            </w:pPr>
            <w:r>
              <w:t>sustained higher concentration</w:t>
            </w:r>
            <w:r w:rsidR="00F74096">
              <w:t>s</w:t>
            </w:r>
            <w:r>
              <w:t xml:space="preserve"> leading to pulmonary oedema</w:t>
            </w:r>
          </w:p>
          <w:p w14:paraId="50A44A46" w14:textId="4E59545F" w:rsidR="004D7717" w:rsidRDefault="001D34B1" w:rsidP="001A3F25">
            <w:pPr>
              <w:pStyle w:val="ListBullet"/>
              <w:spacing w:before="60" w:after="60"/>
              <w:ind w:left="720"/>
              <w:contextualSpacing w:val="0"/>
            </w:pPr>
            <w:r>
              <w:t xml:space="preserve">Chronic inhalation exposure may result in bronchitis and chemical </w:t>
            </w:r>
            <w:r w:rsidRPr="001D34B1">
              <w:t>pneumonitis</w:t>
            </w:r>
            <w:r w:rsidR="00B55844">
              <w:t xml:space="preserve"> (concentration not noted)</w:t>
            </w:r>
          </w:p>
          <w:p w14:paraId="49C236CC" w14:textId="62C93180" w:rsidR="00277E73" w:rsidRDefault="00277E73" w:rsidP="001A3F25">
            <w:pPr>
              <w:pStyle w:val="ListBullet"/>
              <w:spacing w:before="60" w:after="60"/>
              <w:ind w:left="720"/>
              <w:contextualSpacing w:val="0"/>
            </w:pPr>
            <w:r>
              <w:t>Report</w:t>
            </w:r>
            <w:r w:rsidR="001A3F25">
              <w:t>ed</w:t>
            </w:r>
            <w:r>
              <w:t xml:space="preserve"> link</w:t>
            </w:r>
            <w:r w:rsidR="001A3F25">
              <w:t xml:space="preserve"> </w:t>
            </w:r>
            <w:r w:rsidR="00136C24">
              <w:t xml:space="preserve">between </w:t>
            </w:r>
            <w:r>
              <w:t xml:space="preserve">inhalation exposure </w:t>
            </w:r>
            <w:r w:rsidR="00136C24">
              <w:t xml:space="preserve">and </w:t>
            </w:r>
            <w:r>
              <w:t>dental erosion</w:t>
            </w:r>
          </w:p>
          <w:p w14:paraId="3ABD0202" w14:textId="6885DC16" w:rsidR="00182A8E" w:rsidRDefault="00277E73" w:rsidP="001A3F25">
            <w:pPr>
              <w:pStyle w:val="ListBullet"/>
              <w:spacing w:before="60" w:after="60"/>
              <w:ind w:left="720"/>
              <w:contextualSpacing w:val="0"/>
            </w:pPr>
            <w:r>
              <w:t>A maximum allowable concentration is suggested at 10 ppm (no justification provided)</w:t>
            </w:r>
            <w:r w:rsidR="004807EA">
              <w:t>.</w:t>
            </w:r>
          </w:p>
          <w:p w14:paraId="0002CEA9" w14:textId="77777777" w:rsidR="00182A8E" w:rsidRDefault="00182A8E" w:rsidP="001A3F25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  <w:r>
              <w:t>Animal data:</w:t>
            </w:r>
          </w:p>
          <w:p w14:paraId="06BEEB43" w14:textId="1AD1E0BD" w:rsidR="00182A8E" w:rsidRDefault="00277E73" w:rsidP="001A3F25">
            <w:pPr>
              <w:pStyle w:val="ListBullet"/>
              <w:spacing w:before="60" w:after="60"/>
              <w:ind w:left="720"/>
              <w:contextualSpacing w:val="0"/>
            </w:pPr>
            <w:r>
              <w:t xml:space="preserve">Exposure </w:t>
            </w:r>
            <w:r w:rsidR="001A3F25">
              <w:t>at</w:t>
            </w:r>
            <w:r>
              <w:t xml:space="preserve"> 63 mg/m</w:t>
            </w:r>
            <w:r w:rsidRPr="00277E73">
              <w:rPr>
                <w:vertAlign w:val="superscript"/>
              </w:rPr>
              <w:t>3</w:t>
            </w:r>
            <w:r>
              <w:t xml:space="preserve"> (rats, inhalation) produced n</w:t>
            </w:r>
            <w:r w:rsidR="00283FF6">
              <w:t>o</w:t>
            </w:r>
            <w:r>
              <w:t xml:space="preserve"> observable adverse effects, no details of study provided</w:t>
            </w:r>
          </w:p>
          <w:p w14:paraId="65540FDA" w14:textId="00A76FBB" w:rsidR="00182A8E" w:rsidRDefault="00E971B6" w:rsidP="001A3F25">
            <w:pPr>
              <w:pStyle w:val="ListBullet"/>
              <w:spacing w:before="60" w:after="60"/>
              <w:ind w:left="720"/>
              <w:contextualSpacing w:val="0"/>
            </w:pPr>
            <w:r>
              <w:t xml:space="preserve">Red fuming nitric acid more toxic than concentrated nitric acid due to potentiation into </w:t>
            </w:r>
            <w:r w:rsidR="00F74096">
              <w:t>NO</w:t>
            </w:r>
            <w:r w:rsidR="00F74096" w:rsidRPr="00F74096">
              <w:rPr>
                <w:vertAlign w:val="subscript"/>
              </w:rPr>
              <w:t>2</w:t>
            </w:r>
          </w:p>
          <w:p w14:paraId="64F113CD" w14:textId="75FD875B" w:rsidR="00182A8E" w:rsidRDefault="00277E73" w:rsidP="001A3F25">
            <w:pPr>
              <w:pStyle w:val="ListBullet"/>
              <w:spacing w:before="60" w:after="60"/>
              <w:ind w:left="720"/>
              <w:contextualSpacing w:val="0"/>
            </w:pPr>
            <w:r>
              <w:t>LC</w:t>
            </w:r>
            <w:r w:rsidRPr="00277E73">
              <w:rPr>
                <w:vertAlign w:val="subscript"/>
              </w:rPr>
              <w:t>50</w:t>
            </w:r>
            <w:r>
              <w:t>: 334 ppm (rats, 30</w:t>
            </w:r>
            <w:r w:rsidR="004807EA">
              <w:t xml:space="preserve"> </w:t>
            </w:r>
            <w:r>
              <w:t xml:space="preserve">min), 244 ppm measured as </w:t>
            </w:r>
            <w:r w:rsidR="00F74096">
              <w:t>NO</w:t>
            </w:r>
            <w:r w:rsidR="00F74096" w:rsidRPr="00345569">
              <w:rPr>
                <w:vertAlign w:val="subscript"/>
              </w:rPr>
              <w:t>2</w:t>
            </w:r>
            <w:r w:rsidR="004807EA">
              <w:t>.</w:t>
            </w:r>
          </w:p>
          <w:p w14:paraId="7AEFFD0F" w14:textId="77777777" w:rsidR="001D59C2" w:rsidRDefault="001D59C2" w:rsidP="0047094B">
            <w:pPr>
              <w:pStyle w:val="ListBullet"/>
              <w:numPr>
                <w:ilvl w:val="0"/>
                <w:numId w:val="0"/>
              </w:numPr>
              <w:spacing w:before="60" w:after="60"/>
              <w:contextualSpacing w:val="0"/>
            </w:pPr>
          </w:p>
          <w:p w14:paraId="297E5585" w14:textId="77777777" w:rsidR="00C978F0" w:rsidRDefault="008A1B64" w:rsidP="001A3F25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  <w:r>
              <w:t>Insufficient data to recommend skin, sensitiser or carcinogen notation.</w:t>
            </w:r>
          </w:p>
          <w:p w14:paraId="0F919F01" w14:textId="684E9385" w:rsidR="001D59C2" w:rsidRPr="00DA352E" w:rsidRDefault="001D59C2" w:rsidP="001A3F25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</w:p>
        </w:tc>
      </w:tr>
      <w:tr w:rsidR="00C978F0" w:rsidRPr="00DA352E" w14:paraId="02ACB029" w14:textId="77777777" w:rsidTr="0086592E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4A6EBB1" w14:textId="4941F075" w:rsidR="00C978F0" w:rsidRPr="00DA352E" w:rsidRDefault="00DA352E" w:rsidP="001A3F25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191B55">
                  <w:t>1990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191B55" w:rsidRPr="00191B55">
                  <w:t xml:space="preserve">MAK: </w:t>
                </w:r>
                <w:r w:rsidR="00191B55">
                  <w:t>2</w:t>
                </w:r>
                <w:r w:rsidR="00191B55" w:rsidRPr="00191B55">
                  <w:t xml:space="preserve"> ppm (</w:t>
                </w:r>
                <w:r w:rsidR="00191B55">
                  <w:t>5</w:t>
                </w:r>
                <w:r w:rsidR="00191B55" w:rsidRPr="00191B55">
                  <w:t xml:space="preserve"> mg/m</w:t>
                </w:r>
                <w:r w:rsidR="00191B55" w:rsidRPr="00191B55">
                  <w:rPr>
                    <w:vertAlign w:val="superscript"/>
                  </w:rPr>
                  <w:t>3</w:t>
                </w:r>
                <w:r w:rsidR="00191B55" w:rsidRPr="00191B55">
                  <w:t>)</w:t>
                </w:r>
              </w:sdtContent>
            </w:sdt>
          </w:p>
        </w:tc>
      </w:tr>
      <w:tr w:rsidR="00C978F0" w:rsidRPr="00DA352E" w14:paraId="216D7A03" w14:textId="77777777" w:rsidTr="0086592E">
        <w:trPr>
          <w:gridAfter w:val="1"/>
          <w:wAfter w:w="8" w:type="pct"/>
          <w:cantSplit/>
        </w:trPr>
        <w:tc>
          <w:tcPr>
            <w:tcW w:w="4992" w:type="pct"/>
          </w:tcPr>
          <w:p w14:paraId="45ADBA73" w14:textId="3EBEA56A" w:rsidR="00C978F0" w:rsidRDefault="00B55844" w:rsidP="004807EA">
            <w:pPr>
              <w:pStyle w:val="Tabletextprimarysource"/>
            </w:pPr>
            <w:r>
              <w:t>F</w:t>
            </w:r>
            <w:r w:rsidR="00191B55" w:rsidRPr="00191B55">
              <w:t xml:space="preserve">ew studies have investigated the effects </w:t>
            </w:r>
            <w:r>
              <w:t>at</w:t>
            </w:r>
            <w:r w:rsidRPr="00191B55">
              <w:t xml:space="preserve"> </w:t>
            </w:r>
            <w:r w:rsidR="00191B55" w:rsidRPr="00191B55">
              <w:t>concentrations in the range of the MAK value</w:t>
            </w:r>
            <w:r>
              <w:t xml:space="preserve"> and these studies</w:t>
            </w:r>
            <w:r w:rsidR="00191B55" w:rsidRPr="00191B55">
              <w:t xml:space="preserve"> do not meet present-day requirements. Th</w:t>
            </w:r>
            <w:r w:rsidR="0054428D">
              <w:t>e</w:t>
            </w:r>
            <w:r w:rsidR="00191B55" w:rsidRPr="00191B55">
              <w:t xml:space="preserve"> </w:t>
            </w:r>
            <w:r w:rsidR="0054428D">
              <w:t xml:space="preserve">MAK </w:t>
            </w:r>
            <w:r w:rsidR="001A3F25">
              <w:t>is considered</w:t>
            </w:r>
            <w:r w:rsidR="00191B55" w:rsidRPr="00191B55">
              <w:t xml:space="preserve"> provisional.</w:t>
            </w:r>
          </w:p>
          <w:p w14:paraId="54FBF7A3" w14:textId="6FA848FB" w:rsidR="000B16C0" w:rsidRDefault="000B16C0" w:rsidP="000B16C0">
            <w:pPr>
              <w:pStyle w:val="Tabletextprimarysource"/>
            </w:pPr>
            <w:r>
              <w:t>Summary of additional data:</w:t>
            </w:r>
          </w:p>
          <w:p w14:paraId="3FA65919" w14:textId="2B3A8E94" w:rsidR="0054428D" w:rsidRPr="0054428D" w:rsidRDefault="00097145" w:rsidP="001A3F25">
            <w:pPr>
              <w:pStyle w:val="ListBullet"/>
              <w:spacing w:before="60" w:after="60"/>
              <w:ind w:left="720"/>
              <w:contextualSpacing w:val="0"/>
              <w:rPr>
                <w:rFonts w:cs="Arial"/>
              </w:rPr>
            </w:pPr>
            <w:r>
              <w:t>In a human volunteer</w:t>
            </w:r>
            <w:r w:rsidR="008E0D8D">
              <w:t xml:space="preserve"> study</w:t>
            </w:r>
            <w:r w:rsidR="0047094B">
              <w:t>,</w:t>
            </w:r>
            <w:r>
              <w:t xml:space="preserve"> v</w:t>
            </w:r>
            <w:r w:rsidR="0054428D">
              <w:t>apours at</w:t>
            </w:r>
            <w:r w:rsidR="0054428D" w:rsidRPr="009555FB">
              <w:t xml:space="preserve"> </w:t>
            </w:r>
            <w:r w:rsidR="0054428D">
              <w:t xml:space="preserve">84 ppm </w:t>
            </w:r>
            <w:r w:rsidR="0054428D" w:rsidRPr="009555FB">
              <w:t xml:space="preserve">could not be inhaled for longer than </w:t>
            </w:r>
            <w:r w:rsidR="00F74096">
              <w:br/>
            </w:r>
            <w:r w:rsidR="0054428D">
              <w:t>2</w:t>
            </w:r>
            <w:r w:rsidR="004807EA">
              <w:t>–</w:t>
            </w:r>
            <w:r w:rsidR="0054428D">
              <w:t>3 min</w:t>
            </w:r>
          </w:p>
          <w:p w14:paraId="58110B59" w14:textId="00DD1B66" w:rsidR="00F74096" w:rsidRPr="00F74096" w:rsidRDefault="00097145" w:rsidP="001A3F25">
            <w:pPr>
              <w:pStyle w:val="ListBullet"/>
              <w:spacing w:before="60" w:after="60"/>
              <w:ind w:left="720"/>
              <w:contextualSpacing w:val="0"/>
            </w:pPr>
            <w:r>
              <w:t>Human d</w:t>
            </w:r>
            <w:r w:rsidR="001A3F25">
              <w:t>ermal exposure at 0.01 mL</w:t>
            </w:r>
            <w:r w:rsidR="0054428D">
              <w:t xml:space="preserve"> of 39% solution for 2 min produced </w:t>
            </w:r>
            <w:r w:rsidR="0054428D" w:rsidRPr="0054428D">
              <w:rPr>
                <w:rFonts w:cs="Arial"/>
              </w:rPr>
              <w:t>transient erythematous reaction</w:t>
            </w:r>
            <w:r w:rsidR="0054428D">
              <w:rPr>
                <w:rFonts w:cs="Arial"/>
              </w:rPr>
              <w:t xml:space="preserve"> for 15</w:t>
            </w:r>
            <w:r w:rsidR="004807EA">
              <w:rPr>
                <w:rFonts w:cs="Arial"/>
              </w:rPr>
              <w:t>–</w:t>
            </w:r>
            <w:r w:rsidR="0054428D">
              <w:rPr>
                <w:rFonts w:cs="Arial"/>
              </w:rPr>
              <w:t>30 min</w:t>
            </w:r>
            <w:r w:rsidR="000B16C0">
              <w:rPr>
                <w:rFonts w:cs="Arial"/>
              </w:rPr>
              <w:t>:</w:t>
            </w:r>
            <w:r w:rsidR="0054428D">
              <w:rPr>
                <w:rFonts w:cs="Arial"/>
              </w:rPr>
              <w:t xml:space="preserve"> </w:t>
            </w:r>
          </w:p>
          <w:p w14:paraId="4332C3B8" w14:textId="67C3A801" w:rsidR="0054428D" w:rsidRPr="0054428D" w:rsidRDefault="0054428D" w:rsidP="00F74096">
            <w:pPr>
              <w:pStyle w:val="ListBullet"/>
              <w:numPr>
                <w:ilvl w:val="0"/>
                <w:numId w:val="19"/>
              </w:numPr>
              <w:spacing w:before="60" w:after="60"/>
              <w:contextualSpacing w:val="0"/>
            </w:pPr>
            <w:r>
              <w:rPr>
                <w:rFonts w:cs="Arial"/>
              </w:rPr>
              <w:t xml:space="preserve">5 min exposure caused </w:t>
            </w:r>
            <w:r w:rsidRPr="0054428D">
              <w:rPr>
                <w:rFonts w:cs="Arial"/>
              </w:rPr>
              <w:t xml:space="preserve">blisters </w:t>
            </w:r>
            <w:r>
              <w:rPr>
                <w:rFonts w:cs="Arial"/>
              </w:rPr>
              <w:t>and</w:t>
            </w:r>
            <w:r w:rsidRPr="0054428D">
              <w:rPr>
                <w:rFonts w:cs="Arial"/>
              </w:rPr>
              <w:t xml:space="preserve"> erythema</w:t>
            </w:r>
          </w:p>
          <w:p w14:paraId="30285A4B" w14:textId="60C2F91A" w:rsidR="0054428D" w:rsidRPr="00E6104E" w:rsidRDefault="0054428D" w:rsidP="001A3F25">
            <w:pPr>
              <w:pStyle w:val="ListBullet"/>
              <w:spacing w:before="60" w:after="60"/>
              <w:ind w:left="720"/>
              <w:contextualSpacing w:val="0"/>
            </w:pPr>
            <w:r>
              <w:rPr>
                <w:rFonts w:cs="Arial"/>
              </w:rPr>
              <w:t xml:space="preserve">Exposure </w:t>
            </w:r>
            <w:r w:rsidR="001A3F25">
              <w:rPr>
                <w:rFonts w:cs="Arial"/>
              </w:rPr>
              <w:t>at</w:t>
            </w:r>
            <w:r>
              <w:rPr>
                <w:rFonts w:cs="Arial"/>
              </w:rPr>
              <w:t xml:space="preserve"> 4 ppm</w:t>
            </w:r>
            <w:r w:rsidR="001A3F25">
              <w:rPr>
                <w:rFonts w:cs="Arial"/>
              </w:rPr>
              <w:t xml:space="preserve"> of red fuming nitric a</w:t>
            </w:r>
            <w:r w:rsidR="00E6104E">
              <w:rPr>
                <w:rFonts w:cs="Arial"/>
              </w:rPr>
              <w:t>cid</w:t>
            </w:r>
            <w:r>
              <w:rPr>
                <w:rFonts w:cs="Arial"/>
              </w:rPr>
              <w:t xml:space="preserve"> (</w:t>
            </w:r>
            <w:r w:rsidR="001A3F25">
              <w:rPr>
                <w:rFonts w:cs="Arial"/>
              </w:rPr>
              <w:t>mice, rats, guinea pigs, 4 h</w:t>
            </w:r>
            <w:r w:rsidR="00E6104E">
              <w:rPr>
                <w:rFonts w:cs="Arial"/>
              </w:rPr>
              <w:t>/d, 5 d/wk, 6 mo, inhalation</w:t>
            </w:r>
            <w:r>
              <w:rPr>
                <w:rFonts w:cs="Arial"/>
              </w:rPr>
              <w:t>)</w:t>
            </w:r>
            <w:r w:rsidR="00E6104E">
              <w:rPr>
                <w:rFonts w:cs="Arial"/>
              </w:rPr>
              <w:t xml:space="preserve"> produced no visible toxic effects</w:t>
            </w:r>
          </w:p>
          <w:p w14:paraId="6C239CB9" w14:textId="77777777" w:rsidR="00E6104E" w:rsidRPr="00E6104E" w:rsidRDefault="00E6104E" w:rsidP="001A3F25">
            <w:pPr>
              <w:pStyle w:val="ListBullet"/>
              <w:spacing w:before="60" w:after="60"/>
              <w:ind w:left="720"/>
              <w:contextualSpacing w:val="0"/>
            </w:pPr>
            <w:r>
              <w:rPr>
                <w:rFonts w:cs="Arial"/>
              </w:rPr>
              <w:t>Negative results in mutagenicity assays</w:t>
            </w:r>
          </w:p>
          <w:p w14:paraId="630570E2" w14:textId="77777777" w:rsidR="00E6104E" w:rsidRPr="00123A2D" w:rsidRDefault="00E6104E" w:rsidP="001A3F25">
            <w:pPr>
              <w:pStyle w:val="ListBullet"/>
              <w:spacing w:before="60" w:after="60"/>
              <w:ind w:left="720"/>
              <w:contextualSpacing w:val="0"/>
            </w:pPr>
            <w:r>
              <w:rPr>
                <w:rFonts w:cs="Arial"/>
              </w:rPr>
              <w:t xml:space="preserve">Exposure </w:t>
            </w:r>
            <w:r w:rsidR="001A3F25">
              <w:rPr>
                <w:rFonts w:cs="Arial"/>
              </w:rPr>
              <w:t>at</w:t>
            </w:r>
            <w:r>
              <w:rPr>
                <w:rFonts w:cs="Arial"/>
              </w:rPr>
              <w:t xml:space="preserve"> 0.27 </w:t>
            </w:r>
            <w:r w:rsidR="001A3F25">
              <w:rPr>
                <w:rFonts w:cs="Arial"/>
              </w:rPr>
              <w:t xml:space="preserve">ppm </w:t>
            </w:r>
            <w:r>
              <w:rPr>
                <w:rFonts w:cs="Arial"/>
              </w:rPr>
              <w:t>aerosol (rats, 6 h, 6 exposures, inhalation) produced no carcinogenic effects</w:t>
            </w:r>
            <w:r w:rsidR="004807EA">
              <w:rPr>
                <w:rFonts w:cs="Arial"/>
              </w:rPr>
              <w:t>.</w:t>
            </w:r>
          </w:p>
          <w:p w14:paraId="35EEB39E" w14:textId="3D258253" w:rsidR="001D59C2" w:rsidRPr="00DA352E" w:rsidRDefault="001D59C2" w:rsidP="0047094B">
            <w:pPr>
              <w:pStyle w:val="ListBullet"/>
              <w:numPr>
                <w:ilvl w:val="0"/>
                <w:numId w:val="0"/>
              </w:numPr>
              <w:spacing w:before="60" w:after="60"/>
              <w:contextualSpacing w:val="0"/>
            </w:pPr>
          </w:p>
        </w:tc>
      </w:tr>
      <w:tr w:rsidR="00C978F0" w:rsidRPr="00DA352E" w14:paraId="7C8E0D95" w14:textId="77777777" w:rsidTr="0086592E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FEE85C0" w14:textId="77777777" w:rsidR="00C978F0" w:rsidRPr="00DA352E" w:rsidRDefault="00DA352E" w:rsidP="001A3F25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lastRenderedPageBreak/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854AF6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854AF6" w:rsidRPr="00854AF6">
                  <w:t>STEL (15 mins)</w:t>
                </w:r>
                <w:r w:rsidR="00854AF6">
                  <w:t>: 1 ppm (2.6 mg/m</w:t>
                </w:r>
                <w:r w:rsidR="00854AF6" w:rsidRPr="00854AF6">
                  <w:rPr>
                    <w:vertAlign w:val="superscript"/>
                  </w:rPr>
                  <w:t>3</w:t>
                </w:r>
                <w:r w:rsidR="00854AF6">
                  <w:t>)</w:t>
                </w:r>
              </w:sdtContent>
            </w:sdt>
          </w:p>
        </w:tc>
      </w:tr>
      <w:tr w:rsidR="00C978F0" w:rsidRPr="00DA352E" w14:paraId="3880226C" w14:textId="77777777" w:rsidTr="0086592E">
        <w:trPr>
          <w:gridAfter w:val="1"/>
          <w:wAfter w:w="8" w:type="pct"/>
          <w:cantSplit/>
        </w:trPr>
        <w:tc>
          <w:tcPr>
            <w:tcW w:w="4992" w:type="pct"/>
          </w:tcPr>
          <w:p w14:paraId="70AC10A0" w14:textId="1E1B4F7A" w:rsidR="00C978F0" w:rsidRDefault="009555FB" w:rsidP="004807EA">
            <w:pPr>
              <w:pStyle w:val="Tabletextprimarysource"/>
            </w:pPr>
            <w:r>
              <w:t>T</w:t>
            </w:r>
            <w:r w:rsidRPr="009555FB">
              <w:t>he NOAEL of 1.6 ppm for local short-term (10 min) effects</w:t>
            </w:r>
            <w:r>
              <w:t xml:space="preserve"> </w:t>
            </w:r>
            <w:r w:rsidRPr="009555FB">
              <w:t xml:space="preserve">is considered to provide a basis for </w:t>
            </w:r>
            <w:r w:rsidR="00097145">
              <w:t>assigning</w:t>
            </w:r>
            <w:r w:rsidR="00097145" w:rsidRPr="009555FB">
              <w:t xml:space="preserve"> </w:t>
            </w:r>
            <w:r w:rsidRPr="009555FB">
              <w:t>a STEL</w:t>
            </w:r>
            <w:r w:rsidR="000B16C0">
              <w:t>.</w:t>
            </w:r>
          </w:p>
          <w:p w14:paraId="4CE2B4BD" w14:textId="28FB3FB5" w:rsidR="000B16C0" w:rsidRDefault="000B16C0" w:rsidP="000B16C0">
            <w:pPr>
              <w:pStyle w:val="Tabletextprimarysource"/>
            </w:pPr>
            <w:r>
              <w:t>Summary of additional data:</w:t>
            </w:r>
          </w:p>
          <w:p w14:paraId="1406C1F0" w14:textId="50E8C1F8" w:rsidR="009555FB" w:rsidRDefault="009555FB" w:rsidP="001A3F25">
            <w:pPr>
              <w:pStyle w:val="ListBullet"/>
              <w:spacing w:before="60" w:after="60"/>
              <w:ind w:left="720"/>
              <w:contextualSpacing w:val="0"/>
            </w:pPr>
            <w:r>
              <w:t>V</w:t>
            </w:r>
            <w:r w:rsidRPr="009555FB">
              <w:t>apours from heated nitric acid in concentrations of 11.5</w:t>
            </w:r>
            <w:r w:rsidR="004807EA">
              <w:t>–</w:t>
            </w:r>
            <w:r>
              <w:t xml:space="preserve">12.2 ppm </w:t>
            </w:r>
            <w:r w:rsidRPr="009555FB">
              <w:t xml:space="preserve">could not be inhaled </w:t>
            </w:r>
            <w:r w:rsidR="00A85B8A">
              <w:t>&gt;</w:t>
            </w:r>
            <w:r w:rsidRPr="009555FB">
              <w:t>1 h without causing health effects in humans</w:t>
            </w:r>
          </w:p>
          <w:p w14:paraId="624AD8BF" w14:textId="0C661699" w:rsidR="009555FB" w:rsidRDefault="009555FB" w:rsidP="001A3F25">
            <w:pPr>
              <w:pStyle w:val="ListBullet"/>
              <w:spacing w:before="60" w:after="60"/>
              <w:ind w:left="720"/>
              <w:contextualSpacing w:val="0"/>
            </w:pPr>
            <w:r>
              <w:t>E</w:t>
            </w:r>
            <w:r w:rsidRPr="009555FB">
              <w:t xml:space="preserve">xposure </w:t>
            </w:r>
            <w:r w:rsidR="00136C24">
              <w:t>at</w:t>
            </w:r>
            <w:r w:rsidR="00136C24" w:rsidRPr="009555FB">
              <w:t xml:space="preserve"> </w:t>
            </w:r>
            <w:r w:rsidRPr="009555FB">
              <w:t>1.6 ppm (</w:t>
            </w:r>
            <w:r>
              <w:t>human, inhalation</w:t>
            </w:r>
            <w:r w:rsidRPr="009555FB">
              <w:t>) for 10 min had no effect on pulmonary function in healthy volunteers</w:t>
            </w:r>
            <w:r>
              <w:t>, study was limited to 5 subject</w:t>
            </w:r>
            <w:r w:rsidR="004807EA">
              <w:t>s</w:t>
            </w:r>
            <w:r>
              <w:t xml:space="preserve"> and </w:t>
            </w:r>
            <w:r w:rsidR="004807EA">
              <w:t>1</w:t>
            </w:r>
            <w:r>
              <w:t xml:space="preserve"> concentration</w:t>
            </w:r>
          </w:p>
          <w:p w14:paraId="46F53B3A" w14:textId="77777777" w:rsidR="009555FB" w:rsidRDefault="009555FB" w:rsidP="001A3F25">
            <w:pPr>
              <w:pStyle w:val="ListBullet"/>
              <w:spacing w:before="60" w:after="60"/>
              <w:ind w:left="720"/>
              <w:contextualSpacing w:val="0"/>
            </w:pPr>
            <w:r w:rsidRPr="009555FB">
              <w:t>No evidence of mutagenicity was found in bacterial studies</w:t>
            </w:r>
            <w:r w:rsidR="004807EA">
              <w:t>.</w:t>
            </w:r>
          </w:p>
          <w:p w14:paraId="6C69F8F1" w14:textId="63797E75" w:rsidR="001D59C2" w:rsidRPr="00DA352E" w:rsidRDefault="001D59C2" w:rsidP="00B315B7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</w:p>
        </w:tc>
      </w:tr>
      <w:tr w:rsidR="00DA352E" w:rsidRPr="00DA352E" w14:paraId="1739667E" w14:textId="77777777" w:rsidTr="0086592E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6B5603A" w14:textId="77777777" w:rsidR="00DA352E" w:rsidRPr="00DA352E" w:rsidRDefault="00DA352E" w:rsidP="001A3F25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077734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077734">
                  <w:t>NA</w:t>
                </w:r>
                <w:proofErr w:type="spellEnd"/>
              </w:sdtContent>
            </w:sdt>
          </w:p>
        </w:tc>
      </w:tr>
      <w:tr w:rsidR="00DA352E" w:rsidRPr="00DA352E" w14:paraId="5C741B44" w14:textId="77777777" w:rsidTr="0086592E">
        <w:trPr>
          <w:gridAfter w:val="1"/>
          <w:wAfter w:w="8" w:type="pct"/>
          <w:cantSplit/>
        </w:trPr>
        <w:tc>
          <w:tcPr>
            <w:tcW w:w="4992" w:type="pct"/>
          </w:tcPr>
          <w:p w14:paraId="101DA5F3" w14:textId="425228AF" w:rsidR="00DA352E" w:rsidRPr="00DA352E" w:rsidRDefault="00077734" w:rsidP="004807EA">
            <w:pPr>
              <w:pStyle w:val="Tabletextprimarysource"/>
            </w:pPr>
            <w:r>
              <w:t>No report</w:t>
            </w:r>
            <w:r w:rsidR="004807EA">
              <w:t>.</w:t>
            </w:r>
          </w:p>
        </w:tc>
      </w:tr>
      <w:tr w:rsidR="00DA352E" w:rsidRPr="00DA352E" w14:paraId="52C6B326" w14:textId="77777777" w:rsidTr="0086592E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D46DE2F" w14:textId="77777777" w:rsidR="00DA352E" w:rsidRPr="00DA352E" w:rsidRDefault="00DA352E" w:rsidP="001A3F25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077734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proofErr w:type="spellStart"/>
                <w:r w:rsidR="00077734">
                  <w:t>NA</w:t>
                </w:r>
                <w:proofErr w:type="spellEnd"/>
              </w:sdtContent>
            </w:sdt>
          </w:p>
        </w:tc>
      </w:tr>
      <w:tr w:rsidR="00DA352E" w:rsidRPr="00DA352E" w14:paraId="70907FE2" w14:textId="77777777" w:rsidTr="0086592E">
        <w:trPr>
          <w:gridAfter w:val="1"/>
          <w:wAfter w:w="8" w:type="pct"/>
          <w:cantSplit/>
        </w:trPr>
        <w:tc>
          <w:tcPr>
            <w:tcW w:w="4992" w:type="pct"/>
          </w:tcPr>
          <w:p w14:paraId="2BD39F3C" w14:textId="64EF90FF" w:rsidR="00DA352E" w:rsidRPr="00DA352E" w:rsidRDefault="00077734" w:rsidP="004807EA">
            <w:pPr>
              <w:pStyle w:val="Tabletextprimarysource"/>
            </w:pPr>
            <w:r>
              <w:t>No report</w:t>
            </w:r>
            <w:r w:rsidR="004807EA">
              <w:t>.</w:t>
            </w:r>
          </w:p>
        </w:tc>
      </w:tr>
    </w:tbl>
    <w:p w14:paraId="7286FF0E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20" w:firstRow="1" w:lastRow="0" w:firstColumn="0" w:lastColumn="0" w:noHBand="1" w:noVBand="1"/>
        <w:tblCaption w:val="Table"/>
        <w:tblDescription w:val="Listing secondary sources with reports"/>
      </w:tblPr>
      <w:tblGrid>
        <w:gridCol w:w="1497"/>
        <w:gridCol w:w="424"/>
        <w:gridCol w:w="661"/>
        <w:gridCol w:w="6444"/>
      </w:tblGrid>
      <w:tr w:rsidR="00970FC0" w:rsidRPr="0086592E" w14:paraId="4842CE0F" w14:textId="77777777" w:rsidTr="00865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93"/>
          <w:tblHeader/>
        </w:trPr>
        <w:tc>
          <w:tcPr>
            <w:tcW w:w="1497" w:type="dxa"/>
            <w:shd w:val="clear" w:color="auto" w:fill="BFBFBF" w:themeFill="background1" w:themeFillShade="BF"/>
            <w:vAlign w:val="center"/>
          </w:tcPr>
          <w:p w14:paraId="3FF3A2F6" w14:textId="77777777" w:rsidR="004966BF" w:rsidRPr="0086592E" w:rsidRDefault="004966BF" w:rsidP="00263255">
            <w:pPr>
              <w:pStyle w:val="Tableheader"/>
              <w:rPr>
                <w:b/>
              </w:rPr>
            </w:pPr>
            <w:r w:rsidRPr="0086592E">
              <w:rPr>
                <w:b/>
              </w:rPr>
              <w:t>Source</w:t>
            </w:r>
          </w:p>
        </w:tc>
        <w:tc>
          <w:tcPr>
            <w:tcW w:w="424" w:type="dxa"/>
            <w:shd w:val="clear" w:color="auto" w:fill="BFBFBF" w:themeFill="background1" w:themeFillShade="BF"/>
            <w:vAlign w:val="center"/>
          </w:tcPr>
          <w:p w14:paraId="00BFA059" w14:textId="77777777" w:rsidR="004966BF" w:rsidRPr="0086592E" w:rsidRDefault="004966BF" w:rsidP="00263255">
            <w:pPr>
              <w:pStyle w:val="Tableheader"/>
              <w:rPr>
                <w:b/>
              </w:rPr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527715CD" w14:textId="77777777" w:rsidR="004966BF" w:rsidRPr="0086592E" w:rsidRDefault="004966BF" w:rsidP="00263255">
            <w:pPr>
              <w:pStyle w:val="Tableheader"/>
              <w:rPr>
                <w:b/>
              </w:rPr>
            </w:pPr>
            <w:r w:rsidRPr="0086592E">
              <w:rPr>
                <w:b/>
              </w:rPr>
              <w:t>Year</w:t>
            </w:r>
          </w:p>
        </w:tc>
        <w:tc>
          <w:tcPr>
            <w:tcW w:w="6444" w:type="dxa"/>
            <w:shd w:val="clear" w:color="auto" w:fill="BFBFBF" w:themeFill="background1" w:themeFillShade="BF"/>
            <w:vAlign w:val="center"/>
          </w:tcPr>
          <w:p w14:paraId="3D8C3E67" w14:textId="77777777" w:rsidR="004966BF" w:rsidRPr="0086592E" w:rsidRDefault="004966BF" w:rsidP="00263255">
            <w:pPr>
              <w:pStyle w:val="Tableheader"/>
              <w:rPr>
                <w:b/>
              </w:rPr>
            </w:pPr>
            <w:r w:rsidRPr="0086592E">
              <w:rPr>
                <w:b/>
              </w:rPr>
              <w:t>Additional information</w:t>
            </w:r>
          </w:p>
        </w:tc>
      </w:tr>
      <w:tr w:rsidR="00970FC0" w:rsidRPr="004C23F4" w14:paraId="6765BD20" w14:textId="77777777" w:rsidTr="0086592E">
        <w:trPr>
          <w:cantSplit/>
        </w:trPr>
        <w:tc>
          <w:tcPr>
            <w:tcW w:w="1497" w:type="dxa"/>
          </w:tcPr>
          <w:p w14:paraId="45E7EAB8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4" w:type="dxa"/>
          </w:tcPr>
          <w:p w14:paraId="6D246371" w14:textId="77777777" w:rsidR="004966BF" w:rsidRPr="00CE617F" w:rsidRDefault="0086592E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3B6D65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2807D4A6" w14:textId="77777777" w:rsidR="004966BF" w:rsidRPr="004C23F4" w:rsidRDefault="00F544EF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2015</w:t>
            </w:r>
          </w:p>
        </w:tc>
        <w:tc>
          <w:tcPr>
            <w:tcW w:w="6444" w:type="dxa"/>
          </w:tcPr>
          <w:p w14:paraId="4F759BAD" w14:textId="77777777" w:rsidR="004966BF" w:rsidRDefault="003C25BF" w:rsidP="00B315B7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 xml:space="preserve">Inhalation exposure at 0.2 ppm cause no respiratory effects in </w:t>
            </w:r>
            <w:r w:rsidRPr="001A3F25">
              <w:t>humans</w:t>
            </w:r>
          </w:p>
          <w:p w14:paraId="216EDA89" w14:textId="484A07A5" w:rsidR="00F74096" w:rsidRDefault="008D6725" w:rsidP="00B315B7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 w:rsidRPr="00E6104E">
              <w:rPr>
                <w:rStyle w:val="checkbox"/>
                <w:rFonts w:ascii="Arial" w:hAnsi="Arial" w:cs="Arial"/>
              </w:rPr>
              <w:t>Exposure</w:t>
            </w:r>
            <w:r>
              <w:rPr>
                <w:rStyle w:val="checkbox"/>
                <w:rFonts w:ascii="Arial" w:hAnsi="Arial" w:cs="Arial"/>
              </w:rPr>
              <w:t xml:space="preserve"> </w:t>
            </w:r>
            <w:r w:rsidR="003A6DD4">
              <w:rPr>
                <w:rStyle w:val="checkbox"/>
                <w:rFonts w:ascii="Arial" w:hAnsi="Arial" w:cs="Arial"/>
              </w:rPr>
              <w:t>at</w:t>
            </w:r>
            <w:r>
              <w:rPr>
                <w:rStyle w:val="checkbox"/>
                <w:rFonts w:ascii="Arial" w:hAnsi="Arial" w:cs="Arial"/>
              </w:rPr>
              <w:t xml:space="preserve"> 0.05, 0.15 and 0.45 mg/m</w:t>
            </w:r>
            <w:r w:rsidRPr="003B6D65">
              <w:rPr>
                <w:rStyle w:val="checkbox"/>
                <w:rFonts w:ascii="Arial" w:hAnsi="Arial" w:cs="Arial"/>
                <w:vertAlign w:val="superscript"/>
              </w:rPr>
              <w:t>3</w:t>
            </w:r>
            <w:r>
              <w:rPr>
                <w:rStyle w:val="checkbox"/>
                <w:rFonts w:ascii="Arial" w:hAnsi="Arial" w:cs="Arial"/>
              </w:rPr>
              <w:t xml:space="preserve"> (rabbits, 4 h/d, 3 d/wk, 4 wk) </w:t>
            </w:r>
            <w:r w:rsidRPr="001A3F25">
              <w:t>produced</w:t>
            </w:r>
            <w:r>
              <w:rPr>
                <w:rStyle w:val="checkbox"/>
                <w:rFonts w:ascii="Arial" w:hAnsi="Arial" w:cs="Arial"/>
              </w:rPr>
              <w:t xml:space="preserve"> a</w:t>
            </w:r>
            <w:r>
              <w:t xml:space="preserve"> </w:t>
            </w:r>
            <w:r w:rsidRPr="003B6D65">
              <w:rPr>
                <w:rStyle w:val="checkbox"/>
                <w:rFonts w:ascii="Arial" w:hAnsi="Arial" w:cs="Arial"/>
              </w:rPr>
              <w:t>reduction of superoxide l</w:t>
            </w:r>
            <w:r w:rsidR="00191B55">
              <w:rPr>
                <w:rStyle w:val="checkbox"/>
                <w:rFonts w:ascii="Arial" w:hAnsi="Arial" w:cs="Arial"/>
              </w:rPr>
              <w:t>evels</w:t>
            </w:r>
            <w:r w:rsidRPr="003B6D65">
              <w:rPr>
                <w:rStyle w:val="checkbox"/>
                <w:rFonts w:ascii="Arial" w:hAnsi="Arial" w:cs="Arial"/>
              </w:rPr>
              <w:t xml:space="preserve"> and a reduction in bronchial response to pharmacologic agents</w:t>
            </w:r>
            <w:r w:rsidR="00E6104E">
              <w:rPr>
                <w:rStyle w:val="checkbox"/>
                <w:rFonts w:ascii="Arial" w:hAnsi="Arial" w:cs="Arial"/>
              </w:rPr>
              <w:t xml:space="preserve"> </w:t>
            </w:r>
            <w:r w:rsidR="00E6104E" w:rsidRPr="00E6104E">
              <w:rPr>
                <w:rStyle w:val="checkbox"/>
                <w:rFonts w:ascii="Arial" w:hAnsi="Arial" w:cs="Arial"/>
              </w:rPr>
              <w:t>indicat</w:t>
            </w:r>
            <w:r w:rsidR="00E6104E">
              <w:rPr>
                <w:rStyle w:val="checkbox"/>
                <w:rFonts w:ascii="Arial" w:hAnsi="Arial" w:cs="Arial"/>
              </w:rPr>
              <w:t>ing</w:t>
            </w:r>
            <w:r w:rsidR="00E6104E" w:rsidRPr="00E6104E">
              <w:rPr>
                <w:rStyle w:val="checkbox"/>
                <w:rFonts w:ascii="Arial" w:hAnsi="Arial" w:cs="Arial"/>
              </w:rPr>
              <w:t xml:space="preserve"> effects on both the conducting and respiratory airways</w:t>
            </w:r>
            <w:r w:rsidR="00A44FB9">
              <w:rPr>
                <w:rStyle w:val="checkbox"/>
                <w:rFonts w:ascii="Arial" w:hAnsi="Arial" w:cs="Arial"/>
              </w:rPr>
              <w:t>:</w:t>
            </w:r>
          </w:p>
          <w:p w14:paraId="16BCE339" w14:textId="6055F99B" w:rsidR="008D6725" w:rsidRPr="008D6725" w:rsidRDefault="00F74096" w:rsidP="00F74096">
            <w:pPr>
              <w:pStyle w:val="ListBullet"/>
              <w:numPr>
                <w:ilvl w:val="0"/>
                <w:numId w:val="19"/>
              </w:numPr>
              <w:spacing w:before="60" w:after="60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s</w:t>
            </w:r>
            <w:r w:rsidR="00970FC0" w:rsidRPr="00970FC0">
              <w:rPr>
                <w:rStyle w:val="checkbox"/>
                <w:rFonts w:ascii="Arial" w:hAnsi="Arial" w:cs="Arial"/>
              </w:rPr>
              <w:t>ystemic effect</w:t>
            </w:r>
            <w:r w:rsidR="00970FC0">
              <w:rPr>
                <w:rStyle w:val="checkbox"/>
                <w:rFonts w:ascii="Arial" w:hAnsi="Arial" w:cs="Arial"/>
              </w:rPr>
              <w:t>s</w:t>
            </w:r>
            <w:r w:rsidR="00970FC0" w:rsidRPr="00970FC0">
              <w:rPr>
                <w:rStyle w:val="checkbox"/>
                <w:rFonts w:ascii="Arial" w:hAnsi="Arial" w:cs="Arial"/>
              </w:rPr>
              <w:t xml:space="preserve"> </w:t>
            </w:r>
            <w:r w:rsidR="00970FC0">
              <w:rPr>
                <w:rStyle w:val="checkbox"/>
                <w:rFonts w:ascii="Arial" w:hAnsi="Arial" w:cs="Arial"/>
              </w:rPr>
              <w:t xml:space="preserve">not </w:t>
            </w:r>
            <w:r w:rsidR="00970FC0" w:rsidRPr="00970FC0">
              <w:rPr>
                <w:rStyle w:val="checkbox"/>
                <w:rFonts w:ascii="Arial" w:hAnsi="Arial" w:cs="Arial"/>
              </w:rPr>
              <w:t xml:space="preserve">reported. </w:t>
            </w:r>
          </w:p>
        </w:tc>
      </w:tr>
      <w:tr w:rsidR="00970FC0" w:rsidRPr="004C23F4" w14:paraId="6B2F251C" w14:textId="77777777" w:rsidTr="0086592E">
        <w:trPr>
          <w:cantSplit/>
        </w:trPr>
        <w:tc>
          <w:tcPr>
            <w:tcW w:w="1497" w:type="dxa"/>
          </w:tcPr>
          <w:p w14:paraId="4515500A" w14:textId="77777777" w:rsidR="004966BF" w:rsidRPr="004C23F4" w:rsidRDefault="004966BF" w:rsidP="00224EE2">
            <w:pPr>
              <w:pStyle w:val="Tablefont"/>
            </w:pPr>
            <w:r>
              <w:t>ECHA</w:t>
            </w:r>
          </w:p>
        </w:tc>
        <w:tc>
          <w:tcPr>
            <w:tcW w:w="424" w:type="dxa"/>
          </w:tcPr>
          <w:p w14:paraId="5DAC5A2F" w14:textId="77777777" w:rsidR="004966BF" w:rsidRPr="00CE617F" w:rsidRDefault="0086592E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2066787458"/>
                <w:placeholder>
                  <w:docPart w:val="EA32968BF93744FAABC5FC124DBE04BD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F544EF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380CB303" w14:textId="77777777" w:rsidR="004966BF" w:rsidRPr="004C23F4" w:rsidRDefault="00F544EF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2011</w:t>
            </w:r>
          </w:p>
        </w:tc>
        <w:tc>
          <w:tcPr>
            <w:tcW w:w="6444" w:type="dxa"/>
          </w:tcPr>
          <w:p w14:paraId="5A3C502E" w14:textId="2BB6D0CA" w:rsidR="00F544EF" w:rsidRDefault="00F544EF" w:rsidP="001A3F25">
            <w:pPr>
              <w:pStyle w:val="ListBullet"/>
              <w:spacing w:before="60" w:after="60"/>
              <w:ind w:left="720"/>
              <w:contextualSpacing w:val="0"/>
              <w:rPr>
                <w:rFonts w:cs="Arial"/>
              </w:rPr>
            </w:pPr>
            <w:r w:rsidRPr="004807EA">
              <w:t>Aerosol</w:t>
            </w:r>
            <w:r>
              <w:rPr>
                <w:rFonts w:cs="Arial"/>
              </w:rPr>
              <w:t xml:space="preserve"> fraction LC</w:t>
            </w:r>
            <w:r w:rsidRPr="00F544EF">
              <w:rPr>
                <w:rFonts w:cs="Arial"/>
                <w:vertAlign w:val="subscript"/>
              </w:rPr>
              <w:t>50</w:t>
            </w:r>
            <w:r>
              <w:rPr>
                <w:rFonts w:cs="Arial"/>
              </w:rPr>
              <w:t>: &gt;2,650 mg/m</w:t>
            </w:r>
            <w:r w:rsidRPr="00F544EF">
              <w:rPr>
                <w:rFonts w:cs="Arial"/>
                <w:vertAlign w:val="superscript"/>
              </w:rPr>
              <w:t>3</w:t>
            </w:r>
            <w:r w:rsidR="00A85B8A">
              <w:rPr>
                <w:rFonts w:cs="Arial"/>
              </w:rPr>
              <w:t xml:space="preserve"> (rats, 4 h</w:t>
            </w:r>
            <w:r>
              <w:rPr>
                <w:rFonts w:cs="Arial"/>
              </w:rPr>
              <w:t>)</w:t>
            </w:r>
          </w:p>
          <w:p w14:paraId="56DCE999" w14:textId="5AF4DE72" w:rsidR="00F544EF" w:rsidRPr="00F544EF" w:rsidRDefault="008D6725" w:rsidP="001A3F25">
            <w:pPr>
              <w:pStyle w:val="ListBullet"/>
              <w:spacing w:before="60" w:after="60"/>
              <w:ind w:left="720"/>
              <w:contextualSpacing w:val="0"/>
              <w:rPr>
                <w:rFonts w:cs="Arial"/>
              </w:rPr>
            </w:pPr>
            <w:r w:rsidRPr="004807EA">
              <w:t>Negative</w:t>
            </w:r>
            <w:r>
              <w:rPr>
                <w:rFonts w:cs="Arial"/>
              </w:rPr>
              <w:t xml:space="preserve"> results in </w:t>
            </w:r>
            <w:r w:rsidR="00970FC0">
              <w:rPr>
                <w:rFonts w:cs="Arial"/>
                <w:i/>
              </w:rPr>
              <w:t>i</w:t>
            </w:r>
            <w:r w:rsidRPr="008D6725">
              <w:rPr>
                <w:rFonts w:cs="Arial"/>
                <w:i/>
              </w:rPr>
              <w:t>n vitro</w:t>
            </w:r>
            <w:r>
              <w:rPr>
                <w:rFonts w:cs="Arial"/>
              </w:rPr>
              <w:t xml:space="preserve"> mutagenicity assays</w:t>
            </w:r>
          </w:p>
          <w:p w14:paraId="73FA7A34" w14:textId="7F06B279" w:rsidR="003B6D65" w:rsidRPr="002237F1" w:rsidRDefault="008D6725" w:rsidP="001A3F25">
            <w:pPr>
              <w:pStyle w:val="ListBullet"/>
              <w:spacing w:before="60" w:after="60"/>
              <w:ind w:left="720"/>
              <w:contextualSpacing w:val="0"/>
              <w:rPr>
                <w:rStyle w:val="checkbox"/>
                <w:rFonts w:ascii="Arial" w:hAnsi="Arial" w:cs="Arial"/>
                <w:i/>
              </w:rPr>
            </w:pPr>
            <w:r w:rsidRPr="004807EA">
              <w:t>Inconclusive</w:t>
            </w:r>
            <w:r>
              <w:rPr>
                <w:rFonts w:cs="Arial"/>
              </w:rPr>
              <w:t xml:space="preserve"> results in </w:t>
            </w:r>
            <w:r w:rsidR="00970FC0">
              <w:rPr>
                <w:rFonts w:cs="Arial"/>
                <w:i/>
              </w:rPr>
              <w:t>i</w:t>
            </w:r>
            <w:r w:rsidRPr="008D6725">
              <w:rPr>
                <w:rFonts w:cs="Arial"/>
                <w:i/>
              </w:rPr>
              <w:t xml:space="preserve">n vivo </w:t>
            </w:r>
            <w:r w:rsidRPr="008D6725">
              <w:rPr>
                <w:rFonts w:cs="Arial"/>
              </w:rPr>
              <w:t>genotoxicity</w:t>
            </w:r>
            <w:r w:rsidRPr="008D6725">
              <w:rPr>
                <w:rFonts w:cs="Arial"/>
                <w:i/>
              </w:rPr>
              <w:t xml:space="preserve"> assay</w:t>
            </w:r>
            <w:r w:rsidR="004807EA">
              <w:rPr>
                <w:rFonts w:cs="Arial"/>
              </w:rPr>
              <w:t>.</w:t>
            </w:r>
          </w:p>
        </w:tc>
      </w:tr>
    </w:tbl>
    <w:bookmarkEnd w:id="0"/>
    <w:p w14:paraId="0AA91ED7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62F37A27" w14:textId="77777777" w:rsidTr="00DE289A">
        <w:trPr>
          <w:trHeight w:val="454"/>
          <w:tblHeader/>
        </w:trPr>
        <w:tc>
          <w:tcPr>
            <w:tcW w:w="6603" w:type="dxa"/>
            <w:vAlign w:val="center"/>
          </w:tcPr>
          <w:p w14:paraId="1510C66B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3F98C612" w14:textId="086D237F" w:rsidR="002E0D61" w:rsidRDefault="00DE289A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182F8B42" w14:textId="77777777" w:rsidTr="00DE289A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6015B8C8" w14:textId="094F9AB4" w:rsidR="008A36CF" w:rsidRPr="006901A2" w:rsidRDefault="00DE289A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3C5EB416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1"/>
    <w:p w14:paraId="6A3F9D50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20" w:firstRow="1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86592E" w14:paraId="315DA2F4" w14:textId="77777777" w:rsidTr="00865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2583072A" w14:textId="77777777" w:rsidR="00687890" w:rsidRPr="0086592E" w:rsidRDefault="00687890" w:rsidP="00263255">
            <w:pPr>
              <w:pStyle w:val="Tableheader"/>
              <w:rPr>
                <w:b/>
              </w:rPr>
            </w:pPr>
            <w:bookmarkStart w:id="2" w:name="Notations"/>
            <w:bookmarkStart w:id="3" w:name="_GoBack" w:colFirst="0" w:colLast="2"/>
            <w:r w:rsidRPr="0086592E">
              <w:rPr>
                <w:b/>
              </w:rPr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2EB6AED3" w14:textId="77777777" w:rsidR="00687890" w:rsidRPr="0086592E" w:rsidRDefault="00687890" w:rsidP="00F4402E">
            <w:pPr>
              <w:pStyle w:val="Tableheader"/>
              <w:tabs>
                <w:tab w:val="right" w:pos="5272"/>
              </w:tabs>
              <w:rPr>
                <w:b/>
              </w:rPr>
            </w:pPr>
            <w:r w:rsidRPr="0086592E">
              <w:rPr>
                <w:b/>
              </w:rPr>
              <w:t>Notations</w:t>
            </w:r>
            <w:r w:rsidR="003A2B94" w:rsidRPr="0086592E">
              <w:rPr>
                <w:b/>
              </w:rPr>
              <w:tab/>
            </w:r>
          </w:p>
        </w:tc>
      </w:tr>
      <w:bookmarkEnd w:id="3"/>
      <w:tr w:rsidR="00687890" w:rsidRPr="004C23F4" w14:paraId="3B45D4E9" w14:textId="77777777" w:rsidTr="0086592E">
        <w:trPr>
          <w:cantSplit/>
        </w:trPr>
        <w:tc>
          <w:tcPr>
            <w:tcW w:w="3227" w:type="dxa"/>
          </w:tcPr>
          <w:p w14:paraId="70413D5C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11DBE0A5" w14:textId="77777777" w:rsidR="00687890" w:rsidRPr="00DD2F9B" w:rsidRDefault="00077734" w:rsidP="00DD2F9B">
            <w:pPr>
              <w:pStyle w:val="Tablefont"/>
            </w:pPr>
            <w:r>
              <w:t>NA</w:t>
            </w:r>
          </w:p>
        </w:tc>
      </w:tr>
      <w:tr w:rsidR="007925F0" w:rsidRPr="004C23F4" w14:paraId="24062AF8" w14:textId="77777777" w:rsidTr="0086592E">
        <w:trPr>
          <w:cantSplit/>
        </w:trPr>
        <w:tc>
          <w:tcPr>
            <w:tcW w:w="3227" w:type="dxa"/>
          </w:tcPr>
          <w:p w14:paraId="0105C69D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55A131F3" w14:textId="77777777" w:rsidR="007925F0" w:rsidRPr="00DD2F9B" w:rsidRDefault="00077734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2552606A" w14:textId="77777777" w:rsidTr="0086592E">
        <w:trPr>
          <w:cantSplit/>
        </w:trPr>
        <w:tc>
          <w:tcPr>
            <w:tcW w:w="3227" w:type="dxa"/>
          </w:tcPr>
          <w:p w14:paraId="1BAB3C6B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1339A3EC" w14:textId="77777777" w:rsidR="00AF483F" w:rsidRPr="00DD2F9B" w:rsidRDefault="00077734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0EFE0627" w14:textId="77777777" w:rsidTr="0086592E">
        <w:trPr>
          <w:cantSplit/>
        </w:trPr>
        <w:tc>
          <w:tcPr>
            <w:tcW w:w="3227" w:type="dxa"/>
          </w:tcPr>
          <w:p w14:paraId="64498784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73E0B7F4" w14:textId="77777777" w:rsidR="00687890" w:rsidRPr="00DD2F9B" w:rsidRDefault="00077734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710AD14C" w14:textId="77777777" w:rsidTr="0086592E">
        <w:trPr>
          <w:cantSplit/>
        </w:trPr>
        <w:tc>
          <w:tcPr>
            <w:tcW w:w="3227" w:type="dxa"/>
          </w:tcPr>
          <w:p w14:paraId="423EB90B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7B4DC1A5" w14:textId="77777777" w:rsidR="00E41A26" w:rsidRPr="00DD2F9B" w:rsidRDefault="00077734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00003146" w14:textId="77777777" w:rsidTr="0086592E">
        <w:trPr>
          <w:cantSplit/>
        </w:trPr>
        <w:tc>
          <w:tcPr>
            <w:tcW w:w="3227" w:type="dxa"/>
          </w:tcPr>
          <w:p w14:paraId="470C4247" w14:textId="77777777" w:rsidR="004079B4" w:rsidRPr="004C23F4" w:rsidRDefault="002E0D61" w:rsidP="00F4402E">
            <w:pPr>
              <w:pStyle w:val="Tablefont"/>
            </w:pPr>
            <w:r>
              <w:lastRenderedPageBreak/>
              <w:t>ACGIH</w:t>
            </w:r>
          </w:p>
        </w:tc>
        <w:tc>
          <w:tcPr>
            <w:tcW w:w="6015" w:type="dxa"/>
          </w:tcPr>
          <w:p w14:paraId="3C576666" w14:textId="77777777" w:rsidR="002E0D61" w:rsidRPr="00DD2F9B" w:rsidRDefault="00077734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159DB6E0" w14:textId="77777777" w:rsidTr="0086592E">
        <w:trPr>
          <w:cantSplit/>
        </w:trPr>
        <w:tc>
          <w:tcPr>
            <w:tcW w:w="3227" w:type="dxa"/>
          </w:tcPr>
          <w:p w14:paraId="226EF238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154F1322" w14:textId="77777777" w:rsidR="002E0D61" w:rsidRPr="00DD2F9B" w:rsidRDefault="00077734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7CCC44B0" w14:textId="77777777" w:rsidTr="0086592E">
        <w:trPr>
          <w:cantSplit/>
        </w:trPr>
        <w:tc>
          <w:tcPr>
            <w:tcW w:w="3227" w:type="dxa"/>
          </w:tcPr>
          <w:p w14:paraId="5E7D79B4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0EB2CF6D" w14:textId="77777777" w:rsidR="002E0D61" w:rsidRPr="00DD2F9B" w:rsidRDefault="00077734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380D2729" w14:textId="77777777" w:rsidTr="0086592E">
        <w:trPr>
          <w:cantSplit/>
        </w:trPr>
        <w:tc>
          <w:tcPr>
            <w:tcW w:w="3227" w:type="dxa"/>
          </w:tcPr>
          <w:p w14:paraId="437407B4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5558504B" w14:textId="77777777" w:rsidR="002E0D61" w:rsidRPr="00DD2F9B" w:rsidRDefault="00077734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77667F61" w14:textId="77777777" w:rsidTr="0086592E">
        <w:trPr>
          <w:cantSplit/>
        </w:trPr>
        <w:tc>
          <w:tcPr>
            <w:tcW w:w="3227" w:type="dxa"/>
          </w:tcPr>
          <w:p w14:paraId="6BA42888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13B3E50A" w14:textId="77777777" w:rsidR="00386093" w:rsidRPr="00DD2F9B" w:rsidRDefault="00077734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2CFED9B2" w14:textId="77777777" w:rsidTr="0086592E">
        <w:trPr>
          <w:cantSplit/>
        </w:trPr>
        <w:tc>
          <w:tcPr>
            <w:tcW w:w="3227" w:type="dxa"/>
          </w:tcPr>
          <w:p w14:paraId="3231A8C5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36246336" w14:textId="77777777" w:rsidR="00386093" w:rsidRPr="00DD2F9B" w:rsidRDefault="00077734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47F25BA7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37B2F547" w14:textId="33E02586" w:rsidR="00474E33" w:rsidRDefault="00474E33" w:rsidP="00474E33">
      <w:pPr>
        <w:pStyle w:val="Heading3"/>
      </w:pPr>
      <w:r>
        <w:t>Skin notation assessment</w:t>
      </w:r>
    </w:p>
    <w:p w14:paraId="390C52DB" w14:textId="1E2AF52A" w:rsidR="00E6104E" w:rsidRPr="00E6104E" w:rsidRDefault="008830C0" w:rsidP="00E6104E">
      <w:pPr>
        <w:rPr>
          <w:lang w:eastAsia="en-AU"/>
        </w:rPr>
      </w:pPr>
      <w:r w:rsidRPr="00EA0DA8">
        <w:t>Insufficient data to assign a skin notation</w:t>
      </w:r>
      <w:r w:rsidR="00E6104E">
        <w:rPr>
          <w:lang w:eastAsia="en-AU"/>
        </w:rPr>
        <w:t>.</w:t>
      </w:r>
    </w:p>
    <w:p w14:paraId="69054826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34129D82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0AADD7EA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4A40D405" w14:textId="77777777" w:rsidR="00EB3D1B" w:rsidRDefault="00077734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493147F6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5CB3EE1E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02A28A01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3094EF7A" w14:textId="77777777" w:rsidR="001B79E5" w:rsidRDefault="00077734" w:rsidP="001B79E5">
                <w:pPr>
                  <w:pStyle w:val="Tablefont"/>
                </w:pPr>
                <w:r>
                  <w:t>63.02</w:t>
                </w:r>
              </w:p>
            </w:tc>
          </w:sdtContent>
        </w:sdt>
      </w:tr>
      <w:tr w:rsidR="00A31D99" w:rsidRPr="004C23F4" w14:paraId="426F96ED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7DC2DAB9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374DE5A4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2280976A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DFDCD7A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1CC090D2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56EC613F" w14:textId="77777777" w:rsidTr="00EA6243">
        <w:trPr>
          <w:cantSplit/>
        </w:trPr>
        <w:tc>
          <w:tcPr>
            <w:tcW w:w="4077" w:type="dxa"/>
            <w:vAlign w:val="center"/>
          </w:tcPr>
          <w:p w14:paraId="3A3D9028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66D00F6B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54AB5761" w14:textId="77777777" w:rsidTr="00EA6243">
        <w:trPr>
          <w:cantSplit/>
        </w:trPr>
        <w:tc>
          <w:tcPr>
            <w:tcW w:w="4077" w:type="dxa"/>
            <w:vAlign w:val="center"/>
          </w:tcPr>
          <w:p w14:paraId="455BA4DF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67D0E9EF" w14:textId="626A4D86" w:rsidR="00687890" w:rsidRPr="004C23F4" w:rsidRDefault="00A85B8A" w:rsidP="00717D45">
                <w:pPr>
                  <w:pStyle w:val="Tablefont"/>
                </w:pPr>
                <w:r>
                  <w:sym w:font="Wingdings" w:char="F0FC"/>
                </w:r>
              </w:p>
            </w:tc>
          </w:sdtContent>
        </w:sdt>
      </w:tr>
      <w:tr w:rsidR="00E06F40" w:rsidRPr="004C23F4" w14:paraId="4894DECE" w14:textId="77777777" w:rsidTr="00EA6243">
        <w:trPr>
          <w:cantSplit/>
        </w:trPr>
        <w:tc>
          <w:tcPr>
            <w:tcW w:w="4077" w:type="dxa"/>
            <w:vAlign w:val="center"/>
          </w:tcPr>
          <w:p w14:paraId="4C44111C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6A513616" w14:textId="77777777" w:rsidR="00E06F40" w:rsidRPr="00A006A0" w:rsidRDefault="0086592E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1234657F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6BE1BF6E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7F2678BF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01F33FC3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4F937D5D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4E79C384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304E86BB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683D32EC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0ED77548" w14:textId="1454AB1F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0F358D9F" w14:textId="7AFB9239" w:rsidR="00F839ED" w:rsidRDefault="00F839ED" w:rsidP="00084859">
      <w:r w:rsidRPr="00E461B8">
        <w:t>Deutsche Forschungsgemeinschaft (DFG) (</w:t>
      </w:r>
      <w:r>
        <w:t>1992</w:t>
      </w:r>
      <w:r w:rsidRPr="00E461B8">
        <w:t xml:space="preserve">) </w:t>
      </w:r>
      <w:r>
        <w:t>n</w:t>
      </w:r>
      <w:r w:rsidRPr="00732502">
        <w:t>itric acid</w:t>
      </w:r>
      <w:r w:rsidRPr="00E461B8">
        <w:t xml:space="preserve"> – MAK value documentation.</w:t>
      </w:r>
    </w:p>
    <w:p w14:paraId="20259A3B" w14:textId="7FC6D174" w:rsidR="00F839ED" w:rsidRDefault="00F839ED" w:rsidP="00084859">
      <w:r>
        <w:t>European Chemicals Agency (ECHA) (2011) n</w:t>
      </w:r>
      <w:r w:rsidRPr="00732502">
        <w:t>itric acid</w:t>
      </w:r>
      <w:r>
        <w:t xml:space="preserve"> – REACH assessment.</w:t>
      </w:r>
    </w:p>
    <w:p w14:paraId="7ABB140F" w14:textId="7BD4DF0D" w:rsidR="00077734" w:rsidRDefault="00077734" w:rsidP="00077734">
      <w:r w:rsidRPr="002022B6">
        <w:t>EU Scientific Committee on Occupational Exposure Limits (SCOEL)</w:t>
      </w:r>
      <w:r>
        <w:t xml:space="preserve"> (2001) Recommendation from the Scientific Committee on Occupational Exposure Limits for nitric acid. SCOEL/SUM/61.</w:t>
      </w:r>
    </w:p>
    <w:p w14:paraId="307DFA32" w14:textId="14F75CBC" w:rsidR="00F839ED" w:rsidRDefault="00F839ED" w:rsidP="00077734">
      <w:pPr>
        <w:rPr>
          <w:b/>
        </w:rPr>
      </w:pPr>
      <w:r w:rsidRPr="00DB0A36">
        <w:lastRenderedPageBreak/>
        <w:t>National Industrial Chemicals Notification and Assessment Scheme (NICNAS) (201</w:t>
      </w:r>
      <w:r>
        <w:t>5</w:t>
      </w:r>
      <w:r w:rsidRPr="00DB0A36">
        <w:t xml:space="preserve">) </w:t>
      </w:r>
      <w:r>
        <w:t>N</w:t>
      </w:r>
      <w:r w:rsidRPr="00732502">
        <w:t>itric acid</w:t>
      </w:r>
      <w:r w:rsidRPr="00DB0A36">
        <w:t>:</w:t>
      </w:r>
      <w:r>
        <w:t xml:space="preserve"> </w:t>
      </w:r>
      <w:r w:rsidRPr="00DB0A36">
        <w:t xml:space="preserve">Human </w:t>
      </w:r>
      <w:r w:rsidRPr="004633BA">
        <w:t xml:space="preserve">health </w:t>
      </w:r>
      <w:sdt>
        <w:sdtPr>
          <w:id w:val="-1295753243"/>
          <w:temporary/>
          <w:showingPlcHdr/>
        </w:sdtPr>
        <w:sdtEndPr/>
        <w:sdtContent>
          <w:r w:rsidRPr="005F4305">
            <w:t>tier II</w:t>
          </w:r>
        </w:sdtContent>
      </w:sdt>
      <w:r w:rsidRPr="004633BA">
        <w:t xml:space="preserve"> assessment </w:t>
      </w:r>
      <w:r w:rsidRPr="00DB0A36">
        <w:t>– IMAP report</w:t>
      </w:r>
    </w:p>
    <w:p w14:paraId="75FD7989" w14:textId="77777777" w:rsidR="00077734" w:rsidRDefault="00077734" w:rsidP="00077734">
      <w:pPr>
        <w:rPr>
          <w:b/>
        </w:rPr>
      </w:pPr>
      <w:r w:rsidRPr="00D86E03">
        <w:t>US National Institute for Occupational Safety and Health (NIOSH)</w:t>
      </w:r>
      <w:r>
        <w:t xml:space="preserve"> (</w:t>
      </w:r>
      <w:sdt>
        <w:sdtPr>
          <w:id w:val="-1194999823"/>
          <w:placeholder>
            <w:docPart w:val="9D902778333B46D1AC5CDAB024F84C5E"/>
          </w:placeholder>
          <w:temporary/>
          <w:showingPlcHdr/>
        </w:sdtPr>
        <w:sdtEndPr/>
        <w:sdtContent>
          <w:r w:rsidRPr="00732502">
            <w:t>1994</w:t>
          </w:r>
        </w:sdtContent>
      </w:sdt>
      <w:r>
        <w:t xml:space="preserve">) Immediately dangerous to life or health concentrations – </w:t>
      </w:r>
      <w:r w:rsidR="00732502">
        <w:t>n</w:t>
      </w:r>
      <w:r w:rsidR="00732502" w:rsidRPr="00732502">
        <w:t>itric acid</w:t>
      </w:r>
      <w:r>
        <w:t>.</w:t>
      </w:r>
    </w:p>
    <w:p w14:paraId="182C60CD" w14:textId="77777777" w:rsidR="00077734" w:rsidRPr="00351FE0" w:rsidRDefault="00077734" w:rsidP="00084859"/>
    <w:sectPr w:rsidR="00077734" w:rsidRPr="00351FE0" w:rsidSect="00B87D4C">
      <w:headerReference w:type="even" r:id="rId18"/>
      <w:headerReference w:type="default" r:id="rId19"/>
      <w:headerReference w:type="first" r:id="rId20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D0AE0" w14:textId="77777777" w:rsidR="00AD7E9C" w:rsidRDefault="00AD7E9C" w:rsidP="00F43AD5">
      <w:pPr>
        <w:spacing w:after="0" w:line="240" w:lineRule="auto"/>
      </w:pPr>
      <w:r>
        <w:separator/>
      </w:r>
    </w:p>
  </w:endnote>
  <w:endnote w:type="continuationSeparator" w:id="0">
    <w:p w14:paraId="544D02C2" w14:textId="77777777" w:rsidR="00AD7E9C" w:rsidRDefault="00AD7E9C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DEB79" w14:textId="77777777" w:rsidR="0086592E" w:rsidRDefault="008659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5B8CD108" w14:textId="2EF4F1FC" w:rsidR="008A36CF" w:rsidRDefault="006C6A1C" w:rsidP="0034744C">
        <w:pPr>
          <w:pStyle w:val="Footer"/>
          <w:rPr>
            <w:sz w:val="18"/>
            <w:szCs w:val="18"/>
          </w:rPr>
        </w:pPr>
        <w:r>
          <w:rPr>
            <w:b/>
            <w:sz w:val="18"/>
            <w:szCs w:val="18"/>
          </w:rPr>
          <w:t>Nitric acid</w:t>
        </w:r>
        <w:r w:rsidR="008A36CF">
          <w:rPr>
            <w:b/>
            <w:sz w:val="18"/>
            <w:szCs w:val="18"/>
          </w:rPr>
          <w:t xml:space="preserve"> (</w:t>
        </w:r>
        <w:r w:rsidRPr="006C6A1C">
          <w:rPr>
            <w:b/>
            <w:sz w:val="18"/>
            <w:szCs w:val="18"/>
          </w:rPr>
          <w:t>7697-37-2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</w:t>
        </w:r>
        <w:r w:rsidR="001A3F25" w:rsidRPr="00F43AD5">
          <w:rPr>
            <w:sz w:val="18"/>
            <w:szCs w:val="18"/>
          </w:rPr>
          <w:t>20</w:t>
        </w:r>
        <w:r w:rsidR="001A3F25">
          <w:rPr>
            <w:sz w:val="18"/>
            <w:szCs w:val="18"/>
          </w:rPr>
          <w:t>20</w:t>
        </w:r>
      </w:p>
      <w:p w14:paraId="443C1924" w14:textId="79A02DC4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D0066E">
          <w:rPr>
            <w:noProof/>
            <w:sz w:val="18"/>
            <w:szCs w:val="18"/>
          </w:rPr>
          <w:t>1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092EE" w14:textId="77777777" w:rsidR="0086592E" w:rsidRDefault="008659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5697A" w14:textId="77777777" w:rsidR="00AD7E9C" w:rsidRDefault="00AD7E9C" w:rsidP="00F43AD5">
      <w:pPr>
        <w:spacing w:after="0" w:line="240" w:lineRule="auto"/>
      </w:pPr>
      <w:r>
        <w:separator/>
      </w:r>
    </w:p>
  </w:footnote>
  <w:footnote w:type="continuationSeparator" w:id="0">
    <w:p w14:paraId="2FA31CEA" w14:textId="77777777" w:rsidR="00AD7E9C" w:rsidRDefault="00AD7E9C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5C752" w14:textId="121BE9B7" w:rsidR="0086592E" w:rsidRDefault="0086592E">
    <w:pPr>
      <w:pStyle w:val="Header"/>
    </w:pPr>
    <w:r>
      <w:rPr>
        <w:noProof/>
      </w:rPr>
      <w:pict w14:anchorId="185864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108001" o:spid="_x0000_s8194" type="#_x0000_t136" style="position:absolute;margin-left:0;margin-top:0;width:454.5pt;height:18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06425" w14:textId="396F4097" w:rsidR="008A36CF" w:rsidRDefault="0086592E" w:rsidP="00F43AD5">
    <w:pPr>
      <w:pStyle w:val="Header"/>
      <w:jc w:val="right"/>
    </w:pPr>
    <w:r>
      <w:rPr>
        <w:noProof/>
      </w:rPr>
      <w:pict w14:anchorId="5D9508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108002" o:spid="_x0000_s8195" type="#_x0000_t136" style="position:absolute;left:0;text-align:left;margin-left:0;margin-top:0;width:454.5pt;height:181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  <w:r w:rsidR="008A36CF">
      <w:rPr>
        <w:noProof/>
        <w:lang w:eastAsia="en-AU"/>
      </w:rPr>
      <w:drawing>
        <wp:inline distT="0" distB="0" distL="0" distR="0" wp14:anchorId="527BF0A0" wp14:editId="77CB1C9D">
          <wp:extent cx="2938272" cy="594360"/>
          <wp:effectExtent l="0" t="0" r="0" b="0"/>
          <wp:docPr id="2" name="Picture 2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2DDBE" w14:textId="30A74001" w:rsidR="0086592E" w:rsidRDefault="0086592E">
    <w:pPr>
      <w:pStyle w:val="Header"/>
    </w:pPr>
    <w:r>
      <w:rPr>
        <w:noProof/>
      </w:rPr>
      <w:pict w14:anchorId="157B27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108000" o:spid="_x0000_s8193" type="#_x0000_t136" style="position:absolute;margin-left:0;margin-top:0;width:454.5pt;height:18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849A7" w14:textId="330B28EA" w:rsidR="0086592E" w:rsidRDefault="0086592E">
    <w:pPr>
      <w:pStyle w:val="Header"/>
    </w:pPr>
    <w:r>
      <w:rPr>
        <w:noProof/>
      </w:rPr>
      <w:pict w14:anchorId="5C0E7E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108004" o:spid="_x0000_s8197" type="#_x0000_t136" style="position:absolute;margin-left:0;margin-top:0;width:454.5pt;height:181.8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DF707" w14:textId="0457465C" w:rsidR="008A36CF" w:rsidRDefault="0086592E" w:rsidP="00F43AD5">
    <w:pPr>
      <w:pStyle w:val="Header"/>
      <w:jc w:val="right"/>
    </w:pPr>
    <w:r>
      <w:rPr>
        <w:noProof/>
      </w:rPr>
      <w:pict w14:anchorId="5B6673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108005" o:spid="_x0000_s8198" type="#_x0000_t136" style="position:absolute;left:0;text-align:left;margin-left:0;margin-top:0;width:454.5pt;height:181.8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  <w:r>
      <w:rPr>
        <w:noProof/>
      </w:rPr>
      <w:drawing>
        <wp:inline distT="0" distB="0" distL="0" distR="0" wp14:anchorId="3D5E5E2D" wp14:editId="684FC527">
          <wp:extent cx="2938145" cy="594360"/>
          <wp:effectExtent l="0" t="0" r="0" b="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176AD" w14:textId="5DF19987" w:rsidR="0086592E" w:rsidRDefault="0086592E">
    <w:pPr>
      <w:pStyle w:val="Header"/>
    </w:pPr>
    <w:r>
      <w:rPr>
        <w:noProof/>
      </w:rPr>
      <w:pict w14:anchorId="5108E9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108003" o:spid="_x0000_s8196" type="#_x0000_t136" style="position:absolute;margin-left:0;margin-top:0;width:454.5pt;height:181.8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8CAC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F9E1F42"/>
    <w:multiLevelType w:val="hybridMultilevel"/>
    <w:tmpl w:val="EC10D952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9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xAppendixName" w:val="Appendix"/>
  </w:docVars>
  <w:rsids>
    <w:rsidRoot w:val="00610F2E"/>
    <w:rsid w:val="00000109"/>
    <w:rsid w:val="00000941"/>
    <w:rsid w:val="00007B80"/>
    <w:rsid w:val="00013A22"/>
    <w:rsid w:val="00014C3F"/>
    <w:rsid w:val="0001630D"/>
    <w:rsid w:val="00017C82"/>
    <w:rsid w:val="00032B88"/>
    <w:rsid w:val="00046DF5"/>
    <w:rsid w:val="00052060"/>
    <w:rsid w:val="0005574A"/>
    <w:rsid w:val="00055FE1"/>
    <w:rsid w:val="00056EC2"/>
    <w:rsid w:val="00060B48"/>
    <w:rsid w:val="000630A6"/>
    <w:rsid w:val="00067F32"/>
    <w:rsid w:val="00071807"/>
    <w:rsid w:val="00077734"/>
    <w:rsid w:val="000803E1"/>
    <w:rsid w:val="00084513"/>
    <w:rsid w:val="00084859"/>
    <w:rsid w:val="000929F1"/>
    <w:rsid w:val="00092D94"/>
    <w:rsid w:val="00097145"/>
    <w:rsid w:val="000B0868"/>
    <w:rsid w:val="000B16C0"/>
    <w:rsid w:val="000B3E12"/>
    <w:rsid w:val="000B3E78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10461E"/>
    <w:rsid w:val="00106FAA"/>
    <w:rsid w:val="00113443"/>
    <w:rsid w:val="00120631"/>
    <w:rsid w:val="00123A2D"/>
    <w:rsid w:val="001269A7"/>
    <w:rsid w:val="00131092"/>
    <w:rsid w:val="00136C24"/>
    <w:rsid w:val="00140E6A"/>
    <w:rsid w:val="00146545"/>
    <w:rsid w:val="00146B75"/>
    <w:rsid w:val="0015266D"/>
    <w:rsid w:val="0015288A"/>
    <w:rsid w:val="00160F47"/>
    <w:rsid w:val="001725B4"/>
    <w:rsid w:val="00177CA1"/>
    <w:rsid w:val="00182A8E"/>
    <w:rsid w:val="00183823"/>
    <w:rsid w:val="00183942"/>
    <w:rsid w:val="00191B55"/>
    <w:rsid w:val="001A009E"/>
    <w:rsid w:val="001A1287"/>
    <w:rsid w:val="001A3859"/>
    <w:rsid w:val="001A3C9D"/>
    <w:rsid w:val="001A3F25"/>
    <w:rsid w:val="001A43F8"/>
    <w:rsid w:val="001B79E5"/>
    <w:rsid w:val="001D34B1"/>
    <w:rsid w:val="001D56F0"/>
    <w:rsid w:val="001D59C2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3A93"/>
    <w:rsid w:val="002046A6"/>
    <w:rsid w:val="00204956"/>
    <w:rsid w:val="00213640"/>
    <w:rsid w:val="00221547"/>
    <w:rsid w:val="002216FC"/>
    <w:rsid w:val="00222533"/>
    <w:rsid w:val="00222F30"/>
    <w:rsid w:val="002237F1"/>
    <w:rsid w:val="00224EE2"/>
    <w:rsid w:val="00227EC7"/>
    <w:rsid w:val="00244AD1"/>
    <w:rsid w:val="002463BC"/>
    <w:rsid w:val="002465CE"/>
    <w:rsid w:val="0025734A"/>
    <w:rsid w:val="00263255"/>
    <w:rsid w:val="00276494"/>
    <w:rsid w:val="00277B0C"/>
    <w:rsid w:val="00277E73"/>
    <w:rsid w:val="00283FF6"/>
    <w:rsid w:val="002B1A2C"/>
    <w:rsid w:val="002C34F2"/>
    <w:rsid w:val="002C58FF"/>
    <w:rsid w:val="002C7AFE"/>
    <w:rsid w:val="002D05D2"/>
    <w:rsid w:val="002E0D61"/>
    <w:rsid w:val="002E4C7B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AAE"/>
    <w:rsid w:val="00391B6D"/>
    <w:rsid w:val="00394922"/>
    <w:rsid w:val="003A0E32"/>
    <w:rsid w:val="003A2B94"/>
    <w:rsid w:val="003A6DD4"/>
    <w:rsid w:val="003B19DE"/>
    <w:rsid w:val="003B387D"/>
    <w:rsid w:val="003B6D65"/>
    <w:rsid w:val="003C0D58"/>
    <w:rsid w:val="003C25BF"/>
    <w:rsid w:val="003D4FA3"/>
    <w:rsid w:val="003E0807"/>
    <w:rsid w:val="003E51FB"/>
    <w:rsid w:val="003E6B39"/>
    <w:rsid w:val="003F07E1"/>
    <w:rsid w:val="004030BC"/>
    <w:rsid w:val="00403F7D"/>
    <w:rsid w:val="00406785"/>
    <w:rsid w:val="004079B4"/>
    <w:rsid w:val="004122CF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52F5D"/>
    <w:rsid w:val="00460A03"/>
    <w:rsid w:val="0047094B"/>
    <w:rsid w:val="00472A11"/>
    <w:rsid w:val="00472AAD"/>
    <w:rsid w:val="00474E33"/>
    <w:rsid w:val="00476803"/>
    <w:rsid w:val="004807EA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D7717"/>
    <w:rsid w:val="004E5EDD"/>
    <w:rsid w:val="004F448A"/>
    <w:rsid w:val="004F493D"/>
    <w:rsid w:val="004F65E8"/>
    <w:rsid w:val="0050005E"/>
    <w:rsid w:val="00502B88"/>
    <w:rsid w:val="00507DDC"/>
    <w:rsid w:val="005142C4"/>
    <w:rsid w:val="0051509C"/>
    <w:rsid w:val="005272E2"/>
    <w:rsid w:val="0053108F"/>
    <w:rsid w:val="00532B56"/>
    <w:rsid w:val="00534B10"/>
    <w:rsid w:val="0054428D"/>
    <w:rsid w:val="005446A2"/>
    <w:rsid w:val="00544D2F"/>
    <w:rsid w:val="00551BD8"/>
    <w:rsid w:val="00581055"/>
    <w:rsid w:val="00591E38"/>
    <w:rsid w:val="00595B1B"/>
    <w:rsid w:val="005A19C5"/>
    <w:rsid w:val="005A3034"/>
    <w:rsid w:val="005A462D"/>
    <w:rsid w:val="005B253B"/>
    <w:rsid w:val="005B771D"/>
    <w:rsid w:val="005C5D16"/>
    <w:rsid w:val="005D3193"/>
    <w:rsid w:val="005D4A6E"/>
    <w:rsid w:val="005E6979"/>
    <w:rsid w:val="005E75CB"/>
    <w:rsid w:val="006013C1"/>
    <w:rsid w:val="0060669E"/>
    <w:rsid w:val="00610F2E"/>
    <w:rsid w:val="00611399"/>
    <w:rsid w:val="00624C4E"/>
    <w:rsid w:val="00625200"/>
    <w:rsid w:val="006363A8"/>
    <w:rsid w:val="00636DB7"/>
    <w:rsid w:val="00640B3B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C6A1C"/>
    <w:rsid w:val="006D79EA"/>
    <w:rsid w:val="006E5D05"/>
    <w:rsid w:val="00701053"/>
    <w:rsid w:val="00701507"/>
    <w:rsid w:val="00713B38"/>
    <w:rsid w:val="00714021"/>
    <w:rsid w:val="00716A0F"/>
    <w:rsid w:val="00717D45"/>
    <w:rsid w:val="007208F7"/>
    <w:rsid w:val="007218AF"/>
    <w:rsid w:val="00732502"/>
    <w:rsid w:val="007365D1"/>
    <w:rsid w:val="00740147"/>
    <w:rsid w:val="00740E0E"/>
    <w:rsid w:val="00745476"/>
    <w:rsid w:val="00750212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C1132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4AF6"/>
    <w:rsid w:val="00857A8A"/>
    <w:rsid w:val="008630EE"/>
    <w:rsid w:val="00864D13"/>
    <w:rsid w:val="0086592E"/>
    <w:rsid w:val="00871CD5"/>
    <w:rsid w:val="008745A2"/>
    <w:rsid w:val="008768A8"/>
    <w:rsid w:val="008830C0"/>
    <w:rsid w:val="0088798F"/>
    <w:rsid w:val="00887E4B"/>
    <w:rsid w:val="00891359"/>
    <w:rsid w:val="008915C8"/>
    <w:rsid w:val="008A1B64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D6725"/>
    <w:rsid w:val="008E0D8D"/>
    <w:rsid w:val="008E7B64"/>
    <w:rsid w:val="008F5DCD"/>
    <w:rsid w:val="00900951"/>
    <w:rsid w:val="009118A6"/>
    <w:rsid w:val="00916909"/>
    <w:rsid w:val="00916EC0"/>
    <w:rsid w:val="00920467"/>
    <w:rsid w:val="00921DE7"/>
    <w:rsid w:val="00923DC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55FB"/>
    <w:rsid w:val="009578DD"/>
    <w:rsid w:val="00961124"/>
    <w:rsid w:val="009621B6"/>
    <w:rsid w:val="00970FC0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44FB9"/>
    <w:rsid w:val="00A53681"/>
    <w:rsid w:val="00A633D4"/>
    <w:rsid w:val="00A6461A"/>
    <w:rsid w:val="00A84504"/>
    <w:rsid w:val="00A85B8A"/>
    <w:rsid w:val="00A8672F"/>
    <w:rsid w:val="00A93057"/>
    <w:rsid w:val="00A93B42"/>
    <w:rsid w:val="00A968B0"/>
    <w:rsid w:val="00AB2672"/>
    <w:rsid w:val="00AB2817"/>
    <w:rsid w:val="00AB43C4"/>
    <w:rsid w:val="00AC32E7"/>
    <w:rsid w:val="00AC3A9F"/>
    <w:rsid w:val="00AC6D2F"/>
    <w:rsid w:val="00AD7E9C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27ED0"/>
    <w:rsid w:val="00B315B7"/>
    <w:rsid w:val="00B40C60"/>
    <w:rsid w:val="00B479A9"/>
    <w:rsid w:val="00B52EDF"/>
    <w:rsid w:val="00B55844"/>
    <w:rsid w:val="00B71188"/>
    <w:rsid w:val="00B76A41"/>
    <w:rsid w:val="00B87D4C"/>
    <w:rsid w:val="00B93646"/>
    <w:rsid w:val="00BA0B38"/>
    <w:rsid w:val="00BA1DBB"/>
    <w:rsid w:val="00BA4510"/>
    <w:rsid w:val="00BA529A"/>
    <w:rsid w:val="00BB347D"/>
    <w:rsid w:val="00BB612A"/>
    <w:rsid w:val="00BD499F"/>
    <w:rsid w:val="00BD56DE"/>
    <w:rsid w:val="00BF2406"/>
    <w:rsid w:val="00C06E43"/>
    <w:rsid w:val="00C16315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D2BFD"/>
    <w:rsid w:val="00CE5AD6"/>
    <w:rsid w:val="00CE617F"/>
    <w:rsid w:val="00CE78EF"/>
    <w:rsid w:val="00D0066E"/>
    <w:rsid w:val="00D048F7"/>
    <w:rsid w:val="00D0517E"/>
    <w:rsid w:val="00D140FC"/>
    <w:rsid w:val="00D21D8C"/>
    <w:rsid w:val="00D225BC"/>
    <w:rsid w:val="00D31357"/>
    <w:rsid w:val="00D33220"/>
    <w:rsid w:val="00D334D1"/>
    <w:rsid w:val="00D44C89"/>
    <w:rsid w:val="00D516CD"/>
    <w:rsid w:val="00D64421"/>
    <w:rsid w:val="00D668E6"/>
    <w:rsid w:val="00D70670"/>
    <w:rsid w:val="00D74D80"/>
    <w:rsid w:val="00D76624"/>
    <w:rsid w:val="00D87570"/>
    <w:rsid w:val="00D91CB9"/>
    <w:rsid w:val="00D97989"/>
    <w:rsid w:val="00D97D8D"/>
    <w:rsid w:val="00DA352E"/>
    <w:rsid w:val="00DA49FC"/>
    <w:rsid w:val="00DC1BDA"/>
    <w:rsid w:val="00DC7694"/>
    <w:rsid w:val="00DD1BF6"/>
    <w:rsid w:val="00DD2F9B"/>
    <w:rsid w:val="00DE1ADB"/>
    <w:rsid w:val="00DE2513"/>
    <w:rsid w:val="00DE26E8"/>
    <w:rsid w:val="00DE289A"/>
    <w:rsid w:val="00DF6F36"/>
    <w:rsid w:val="00E0084C"/>
    <w:rsid w:val="00E025AB"/>
    <w:rsid w:val="00E02B23"/>
    <w:rsid w:val="00E02FD4"/>
    <w:rsid w:val="00E06F40"/>
    <w:rsid w:val="00E07CE8"/>
    <w:rsid w:val="00E26A07"/>
    <w:rsid w:val="00E32595"/>
    <w:rsid w:val="00E37CFD"/>
    <w:rsid w:val="00E41A26"/>
    <w:rsid w:val="00E46BCB"/>
    <w:rsid w:val="00E51CAF"/>
    <w:rsid w:val="00E60F04"/>
    <w:rsid w:val="00E6104E"/>
    <w:rsid w:val="00E62AAC"/>
    <w:rsid w:val="00E67C2F"/>
    <w:rsid w:val="00E67EF5"/>
    <w:rsid w:val="00E804EA"/>
    <w:rsid w:val="00E80A71"/>
    <w:rsid w:val="00E82337"/>
    <w:rsid w:val="00E92499"/>
    <w:rsid w:val="00E93459"/>
    <w:rsid w:val="00E949AF"/>
    <w:rsid w:val="00E96077"/>
    <w:rsid w:val="00E971B6"/>
    <w:rsid w:val="00EA0A06"/>
    <w:rsid w:val="00EA6243"/>
    <w:rsid w:val="00EA74AB"/>
    <w:rsid w:val="00EB3D1B"/>
    <w:rsid w:val="00ED1D89"/>
    <w:rsid w:val="00ED66BC"/>
    <w:rsid w:val="00EF233A"/>
    <w:rsid w:val="00EF303E"/>
    <w:rsid w:val="00EF3A40"/>
    <w:rsid w:val="00EF7F78"/>
    <w:rsid w:val="00F00D92"/>
    <w:rsid w:val="00F01B08"/>
    <w:rsid w:val="00F01C4D"/>
    <w:rsid w:val="00F053FA"/>
    <w:rsid w:val="00F10C97"/>
    <w:rsid w:val="00F11C71"/>
    <w:rsid w:val="00F152DA"/>
    <w:rsid w:val="00F16019"/>
    <w:rsid w:val="00F20E68"/>
    <w:rsid w:val="00F22093"/>
    <w:rsid w:val="00F236DF"/>
    <w:rsid w:val="00F43AD5"/>
    <w:rsid w:val="00F4402E"/>
    <w:rsid w:val="00F544EF"/>
    <w:rsid w:val="00F56DD0"/>
    <w:rsid w:val="00F6491C"/>
    <w:rsid w:val="00F67BBB"/>
    <w:rsid w:val="00F74096"/>
    <w:rsid w:val="00F839ED"/>
    <w:rsid w:val="00F87D92"/>
    <w:rsid w:val="00F90AA7"/>
    <w:rsid w:val="00F92498"/>
    <w:rsid w:val="00F9496B"/>
    <w:rsid w:val="00F970C9"/>
    <w:rsid w:val="00FA06A8"/>
    <w:rsid w:val="00FA2214"/>
    <w:rsid w:val="00FA3DF5"/>
    <w:rsid w:val="00FA741F"/>
    <w:rsid w:val="00FB4E07"/>
    <w:rsid w:val="00FB755A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9"/>
    <o:shapelayout v:ext="edit">
      <o:idmap v:ext="edit" data="1"/>
    </o:shapelayout>
  </w:shapeDefaults>
  <w:decimalSymbol w:val="."/>
  <w:listSeparator w:val=","/>
  <w14:docId w14:val="5E2182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077734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paragraph" w:styleId="ListBullet">
    <w:name w:val="List Bullet"/>
    <w:basedOn w:val="Normal"/>
    <w:uiPriority w:val="99"/>
    <w:unhideWhenUsed/>
    <w:rsid w:val="00182A8E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67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672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672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7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725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EA32968BF93744FAABC5FC124DBE0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D2459-1556-46A4-AC27-2E79E2305DAC}"/>
      </w:docPartPr>
      <w:docPartBody>
        <w:p w:rsidR="00D21A9F" w:rsidRDefault="00D21A9F">
          <w:pPr>
            <w:pStyle w:val="EA32968BF93744FAABC5FC124DBE04BD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9D902778333B46D1AC5CDAB024F84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EDFE6-9C91-46BF-8032-58B91DC63ACD}"/>
      </w:docPartPr>
      <w:docPartBody>
        <w:p w:rsidR="0080341E" w:rsidRDefault="00F17827" w:rsidP="00F17827">
          <w:pPr>
            <w:pStyle w:val="9D902778333B46D1AC5CDAB024F84C5E"/>
          </w:pPr>
          <w:r w:rsidRPr="00262278">
            <w:rPr>
              <w:color w:val="00B050"/>
            </w:rPr>
            <w:t>1994</w:t>
          </w:r>
        </w:p>
      </w:docPartBody>
    </w:docPart>
    <w:docPart>
      <w:docPartPr>
        <w:name w:val="82AA629022DB42999A0D5E06B3A80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DC0D2-E5B2-4AE8-9C4E-9A88A50ACE10}"/>
      </w:docPartPr>
      <w:docPartBody>
        <w:p w:rsidR="00D550DE" w:rsidRDefault="00DB4D0D" w:rsidP="00DB4D0D">
          <w:pPr>
            <w:pStyle w:val="82AA629022DB42999A0D5E06B3A80D2C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9F"/>
    <w:rsid w:val="006F3E42"/>
    <w:rsid w:val="0080341E"/>
    <w:rsid w:val="00D21A9F"/>
    <w:rsid w:val="00D550DE"/>
    <w:rsid w:val="00DB4D0D"/>
    <w:rsid w:val="00F1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4D0D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C095A28B307E42418A90E230EE655CC5">
    <w:name w:val="C095A28B307E42418A90E230EE655CC5"/>
    <w:rsid w:val="00F17827"/>
    <w:rPr>
      <w:lang w:val="en-US" w:eastAsia="en-US"/>
    </w:rPr>
  </w:style>
  <w:style w:type="paragraph" w:customStyle="1" w:styleId="B7238B8A5F7047EDB611810741A33AFE">
    <w:name w:val="B7238B8A5F7047EDB611810741A33AFE"/>
    <w:rsid w:val="00F17827"/>
    <w:rPr>
      <w:lang w:val="en-US" w:eastAsia="en-US"/>
    </w:rPr>
  </w:style>
  <w:style w:type="paragraph" w:customStyle="1" w:styleId="1437830E50AB4EAAB78424AD3C7BBB14">
    <w:name w:val="1437830E50AB4EAAB78424AD3C7BBB14"/>
    <w:rsid w:val="00F17827"/>
    <w:rPr>
      <w:lang w:val="en-US" w:eastAsia="en-US"/>
    </w:rPr>
  </w:style>
  <w:style w:type="paragraph" w:customStyle="1" w:styleId="F4367F149AF4465DBD8DD4AEDFAB135D">
    <w:name w:val="F4367F149AF4465DBD8DD4AEDFAB135D"/>
    <w:rsid w:val="00F17827"/>
    <w:rPr>
      <w:lang w:val="en-US" w:eastAsia="en-US"/>
    </w:rPr>
  </w:style>
  <w:style w:type="paragraph" w:customStyle="1" w:styleId="77279414671D4101A14194C31C8343C1">
    <w:name w:val="77279414671D4101A14194C31C8343C1"/>
    <w:rsid w:val="00F17827"/>
    <w:rPr>
      <w:lang w:val="en-US" w:eastAsia="en-US"/>
    </w:rPr>
  </w:style>
  <w:style w:type="paragraph" w:customStyle="1" w:styleId="111637E22C3F4FB8960D96FAD87D2BE9">
    <w:name w:val="111637E22C3F4FB8960D96FAD87D2BE9"/>
    <w:rsid w:val="00F17827"/>
    <w:rPr>
      <w:lang w:val="en-US" w:eastAsia="en-US"/>
    </w:rPr>
  </w:style>
  <w:style w:type="paragraph" w:customStyle="1" w:styleId="D9812D6163974653BEC9C1476F1C5610">
    <w:name w:val="D9812D6163974653BEC9C1476F1C5610"/>
    <w:rsid w:val="00F17827"/>
    <w:rPr>
      <w:lang w:val="en-US" w:eastAsia="en-US"/>
    </w:rPr>
  </w:style>
  <w:style w:type="paragraph" w:customStyle="1" w:styleId="5CA3AD5F704B41A8BEB4FCDBB575B6A4">
    <w:name w:val="5CA3AD5F704B41A8BEB4FCDBB575B6A4"/>
    <w:rsid w:val="00F17827"/>
    <w:rPr>
      <w:lang w:val="en-US" w:eastAsia="en-US"/>
    </w:rPr>
  </w:style>
  <w:style w:type="paragraph" w:customStyle="1" w:styleId="9D902778333B46D1AC5CDAB024F84C5E">
    <w:name w:val="9D902778333B46D1AC5CDAB024F84C5E"/>
    <w:rsid w:val="00F17827"/>
    <w:rPr>
      <w:lang w:val="en-US" w:eastAsia="en-US"/>
    </w:rPr>
  </w:style>
  <w:style w:type="paragraph" w:customStyle="1" w:styleId="BFE8E6A09FA84DF7859A4EFC39480C57">
    <w:name w:val="BFE8E6A09FA84DF7859A4EFC39480C57"/>
    <w:rsid w:val="00F17827"/>
    <w:rPr>
      <w:lang w:val="en-US" w:eastAsia="en-US"/>
    </w:rPr>
  </w:style>
  <w:style w:type="paragraph" w:customStyle="1" w:styleId="643DC8C5CA864DCF8C4A31ED51FEADC3">
    <w:name w:val="643DC8C5CA864DCF8C4A31ED51FEADC3"/>
    <w:rsid w:val="00DB4D0D"/>
    <w:rPr>
      <w:lang w:val="en-US" w:eastAsia="en-US"/>
    </w:rPr>
  </w:style>
  <w:style w:type="paragraph" w:customStyle="1" w:styleId="A54BD89C4230411FADDC4EBDA941F96B">
    <w:name w:val="A54BD89C4230411FADDC4EBDA941F96B"/>
    <w:rsid w:val="00DB4D0D"/>
    <w:rPr>
      <w:lang w:val="en-US" w:eastAsia="en-US"/>
    </w:rPr>
  </w:style>
  <w:style w:type="paragraph" w:customStyle="1" w:styleId="B02AE3B259ED4B68B8C5BE551DDD20C5">
    <w:name w:val="B02AE3B259ED4B68B8C5BE551DDD20C5"/>
    <w:rsid w:val="00DB4D0D"/>
    <w:rPr>
      <w:lang w:val="en-US" w:eastAsia="en-US"/>
    </w:rPr>
  </w:style>
  <w:style w:type="paragraph" w:customStyle="1" w:styleId="82AA629022DB42999A0D5E06B3A80D2C">
    <w:name w:val="82AA629022DB42999A0D5E06B3A80D2C"/>
    <w:rsid w:val="00DB4D0D"/>
    <w:rPr>
      <w:lang w:val="en-US" w:eastAsia="en-US"/>
    </w:rPr>
  </w:style>
  <w:style w:type="paragraph" w:customStyle="1" w:styleId="6A2B316F07A1478391E5CAC953575D48">
    <w:name w:val="6A2B316F07A1478391E5CAC953575D48"/>
    <w:rsid w:val="00D550DE"/>
    <w:rPr>
      <w:lang w:val="en-US" w:eastAsia="en-US"/>
    </w:rPr>
  </w:style>
  <w:style w:type="paragraph" w:customStyle="1" w:styleId="17A5C6A1E1CC4CA68FB3431C0B7BE1D3">
    <w:name w:val="17A5C6A1E1CC4CA68FB3431C0B7BE1D3"/>
    <w:rsid w:val="00D550DE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10B91-EC11-4930-8602-E0A063D949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47520D-8AA8-4468-81C5-4ECA9A84C8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A4902E-CC1E-489E-AA55-106D2D471467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bf54d604-3e62-4e70-ba33-9e9084b96a66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61992E1-FBF1-44C5-BEF1-26C92F0B0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2020-01-28T02:25:00Z</dcterms:created>
  <dcterms:modified xsi:type="dcterms:W3CDTF">2020-03-12T23:17:00Z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