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3E08A4C" w14:textId="77777777" w:rsidR="00BD499F" w:rsidRPr="004C23F4" w:rsidRDefault="006D38F1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Nitric oxide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5"/>
        <w:gridCol w:w="5041"/>
      </w:tblGrid>
      <w:tr w:rsidR="00F43AD5" w:rsidRPr="004C23F4" w14:paraId="47F3FB47" w14:textId="77777777" w:rsidTr="00246D5B">
        <w:trPr>
          <w:cantSplit/>
          <w:tblHeader/>
        </w:trPr>
        <w:tc>
          <w:tcPr>
            <w:tcW w:w="3985" w:type="dxa"/>
          </w:tcPr>
          <w:p w14:paraId="38265F60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1" w:type="dxa"/>
          </w:tcPr>
          <w:p w14:paraId="3325B094" w14:textId="77777777" w:rsidR="00F43AD5" w:rsidRPr="00717D45" w:rsidRDefault="006D38F1" w:rsidP="00B76A41">
            <w:pPr>
              <w:pStyle w:val="Tablefont"/>
            </w:pPr>
            <w:r w:rsidRPr="006D38F1">
              <w:t>10102-43-9</w:t>
            </w:r>
          </w:p>
        </w:tc>
      </w:tr>
      <w:tr w:rsidR="00F43AD5" w:rsidRPr="004C23F4" w14:paraId="51BE83B6" w14:textId="77777777" w:rsidTr="00246D5B">
        <w:trPr>
          <w:cantSplit/>
        </w:trPr>
        <w:tc>
          <w:tcPr>
            <w:tcW w:w="3985" w:type="dxa"/>
          </w:tcPr>
          <w:p w14:paraId="75FBA0A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1" w:type="dxa"/>
          </w:tcPr>
          <w:p w14:paraId="514EA937" w14:textId="77777777" w:rsidR="00F43AD5" w:rsidRPr="00717D45" w:rsidRDefault="00DE563B" w:rsidP="00B76A41">
            <w:pPr>
              <w:pStyle w:val="Tablefont"/>
            </w:pPr>
            <w:r>
              <w:t>Nitrogen monoxide,</w:t>
            </w:r>
            <w:r w:rsidR="006D38F1" w:rsidRPr="006D38F1">
              <w:t xml:space="preserve"> </w:t>
            </w:r>
            <w:r>
              <w:t>n</w:t>
            </w:r>
            <w:r w:rsidR="006D38F1" w:rsidRPr="006D38F1">
              <w:t>itrogen oxide</w:t>
            </w:r>
            <w:r>
              <w:t xml:space="preserve">, </w:t>
            </w:r>
            <w:r w:rsidR="00A72263">
              <w:t>n</w:t>
            </w:r>
            <w:r w:rsidRPr="00DE563B">
              <w:t xml:space="preserve">itric oxide, </w:t>
            </w:r>
            <w:proofErr w:type="spellStart"/>
            <w:r w:rsidRPr="00DE563B">
              <w:t>mononitrogen</w:t>
            </w:r>
            <w:proofErr w:type="spellEnd"/>
            <w:r w:rsidRPr="00DE563B">
              <w:t xml:space="preserve"> monoxide</w:t>
            </w:r>
          </w:p>
        </w:tc>
      </w:tr>
      <w:tr w:rsidR="00F43AD5" w:rsidRPr="004C23F4" w14:paraId="28EC8E5C" w14:textId="77777777" w:rsidTr="00246D5B">
        <w:trPr>
          <w:cantSplit/>
        </w:trPr>
        <w:tc>
          <w:tcPr>
            <w:tcW w:w="3985" w:type="dxa"/>
          </w:tcPr>
          <w:p w14:paraId="14CFCA1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1" w:type="dxa"/>
          </w:tcPr>
          <w:p w14:paraId="0287A5B4" w14:textId="77777777" w:rsidR="00F43AD5" w:rsidRPr="00717D45" w:rsidRDefault="006D38F1" w:rsidP="00B76A41">
            <w:pPr>
              <w:pStyle w:val="Tablefont"/>
            </w:pPr>
            <w:r>
              <w:t>NO</w:t>
            </w:r>
          </w:p>
        </w:tc>
      </w:tr>
    </w:tbl>
    <w:p w14:paraId="1A2859FE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F0004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58060BCF" w14:textId="77777777" w:rsidTr="00820B1D">
        <w:trPr>
          <w:cantSplit/>
          <w:tblHeader/>
        </w:trPr>
        <w:tc>
          <w:tcPr>
            <w:tcW w:w="4010" w:type="dxa"/>
            <w:vAlign w:val="center"/>
          </w:tcPr>
          <w:p w14:paraId="19113826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4A3B93C" w14:textId="77777777" w:rsidR="002C7AFE" w:rsidRPr="004F0004" w:rsidRDefault="0021373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</w:t>
            </w:r>
            <w:r w:rsidR="004F0004">
              <w:rPr>
                <w:b/>
              </w:rPr>
              <w:t xml:space="preserve"> ppm (2.5 mg/m</w:t>
            </w:r>
            <w:r w:rsidR="004F0004">
              <w:rPr>
                <w:b/>
                <w:vertAlign w:val="superscript"/>
              </w:rPr>
              <w:t>3</w:t>
            </w:r>
            <w:r w:rsidR="004F0004">
              <w:rPr>
                <w:b/>
              </w:rPr>
              <w:t>)</w:t>
            </w:r>
          </w:p>
        </w:tc>
      </w:tr>
      <w:tr w:rsidR="00820B1D" w:rsidRPr="004C23F4" w14:paraId="323C60B4" w14:textId="77777777" w:rsidTr="00820B1D">
        <w:trPr>
          <w:cantSplit/>
        </w:trPr>
        <w:tc>
          <w:tcPr>
            <w:tcW w:w="4010" w:type="dxa"/>
            <w:vAlign w:val="center"/>
          </w:tcPr>
          <w:p w14:paraId="7AFFFC4E" w14:textId="77777777" w:rsidR="00820B1D" w:rsidRPr="002C58FF" w:rsidRDefault="00820B1D" w:rsidP="00820B1D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497F430F" w14:textId="77777777" w:rsidR="00820B1D" w:rsidRPr="00A72263" w:rsidRDefault="00820B1D" w:rsidP="00820B1D">
            <w:pPr>
              <w:pStyle w:val="Tablefont"/>
              <w:rPr>
                <w:b/>
              </w:rPr>
            </w:pPr>
            <w:r w:rsidRPr="00A72263">
              <w:rPr>
                <w:b/>
              </w:rPr>
              <w:t>—</w:t>
            </w:r>
          </w:p>
        </w:tc>
      </w:tr>
      <w:tr w:rsidR="00820B1D" w:rsidRPr="004C23F4" w14:paraId="601212DE" w14:textId="77777777" w:rsidTr="00820B1D">
        <w:trPr>
          <w:cantSplit/>
        </w:trPr>
        <w:tc>
          <w:tcPr>
            <w:tcW w:w="4010" w:type="dxa"/>
            <w:vAlign w:val="center"/>
          </w:tcPr>
          <w:p w14:paraId="5156B374" w14:textId="77777777" w:rsidR="00820B1D" w:rsidRPr="002C58FF" w:rsidRDefault="00820B1D" w:rsidP="00820B1D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062F4FB9" w14:textId="77777777" w:rsidR="00820B1D" w:rsidRPr="00A72263" w:rsidRDefault="00820B1D" w:rsidP="00820B1D">
            <w:pPr>
              <w:pStyle w:val="Tablefont"/>
              <w:rPr>
                <w:b/>
              </w:rPr>
            </w:pPr>
            <w:r w:rsidRPr="00A72263">
              <w:rPr>
                <w:b/>
              </w:rPr>
              <w:t>—</w:t>
            </w:r>
          </w:p>
        </w:tc>
      </w:tr>
      <w:tr w:rsidR="00820B1D" w:rsidRPr="004C23F4" w14:paraId="7C8BFF57" w14:textId="77777777" w:rsidTr="00820B1D">
        <w:trPr>
          <w:cantSplit/>
        </w:trPr>
        <w:tc>
          <w:tcPr>
            <w:tcW w:w="4010" w:type="dxa"/>
          </w:tcPr>
          <w:p w14:paraId="306AC45D" w14:textId="77777777" w:rsidR="00820B1D" w:rsidRPr="002C58FF" w:rsidRDefault="00820B1D" w:rsidP="00820B1D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0AFBE4FA" w14:textId="77777777" w:rsidR="00820B1D" w:rsidRPr="00A72263" w:rsidRDefault="00820B1D" w:rsidP="00820B1D">
            <w:pPr>
              <w:pStyle w:val="Tablefont"/>
              <w:rPr>
                <w:b/>
              </w:rPr>
            </w:pPr>
            <w:r w:rsidRPr="00A72263">
              <w:rPr>
                <w:b/>
              </w:rPr>
              <w:t>—</w:t>
            </w:r>
          </w:p>
        </w:tc>
      </w:tr>
      <w:tr w:rsidR="00820B1D" w:rsidRPr="004C23F4" w14:paraId="7A64F5EC" w14:textId="77777777" w:rsidTr="00820B1D">
        <w:trPr>
          <w:cantSplit/>
        </w:trPr>
        <w:tc>
          <w:tcPr>
            <w:tcW w:w="4010" w:type="dxa"/>
            <w:vAlign w:val="center"/>
          </w:tcPr>
          <w:p w14:paraId="21CFB979" w14:textId="77777777" w:rsidR="00820B1D" w:rsidRPr="002C58FF" w:rsidRDefault="00820B1D" w:rsidP="00820B1D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390B1D04" w14:textId="77777777" w:rsidR="00820B1D" w:rsidRPr="00EB3D1B" w:rsidRDefault="009E7CA2" w:rsidP="00820B1D">
            <w:pPr>
              <w:pStyle w:val="Tablefont"/>
              <w:rPr>
                <w:b/>
              </w:rPr>
            </w:pPr>
            <w:r>
              <w:rPr>
                <w:b/>
              </w:rPr>
              <w:t>100 ppm</w:t>
            </w:r>
          </w:p>
        </w:tc>
      </w:tr>
      <w:tr w:rsidR="00A72263" w:rsidRPr="004C23F4" w14:paraId="12F5DA22" w14:textId="77777777" w:rsidTr="007E5A0F">
        <w:trPr>
          <w:cantSplit/>
        </w:trPr>
        <w:tc>
          <w:tcPr>
            <w:tcW w:w="9026" w:type="dxa"/>
            <w:gridSpan w:val="2"/>
            <w:vAlign w:val="center"/>
          </w:tcPr>
          <w:p w14:paraId="0E3B45EA" w14:textId="77777777" w:rsidR="00A72263" w:rsidRPr="00EB3D1B" w:rsidRDefault="00A72263" w:rsidP="00820B1D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</w:t>
            </w:r>
            <w:r w:rsidRPr="00A72263">
              <w:rPr>
                <w:b/>
              </w:rPr>
              <w:t>s:</w:t>
            </w:r>
            <w:r w:rsidRPr="00A72263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AD5CA02EDB2343C998693C449D601763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679B0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CBDFFB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0075C75" w14:textId="38274C73" w:rsidR="006639B4" w:rsidRPr="004C23F4" w:rsidRDefault="0021373A" w:rsidP="000C139A">
      <w:pPr>
        <w:rPr>
          <w:rFonts w:cs="Arial"/>
        </w:rPr>
      </w:pPr>
      <w:r w:rsidRPr="0021373A">
        <w:t xml:space="preserve">A TWA of </w:t>
      </w:r>
      <w:r>
        <w:t>2 ppm (2.5 mg/m</w:t>
      </w:r>
      <w:r>
        <w:rPr>
          <w:vertAlign w:val="superscript"/>
        </w:rPr>
        <w:t>3</w:t>
      </w:r>
      <w:r>
        <w:t>)</w:t>
      </w:r>
      <w:r w:rsidRPr="0021373A">
        <w:t xml:space="preserve"> is recommended</w:t>
      </w:r>
      <w:r>
        <w:t xml:space="preserve"> to protect for </w:t>
      </w:r>
      <w:r w:rsidR="00246D5B">
        <w:t>respiratory tract irritation and lung damage</w:t>
      </w:r>
      <w:r>
        <w:t xml:space="preserve"> effects in exposed workers.</w:t>
      </w:r>
    </w:p>
    <w:p w14:paraId="5572B3AB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C6385AF" w14:textId="47E8C12B" w:rsidR="00E063B5" w:rsidRDefault="008408F3" w:rsidP="001D0CEF">
      <w:r>
        <w:t xml:space="preserve">Nitric oxide </w:t>
      </w:r>
      <w:r w:rsidR="00246D5B">
        <w:t xml:space="preserve">(NO) </w:t>
      </w:r>
      <w:r>
        <w:t xml:space="preserve">is used in the production of nitric acid </w:t>
      </w:r>
      <w:r w:rsidR="00E679B0">
        <w:t>for nitrate fertilis</w:t>
      </w:r>
      <w:r w:rsidR="00FF1682">
        <w:t>ers</w:t>
      </w:r>
      <w:r w:rsidR="00AE2768">
        <w:t xml:space="preserve">, </w:t>
      </w:r>
      <w:r w:rsidR="00CB3B12">
        <w:t xml:space="preserve">nitrosyl carbonyl </w:t>
      </w:r>
      <w:r w:rsidR="006B5EA9">
        <w:t xml:space="preserve">preparation </w:t>
      </w:r>
      <w:r w:rsidR="00CB3B12">
        <w:t xml:space="preserve">and an intermediate in preparation of </w:t>
      </w:r>
      <w:r w:rsidR="00E679B0">
        <w:t>nitric acid</w:t>
      </w:r>
      <w:r w:rsidR="00CB3B12">
        <w:t xml:space="preserve">. </w:t>
      </w:r>
      <w:r w:rsidR="00FF1682">
        <w:t xml:space="preserve">It </w:t>
      </w:r>
      <w:r w:rsidR="00FF1682" w:rsidRPr="00AB051A">
        <w:t>is</w:t>
      </w:r>
      <w:r w:rsidRPr="00AB051A">
        <w:t xml:space="preserve"> also used </w:t>
      </w:r>
      <w:r w:rsidR="00C8723D">
        <w:t>i</w:t>
      </w:r>
      <w:r w:rsidRPr="00AB051A">
        <w:t xml:space="preserve">n </w:t>
      </w:r>
      <w:r w:rsidR="00CA2980" w:rsidRPr="00AB051A">
        <w:t>hospital</w:t>
      </w:r>
      <w:r w:rsidR="00C8723D">
        <w:t>s</w:t>
      </w:r>
      <w:r w:rsidRPr="00AB051A">
        <w:t xml:space="preserve"> </w:t>
      </w:r>
      <w:r>
        <w:t xml:space="preserve">as </w:t>
      </w:r>
      <w:r w:rsidR="004E290C">
        <w:t xml:space="preserve">a </w:t>
      </w:r>
      <w:r w:rsidR="00CA2980">
        <w:t>respiratory</w:t>
      </w:r>
      <w:r>
        <w:t xml:space="preserve"> </w:t>
      </w:r>
      <w:r w:rsidR="00FF1682">
        <w:t>stimulant and is produced as a part of exhaust of internal combustion engine</w:t>
      </w:r>
      <w:r w:rsidR="004A657F">
        <w:t xml:space="preserve"> (ACGIH</w:t>
      </w:r>
      <w:r w:rsidR="00E063B5">
        <w:t>,</w:t>
      </w:r>
      <w:r w:rsidR="004A657F">
        <w:t xml:space="preserve"> 20</w:t>
      </w:r>
      <w:r w:rsidR="00E679B0">
        <w:t>18</w:t>
      </w:r>
      <w:r w:rsidR="00E063B5">
        <w:t xml:space="preserve">; </w:t>
      </w:r>
      <w:r w:rsidR="004A657F">
        <w:t>SCOEL</w:t>
      </w:r>
      <w:r w:rsidR="00E063B5">
        <w:t>,</w:t>
      </w:r>
      <w:r w:rsidR="004A657F">
        <w:t xml:space="preserve"> 2014)</w:t>
      </w:r>
      <w:r w:rsidR="00FF1682">
        <w:t>.</w:t>
      </w:r>
      <w:r w:rsidR="00E679B0">
        <w:t xml:space="preserve"> </w:t>
      </w:r>
    </w:p>
    <w:p w14:paraId="307AD5A8" w14:textId="77777777" w:rsidR="0036059E" w:rsidRDefault="001D0CEF" w:rsidP="001D0CEF">
      <w:r>
        <w:t xml:space="preserve">Critical effects </w:t>
      </w:r>
      <w:r w:rsidR="00E679B0">
        <w:t xml:space="preserve">of exposure </w:t>
      </w:r>
      <w:r>
        <w:t xml:space="preserve">are respiratory tract </w:t>
      </w:r>
      <w:r w:rsidR="004F0004">
        <w:t>irritation and</w:t>
      </w:r>
      <w:r>
        <w:t xml:space="preserve"> lung damage.</w:t>
      </w:r>
      <w:r w:rsidR="00E063B5">
        <w:t xml:space="preserve"> </w:t>
      </w:r>
    </w:p>
    <w:p w14:paraId="4F087B22" w14:textId="443F3CD8" w:rsidR="001D0CEF" w:rsidRDefault="004F0004" w:rsidP="001D0CEF">
      <w:r>
        <w:t xml:space="preserve">A NOAEC of 2.5 ppm based on </w:t>
      </w:r>
      <w:r w:rsidR="005F47B2">
        <w:t xml:space="preserve">effects on </w:t>
      </w:r>
      <w:r>
        <w:t>lung function</w:t>
      </w:r>
      <w:r w:rsidR="00E063B5">
        <w:t xml:space="preserve"> </w:t>
      </w:r>
      <w:r w:rsidR="00246D5B">
        <w:t>i</w:t>
      </w:r>
      <w:r w:rsidR="00525718">
        <w:t xml:space="preserve">s </w:t>
      </w:r>
      <w:r>
        <w:t>reported in a longitudinal study in workers</w:t>
      </w:r>
      <w:r w:rsidR="00D56648">
        <w:t xml:space="preserve">. </w:t>
      </w:r>
      <w:r w:rsidR="0036059E">
        <w:t>P</w:t>
      </w:r>
      <w:r w:rsidR="0036059E" w:rsidRPr="00D56648">
        <w:t xml:space="preserve">ossibility of lung function impairment </w:t>
      </w:r>
      <w:r w:rsidR="0036059E">
        <w:t xml:space="preserve">identified after long exposure </w:t>
      </w:r>
      <w:r w:rsidR="0036059E" w:rsidRPr="00D56648">
        <w:t>periods</w:t>
      </w:r>
      <w:r w:rsidR="0036059E">
        <w:t xml:space="preserve"> to concentrations as low as 1.7 ppm in a </w:t>
      </w:r>
      <w:r w:rsidR="00D56648" w:rsidRPr="00D56648">
        <w:t xml:space="preserve">study of </w:t>
      </w:r>
      <w:r w:rsidR="00D56648">
        <w:t xml:space="preserve">mine </w:t>
      </w:r>
      <w:r w:rsidR="00D56648" w:rsidRPr="00D56648">
        <w:t>workers</w:t>
      </w:r>
      <w:r w:rsidR="00EE4FE2">
        <w:t xml:space="preserve">. However, </w:t>
      </w:r>
      <w:r w:rsidR="00246D5B">
        <w:t>this study</w:t>
      </w:r>
      <w:r w:rsidR="00D56648">
        <w:t xml:space="preserve"> could not dissociate the effects of </w:t>
      </w:r>
      <w:r w:rsidR="009702FC">
        <w:t xml:space="preserve">NO </w:t>
      </w:r>
      <w:r w:rsidR="00D56648">
        <w:t>from those of other variables</w:t>
      </w:r>
      <w:r w:rsidR="00F458E2">
        <w:t xml:space="preserve"> </w:t>
      </w:r>
      <w:r>
        <w:t>(SCOEL,</w:t>
      </w:r>
      <w:r w:rsidR="006C760A">
        <w:rPr>
          <w:sz w:val="18"/>
        </w:rPr>
        <w:t> </w:t>
      </w:r>
      <w:r>
        <w:t xml:space="preserve">2014). </w:t>
      </w:r>
      <w:r w:rsidR="009702FC">
        <w:t>L</w:t>
      </w:r>
      <w:r>
        <w:t>ung function parameters were unaffected</w:t>
      </w:r>
      <w:r w:rsidR="00E063B5">
        <w:t xml:space="preserve"> </w:t>
      </w:r>
      <w:r w:rsidR="002D6AE6">
        <w:t>at</w:t>
      </w:r>
      <w:r w:rsidR="00E063B5">
        <w:t xml:space="preserve"> exposures up to</w:t>
      </w:r>
      <w:r>
        <w:t xml:space="preserve"> 1.36</w:t>
      </w:r>
      <w:r w:rsidR="009702FC">
        <w:t> </w:t>
      </w:r>
      <w:r>
        <w:t>ppm</w:t>
      </w:r>
      <w:r w:rsidR="009702FC" w:rsidRPr="009702FC">
        <w:t xml:space="preserve"> </w:t>
      </w:r>
      <w:r w:rsidR="009702FC">
        <w:t>in a cohort study of coal miners</w:t>
      </w:r>
      <w:r w:rsidR="00246D5B">
        <w:t>.</w:t>
      </w:r>
      <w:r w:rsidR="001212C3">
        <w:t xml:space="preserve"> </w:t>
      </w:r>
      <w:r w:rsidR="00246D5B">
        <w:t>H</w:t>
      </w:r>
      <w:r w:rsidR="001212C3">
        <w:t>owever</w:t>
      </w:r>
      <w:r w:rsidR="00246D5B">
        <w:t>,</w:t>
      </w:r>
      <w:r w:rsidR="001212C3">
        <w:t xml:space="preserve"> some uncertainties </w:t>
      </w:r>
      <w:r w:rsidR="00246D5B">
        <w:t>a</w:t>
      </w:r>
      <w:r w:rsidR="001212C3">
        <w:t xml:space="preserve">re noted in the study, undermining its </w:t>
      </w:r>
      <w:r w:rsidR="00F458E2">
        <w:t>suitability (</w:t>
      </w:r>
      <w:r>
        <w:t xml:space="preserve">DFG, 2009). </w:t>
      </w:r>
      <w:r w:rsidRPr="004F0004">
        <w:t xml:space="preserve">Dogs exposed at 1.6 ppm </w:t>
      </w:r>
      <w:r>
        <w:t xml:space="preserve">for </w:t>
      </w:r>
      <w:r w:rsidR="00E063B5">
        <w:t xml:space="preserve">16 </w:t>
      </w:r>
      <w:r>
        <w:t>hours per day over 68</w:t>
      </w:r>
      <w:r w:rsidR="009702FC">
        <w:t> </w:t>
      </w:r>
      <w:r>
        <w:t>months developed</w:t>
      </w:r>
      <w:r w:rsidRPr="004F0004">
        <w:t xml:space="preserve"> </w:t>
      </w:r>
      <w:r>
        <w:t xml:space="preserve">effects in </w:t>
      </w:r>
      <w:r w:rsidR="006C760A">
        <w:t xml:space="preserve">the </w:t>
      </w:r>
      <w:r w:rsidRPr="004F0004">
        <w:t>alveol</w:t>
      </w:r>
      <w:r w:rsidR="00C8723D">
        <w:t>i</w:t>
      </w:r>
      <w:r w:rsidR="002D6AE6">
        <w:t xml:space="preserve">, </w:t>
      </w:r>
      <w:r w:rsidRPr="004F0004">
        <w:t>indicative of emphysema-like changes</w:t>
      </w:r>
      <w:r>
        <w:t>.</w:t>
      </w:r>
      <w:r w:rsidR="00A72263">
        <w:t xml:space="preserve"> </w:t>
      </w:r>
      <w:r w:rsidR="009702FC">
        <w:t>P</w:t>
      </w:r>
      <w:r w:rsidR="009702FC" w:rsidRPr="004F0004">
        <w:t xml:space="preserve">otential </w:t>
      </w:r>
      <w:r w:rsidR="004E21E6" w:rsidRPr="004F0004">
        <w:t xml:space="preserve">for pro-inflammatory or detrimental changes in lungs </w:t>
      </w:r>
      <w:r w:rsidR="004E21E6">
        <w:t xml:space="preserve">associated with </w:t>
      </w:r>
      <w:r>
        <w:t>continuous expos</w:t>
      </w:r>
      <w:r w:rsidR="004E21E6">
        <w:t>ure</w:t>
      </w:r>
      <w:r>
        <w:t xml:space="preserve"> at</w:t>
      </w:r>
      <w:r w:rsidRPr="004F0004">
        <w:t xml:space="preserve"> 2</w:t>
      </w:r>
      <w:r w:rsidR="006C760A">
        <w:t xml:space="preserve"> to </w:t>
      </w:r>
      <w:r w:rsidRPr="004F0004">
        <w:t>6 ppm over</w:t>
      </w:r>
      <w:r w:rsidR="00B67097">
        <w:t xml:space="preserve"> a</w:t>
      </w:r>
      <w:r w:rsidRPr="004F0004">
        <w:t xml:space="preserve"> few weeks </w:t>
      </w:r>
      <w:r w:rsidR="009702FC">
        <w:t>in r</w:t>
      </w:r>
      <w:r w:rsidR="009702FC" w:rsidRPr="004F0004">
        <w:t>at</w:t>
      </w:r>
      <w:r w:rsidR="009702FC">
        <w:t xml:space="preserve">s </w:t>
      </w:r>
      <w:r>
        <w:t>(SCOEL, 2014).</w:t>
      </w:r>
    </w:p>
    <w:p w14:paraId="1368AD2F" w14:textId="6D262F97" w:rsidR="004F0004" w:rsidRPr="00CB3B12" w:rsidRDefault="00D56648" w:rsidP="001D0CEF">
      <w:r>
        <w:t>The evidence presented indicates that the</w:t>
      </w:r>
      <w:r w:rsidR="00525718">
        <w:t xml:space="preserve"> current</w:t>
      </w:r>
      <w:r>
        <w:t xml:space="preserve"> TWA of 25 ppm is not adequately protective of workers. </w:t>
      </w:r>
      <w:r w:rsidR="00246D5B">
        <w:t>A</w:t>
      </w:r>
      <w:r w:rsidR="0021373A" w:rsidRPr="0021373A">
        <w:t xml:space="preserve"> TWA of </w:t>
      </w:r>
      <w:r w:rsidR="0021373A">
        <w:t>2 ppm (2.5 mg/m</w:t>
      </w:r>
      <w:r w:rsidR="0021373A">
        <w:rPr>
          <w:vertAlign w:val="superscript"/>
        </w:rPr>
        <w:t>3</w:t>
      </w:r>
      <w:r w:rsidR="0021373A">
        <w:t>)</w:t>
      </w:r>
      <w:r w:rsidR="0021373A" w:rsidRPr="0021373A">
        <w:t xml:space="preserve"> derived by </w:t>
      </w:r>
      <w:r w:rsidR="0021373A">
        <w:t>SCOEL (2014</w:t>
      </w:r>
      <w:r w:rsidR="0021373A" w:rsidRPr="0021373A">
        <w:t>)</w:t>
      </w:r>
      <w:r w:rsidR="00246D5B">
        <w:t xml:space="preserve"> </w:t>
      </w:r>
      <w:r w:rsidR="009702FC" w:rsidRPr="0021373A">
        <w:t xml:space="preserve">is recommended </w:t>
      </w:r>
      <w:r w:rsidR="0054124D">
        <w:t xml:space="preserve">to </w:t>
      </w:r>
      <w:r w:rsidR="009702FC">
        <w:t>be adopted.</w:t>
      </w:r>
      <w:r w:rsidR="009702FC" w:rsidRPr="0021373A">
        <w:t xml:space="preserve"> </w:t>
      </w:r>
      <w:r w:rsidR="009702FC">
        <w:t>The TWA is based on the NOAEC of 2.5 ppm reported in humans and supported by the evidence in animals</w:t>
      </w:r>
      <w:r w:rsidR="0054124D">
        <w:t>.</w:t>
      </w:r>
      <w:r w:rsidR="009702FC" w:rsidRPr="009702FC">
        <w:t xml:space="preserve"> </w:t>
      </w:r>
      <w:r w:rsidR="0054124D">
        <w:t>The recommended TWA</w:t>
      </w:r>
      <w:r w:rsidR="009702FC">
        <w:t xml:space="preserve"> is</w:t>
      </w:r>
      <w:r w:rsidR="009702FC" w:rsidRPr="0021373A">
        <w:t xml:space="preserve"> expected to be protective of </w:t>
      </w:r>
      <w:r w:rsidR="009702FC">
        <w:t>adverse lung</w:t>
      </w:r>
      <w:r w:rsidR="009702FC" w:rsidRPr="0021373A">
        <w:t xml:space="preserve"> </w:t>
      </w:r>
      <w:r w:rsidR="009702FC">
        <w:t>effects.</w:t>
      </w:r>
    </w:p>
    <w:p w14:paraId="31C89D3F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78454410" w14:textId="77777777" w:rsidR="002F43D7" w:rsidRPr="004F0004" w:rsidRDefault="002F43D7" w:rsidP="002F43D7">
      <w:pPr>
        <w:rPr>
          <w:rFonts w:cs="Arial"/>
        </w:rPr>
      </w:pPr>
      <w:r w:rsidRPr="004F0004">
        <w:rPr>
          <w:rFonts w:cs="Arial"/>
        </w:rPr>
        <w:t>Not classified as a carcinogen according to the Globally Harmonized System of</w:t>
      </w:r>
      <w:r w:rsidR="004F0004" w:rsidRPr="004F0004">
        <w:rPr>
          <w:rFonts w:cs="Arial"/>
        </w:rPr>
        <w:t xml:space="preserve"> Classification and Labelling of</w:t>
      </w:r>
      <w:r w:rsidRPr="004F0004">
        <w:rPr>
          <w:rFonts w:cs="Arial"/>
        </w:rPr>
        <w:t xml:space="preserve"> Chemicals (GHS). </w:t>
      </w:r>
    </w:p>
    <w:p w14:paraId="14511346" w14:textId="77777777" w:rsidR="002F43D7" w:rsidRPr="004F0004" w:rsidRDefault="002F43D7" w:rsidP="002F43D7">
      <w:pPr>
        <w:rPr>
          <w:rFonts w:cs="Arial"/>
        </w:rPr>
      </w:pPr>
      <w:r w:rsidRPr="004F0004">
        <w:rPr>
          <w:rFonts w:cs="Arial"/>
        </w:rPr>
        <w:t xml:space="preserve">Not classified as a skin </w:t>
      </w:r>
      <w:r w:rsidR="004F0004" w:rsidRPr="004F0004">
        <w:rPr>
          <w:rFonts w:cs="Arial"/>
        </w:rPr>
        <w:t xml:space="preserve">sensitiser </w:t>
      </w:r>
      <w:r w:rsidRPr="004F0004">
        <w:rPr>
          <w:rFonts w:cs="Arial"/>
        </w:rPr>
        <w:t>or respiratory sensitiser according to the GHS.</w:t>
      </w:r>
    </w:p>
    <w:p w14:paraId="055D28D8" w14:textId="38CB0389" w:rsidR="0025734A" w:rsidRPr="004C23F4" w:rsidRDefault="00E679B0">
      <w:pPr>
        <w:rPr>
          <w:rFonts w:cs="Arial"/>
        </w:rPr>
      </w:pPr>
      <w:r>
        <w:rPr>
          <w:rFonts w:cs="Arial"/>
        </w:rPr>
        <w:t xml:space="preserve">There </w:t>
      </w:r>
      <w:r w:rsidR="006B5EA9">
        <w:rPr>
          <w:rFonts w:cs="Arial"/>
        </w:rPr>
        <w:t xml:space="preserve">are </w:t>
      </w:r>
      <w:r>
        <w:rPr>
          <w:rFonts w:cs="Arial"/>
        </w:rPr>
        <w:t>i</w:t>
      </w:r>
      <w:r w:rsidR="002F43D7" w:rsidRPr="004F0004">
        <w:rPr>
          <w:rFonts w:cs="Arial"/>
        </w:rPr>
        <w:t xml:space="preserve">nsufficient </w:t>
      </w:r>
      <w:r>
        <w:rPr>
          <w:rFonts w:cs="Arial"/>
        </w:rPr>
        <w:t>data</w:t>
      </w:r>
      <w:r w:rsidR="002F43D7" w:rsidRPr="004F0004">
        <w:rPr>
          <w:rFonts w:cs="Arial"/>
        </w:rPr>
        <w:t xml:space="preserve"> to recommend a skin notation.</w:t>
      </w:r>
    </w:p>
    <w:p w14:paraId="61F493B9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ED4155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942C0F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612913" w14:paraId="44164762" w14:textId="77777777" w:rsidTr="0061291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0F14CA7" w14:textId="77777777" w:rsidR="00C978F0" w:rsidRPr="00612913" w:rsidRDefault="00C978F0" w:rsidP="00B67097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612913">
              <w:rPr>
                <w:b/>
              </w:rPr>
              <w:t>Source</w:t>
            </w:r>
            <w:r w:rsidR="00DA352E" w:rsidRPr="00612913">
              <w:rPr>
                <w:b/>
              </w:rPr>
              <w:tab/>
              <w:t>Year set</w:t>
            </w:r>
            <w:r w:rsidR="00DA352E" w:rsidRPr="00612913">
              <w:rPr>
                <w:b/>
              </w:rPr>
              <w:tab/>
              <w:t>Standard</w:t>
            </w:r>
            <w:r w:rsidR="00974F2D" w:rsidRPr="00612913">
              <w:rPr>
                <w:b/>
              </w:rPr>
              <w:tab/>
            </w:r>
          </w:p>
        </w:tc>
      </w:tr>
      <w:tr w:rsidR="00DE26E8" w:rsidRPr="003365A5" w14:paraId="6B630FED" w14:textId="77777777" w:rsidTr="00612913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5BD5498" w14:textId="77777777" w:rsidR="00DE26E8" w:rsidRPr="003365A5" w:rsidRDefault="00DE26E8" w:rsidP="00E679B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A480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A480C">
                  <w:t>TWA: 25 ppm (31 mg/m</w:t>
                </w:r>
                <w:r w:rsidR="004A480C" w:rsidRPr="004A480C">
                  <w:rPr>
                    <w:vertAlign w:val="superscript"/>
                  </w:rPr>
                  <w:t>3</w:t>
                </w:r>
                <w:r w:rsidR="004A480C">
                  <w:t>)</w:t>
                </w:r>
              </w:sdtContent>
            </w:sdt>
          </w:p>
        </w:tc>
      </w:tr>
      <w:tr w:rsidR="00C978F0" w:rsidRPr="00DA352E" w14:paraId="50A9137C" w14:textId="77777777" w:rsidTr="00612913">
        <w:trPr>
          <w:gridAfter w:val="1"/>
          <w:wAfter w:w="8" w:type="pct"/>
        </w:trPr>
        <w:tc>
          <w:tcPr>
            <w:tcW w:w="4992" w:type="pct"/>
          </w:tcPr>
          <w:p w14:paraId="5266E697" w14:textId="77777777" w:rsidR="00C978F0" w:rsidRPr="00DA352E" w:rsidRDefault="00C978F0" w:rsidP="00B67097">
            <w:pPr>
              <w:pStyle w:val="Tabletextprimarysource"/>
            </w:pPr>
          </w:p>
        </w:tc>
      </w:tr>
      <w:tr w:rsidR="00C978F0" w:rsidRPr="00DA352E" w14:paraId="74615AE2" w14:textId="77777777" w:rsidTr="0061291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15D53B8" w14:textId="77777777" w:rsidR="00C978F0" w:rsidRPr="00DA352E" w:rsidRDefault="00DA352E" w:rsidP="00E679B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A480C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A480C">
                  <w:t>TLV-</w:t>
                </w:r>
                <w:r w:rsidR="004A480C" w:rsidRPr="004A480C">
                  <w:t>TWA: 25 ppm (31 mg/m</w:t>
                </w:r>
                <w:r w:rsidR="004A480C" w:rsidRPr="004A480C">
                  <w:rPr>
                    <w:vertAlign w:val="superscript"/>
                  </w:rPr>
                  <w:t>3</w:t>
                </w:r>
                <w:r w:rsidR="004A480C" w:rsidRPr="004A480C">
                  <w:t>)</w:t>
                </w:r>
              </w:sdtContent>
            </w:sdt>
          </w:p>
        </w:tc>
      </w:tr>
      <w:tr w:rsidR="00C978F0" w:rsidRPr="00DA352E" w14:paraId="4CCD2FA5" w14:textId="77777777" w:rsidTr="00612913">
        <w:trPr>
          <w:gridAfter w:val="1"/>
          <w:wAfter w:w="8" w:type="pct"/>
        </w:trPr>
        <w:tc>
          <w:tcPr>
            <w:tcW w:w="4992" w:type="pct"/>
          </w:tcPr>
          <w:p w14:paraId="55E89446" w14:textId="77777777" w:rsidR="00C978F0" w:rsidRDefault="007B614B" w:rsidP="00B67097">
            <w:pPr>
              <w:pStyle w:val="Tabletextprimarysource"/>
            </w:pPr>
            <w:r>
              <w:t>TLV-TWA recommended to minimise occupational worker’s potential for respiratory tract irritation, hypoxia and cyanosis.</w:t>
            </w:r>
          </w:p>
          <w:p w14:paraId="568D36B1" w14:textId="77777777" w:rsidR="00F86C86" w:rsidRDefault="00F86C86" w:rsidP="00B67097">
            <w:pPr>
              <w:pStyle w:val="Tabletextprimarysource"/>
            </w:pPr>
            <w:r>
              <w:t>Summary of data:</w:t>
            </w:r>
          </w:p>
          <w:p w14:paraId="02780869" w14:textId="22BBDBA9" w:rsidR="00083BF0" w:rsidRPr="00547CE4" w:rsidRDefault="00083BF0" w:rsidP="00B67097">
            <w:pPr>
              <w:pStyle w:val="Tabletextprimarysource"/>
            </w:pPr>
            <w:r>
              <w:t>No derivation provided; based on analogy to the substantially more toxic NO</w:t>
            </w:r>
            <w:r>
              <w:rPr>
                <w:vertAlign w:val="subscript"/>
              </w:rPr>
              <w:t>2</w:t>
            </w:r>
            <w:r>
              <w:t xml:space="preserve"> (</w:t>
            </w:r>
            <w:r w:rsidR="00547CE4">
              <w:t>2018 TLV-TWA 0.2</w:t>
            </w:r>
            <w:r w:rsidR="00E679B0">
              <w:t> </w:t>
            </w:r>
            <w:r w:rsidR="00547CE4">
              <w:t>ppm (0.38 mg/m</w:t>
            </w:r>
            <w:r w:rsidR="00547CE4">
              <w:rPr>
                <w:vertAlign w:val="superscript"/>
              </w:rPr>
              <w:t>3</w:t>
            </w:r>
            <w:r w:rsidR="00547CE4">
              <w:t>)</w:t>
            </w:r>
            <w:r w:rsidR="00C539B3">
              <w:t>)</w:t>
            </w:r>
            <w:r w:rsidR="00547CE4">
              <w:t xml:space="preserve"> for lower respiratory tract irritation</w:t>
            </w:r>
            <w:r w:rsidR="00E679B0">
              <w:t xml:space="preserve">. </w:t>
            </w:r>
          </w:p>
          <w:p w14:paraId="51E74B08" w14:textId="77777777" w:rsidR="00F86C86" w:rsidRDefault="00F86C86">
            <w:pPr>
              <w:pStyle w:val="Tabletextprimarysource"/>
            </w:pPr>
            <w:r>
              <w:t>Human Data:</w:t>
            </w:r>
          </w:p>
          <w:p w14:paraId="0E73207A" w14:textId="17331F52" w:rsidR="00C8723D" w:rsidRDefault="00083BF0">
            <w:pPr>
              <w:pStyle w:val="ListBullet"/>
              <w:spacing w:before="60" w:after="60"/>
              <w:ind w:left="720"/>
              <w:contextualSpacing w:val="0"/>
            </w:pPr>
            <w:r>
              <w:t>I</w:t>
            </w:r>
            <w:r w:rsidR="002F761F">
              <w:t>ntoxication</w:t>
            </w:r>
            <w:r>
              <w:t xml:space="preserve"> of 2 individuals</w:t>
            </w:r>
            <w:r w:rsidR="002F761F">
              <w:t xml:space="preserve"> when used as </w:t>
            </w:r>
            <w:r w:rsidR="0042631F">
              <w:t>anaesthetic</w:t>
            </w:r>
            <w:r>
              <w:t>; 75% NO in O</w:t>
            </w:r>
            <w:r>
              <w:rPr>
                <w:vertAlign w:val="subscript"/>
              </w:rPr>
              <w:t>2</w:t>
            </w:r>
            <w:r>
              <w:t xml:space="preserve">; both showed cyanosis and </w:t>
            </w:r>
            <w:proofErr w:type="spellStart"/>
            <w:r w:rsidR="00246D5B">
              <w:t>MetHb</w:t>
            </w:r>
            <w:proofErr w:type="spellEnd"/>
          </w:p>
          <w:p w14:paraId="3136562A" w14:textId="2510BEC4" w:rsidR="00EE261B" w:rsidRDefault="00083BF0" w:rsidP="004E290C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1 died from cardiac arrest; other made full recovery</w:t>
            </w:r>
            <w:r w:rsidR="00B67097">
              <w:t>.</w:t>
            </w:r>
            <w:r>
              <w:t xml:space="preserve"> </w:t>
            </w:r>
          </w:p>
          <w:p w14:paraId="0C945517" w14:textId="77777777" w:rsidR="00985B25" w:rsidRDefault="00985B25">
            <w:pPr>
              <w:pStyle w:val="Tabletextprimarysource"/>
            </w:pPr>
            <w:r>
              <w:t>Animal Data:</w:t>
            </w:r>
          </w:p>
          <w:p w14:paraId="3190FFF0" w14:textId="73BF5DC4" w:rsidR="00AF6DF4" w:rsidRDefault="00CE07AB">
            <w:pPr>
              <w:pStyle w:val="ListBullet"/>
              <w:spacing w:before="60" w:after="60"/>
              <w:ind w:left="720"/>
              <w:contextualSpacing w:val="0"/>
            </w:pPr>
            <w:r>
              <w:t>LC</w:t>
            </w:r>
            <w:r w:rsidRPr="007C6072">
              <w:rPr>
                <w:vertAlign w:val="subscript"/>
              </w:rPr>
              <w:t>50</w:t>
            </w:r>
            <w:r w:rsidR="00E679B0">
              <w:t>:</w:t>
            </w:r>
            <w:r w:rsidR="00EE39FE">
              <w:t xml:space="preserve"> </w:t>
            </w:r>
            <w:r w:rsidR="00AF6DF4">
              <w:t xml:space="preserve">320 ppm </w:t>
            </w:r>
            <w:r w:rsidR="00E679B0">
              <w:t>(</w:t>
            </w:r>
            <w:r w:rsidR="00AF6DF4">
              <w:t>mice</w:t>
            </w:r>
            <w:r w:rsidR="00E679B0">
              <w:t>, inhalation)</w:t>
            </w:r>
          </w:p>
          <w:p w14:paraId="4154868D" w14:textId="1BE6B26C" w:rsidR="00C8723D" w:rsidRDefault="00547CE4">
            <w:pPr>
              <w:pStyle w:val="ListBullet"/>
              <w:spacing w:before="60" w:after="60"/>
              <w:ind w:left="720"/>
              <w:contextualSpacing w:val="0"/>
            </w:pPr>
            <w:r>
              <w:t>Albino mice exposed at 5,000 ppm for 6</w:t>
            </w:r>
            <w:r w:rsidR="00B67097">
              <w:t>–</w:t>
            </w:r>
            <w:r>
              <w:t xml:space="preserve">8 min died; death from exposure at 2,500 </w:t>
            </w:r>
            <w:r w:rsidR="00C8723D">
              <w:t xml:space="preserve">ppm </w:t>
            </w:r>
            <w:r>
              <w:t>for 12</w:t>
            </w:r>
            <w:r w:rsidR="00B67097">
              <w:t> </w:t>
            </w:r>
            <w:r>
              <w:t>min with cyanosis occurring after a few minutes</w:t>
            </w:r>
            <w:r w:rsidR="00C539B3">
              <w:t>:</w:t>
            </w:r>
          </w:p>
          <w:p w14:paraId="5C4DB6E9" w14:textId="4F309BDF" w:rsidR="00C8723D" w:rsidRDefault="00547CE4" w:rsidP="004E290C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 xml:space="preserve">red eyegrounds became grey-blue and then </w:t>
            </w:r>
            <w:r w:rsidR="00E679B0">
              <w:t>dyspnoea</w:t>
            </w:r>
            <w:r>
              <w:t xml:space="preserve"> commenced with paralysis </w:t>
            </w:r>
            <w:r w:rsidR="00E679B0">
              <w:t>and convulsions</w:t>
            </w:r>
          </w:p>
          <w:p w14:paraId="22B776F3" w14:textId="16D899C6" w:rsidR="00547CE4" w:rsidRPr="00547CE4" w:rsidRDefault="00E679B0" w:rsidP="004E290C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indicates NO</w:t>
            </w:r>
            <w:r w:rsidR="00547CE4">
              <w:t xml:space="preserve"> </w:t>
            </w:r>
            <w:r w:rsidR="00EE39FE">
              <w:rPr>
                <w:rFonts w:cs="Arial"/>
              </w:rPr>
              <w:t>≈</w:t>
            </w:r>
            <w:r w:rsidR="00547CE4">
              <w:t>1/5 acutely toxic as NO</w:t>
            </w:r>
            <w:r w:rsidR="00547CE4">
              <w:rPr>
                <w:vertAlign w:val="subscript"/>
              </w:rPr>
              <w:t>2</w:t>
            </w:r>
          </w:p>
          <w:p w14:paraId="09544C0A" w14:textId="7C578C68" w:rsidR="00C8723D" w:rsidRDefault="00547CE4">
            <w:pPr>
              <w:pStyle w:val="ListBullet"/>
              <w:spacing w:before="60" w:after="60"/>
              <w:ind w:left="720"/>
              <w:contextualSpacing w:val="0"/>
            </w:pPr>
            <w:r w:rsidRPr="00547CE4">
              <w:t>Dogs exposed at 5,00</w:t>
            </w:r>
            <w:r>
              <w:t xml:space="preserve">0 ppm for 24 min; arterial oxygen declined, </w:t>
            </w:r>
            <w:r w:rsidR="00C8723D">
              <w:t>methaemoglobin</w:t>
            </w:r>
            <w:r>
              <w:t xml:space="preserve"> concentrations increased, circulating CO</w:t>
            </w:r>
            <w:r>
              <w:rPr>
                <w:vertAlign w:val="subscript"/>
              </w:rPr>
              <w:t>2</w:t>
            </w:r>
            <w:r>
              <w:t xml:space="preserve"> increased</w:t>
            </w:r>
            <w:r w:rsidR="00C539B3">
              <w:t>:</w:t>
            </w:r>
          </w:p>
          <w:p w14:paraId="4B486BA7" w14:textId="44694266" w:rsidR="00C8723D" w:rsidRDefault="00547CE4" w:rsidP="004E290C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death within 7</w:t>
            </w:r>
            <w:r w:rsidR="00B67097">
              <w:t>–</w:t>
            </w:r>
            <w:r w:rsidR="00E679B0">
              <w:t>120 min</w:t>
            </w:r>
          </w:p>
          <w:p w14:paraId="735B1D2B" w14:textId="15252EE1" w:rsidR="00547CE4" w:rsidRPr="00547CE4" w:rsidRDefault="00E679B0" w:rsidP="004E290C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dogs inhaling 20,000 </w:t>
            </w:r>
            <w:r w:rsidR="00547CE4">
              <w:t>ppm died within 15</w:t>
            </w:r>
            <w:r w:rsidR="00B67097">
              <w:t>–</w:t>
            </w:r>
            <w:r w:rsidR="00547CE4">
              <w:t>50 min accompanied by acute pulmonary oedema</w:t>
            </w:r>
            <w:r w:rsidR="00B67097">
              <w:t>.</w:t>
            </w:r>
          </w:p>
          <w:p w14:paraId="24E1AA6A" w14:textId="77777777" w:rsidR="006C760A" w:rsidRDefault="006C760A" w:rsidP="00E679B0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  <w:p w14:paraId="342F519C" w14:textId="3CA519F5" w:rsidR="006C5990" w:rsidRDefault="006C5990" w:rsidP="00E679B0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 xml:space="preserve">Insufficient data available for notations of Skin, SEN or carcinogenicity or a TLV-STEL. </w:t>
            </w:r>
          </w:p>
          <w:p w14:paraId="097AF31C" w14:textId="456AFB16" w:rsidR="00EE39FE" w:rsidRPr="00E52976" w:rsidRDefault="00EE39FE" w:rsidP="00E679B0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65BDB4D6" w14:textId="77777777" w:rsidTr="0061291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6A9A8CD" w14:textId="77777777" w:rsidR="00C978F0" w:rsidRPr="00DA352E" w:rsidRDefault="00DA352E" w:rsidP="00E679B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01CD9">
                  <w:t>20</w:t>
                </w:r>
                <w:r w:rsidR="00932E44">
                  <w:t>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01CD9">
                  <w:t>MAK: 0.5 ppm (0.625 mg/m</w:t>
                </w:r>
                <w:r w:rsidR="00C01CD9" w:rsidRPr="007C6072">
                  <w:rPr>
                    <w:vertAlign w:val="superscript"/>
                  </w:rPr>
                  <w:t>3</w:t>
                </w:r>
                <w:r w:rsidR="00C01CD9">
                  <w:t>)</w:t>
                </w:r>
              </w:sdtContent>
            </w:sdt>
          </w:p>
        </w:tc>
      </w:tr>
      <w:tr w:rsidR="00C978F0" w:rsidRPr="00DA352E" w14:paraId="219FED51" w14:textId="77777777" w:rsidTr="00612913">
        <w:trPr>
          <w:gridAfter w:val="1"/>
          <w:wAfter w:w="8" w:type="pct"/>
        </w:trPr>
        <w:tc>
          <w:tcPr>
            <w:tcW w:w="4992" w:type="pct"/>
          </w:tcPr>
          <w:p w14:paraId="39CF5307" w14:textId="77777777" w:rsidR="007C1F90" w:rsidRDefault="007C1F90" w:rsidP="00B67097">
            <w:pPr>
              <w:pStyle w:val="Tabletextprimarysource"/>
            </w:pPr>
            <w:r>
              <w:t>Provisional MAK based on MAK for NO</w:t>
            </w:r>
            <w:r w:rsidRPr="007C6072">
              <w:rPr>
                <w:vertAlign w:val="subscript"/>
              </w:rPr>
              <w:t>2</w:t>
            </w:r>
            <w:r>
              <w:t xml:space="preserve"> of 0.5 ppm</w:t>
            </w:r>
            <w:r w:rsidR="00B67097">
              <w:t>.</w:t>
            </w:r>
          </w:p>
          <w:p w14:paraId="61B112DA" w14:textId="77777777" w:rsidR="00B2110E" w:rsidRDefault="00B2110E" w:rsidP="00B67097">
            <w:pPr>
              <w:pStyle w:val="Tabletextprimarysource"/>
            </w:pPr>
            <w:r>
              <w:t>Additional Data:</w:t>
            </w:r>
          </w:p>
          <w:p w14:paraId="612D10D5" w14:textId="75107814" w:rsidR="00C978F0" w:rsidRDefault="007C1F90" w:rsidP="00B6709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Volunteers exposed at </w:t>
            </w:r>
            <w:r w:rsidR="00EE39FE">
              <w:rPr>
                <w:rFonts w:cs="Arial"/>
              </w:rPr>
              <w:t>≈</w:t>
            </w:r>
            <w:r>
              <w:t>0.1 ppm for 2 h showed significant reduction in specific airway conductance; not considered adverse; no further information</w:t>
            </w:r>
          </w:p>
          <w:p w14:paraId="7EFB86D6" w14:textId="6A24BE5B" w:rsidR="00C8723D" w:rsidRDefault="0057109F" w:rsidP="0057109F">
            <w:pPr>
              <w:pStyle w:val="ListBullet"/>
              <w:spacing w:before="60" w:after="60"/>
              <w:ind w:left="720"/>
              <w:contextualSpacing w:val="0"/>
            </w:pPr>
            <w:r>
              <w:t>Cohort study of coal miners; lung function parameters unaffected at 0.84–1.36 ppm</w:t>
            </w:r>
            <w:r w:rsidR="00C539B3">
              <w:t>:</w:t>
            </w:r>
            <w:r>
              <w:t xml:space="preserve"> </w:t>
            </w:r>
          </w:p>
          <w:p w14:paraId="3246ACB7" w14:textId="6A52A11B" w:rsidR="0057109F" w:rsidRDefault="0057109F" w:rsidP="004E290C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uncertainties in the study and not considered suitable for OEL derivation</w:t>
            </w:r>
          </w:p>
          <w:p w14:paraId="2B1B7367" w14:textId="5A749A8E" w:rsidR="0057109F" w:rsidRDefault="00DD6254" w:rsidP="00B6709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Continuous exposure </w:t>
            </w:r>
            <w:r w:rsidR="00C8723D">
              <w:t>in</w:t>
            </w:r>
            <w:r>
              <w:t xml:space="preserve"> rats at 0.5</w:t>
            </w:r>
            <w:r w:rsidR="00C8723D">
              <w:t>–</w:t>
            </w:r>
            <w:r>
              <w:t>2 ppm for several w</w:t>
            </w:r>
            <w:r w:rsidR="006B5EA9">
              <w:t>eeks</w:t>
            </w:r>
            <w:r>
              <w:t xml:space="preserve"> and dogs at 1.6 ppm for 68</w:t>
            </w:r>
            <w:r w:rsidR="002C4B15">
              <w:t> </w:t>
            </w:r>
            <w:proofErr w:type="spellStart"/>
            <w:r>
              <w:t>mo</w:t>
            </w:r>
            <w:proofErr w:type="spellEnd"/>
            <w:r>
              <w:t xml:space="preserve"> resulted in lung changes in the alveolar region</w:t>
            </w:r>
            <w:r w:rsidR="0057109F">
              <w:t xml:space="preserve"> </w:t>
            </w:r>
          </w:p>
          <w:p w14:paraId="13DB9440" w14:textId="7FE795D1" w:rsidR="00DD6254" w:rsidRDefault="0057109F" w:rsidP="00B6709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No evaluations specifically of persons exposed </w:t>
            </w:r>
            <w:r w:rsidR="002D32C6">
              <w:t>at</w:t>
            </w:r>
            <w:r>
              <w:t xml:space="preserve"> higher concentrations and therefore difficult to assess whether effects resulting from long-term exposure </w:t>
            </w:r>
            <w:r w:rsidR="002D32C6">
              <w:t>at</w:t>
            </w:r>
            <w:r>
              <w:t xml:space="preserve"> higher concentrations can be ruled out with certainty</w:t>
            </w:r>
          </w:p>
          <w:p w14:paraId="5E54F3D3" w14:textId="396041CF" w:rsidR="00DD6254" w:rsidRDefault="00DD6254" w:rsidP="00B67097">
            <w:pPr>
              <w:pStyle w:val="ListBullet"/>
              <w:spacing w:before="60" w:after="60"/>
              <w:ind w:left="720"/>
              <w:contextualSpacing w:val="0"/>
            </w:pPr>
            <w:r>
              <w:t>No animal studies with workplace-relevant (intermittent) exposure periods</w:t>
            </w:r>
          </w:p>
          <w:p w14:paraId="18EB9AD7" w14:textId="1F97690D" w:rsidR="007C1F90" w:rsidRPr="00DA352E" w:rsidRDefault="007C1F90" w:rsidP="006B5EA9">
            <w:pPr>
              <w:pStyle w:val="ListBullet"/>
              <w:numPr>
                <w:ilvl w:val="0"/>
                <w:numId w:val="0"/>
              </w:numPr>
              <w:spacing w:before="60" w:after="60"/>
              <w:ind w:left="720"/>
              <w:contextualSpacing w:val="0"/>
            </w:pPr>
          </w:p>
        </w:tc>
      </w:tr>
      <w:tr w:rsidR="00C978F0" w:rsidRPr="00DA352E" w14:paraId="73DE64E6" w14:textId="77777777" w:rsidTr="0061291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F6013A5" w14:textId="77777777" w:rsidR="00C978F0" w:rsidRPr="00DA352E" w:rsidRDefault="00DA352E" w:rsidP="00E679B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A480C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4A480C" w:rsidRPr="004A480C">
                  <w:t>TWA</w:t>
                </w:r>
                <w:r w:rsidR="004A480C">
                  <w:t>: 2 ppm (2.5 mg/m</w:t>
                </w:r>
                <w:r w:rsidR="004A480C" w:rsidRPr="004A480C">
                  <w:rPr>
                    <w:vertAlign w:val="superscript"/>
                  </w:rPr>
                  <w:t>3</w:t>
                </w:r>
                <w:r w:rsidR="004A480C">
                  <w:t>)</w:t>
                </w:r>
              </w:sdtContent>
            </w:sdt>
          </w:p>
        </w:tc>
      </w:tr>
      <w:tr w:rsidR="00C978F0" w:rsidRPr="00DA352E" w14:paraId="184A1F8D" w14:textId="77777777" w:rsidTr="00612913">
        <w:trPr>
          <w:gridAfter w:val="1"/>
          <w:wAfter w:w="8" w:type="pct"/>
        </w:trPr>
        <w:tc>
          <w:tcPr>
            <w:tcW w:w="4992" w:type="pct"/>
          </w:tcPr>
          <w:p w14:paraId="35D1C218" w14:textId="77777777" w:rsidR="00D12601" w:rsidRDefault="00D12601" w:rsidP="00B67097">
            <w:pPr>
              <w:pStyle w:val="Tabletextprimarysource"/>
            </w:pPr>
            <w:r>
              <w:t>TWA recommended to protect for lung damage from long term repeated exposure</w:t>
            </w:r>
            <w:r w:rsidR="00B67097">
              <w:t>.</w:t>
            </w:r>
          </w:p>
          <w:p w14:paraId="4B0FD3FB" w14:textId="77777777" w:rsidR="00B36728" w:rsidRDefault="00B36728" w:rsidP="00B67097">
            <w:pPr>
              <w:pStyle w:val="Tabletextprimarysource"/>
            </w:pPr>
            <w:r>
              <w:t>Additional Data:</w:t>
            </w:r>
          </w:p>
          <w:p w14:paraId="3D75CE21" w14:textId="17D62FCB" w:rsidR="00B636B9" w:rsidRDefault="00B636B9" w:rsidP="00B6709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Single exposures of human volunteers at 40 ppm for 10 min or 1 ppm for 2 </w:t>
            </w:r>
            <w:r w:rsidR="006B5EA9">
              <w:t>h</w:t>
            </w:r>
            <w:r>
              <w:t xml:space="preserve"> did not lead to adverse changes in lung function tests</w:t>
            </w:r>
          </w:p>
          <w:p w14:paraId="3944260A" w14:textId="0EF43586" w:rsidR="00C978F0" w:rsidRDefault="00B36728" w:rsidP="00B67097">
            <w:pPr>
              <w:pStyle w:val="ListBullet"/>
              <w:spacing w:before="60" w:after="60"/>
              <w:ind w:left="720"/>
              <w:contextualSpacing w:val="0"/>
            </w:pPr>
            <w:r>
              <w:t>Non-irritant upon acute exposure</w:t>
            </w:r>
            <w:r w:rsidR="00E47E21">
              <w:t xml:space="preserve">; acute effects are vasodilatory effects and, at high concentrations, </w:t>
            </w:r>
            <w:proofErr w:type="spellStart"/>
            <w:r w:rsidR="00E47E21">
              <w:t>MetHb</w:t>
            </w:r>
            <w:proofErr w:type="spellEnd"/>
            <w:r w:rsidR="00E47E21">
              <w:t xml:space="preserve"> formation</w:t>
            </w:r>
            <w:r w:rsidR="00670CE2">
              <w:t>; no requirement for a STEL</w:t>
            </w:r>
          </w:p>
          <w:p w14:paraId="06743004" w14:textId="1EA7AA16" w:rsidR="00D12601" w:rsidRDefault="00D12601">
            <w:pPr>
              <w:pStyle w:val="ListBullet"/>
              <w:spacing w:before="60" w:after="60"/>
              <w:ind w:left="720"/>
              <w:contextualSpacing w:val="0"/>
            </w:pPr>
            <w:r>
              <w:t>NOAEC of 2.5 ppm based on lung function with chronic exposure reported in a longitudinal study in diesel locomotive and diesel train drivers; discrimination of effects of nitrogen oxides was performed using General Estimation Equation models</w:t>
            </w:r>
            <w:r w:rsidR="00C539B3">
              <w:t>:</w:t>
            </w:r>
          </w:p>
          <w:p w14:paraId="23BB6C55" w14:textId="5928BCB9" w:rsidR="00B636B9" w:rsidRDefault="00296221" w:rsidP="006B5EA9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 xml:space="preserve">underground miners exposed </w:t>
            </w:r>
            <w:r w:rsidR="002D32C6">
              <w:t>at</w:t>
            </w:r>
            <w:r>
              <w:t xml:space="preserve"> mean NO concentrations of 0.58 ppm </w:t>
            </w:r>
            <w:r w:rsidR="00C8723D">
              <w:br/>
            </w:r>
            <w:r>
              <w:t>(NO</w:t>
            </w:r>
            <w:r w:rsidRPr="006B5EA9">
              <w:rPr>
                <w:vertAlign w:val="subscript"/>
              </w:rPr>
              <w:t>2</w:t>
            </w:r>
            <w:r>
              <w:t>: 0.007</w:t>
            </w:r>
            <w:r w:rsidR="006B5EA9">
              <w:t> </w:t>
            </w:r>
            <w:r>
              <w:t>ppm)</w:t>
            </w:r>
          </w:p>
          <w:p w14:paraId="0F842DFF" w14:textId="1324DAA8" w:rsidR="00296221" w:rsidRDefault="00296221" w:rsidP="006B5EA9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 xml:space="preserve">diesel train and engine drivers exposed </w:t>
            </w:r>
            <w:r w:rsidR="002D32C6">
              <w:t>at</w:t>
            </w:r>
            <w:r>
              <w:t xml:space="preserve"> mean exposures were 1.35 ppm NO </w:t>
            </w:r>
            <w:r w:rsidR="00C8723D">
              <w:br/>
            </w:r>
            <w:r>
              <w:t>(NO</w:t>
            </w:r>
            <w:r w:rsidRPr="006B5EA9">
              <w:rPr>
                <w:vertAlign w:val="subscript"/>
              </w:rPr>
              <w:t>2</w:t>
            </w:r>
            <w:r>
              <w:t>: 0.21 and 0.52 ppm)</w:t>
            </w:r>
          </w:p>
          <w:p w14:paraId="0D583237" w14:textId="22E23F0C" w:rsidR="00296221" w:rsidRDefault="00296221" w:rsidP="006B5EA9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no adverse influence on lung function from these NO</w:t>
            </w:r>
            <w:r>
              <w:rPr>
                <w:vertAlign w:val="subscript"/>
              </w:rPr>
              <w:t xml:space="preserve">x </w:t>
            </w:r>
            <w:r>
              <w:t>exposures</w:t>
            </w:r>
          </w:p>
          <w:p w14:paraId="497EE018" w14:textId="465A0FAE" w:rsidR="00296221" w:rsidRDefault="00DD6254">
            <w:pPr>
              <w:pStyle w:val="ListBullet"/>
              <w:spacing w:before="60" w:after="60"/>
              <w:ind w:left="720"/>
              <w:contextualSpacing w:val="0"/>
            </w:pPr>
            <w:r>
              <w:t>In an earlier study of workers in 2 mines the possibility of lung function impairment in miners exposed for long periods of time was reported by the authors; mean exposures:</w:t>
            </w:r>
          </w:p>
          <w:p w14:paraId="24C6ECF2" w14:textId="6833EC46" w:rsidR="00DD6254" w:rsidRDefault="00DD6254" w:rsidP="006B5EA9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1.7 ppm NO (0.4 ppm NO</w:t>
            </w:r>
            <w:r>
              <w:rPr>
                <w:vertAlign w:val="subscript"/>
              </w:rPr>
              <w:t>2</w:t>
            </w:r>
            <w:r>
              <w:t>) in the 1st mine</w:t>
            </w:r>
          </w:p>
          <w:p w14:paraId="39D2A80A" w14:textId="6A36148A" w:rsidR="00DD6254" w:rsidRDefault="00DD6254" w:rsidP="006B5EA9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1.4 ppm NO (0.5 ppm NO</w:t>
            </w:r>
            <w:r>
              <w:rPr>
                <w:vertAlign w:val="subscript"/>
              </w:rPr>
              <w:t>2</w:t>
            </w:r>
            <w:r>
              <w:t>) in the 2nd mine</w:t>
            </w:r>
          </w:p>
          <w:p w14:paraId="37BEE17A" w14:textId="1AE23DD8" w:rsidR="00DD6254" w:rsidRDefault="00DD6254" w:rsidP="006B5EA9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this study could not dissociate the effects of NO</w:t>
            </w:r>
            <w:r>
              <w:rPr>
                <w:vertAlign w:val="subscript"/>
              </w:rPr>
              <w:t>x</w:t>
            </w:r>
            <w:r>
              <w:t xml:space="preserve"> from those of other variables</w:t>
            </w:r>
            <w:r w:rsidR="00854701">
              <w:t xml:space="preserve"> (dust, diesel exhaust etc.)</w:t>
            </w:r>
            <w:r>
              <w:t xml:space="preserve"> </w:t>
            </w:r>
          </w:p>
          <w:p w14:paraId="3262CFE3" w14:textId="3BD74020" w:rsidR="005728DD" w:rsidRDefault="0074170B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Studies </w:t>
            </w:r>
            <w:r w:rsidR="00B859FF">
              <w:t>in rats suggest</w:t>
            </w:r>
            <w:r>
              <w:t xml:space="preserve"> potential </w:t>
            </w:r>
            <w:r w:rsidR="00B859FF">
              <w:t xml:space="preserve">for </w:t>
            </w:r>
            <w:r>
              <w:t xml:space="preserve">pro-inflammatory or detrimental changes in lungs </w:t>
            </w:r>
            <w:r w:rsidR="00B859FF">
              <w:t>following</w:t>
            </w:r>
            <w:r>
              <w:t xml:space="preserve"> continuous exposure </w:t>
            </w:r>
            <w:r w:rsidR="002D32C6">
              <w:t>at</w:t>
            </w:r>
            <w:r>
              <w:t xml:space="preserve"> 2</w:t>
            </w:r>
            <w:r w:rsidR="00B67097">
              <w:t>–</w:t>
            </w:r>
            <w:r>
              <w:t>6 ppm over</w:t>
            </w:r>
            <w:r w:rsidR="00B67097">
              <w:t xml:space="preserve"> a</w:t>
            </w:r>
            <w:r>
              <w:t xml:space="preserve"> </w:t>
            </w:r>
            <w:r w:rsidR="00B859FF">
              <w:t>few weeks</w:t>
            </w:r>
          </w:p>
          <w:p w14:paraId="4A8FE8C5" w14:textId="35BA1E9E" w:rsidR="00060FCE" w:rsidRDefault="00B859FF">
            <w:pPr>
              <w:pStyle w:val="ListBullet"/>
              <w:spacing w:before="60" w:after="60"/>
              <w:ind w:left="720"/>
              <w:contextualSpacing w:val="0"/>
            </w:pPr>
            <w:r>
              <w:t>Dogs exposed at</w:t>
            </w:r>
            <w:r w:rsidR="002B36F7">
              <w:t xml:space="preserve"> 0 or</w:t>
            </w:r>
            <w:r>
              <w:t xml:space="preserve"> 1.6 ppm (with 0.14 ppm NO</w:t>
            </w:r>
            <w:r>
              <w:rPr>
                <w:vertAlign w:val="subscript"/>
              </w:rPr>
              <w:t>2</w:t>
            </w:r>
            <w:r>
              <w:t>)</w:t>
            </w:r>
            <w:r w:rsidR="002B36F7">
              <w:t xml:space="preserve">, 16 h/d, 68 </w:t>
            </w:r>
            <w:proofErr w:type="spellStart"/>
            <w:r w:rsidR="002B36F7">
              <w:t>mo</w:t>
            </w:r>
            <w:proofErr w:type="spellEnd"/>
            <w:r w:rsidR="002B36F7">
              <w:t xml:space="preserve">; maintained exposure-free for 3 </w:t>
            </w:r>
            <w:proofErr w:type="spellStart"/>
            <w:r w:rsidR="002B36F7">
              <w:t>yr</w:t>
            </w:r>
            <w:proofErr w:type="spellEnd"/>
            <w:r w:rsidR="002B36F7">
              <w:t>; lung histopathology revealed alveolar air space enlargement, destruction of alveolar septa and an increase in alveolar pores</w:t>
            </w:r>
            <w:r w:rsidR="000C76CF">
              <w:t>:</w:t>
            </w:r>
          </w:p>
          <w:p w14:paraId="5D2590FD" w14:textId="081854BD" w:rsidR="00060FCE" w:rsidRDefault="002B36F7" w:rsidP="004E290C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observations indicative of emphysema-like changes</w:t>
            </w:r>
          </w:p>
          <w:p w14:paraId="13CE076B" w14:textId="287797ED" w:rsidR="00B859FF" w:rsidRDefault="002B36F7" w:rsidP="004E290C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not attributed to NO</w:t>
            </w:r>
            <w:r>
              <w:rPr>
                <w:vertAlign w:val="subscript"/>
              </w:rPr>
              <w:t>2</w:t>
            </w:r>
            <w:r w:rsidR="00B67097">
              <w:t>.</w:t>
            </w:r>
          </w:p>
          <w:p w14:paraId="545EAFDF" w14:textId="77777777" w:rsidR="006C760A" w:rsidRDefault="006C760A">
            <w:pPr>
              <w:pStyle w:val="Tabletextprimarysource"/>
            </w:pPr>
          </w:p>
          <w:p w14:paraId="09EE49B7" w14:textId="5E9D51F9" w:rsidR="00F4745D" w:rsidRDefault="00D12601">
            <w:pPr>
              <w:pStyle w:val="Tabletextprimarysource"/>
            </w:pPr>
            <w:r>
              <w:t>TWA based primarily on NOAEC of 2.5 ppm</w:t>
            </w:r>
            <w:r w:rsidR="00B636B9">
              <w:t xml:space="preserve"> as identified in human field studies</w:t>
            </w:r>
            <w:r>
              <w:t xml:space="preserve"> supported by data in animals</w:t>
            </w:r>
            <w:r w:rsidR="00B67097">
              <w:t>.</w:t>
            </w:r>
          </w:p>
          <w:p w14:paraId="61FF4014" w14:textId="5416CE1E" w:rsidR="00EE39FE" w:rsidRPr="00DA352E" w:rsidRDefault="00EE39FE">
            <w:pPr>
              <w:pStyle w:val="Tabletextprimarysource"/>
            </w:pPr>
          </w:p>
        </w:tc>
      </w:tr>
      <w:tr w:rsidR="00DA352E" w:rsidRPr="00DA352E" w14:paraId="6A57C4AB" w14:textId="77777777" w:rsidTr="0061291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EA9275B" w14:textId="77777777" w:rsidR="00DA352E" w:rsidRPr="00DA352E" w:rsidRDefault="00DA352E" w:rsidP="00E679B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8215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782156">
                  <w:t>NA</w:t>
                </w:r>
              </w:sdtContent>
            </w:sdt>
          </w:p>
        </w:tc>
      </w:tr>
      <w:tr w:rsidR="00DA352E" w:rsidRPr="00DA352E" w14:paraId="37D7E459" w14:textId="77777777" w:rsidTr="00612913">
        <w:trPr>
          <w:gridAfter w:val="1"/>
          <w:wAfter w:w="8" w:type="pct"/>
        </w:trPr>
        <w:tc>
          <w:tcPr>
            <w:tcW w:w="4992" w:type="pct"/>
          </w:tcPr>
          <w:p w14:paraId="4420C2A4" w14:textId="77777777" w:rsidR="00DA352E" w:rsidRPr="00DA352E" w:rsidRDefault="00782156" w:rsidP="00B67097">
            <w:pPr>
              <w:pStyle w:val="Tabletextprimarysource"/>
            </w:pPr>
            <w:r>
              <w:t>No report</w:t>
            </w:r>
            <w:r w:rsidR="00B67097">
              <w:t>.</w:t>
            </w:r>
          </w:p>
        </w:tc>
      </w:tr>
      <w:tr w:rsidR="00DA352E" w:rsidRPr="00DA352E" w14:paraId="2AC1495F" w14:textId="77777777" w:rsidTr="0061291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05FEAD8" w14:textId="77777777" w:rsidR="00DA352E" w:rsidRPr="00DA352E" w:rsidRDefault="00DA352E" w:rsidP="00E679B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8215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782156">
                  <w:t>NA</w:t>
                </w:r>
              </w:sdtContent>
            </w:sdt>
          </w:p>
        </w:tc>
      </w:tr>
      <w:tr w:rsidR="00DA352E" w:rsidRPr="00DA352E" w14:paraId="30D1CBED" w14:textId="77777777" w:rsidTr="00612913">
        <w:trPr>
          <w:gridAfter w:val="1"/>
          <w:wAfter w:w="8" w:type="pct"/>
        </w:trPr>
        <w:tc>
          <w:tcPr>
            <w:tcW w:w="4992" w:type="pct"/>
          </w:tcPr>
          <w:p w14:paraId="54288060" w14:textId="77777777" w:rsidR="00DA352E" w:rsidRPr="00DA352E" w:rsidRDefault="00782156" w:rsidP="00B67097">
            <w:pPr>
              <w:pStyle w:val="Tabletextprimarysource"/>
            </w:pPr>
            <w:r>
              <w:t>No report</w:t>
            </w:r>
            <w:r w:rsidR="00B67097">
              <w:t>.</w:t>
            </w:r>
          </w:p>
        </w:tc>
      </w:tr>
    </w:tbl>
    <w:p w14:paraId="7B890FE5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3"/>
        <w:gridCol w:w="423"/>
        <w:gridCol w:w="650"/>
        <w:gridCol w:w="6460"/>
      </w:tblGrid>
      <w:tr w:rsidR="004966BF" w:rsidRPr="00612913" w14:paraId="522A8578" w14:textId="77777777" w:rsidTr="00612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3" w:type="dxa"/>
            <w:shd w:val="clear" w:color="auto" w:fill="BFBFBF" w:themeFill="background1" w:themeFillShade="BF"/>
            <w:vAlign w:val="center"/>
          </w:tcPr>
          <w:p w14:paraId="5433CB5C" w14:textId="77777777" w:rsidR="004966BF" w:rsidRPr="00612913" w:rsidRDefault="004966BF" w:rsidP="00263255">
            <w:pPr>
              <w:pStyle w:val="Tableheader"/>
              <w:rPr>
                <w:b/>
              </w:rPr>
            </w:pPr>
            <w:r w:rsidRPr="00612913">
              <w:rPr>
                <w:b/>
              </w:rPr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20D7C56" w14:textId="77777777" w:rsidR="004966BF" w:rsidRPr="00612913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3A67C902" w14:textId="77777777" w:rsidR="004966BF" w:rsidRPr="00612913" w:rsidRDefault="004966BF" w:rsidP="00263255">
            <w:pPr>
              <w:pStyle w:val="Tableheader"/>
              <w:rPr>
                <w:b/>
              </w:rPr>
            </w:pPr>
            <w:r w:rsidRPr="00612913">
              <w:rPr>
                <w:b/>
              </w:rPr>
              <w:t>Year</w:t>
            </w:r>
          </w:p>
        </w:tc>
        <w:tc>
          <w:tcPr>
            <w:tcW w:w="6460" w:type="dxa"/>
            <w:shd w:val="clear" w:color="auto" w:fill="BFBFBF" w:themeFill="background1" w:themeFillShade="BF"/>
            <w:vAlign w:val="center"/>
          </w:tcPr>
          <w:p w14:paraId="3A971C6E" w14:textId="77777777" w:rsidR="004966BF" w:rsidRPr="00612913" w:rsidRDefault="004966BF" w:rsidP="00263255">
            <w:pPr>
              <w:pStyle w:val="Tableheader"/>
              <w:rPr>
                <w:b/>
              </w:rPr>
            </w:pPr>
            <w:r w:rsidRPr="00612913">
              <w:rPr>
                <w:b/>
              </w:rPr>
              <w:t>Additional information</w:t>
            </w:r>
          </w:p>
        </w:tc>
      </w:tr>
      <w:tr w:rsidR="004966BF" w:rsidRPr="004C23F4" w14:paraId="47F17A35" w14:textId="77777777" w:rsidTr="00612913">
        <w:trPr>
          <w:cantSplit/>
        </w:trPr>
        <w:tc>
          <w:tcPr>
            <w:tcW w:w="1493" w:type="dxa"/>
          </w:tcPr>
          <w:p w14:paraId="444F40CF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2F76147A" w14:textId="77777777" w:rsidR="004966BF" w:rsidRPr="00CE617F" w:rsidRDefault="0061291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1260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5FFC468A" w14:textId="77777777" w:rsidR="004966BF" w:rsidRPr="004C23F4" w:rsidRDefault="00D1260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ND</w:t>
            </w:r>
          </w:p>
        </w:tc>
        <w:tc>
          <w:tcPr>
            <w:tcW w:w="6460" w:type="dxa"/>
          </w:tcPr>
          <w:p w14:paraId="6C2AFB24" w14:textId="6220EB97" w:rsidR="004966BF" w:rsidRPr="004C23F4" w:rsidRDefault="00D12601" w:rsidP="004E290C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Fonts w:cs="Arial"/>
                <w:color w:val="262626"/>
              </w:rPr>
              <w:t xml:space="preserve">IMAP </w:t>
            </w:r>
            <w:r w:rsidR="006C760A">
              <w:rPr>
                <w:rFonts w:cs="Arial"/>
                <w:color w:val="262626"/>
              </w:rPr>
              <w:t>–</w:t>
            </w:r>
            <w:r>
              <w:rPr>
                <w:rFonts w:cs="Arial"/>
                <w:color w:val="262626"/>
              </w:rPr>
              <w:t xml:space="preserve"> Tier I H</w:t>
            </w:r>
            <w:r w:rsidR="006C760A">
              <w:rPr>
                <w:rFonts w:cs="Arial"/>
                <w:color w:val="262626"/>
              </w:rPr>
              <w:t>u</w:t>
            </w:r>
            <w:r>
              <w:rPr>
                <w:rFonts w:cs="Arial"/>
                <w:color w:val="262626"/>
              </w:rPr>
              <w:t>man Health Assessment</w:t>
            </w:r>
            <w:r w:rsidR="006C760A">
              <w:rPr>
                <w:rFonts w:cs="Arial"/>
                <w:color w:val="262626"/>
              </w:rPr>
              <w:t>.</w:t>
            </w:r>
          </w:p>
        </w:tc>
      </w:tr>
    </w:tbl>
    <w:bookmarkEnd w:id="0"/>
    <w:p w14:paraId="15EA0CE9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CDEE145" w14:textId="77777777" w:rsidTr="001D0CEF">
        <w:trPr>
          <w:trHeight w:val="454"/>
          <w:tblHeader/>
        </w:trPr>
        <w:tc>
          <w:tcPr>
            <w:tcW w:w="6603" w:type="dxa"/>
            <w:vAlign w:val="center"/>
          </w:tcPr>
          <w:p w14:paraId="4EFE0F53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039EC457" w14:textId="77777777" w:rsidR="002E0D61" w:rsidRDefault="001D0CEF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B4C1E18" w14:textId="77777777" w:rsidTr="001D0CEF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0D74FF98" w14:textId="77777777" w:rsidR="008A36CF" w:rsidRPr="006901A2" w:rsidRDefault="001D0CEF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C7E108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622B7AE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612913" w14:paraId="24E09527" w14:textId="77777777" w:rsidTr="00612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915BC77" w14:textId="77777777" w:rsidR="00687890" w:rsidRPr="00612913" w:rsidRDefault="00687890" w:rsidP="00263255">
            <w:pPr>
              <w:pStyle w:val="Tableheader"/>
              <w:rPr>
                <w:b/>
              </w:rPr>
            </w:pPr>
            <w:bookmarkStart w:id="2" w:name="Notations"/>
            <w:bookmarkStart w:id="3" w:name="_GoBack" w:colFirst="0" w:colLast="2"/>
            <w:r w:rsidRPr="00612913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1EBF9F3" w14:textId="77777777" w:rsidR="00687890" w:rsidRPr="00612913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612913">
              <w:rPr>
                <w:b/>
              </w:rPr>
              <w:t>Notations</w:t>
            </w:r>
            <w:r w:rsidR="003A2B94" w:rsidRPr="00612913">
              <w:rPr>
                <w:b/>
              </w:rPr>
              <w:tab/>
            </w:r>
          </w:p>
        </w:tc>
      </w:tr>
      <w:bookmarkEnd w:id="3"/>
      <w:tr w:rsidR="00687890" w:rsidRPr="004C23F4" w14:paraId="6BD3E7DB" w14:textId="77777777" w:rsidTr="00612913">
        <w:trPr>
          <w:cantSplit/>
        </w:trPr>
        <w:tc>
          <w:tcPr>
            <w:tcW w:w="3227" w:type="dxa"/>
          </w:tcPr>
          <w:p w14:paraId="56C6C3A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24C7FEA" w14:textId="77777777" w:rsidR="00687890" w:rsidRPr="00DD2F9B" w:rsidRDefault="004A480C" w:rsidP="004A480C">
            <w:pPr>
              <w:pStyle w:val="Tablefont"/>
            </w:pPr>
            <w:r>
              <w:t>NA</w:t>
            </w:r>
          </w:p>
        </w:tc>
      </w:tr>
      <w:tr w:rsidR="007925F0" w:rsidRPr="004C23F4" w14:paraId="29DE11E8" w14:textId="77777777" w:rsidTr="00612913">
        <w:trPr>
          <w:cantSplit/>
        </w:trPr>
        <w:tc>
          <w:tcPr>
            <w:tcW w:w="3227" w:type="dxa"/>
          </w:tcPr>
          <w:p w14:paraId="3B72B113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9FFEAC3" w14:textId="77777777" w:rsidR="007925F0" w:rsidRPr="00DD2F9B" w:rsidRDefault="004A480C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610DFB7F" w14:textId="77777777" w:rsidTr="00612913">
        <w:trPr>
          <w:cantSplit/>
        </w:trPr>
        <w:tc>
          <w:tcPr>
            <w:tcW w:w="3227" w:type="dxa"/>
          </w:tcPr>
          <w:p w14:paraId="4761CDAB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E1BF18A" w14:textId="77777777" w:rsidR="00AF483F" w:rsidRPr="00DD2F9B" w:rsidRDefault="009E7CA2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FB6A799" w14:textId="77777777" w:rsidTr="00612913">
        <w:trPr>
          <w:cantSplit/>
        </w:trPr>
        <w:tc>
          <w:tcPr>
            <w:tcW w:w="3227" w:type="dxa"/>
          </w:tcPr>
          <w:p w14:paraId="7076121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CA1368D" w14:textId="77777777" w:rsidR="00687890" w:rsidRPr="00DD2F9B" w:rsidRDefault="009E7CA2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29DEA23" w14:textId="77777777" w:rsidTr="00612913">
        <w:trPr>
          <w:cantSplit/>
        </w:trPr>
        <w:tc>
          <w:tcPr>
            <w:tcW w:w="3227" w:type="dxa"/>
          </w:tcPr>
          <w:p w14:paraId="2D487379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F82A918" w14:textId="77777777" w:rsidR="00E41A26" w:rsidRPr="00DD2F9B" w:rsidRDefault="009E7CA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474DBAE" w14:textId="77777777" w:rsidTr="00612913">
        <w:trPr>
          <w:cantSplit/>
        </w:trPr>
        <w:tc>
          <w:tcPr>
            <w:tcW w:w="3227" w:type="dxa"/>
          </w:tcPr>
          <w:p w14:paraId="5F2C3A8C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ECEF409" w14:textId="77777777" w:rsidR="002E0D61" w:rsidRPr="00DD2F9B" w:rsidRDefault="009E7CA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9C66B84" w14:textId="77777777" w:rsidTr="00612913">
        <w:trPr>
          <w:cantSplit/>
        </w:trPr>
        <w:tc>
          <w:tcPr>
            <w:tcW w:w="3227" w:type="dxa"/>
          </w:tcPr>
          <w:p w14:paraId="321C76F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90C5931" w14:textId="77777777" w:rsidR="002E0D61" w:rsidRPr="00DD2F9B" w:rsidRDefault="0078215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F809368" w14:textId="77777777" w:rsidTr="00612913">
        <w:trPr>
          <w:cantSplit/>
        </w:trPr>
        <w:tc>
          <w:tcPr>
            <w:tcW w:w="3227" w:type="dxa"/>
          </w:tcPr>
          <w:p w14:paraId="0C178212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CE59B37" w14:textId="77777777" w:rsidR="002E0D61" w:rsidRPr="00DD2F9B" w:rsidRDefault="0078215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2048A22" w14:textId="77777777" w:rsidTr="00612913">
        <w:trPr>
          <w:cantSplit/>
        </w:trPr>
        <w:tc>
          <w:tcPr>
            <w:tcW w:w="3227" w:type="dxa"/>
          </w:tcPr>
          <w:p w14:paraId="52A3AB29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BEA2E71" w14:textId="77777777" w:rsidR="002E0D61" w:rsidRPr="00DD2F9B" w:rsidRDefault="0078215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64F3E5C" w14:textId="77777777" w:rsidTr="00612913">
        <w:trPr>
          <w:cantSplit/>
        </w:trPr>
        <w:tc>
          <w:tcPr>
            <w:tcW w:w="3227" w:type="dxa"/>
          </w:tcPr>
          <w:p w14:paraId="5333EF2D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A6B6D5D" w14:textId="77777777" w:rsidR="00386093" w:rsidRPr="00DD2F9B" w:rsidRDefault="009E7CA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85F8697" w14:textId="77777777" w:rsidTr="00612913">
        <w:trPr>
          <w:cantSplit/>
        </w:trPr>
        <w:tc>
          <w:tcPr>
            <w:tcW w:w="3227" w:type="dxa"/>
          </w:tcPr>
          <w:p w14:paraId="39182464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E38E96A" w14:textId="77777777" w:rsidR="00386093" w:rsidRPr="00DD2F9B" w:rsidRDefault="009E7CA2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23BB04BB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8B14469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43FB5B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39A5F1E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0B65C1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4EE20A6A" w14:textId="03977D4F" w:rsidR="00932DCE" w:rsidRPr="003B1FCD" w:rsidRDefault="0021373A" w:rsidP="004E290C">
            <w:pPr>
              <w:pStyle w:val="Tablefont"/>
            </w:pPr>
            <w:r>
              <w:t>Insufficient data</w:t>
            </w:r>
            <w:r w:rsidR="00B67097">
              <w:t xml:space="preserve"> to assign a skin notation</w:t>
            </w:r>
            <w:r w:rsidR="00060FCE">
              <w:t>.</w:t>
            </w:r>
          </w:p>
        </w:tc>
      </w:tr>
    </w:tbl>
    <w:bookmarkEnd w:id="4"/>
    <w:p w14:paraId="7EF811E1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44DDA90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F433C3F" w14:textId="3CBAF682" w:rsidR="00EB3D1B" w:rsidRPr="003B1FCD" w:rsidRDefault="00EB3D1B" w:rsidP="004E290C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16B1A53" w14:textId="77777777" w:rsidR="00EB3D1B" w:rsidRDefault="00DE563B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6AA91A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1C922B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8A306F7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14F1444" w14:textId="77777777" w:rsidR="001B79E5" w:rsidRDefault="004A480C" w:rsidP="001B79E5">
                <w:pPr>
                  <w:pStyle w:val="Tablefont"/>
                </w:pPr>
                <w:r>
                  <w:t>30.01</w:t>
                </w:r>
              </w:p>
            </w:tc>
          </w:sdtContent>
        </w:sdt>
      </w:tr>
      <w:tr w:rsidR="00A31D99" w:rsidRPr="004C23F4" w14:paraId="6D5DE1E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C4567D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DACE86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E3C20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5B07D9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ECECA85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10104E8" w14:textId="77777777" w:rsidTr="00EA6243">
        <w:trPr>
          <w:cantSplit/>
        </w:trPr>
        <w:tc>
          <w:tcPr>
            <w:tcW w:w="4077" w:type="dxa"/>
            <w:vAlign w:val="center"/>
          </w:tcPr>
          <w:p w14:paraId="63C2C25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1A77A06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63AAA37" w14:textId="77777777" w:rsidTr="00EA6243">
        <w:trPr>
          <w:cantSplit/>
        </w:trPr>
        <w:tc>
          <w:tcPr>
            <w:tcW w:w="4077" w:type="dxa"/>
            <w:vAlign w:val="center"/>
          </w:tcPr>
          <w:p w14:paraId="2F26121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29200EF" w14:textId="77777777" w:rsidR="00687890" w:rsidRPr="004C23F4" w:rsidRDefault="003B1FCD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28FB7FB5" w14:textId="77777777" w:rsidTr="00EA6243">
        <w:trPr>
          <w:cantSplit/>
        </w:trPr>
        <w:tc>
          <w:tcPr>
            <w:tcW w:w="4077" w:type="dxa"/>
            <w:vAlign w:val="center"/>
          </w:tcPr>
          <w:p w14:paraId="63A0CE3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B139302" w14:textId="77777777" w:rsidR="00E06F40" w:rsidRPr="00A006A0" w:rsidRDefault="0061291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B1FCD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35EFD46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40C95E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E273AF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20D51E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DBAE2B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1DF066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40638B9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598EB63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68B0B6E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F426C54" w14:textId="77777777" w:rsidR="002F6193" w:rsidRDefault="002F6193" w:rsidP="00084859">
      <w:r w:rsidRPr="00E461B8">
        <w:t xml:space="preserve">Deutsche </w:t>
      </w:r>
      <w:proofErr w:type="spellStart"/>
      <w:r w:rsidRPr="00E461B8">
        <w:t>Forschungsgemeinschaft</w:t>
      </w:r>
      <w:proofErr w:type="spellEnd"/>
      <w:r w:rsidRPr="00E461B8">
        <w:t xml:space="preserve"> (DFG) (</w:t>
      </w:r>
      <w:r>
        <w:t>2014</w:t>
      </w:r>
      <w:r w:rsidRPr="00E461B8">
        <w:t xml:space="preserve">) </w:t>
      </w:r>
      <w:r>
        <w:t>Nitrogen monoxide</w:t>
      </w:r>
      <w:r w:rsidRPr="00E461B8">
        <w:t xml:space="preserve"> – MAK value documentation.</w:t>
      </w:r>
    </w:p>
    <w:p w14:paraId="4242A59C" w14:textId="77777777" w:rsidR="00DE563B" w:rsidRDefault="00DE563B" w:rsidP="00DE563B">
      <w:r w:rsidRPr="002022B6">
        <w:t>EU Scientific Committee on Occupational Exposure Limits (SCOEL)</w:t>
      </w:r>
      <w:r>
        <w:t xml:space="preserve"> (</w:t>
      </w:r>
      <w:r w:rsidR="008B52AF">
        <w:t>2014</w:t>
      </w:r>
      <w:r>
        <w:t>) Recommendation from the Scientific Committee on Occupational Exposure Limits for nitrogen monoxide. SCOEL/</w:t>
      </w:r>
      <w:r w:rsidR="008B52AF">
        <w:t>SUM/89</w:t>
      </w:r>
      <w:r>
        <w:t>.</w:t>
      </w:r>
    </w:p>
    <w:p w14:paraId="11D83C5F" w14:textId="77777777" w:rsidR="00DE563B" w:rsidRPr="00351FE0" w:rsidRDefault="00DE15A8" w:rsidP="00BF5EBB"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1BBD0C72F1624551B81A90D919F3F1A0"/>
          </w:placeholder>
          <w:temporary/>
          <w:showingPlcHdr/>
        </w:sdtPr>
        <w:sdtEndPr/>
        <w:sdtContent>
          <w:r w:rsidRPr="00DB474A">
            <w:t>1994</w:t>
          </w:r>
        </w:sdtContent>
      </w:sdt>
      <w:r>
        <w:t>) Immediately dangerous to life or health concentrations – nitric oxide.</w:t>
      </w:r>
    </w:p>
    <w:sectPr w:rsidR="00DE563B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4C95" w14:textId="77777777" w:rsidR="0062297A" w:rsidRDefault="0062297A" w:rsidP="00F43AD5">
      <w:pPr>
        <w:spacing w:after="0" w:line="240" w:lineRule="auto"/>
      </w:pPr>
      <w:r>
        <w:separator/>
      </w:r>
    </w:p>
  </w:endnote>
  <w:endnote w:type="continuationSeparator" w:id="0">
    <w:p w14:paraId="22D8D62E" w14:textId="77777777" w:rsidR="0062297A" w:rsidRDefault="0062297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9ADC4" w14:textId="77777777" w:rsidR="00612913" w:rsidRDefault="00612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AFE0BC3" w14:textId="77777777" w:rsidR="008A36CF" w:rsidRDefault="002F43D7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Nitric oxide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10102-43-9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3B1FCD">
          <w:rPr>
            <w:sz w:val="18"/>
            <w:szCs w:val="18"/>
          </w:rPr>
          <w:t>20</w:t>
        </w:r>
      </w:p>
      <w:p w14:paraId="6F15EF6F" w14:textId="0F64C7D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B7D9E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2DF46" w14:textId="77777777" w:rsidR="00612913" w:rsidRDefault="00612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00D2" w14:textId="77777777" w:rsidR="0062297A" w:rsidRDefault="0062297A" w:rsidP="00F43AD5">
      <w:pPr>
        <w:spacing w:after="0" w:line="240" w:lineRule="auto"/>
      </w:pPr>
      <w:r>
        <w:separator/>
      </w:r>
    </w:p>
  </w:footnote>
  <w:footnote w:type="continuationSeparator" w:id="0">
    <w:p w14:paraId="7738F674" w14:textId="77777777" w:rsidR="0062297A" w:rsidRDefault="0062297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78F8F" w14:textId="0AC67DED" w:rsidR="00612913" w:rsidRDefault="00612913">
    <w:pPr>
      <w:pStyle w:val="Header"/>
    </w:pPr>
    <w:r>
      <w:rPr>
        <w:noProof/>
      </w:rPr>
      <w:pict w14:anchorId="57EF1A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51079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6AE0" w14:textId="6607540B" w:rsidR="008A36CF" w:rsidRDefault="00612913" w:rsidP="00F43AD5">
    <w:pPr>
      <w:pStyle w:val="Header"/>
      <w:jc w:val="right"/>
    </w:pPr>
    <w:r>
      <w:rPr>
        <w:noProof/>
      </w:rPr>
      <w:pict w14:anchorId="476AC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51080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4C8C6D55" wp14:editId="424B4380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74C54" w14:textId="12643971" w:rsidR="00612913" w:rsidRDefault="00612913">
    <w:pPr>
      <w:pStyle w:val="Header"/>
    </w:pPr>
    <w:r>
      <w:rPr>
        <w:noProof/>
      </w:rPr>
      <w:pict w14:anchorId="1CD780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51078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1057" w14:textId="4A3B346A" w:rsidR="00612913" w:rsidRDefault="00612913">
    <w:pPr>
      <w:pStyle w:val="Header"/>
    </w:pPr>
    <w:r>
      <w:rPr>
        <w:noProof/>
      </w:rPr>
      <w:pict w14:anchorId="114975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51082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DC89" w14:textId="0301CCF2" w:rsidR="008A36CF" w:rsidRDefault="00612913" w:rsidP="00F43AD5">
    <w:pPr>
      <w:pStyle w:val="Header"/>
      <w:jc w:val="right"/>
    </w:pPr>
    <w:r>
      <w:rPr>
        <w:noProof/>
      </w:rPr>
      <w:pict w14:anchorId="1C0B92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51083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45260CCD" wp14:editId="5FC5F7C0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5DE16" w14:textId="0013AD30" w:rsidR="00612913" w:rsidRDefault="00612913">
    <w:pPr>
      <w:pStyle w:val="Header"/>
    </w:pPr>
    <w:r>
      <w:rPr>
        <w:noProof/>
      </w:rPr>
      <w:pict w14:anchorId="6348EF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51081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74A4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91159"/>
    <w:multiLevelType w:val="hybridMultilevel"/>
    <w:tmpl w:val="CB90CFA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559C3"/>
    <w:multiLevelType w:val="hybridMultilevel"/>
    <w:tmpl w:val="C6008B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904395"/>
    <w:multiLevelType w:val="hybridMultilevel"/>
    <w:tmpl w:val="FADA36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B62835"/>
    <w:multiLevelType w:val="hybridMultilevel"/>
    <w:tmpl w:val="FD9E1F2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153796"/>
    <w:multiLevelType w:val="hybridMultilevel"/>
    <w:tmpl w:val="8D1012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0FCE"/>
    <w:rsid w:val="00067F32"/>
    <w:rsid w:val="00071807"/>
    <w:rsid w:val="000803E1"/>
    <w:rsid w:val="00083BF0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76CF"/>
    <w:rsid w:val="000D291C"/>
    <w:rsid w:val="000E5A54"/>
    <w:rsid w:val="000E63D3"/>
    <w:rsid w:val="000E67CF"/>
    <w:rsid w:val="000E76FB"/>
    <w:rsid w:val="0010461E"/>
    <w:rsid w:val="00105D5A"/>
    <w:rsid w:val="00106FAA"/>
    <w:rsid w:val="00113443"/>
    <w:rsid w:val="001212C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05F4"/>
    <w:rsid w:val="001A1287"/>
    <w:rsid w:val="001A3859"/>
    <w:rsid w:val="001A3C9D"/>
    <w:rsid w:val="001A43F8"/>
    <w:rsid w:val="001B79E5"/>
    <w:rsid w:val="001B7D9E"/>
    <w:rsid w:val="001D0CEF"/>
    <w:rsid w:val="001D56F0"/>
    <w:rsid w:val="001D663B"/>
    <w:rsid w:val="001D7B41"/>
    <w:rsid w:val="001E46DA"/>
    <w:rsid w:val="001E7D80"/>
    <w:rsid w:val="001F380C"/>
    <w:rsid w:val="001F4B6C"/>
    <w:rsid w:val="001F62CB"/>
    <w:rsid w:val="001F6ED0"/>
    <w:rsid w:val="001F72E6"/>
    <w:rsid w:val="001F73C5"/>
    <w:rsid w:val="002046A6"/>
    <w:rsid w:val="00204956"/>
    <w:rsid w:val="00213640"/>
    <w:rsid w:val="0021373A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46D5B"/>
    <w:rsid w:val="0025734A"/>
    <w:rsid w:val="00263255"/>
    <w:rsid w:val="00265026"/>
    <w:rsid w:val="00270AB6"/>
    <w:rsid w:val="00276494"/>
    <w:rsid w:val="00277B0C"/>
    <w:rsid w:val="002916FA"/>
    <w:rsid w:val="00296221"/>
    <w:rsid w:val="002B1A2C"/>
    <w:rsid w:val="002B36F7"/>
    <w:rsid w:val="002C34F2"/>
    <w:rsid w:val="002C4B15"/>
    <w:rsid w:val="002C58FF"/>
    <w:rsid w:val="002C7AFE"/>
    <w:rsid w:val="002D05D2"/>
    <w:rsid w:val="002D32C6"/>
    <w:rsid w:val="002D6AE6"/>
    <w:rsid w:val="002E0D61"/>
    <w:rsid w:val="002E4C7B"/>
    <w:rsid w:val="002F43D7"/>
    <w:rsid w:val="002F6193"/>
    <w:rsid w:val="002F761F"/>
    <w:rsid w:val="0030740C"/>
    <w:rsid w:val="00315833"/>
    <w:rsid w:val="003215EE"/>
    <w:rsid w:val="003224BF"/>
    <w:rsid w:val="00323373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059E"/>
    <w:rsid w:val="00362895"/>
    <w:rsid w:val="0037050B"/>
    <w:rsid w:val="00370DBF"/>
    <w:rsid w:val="00375546"/>
    <w:rsid w:val="00386093"/>
    <w:rsid w:val="003904A4"/>
    <w:rsid w:val="00391841"/>
    <w:rsid w:val="00391B6D"/>
    <w:rsid w:val="00394922"/>
    <w:rsid w:val="003A0E32"/>
    <w:rsid w:val="003A2B94"/>
    <w:rsid w:val="003B1FCD"/>
    <w:rsid w:val="003B387D"/>
    <w:rsid w:val="003C0D58"/>
    <w:rsid w:val="003C1A52"/>
    <w:rsid w:val="003D4FA3"/>
    <w:rsid w:val="003E0807"/>
    <w:rsid w:val="003E51FB"/>
    <w:rsid w:val="003E6B39"/>
    <w:rsid w:val="003F07E1"/>
    <w:rsid w:val="004030BC"/>
    <w:rsid w:val="00403F7D"/>
    <w:rsid w:val="00406785"/>
    <w:rsid w:val="004078F7"/>
    <w:rsid w:val="004079B4"/>
    <w:rsid w:val="00417A56"/>
    <w:rsid w:val="00420957"/>
    <w:rsid w:val="00422A10"/>
    <w:rsid w:val="00425FE0"/>
    <w:rsid w:val="0042631F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480C"/>
    <w:rsid w:val="004A5088"/>
    <w:rsid w:val="004A657F"/>
    <w:rsid w:val="004C1E3F"/>
    <w:rsid w:val="004C23F4"/>
    <w:rsid w:val="004C3475"/>
    <w:rsid w:val="004C58B6"/>
    <w:rsid w:val="004D16A3"/>
    <w:rsid w:val="004D4AA1"/>
    <w:rsid w:val="004D6D68"/>
    <w:rsid w:val="004E21E6"/>
    <w:rsid w:val="004E290C"/>
    <w:rsid w:val="004E5EDD"/>
    <w:rsid w:val="004F0004"/>
    <w:rsid w:val="004F448A"/>
    <w:rsid w:val="004F493D"/>
    <w:rsid w:val="004F65E8"/>
    <w:rsid w:val="0050005E"/>
    <w:rsid w:val="00502B88"/>
    <w:rsid w:val="00512356"/>
    <w:rsid w:val="005142C4"/>
    <w:rsid w:val="0051509C"/>
    <w:rsid w:val="00525718"/>
    <w:rsid w:val="005272E2"/>
    <w:rsid w:val="0053108F"/>
    <w:rsid w:val="00532B56"/>
    <w:rsid w:val="00534B10"/>
    <w:rsid w:val="0054124D"/>
    <w:rsid w:val="005446A2"/>
    <w:rsid w:val="00544D2F"/>
    <w:rsid w:val="00547CE4"/>
    <w:rsid w:val="00551BD8"/>
    <w:rsid w:val="0057109F"/>
    <w:rsid w:val="005728DD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47B2"/>
    <w:rsid w:val="006013C1"/>
    <w:rsid w:val="0060669E"/>
    <w:rsid w:val="0061053E"/>
    <w:rsid w:val="00610F2E"/>
    <w:rsid w:val="00611399"/>
    <w:rsid w:val="00612913"/>
    <w:rsid w:val="0062297A"/>
    <w:rsid w:val="00624C4E"/>
    <w:rsid w:val="00625200"/>
    <w:rsid w:val="00630D03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0CE2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B5EA9"/>
    <w:rsid w:val="006C5990"/>
    <w:rsid w:val="006C760A"/>
    <w:rsid w:val="006D38F1"/>
    <w:rsid w:val="006D79EA"/>
    <w:rsid w:val="006E3BC1"/>
    <w:rsid w:val="006E5D05"/>
    <w:rsid w:val="00701053"/>
    <w:rsid w:val="00701507"/>
    <w:rsid w:val="00706F02"/>
    <w:rsid w:val="00714021"/>
    <w:rsid w:val="00716A0F"/>
    <w:rsid w:val="00717D45"/>
    <w:rsid w:val="007208F7"/>
    <w:rsid w:val="007218AF"/>
    <w:rsid w:val="007365D1"/>
    <w:rsid w:val="00740E0E"/>
    <w:rsid w:val="0074170B"/>
    <w:rsid w:val="00750212"/>
    <w:rsid w:val="00754779"/>
    <w:rsid w:val="0075716D"/>
    <w:rsid w:val="00765F14"/>
    <w:rsid w:val="00770E31"/>
    <w:rsid w:val="007770F1"/>
    <w:rsid w:val="00782156"/>
    <w:rsid w:val="00783FB1"/>
    <w:rsid w:val="00785CDD"/>
    <w:rsid w:val="00791847"/>
    <w:rsid w:val="007925F0"/>
    <w:rsid w:val="007939B3"/>
    <w:rsid w:val="0079509C"/>
    <w:rsid w:val="00796708"/>
    <w:rsid w:val="007B1B42"/>
    <w:rsid w:val="007B614B"/>
    <w:rsid w:val="007B70B1"/>
    <w:rsid w:val="007C1F90"/>
    <w:rsid w:val="007C30EB"/>
    <w:rsid w:val="007C6072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0B1D"/>
    <w:rsid w:val="00822C67"/>
    <w:rsid w:val="00826F21"/>
    <w:rsid w:val="00834CC8"/>
    <w:rsid w:val="00835E00"/>
    <w:rsid w:val="00837113"/>
    <w:rsid w:val="008408F3"/>
    <w:rsid w:val="008414E4"/>
    <w:rsid w:val="00843E21"/>
    <w:rsid w:val="0084508E"/>
    <w:rsid w:val="00854701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52AF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2E44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02FC"/>
    <w:rsid w:val="00974F2D"/>
    <w:rsid w:val="00977524"/>
    <w:rsid w:val="00977E88"/>
    <w:rsid w:val="00984920"/>
    <w:rsid w:val="00985B25"/>
    <w:rsid w:val="0099303A"/>
    <w:rsid w:val="009971C2"/>
    <w:rsid w:val="009A1254"/>
    <w:rsid w:val="009A2121"/>
    <w:rsid w:val="009B2FF2"/>
    <w:rsid w:val="009B380C"/>
    <w:rsid w:val="009B4843"/>
    <w:rsid w:val="009B6543"/>
    <w:rsid w:val="009C199D"/>
    <w:rsid w:val="009C278F"/>
    <w:rsid w:val="009C2B94"/>
    <w:rsid w:val="009C5874"/>
    <w:rsid w:val="009C5D29"/>
    <w:rsid w:val="009D3B5A"/>
    <w:rsid w:val="009E0C05"/>
    <w:rsid w:val="009E0D1C"/>
    <w:rsid w:val="009E2214"/>
    <w:rsid w:val="009E355A"/>
    <w:rsid w:val="009E63E2"/>
    <w:rsid w:val="009E7CA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72263"/>
    <w:rsid w:val="00A84504"/>
    <w:rsid w:val="00A8672F"/>
    <w:rsid w:val="00A93057"/>
    <w:rsid w:val="00A94FF4"/>
    <w:rsid w:val="00A968B0"/>
    <w:rsid w:val="00AB051A"/>
    <w:rsid w:val="00AB2672"/>
    <w:rsid w:val="00AB2817"/>
    <w:rsid w:val="00AB43C4"/>
    <w:rsid w:val="00AC32E7"/>
    <w:rsid w:val="00AC3A9F"/>
    <w:rsid w:val="00AC6D2F"/>
    <w:rsid w:val="00AE2745"/>
    <w:rsid w:val="00AE2768"/>
    <w:rsid w:val="00AE2F64"/>
    <w:rsid w:val="00AF426C"/>
    <w:rsid w:val="00AF42CB"/>
    <w:rsid w:val="00AF483F"/>
    <w:rsid w:val="00AF5E07"/>
    <w:rsid w:val="00AF5F06"/>
    <w:rsid w:val="00AF6B07"/>
    <w:rsid w:val="00AF6DF4"/>
    <w:rsid w:val="00B00A25"/>
    <w:rsid w:val="00B1422A"/>
    <w:rsid w:val="00B1459F"/>
    <w:rsid w:val="00B1765C"/>
    <w:rsid w:val="00B2110E"/>
    <w:rsid w:val="00B213C4"/>
    <w:rsid w:val="00B36728"/>
    <w:rsid w:val="00B40C60"/>
    <w:rsid w:val="00B479A9"/>
    <w:rsid w:val="00B52EDF"/>
    <w:rsid w:val="00B57D54"/>
    <w:rsid w:val="00B632A9"/>
    <w:rsid w:val="00B636B9"/>
    <w:rsid w:val="00B63E2B"/>
    <w:rsid w:val="00B67097"/>
    <w:rsid w:val="00B71188"/>
    <w:rsid w:val="00B76A41"/>
    <w:rsid w:val="00B859FF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BF5EBB"/>
    <w:rsid w:val="00C01CD9"/>
    <w:rsid w:val="00C06E43"/>
    <w:rsid w:val="00C16315"/>
    <w:rsid w:val="00C3091E"/>
    <w:rsid w:val="00C40FF1"/>
    <w:rsid w:val="00C419E2"/>
    <w:rsid w:val="00C5020E"/>
    <w:rsid w:val="00C539B3"/>
    <w:rsid w:val="00C57452"/>
    <w:rsid w:val="00C61EDF"/>
    <w:rsid w:val="00C6239D"/>
    <w:rsid w:val="00C6594B"/>
    <w:rsid w:val="00C67FFB"/>
    <w:rsid w:val="00C70A39"/>
    <w:rsid w:val="00C7155E"/>
    <w:rsid w:val="00C71D1E"/>
    <w:rsid w:val="00C71D7D"/>
    <w:rsid w:val="00C74833"/>
    <w:rsid w:val="00C850A0"/>
    <w:rsid w:val="00C855D4"/>
    <w:rsid w:val="00C85A86"/>
    <w:rsid w:val="00C8723D"/>
    <w:rsid w:val="00C978F0"/>
    <w:rsid w:val="00CA2980"/>
    <w:rsid w:val="00CA58FE"/>
    <w:rsid w:val="00CB1CB1"/>
    <w:rsid w:val="00CB3B12"/>
    <w:rsid w:val="00CB6BC1"/>
    <w:rsid w:val="00CB6CB8"/>
    <w:rsid w:val="00CC1A68"/>
    <w:rsid w:val="00CC2123"/>
    <w:rsid w:val="00CD2BFD"/>
    <w:rsid w:val="00CD6645"/>
    <w:rsid w:val="00CE07AB"/>
    <w:rsid w:val="00CE5AD6"/>
    <w:rsid w:val="00CE617F"/>
    <w:rsid w:val="00CE78EF"/>
    <w:rsid w:val="00D025B8"/>
    <w:rsid w:val="00D048F7"/>
    <w:rsid w:val="00D0517E"/>
    <w:rsid w:val="00D12601"/>
    <w:rsid w:val="00D140FC"/>
    <w:rsid w:val="00D21D8C"/>
    <w:rsid w:val="00D31357"/>
    <w:rsid w:val="00D33220"/>
    <w:rsid w:val="00D334D1"/>
    <w:rsid w:val="00D44C89"/>
    <w:rsid w:val="00D516CD"/>
    <w:rsid w:val="00D56648"/>
    <w:rsid w:val="00D668E6"/>
    <w:rsid w:val="00D70670"/>
    <w:rsid w:val="00D74D80"/>
    <w:rsid w:val="00D76624"/>
    <w:rsid w:val="00D83B99"/>
    <w:rsid w:val="00D87570"/>
    <w:rsid w:val="00D91CB9"/>
    <w:rsid w:val="00D97989"/>
    <w:rsid w:val="00D97D8D"/>
    <w:rsid w:val="00DA352E"/>
    <w:rsid w:val="00DB474A"/>
    <w:rsid w:val="00DC7694"/>
    <w:rsid w:val="00DD1BF6"/>
    <w:rsid w:val="00DD2F9B"/>
    <w:rsid w:val="00DD6254"/>
    <w:rsid w:val="00DE15A8"/>
    <w:rsid w:val="00DE2513"/>
    <w:rsid w:val="00DE26E8"/>
    <w:rsid w:val="00DE563B"/>
    <w:rsid w:val="00DF6F36"/>
    <w:rsid w:val="00E0084C"/>
    <w:rsid w:val="00E025AB"/>
    <w:rsid w:val="00E02B23"/>
    <w:rsid w:val="00E063B5"/>
    <w:rsid w:val="00E06F40"/>
    <w:rsid w:val="00E07CE8"/>
    <w:rsid w:val="00E20502"/>
    <w:rsid w:val="00E25EFC"/>
    <w:rsid w:val="00E26A07"/>
    <w:rsid w:val="00E2713F"/>
    <w:rsid w:val="00E32595"/>
    <w:rsid w:val="00E32C78"/>
    <w:rsid w:val="00E37CFD"/>
    <w:rsid w:val="00E41A26"/>
    <w:rsid w:val="00E46BCB"/>
    <w:rsid w:val="00E47E21"/>
    <w:rsid w:val="00E51CAF"/>
    <w:rsid w:val="00E52976"/>
    <w:rsid w:val="00E60F04"/>
    <w:rsid w:val="00E62AAC"/>
    <w:rsid w:val="00E679B0"/>
    <w:rsid w:val="00E67C2F"/>
    <w:rsid w:val="00E67EF5"/>
    <w:rsid w:val="00E804EA"/>
    <w:rsid w:val="00E80A71"/>
    <w:rsid w:val="00E82337"/>
    <w:rsid w:val="00E92499"/>
    <w:rsid w:val="00E949AF"/>
    <w:rsid w:val="00E95B5F"/>
    <w:rsid w:val="00E96077"/>
    <w:rsid w:val="00EA0A06"/>
    <w:rsid w:val="00EA6243"/>
    <w:rsid w:val="00EA74AB"/>
    <w:rsid w:val="00EB3D1B"/>
    <w:rsid w:val="00ED1D89"/>
    <w:rsid w:val="00ED66BC"/>
    <w:rsid w:val="00EE261B"/>
    <w:rsid w:val="00EE39FE"/>
    <w:rsid w:val="00EE4FE2"/>
    <w:rsid w:val="00EF233A"/>
    <w:rsid w:val="00EF303E"/>
    <w:rsid w:val="00EF3A40"/>
    <w:rsid w:val="00EF5BDC"/>
    <w:rsid w:val="00EF7F78"/>
    <w:rsid w:val="00F01B08"/>
    <w:rsid w:val="00F01C4D"/>
    <w:rsid w:val="00F053FA"/>
    <w:rsid w:val="00F0716F"/>
    <w:rsid w:val="00F10C97"/>
    <w:rsid w:val="00F11C71"/>
    <w:rsid w:val="00F16019"/>
    <w:rsid w:val="00F20E68"/>
    <w:rsid w:val="00F22093"/>
    <w:rsid w:val="00F236DF"/>
    <w:rsid w:val="00F43AD5"/>
    <w:rsid w:val="00F4402E"/>
    <w:rsid w:val="00F458E2"/>
    <w:rsid w:val="00F4745D"/>
    <w:rsid w:val="00F56DD0"/>
    <w:rsid w:val="00F60A62"/>
    <w:rsid w:val="00F6491C"/>
    <w:rsid w:val="00F67BBB"/>
    <w:rsid w:val="00F86C86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168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5C695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DE563B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F86C8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6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3B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3B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3B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BBD0C72F1624551B81A90D919F3F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C848D-BBF7-4063-B1DF-75672A375ABE}"/>
      </w:docPartPr>
      <w:docPartBody>
        <w:p w:rsidR="0036621E" w:rsidRDefault="0024474D" w:rsidP="0024474D">
          <w:pPr>
            <w:pStyle w:val="1BBD0C72F1624551B81A90D919F3F1A0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AD5CA02EDB2343C998693C449D60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624C-3635-4665-96A8-97B8F2F3F6AC}"/>
      </w:docPartPr>
      <w:docPartBody>
        <w:p w:rsidR="004D3EF7" w:rsidRDefault="00913ADA" w:rsidP="00913ADA">
          <w:pPr>
            <w:pStyle w:val="AD5CA02EDB2343C998693C449D601763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77A96"/>
    <w:rsid w:val="0024474D"/>
    <w:rsid w:val="0036621E"/>
    <w:rsid w:val="004D3EF7"/>
    <w:rsid w:val="00913ADA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3ADA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EE619DCC68442479099822F934F9EE6">
    <w:name w:val="FEE619DCC68442479099822F934F9EE6"/>
    <w:rsid w:val="0024474D"/>
    <w:rPr>
      <w:lang w:val="en-US" w:eastAsia="en-US"/>
    </w:rPr>
  </w:style>
  <w:style w:type="paragraph" w:customStyle="1" w:styleId="A5E8F5E5B38C40E690587A1D63DDC678">
    <w:name w:val="A5E8F5E5B38C40E690587A1D63DDC678"/>
    <w:rsid w:val="0024474D"/>
    <w:rPr>
      <w:lang w:val="en-US" w:eastAsia="en-US"/>
    </w:rPr>
  </w:style>
  <w:style w:type="paragraph" w:customStyle="1" w:styleId="C1CCE1DCD4204A2CBDEADD58C7335815">
    <w:name w:val="C1CCE1DCD4204A2CBDEADD58C7335815"/>
    <w:rsid w:val="0024474D"/>
    <w:rPr>
      <w:lang w:val="en-US" w:eastAsia="en-US"/>
    </w:rPr>
  </w:style>
  <w:style w:type="paragraph" w:customStyle="1" w:styleId="70385D44094D4ADEB40046FAB3AA3790">
    <w:name w:val="70385D44094D4ADEB40046FAB3AA3790"/>
    <w:rsid w:val="0024474D"/>
    <w:rPr>
      <w:lang w:val="en-US" w:eastAsia="en-US"/>
    </w:rPr>
  </w:style>
  <w:style w:type="paragraph" w:customStyle="1" w:styleId="7F3A2CCDCE04420FA2F97BD96AED9446">
    <w:name w:val="7F3A2CCDCE04420FA2F97BD96AED9446"/>
    <w:rsid w:val="0024474D"/>
    <w:rPr>
      <w:lang w:val="en-US" w:eastAsia="en-US"/>
    </w:rPr>
  </w:style>
  <w:style w:type="paragraph" w:customStyle="1" w:styleId="7019437B5E274AE9A75AE4398E29D20D">
    <w:name w:val="7019437B5E274AE9A75AE4398E29D20D"/>
    <w:rsid w:val="0024474D"/>
    <w:rPr>
      <w:lang w:val="en-US" w:eastAsia="en-US"/>
    </w:rPr>
  </w:style>
  <w:style w:type="paragraph" w:customStyle="1" w:styleId="A3981EEC2C9F43C8BB3C21AB869F4656">
    <w:name w:val="A3981EEC2C9F43C8BB3C21AB869F4656"/>
    <w:rsid w:val="0024474D"/>
    <w:rPr>
      <w:lang w:val="en-US" w:eastAsia="en-US"/>
    </w:rPr>
  </w:style>
  <w:style w:type="paragraph" w:customStyle="1" w:styleId="E44B49343F5643C2934DA02997BD6060">
    <w:name w:val="E44B49343F5643C2934DA02997BD6060"/>
    <w:rsid w:val="0024474D"/>
    <w:rPr>
      <w:lang w:val="en-US" w:eastAsia="en-US"/>
    </w:rPr>
  </w:style>
  <w:style w:type="paragraph" w:customStyle="1" w:styleId="1BBD0C72F1624551B81A90D919F3F1A0">
    <w:name w:val="1BBD0C72F1624551B81A90D919F3F1A0"/>
    <w:rsid w:val="0024474D"/>
    <w:rPr>
      <w:lang w:val="en-US" w:eastAsia="en-US"/>
    </w:rPr>
  </w:style>
  <w:style w:type="paragraph" w:customStyle="1" w:styleId="422F906CD8074F38B57E743F6EBE1BB3">
    <w:name w:val="422F906CD8074F38B57E743F6EBE1BB3"/>
    <w:rsid w:val="0024474D"/>
    <w:rPr>
      <w:lang w:val="en-US" w:eastAsia="en-US"/>
    </w:rPr>
  </w:style>
  <w:style w:type="paragraph" w:customStyle="1" w:styleId="AD5CA02EDB2343C998693C449D601763">
    <w:name w:val="AD5CA02EDB2343C998693C449D601763"/>
    <w:rsid w:val="00913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8F22-2236-43CE-A66C-3A44198EC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C45C7-3FE7-400A-A1BB-C83B51330A9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f54d604-3e62-4e70-ba33-9e9084b96a6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10536F-CE35-4786-BC91-5CB331B35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9B5944-76E8-4A22-A121-EE8393A0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2020-01-28T02:59:00Z</dcterms:created>
  <dcterms:modified xsi:type="dcterms:W3CDTF">2020-03-12T23:18:00Z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