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rPr>
        <w:alias w:val="NameofChemical"/>
        <w:tag w:val="NameofChemical"/>
        <w:id w:val="1425919599"/>
        <w:lock w:val="sdtLocked"/>
        <w:placeholder>
          <w:docPart w:val="CE1736E50B02464986D1BEC8B7ACDE96"/>
        </w:placeholder>
        <w:text/>
      </w:sdtPr>
      <w:sdtEndPr/>
      <w:sdtContent>
        <w:p w14:paraId="7B610614" w14:textId="0F088B41" w:rsidR="00BD499F" w:rsidRPr="004C23F4" w:rsidRDefault="001A3D52" w:rsidP="00B40C60">
          <w:pPr>
            <w:pStyle w:val="Heading1"/>
            <w:jc w:val="center"/>
            <w:rPr>
              <w:rFonts w:ascii="Arial" w:hAnsi="Arial" w:cs="Arial"/>
            </w:rPr>
          </w:pPr>
          <w:r>
            <w:rPr>
              <w:rFonts w:ascii="Arial" w:hAnsi="Arial" w:cs="Arial"/>
            </w:rPr>
            <w:t>N</w:t>
          </w:r>
          <w:r w:rsidR="00F02E0A">
            <w:rPr>
              <w:rFonts w:ascii="Arial" w:hAnsi="Arial" w:cs="Arial"/>
            </w:rPr>
            <w:t>itroglycerine (ng)</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3986"/>
        <w:gridCol w:w="5040"/>
      </w:tblGrid>
      <w:tr w:rsidR="00F43AD5" w:rsidRPr="004C23F4" w14:paraId="058F12CD" w14:textId="77777777" w:rsidTr="00B76A41">
        <w:trPr>
          <w:cantSplit/>
          <w:tblHeader/>
        </w:trPr>
        <w:tc>
          <w:tcPr>
            <w:tcW w:w="4077" w:type="dxa"/>
          </w:tcPr>
          <w:p w14:paraId="54331856" w14:textId="77777777" w:rsidR="00F43AD5" w:rsidRPr="00921DE7" w:rsidRDefault="00CB1CB1" w:rsidP="00B76A41">
            <w:pPr>
              <w:pStyle w:val="Tablerowright"/>
            </w:pPr>
            <w:r w:rsidRPr="00921DE7">
              <w:t>CAS number:</w:t>
            </w:r>
          </w:p>
        </w:tc>
        <w:tc>
          <w:tcPr>
            <w:tcW w:w="5165" w:type="dxa"/>
          </w:tcPr>
          <w:p w14:paraId="47398ACF" w14:textId="77777777" w:rsidR="00F43AD5" w:rsidRPr="00717D45" w:rsidRDefault="00F02E0A" w:rsidP="00B76A41">
            <w:pPr>
              <w:pStyle w:val="Tablefont"/>
            </w:pPr>
            <w:r w:rsidRPr="00F02E0A">
              <w:t>55-63-0</w:t>
            </w:r>
          </w:p>
        </w:tc>
      </w:tr>
      <w:tr w:rsidR="00F43AD5" w:rsidRPr="004B068A" w14:paraId="0BAC50DB" w14:textId="77777777" w:rsidTr="00B76A41">
        <w:trPr>
          <w:cantSplit/>
        </w:trPr>
        <w:tc>
          <w:tcPr>
            <w:tcW w:w="4077" w:type="dxa"/>
          </w:tcPr>
          <w:p w14:paraId="5CD0EFA7" w14:textId="77777777" w:rsidR="00F43AD5" w:rsidRPr="00921DE7" w:rsidRDefault="00CB1CB1" w:rsidP="00B76A41">
            <w:pPr>
              <w:pStyle w:val="Tablerowright"/>
            </w:pPr>
            <w:r w:rsidRPr="00921DE7">
              <w:t>Synonyms:</w:t>
            </w:r>
          </w:p>
        </w:tc>
        <w:tc>
          <w:tcPr>
            <w:tcW w:w="5165" w:type="dxa"/>
          </w:tcPr>
          <w:p w14:paraId="5686C7D0" w14:textId="3ADA4407" w:rsidR="00F43AD5" w:rsidRPr="004B068A" w:rsidRDefault="005E1234" w:rsidP="00B76A41">
            <w:pPr>
              <w:pStyle w:val="Tablefont"/>
              <w:rPr>
                <w:lang w:val="it-IT"/>
              </w:rPr>
            </w:pPr>
            <w:r w:rsidRPr="004B068A">
              <w:rPr>
                <w:lang w:val="it-IT"/>
              </w:rPr>
              <w:t>Glycerol trinitrate,</w:t>
            </w:r>
            <w:r w:rsidR="00C774DA" w:rsidRPr="004B068A">
              <w:rPr>
                <w:lang w:val="it-IT"/>
              </w:rPr>
              <w:t xml:space="preserve"> g</w:t>
            </w:r>
            <w:r w:rsidRPr="004B068A">
              <w:rPr>
                <w:lang w:val="it-IT"/>
              </w:rPr>
              <w:t>lyceryl trinitrate,</w:t>
            </w:r>
            <w:r w:rsidR="00C774DA" w:rsidRPr="004B068A">
              <w:rPr>
                <w:lang w:val="it-IT"/>
              </w:rPr>
              <w:t xml:space="preserve"> n</w:t>
            </w:r>
            <w:r w:rsidRPr="004B068A">
              <w:rPr>
                <w:lang w:val="it-IT"/>
              </w:rPr>
              <w:t>itroglycerol,</w:t>
            </w:r>
            <w:r w:rsidR="00C774DA" w:rsidRPr="004B068A">
              <w:rPr>
                <w:lang w:val="it-IT"/>
              </w:rPr>
              <w:t xml:space="preserve"> 1,2,3-p</w:t>
            </w:r>
            <w:r w:rsidRPr="004B068A">
              <w:rPr>
                <w:lang w:val="it-IT"/>
              </w:rPr>
              <w:t>ropanetriol trinitrate</w:t>
            </w:r>
          </w:p>
        </w:tc>
      </w:tr>
      <w:tr w:rsidR="00F43AD5" w:rsidRPr="004C23F4" w14:paraId="5C0A26E7" w14:textId="77777777" w:rsidTr="00B76A41">
        <w:trPr>
          <w:cantSplit/>
        </w:trPr>
        <w:tc>
          <w:tcPr>
            <w:tcW w:w="4077" w:type="dxa"/>
          </w:tcPr>
          <w:p w14:paraId="6CA69050" w14:textId="77777777" w:rsidR="00F43AD5" w:rsidRPr="00921DE7" w:rsidRDefault="00CB1CB1" w:rsidP="00B76A41">
            <w:pPr>
              <w:pStyle w:val="Tablerowright"/>
            </w:pPr>
            <w:r w:rsidRPr="00921DE7">
              <w:t>Chemical formula:</w:t>
            </w:r>
          </w:p>
        </w:tc>
        <w:tc>
          <w:tcPr>
            <w:tcW w:w="5165" w:type="dxa"/>
          </w:tcPr>
          <w:p w14:paraId="4CFB3417" w14:textId="77777777" w:rsidR="00F43AD5" w:rsidRPr="00717D45" w:rsidRDefault="0081029D" w:rsidP="00B76A41">
            <w:pPr>
              <w:pStyle w:val="Tablefont"/>
            </w:pPr>
            <w:r w:rsidRPr="0081029D">
              <w:t>C</w:t>
            </w:r>
            <w:r w:rsidRPr="0081029D">
              <w:rPr>
                <w:vertAlign w:val="subscript"/>
              </w:rPr>
              <w:t>3</w:t>
            </w:r>
            <w:r w:rsidRPr="0081029D">
              <w:t>H</w:t>
            </w:r>
            <w:r w:rsidRPr="0081029D">
              <w:rPr>
                <w:vertAlign w:val="subscript"/>
              </w:rPr>
              <w:t>5</w:t>
            </w:r>
            <w:r w:rsidRPr="0081029D">
              <w:t>N</w:t>
            </w:r>
            <w:r w:rsidRPr="0081029D">
              <w:rPr>
                <w:vertAlign w:val="subscript"/>
              </w:rPr>
              <w:t>3</w:t>
            </w:r>
            <w:r w:rsidRPr="0081029D">
              <w:t>O</w:t>
            </w:r>
            <w:r w:rsidRPr="0081029D">
              <w:rPr>
                <w:vertAlign w:val="subscript"/>
              </w:rPr>
              <w:t>9</w:t>
            </w:r>
          </w:p>
        </w:tc>
      </w:tr>
      <w:tr w:rsidR="00F43AD5" w:rsidRPr="004C23F4" w14:paraId="10466370" w14:textId="77777777" w:rsidTr="00B76A41">
        <w:trPr>
          <w:cantSplit/>
        </w:trPr>
        <w:tc>
          <w:tcPr>
            <w:tcW w:w="4077" w:type="dxa"/>
          </w:tcPr>
          <w:p w14:paraId="0C834FE0" w14:textId="77777777" w:rsidR="00F43AD5" w:rsidRPr="00921DE7" w:rsidRDefault="00CB1CB1" w:rsidP="00B76A41">
            <w:pPr>
              <w:pStyle w:val="Tablerowright"/>
            </w:pPr>
            <w:r w:rsidRPr="00921DE7">
              <w:t>Structural formula:</w:t>
            </w:r>
          </w:p>
        </w:tc>
        <w:tc>
          <w:tcPr>
            <w:tcW w:w="5165" w:type="dxa"/>
          </w:tcPr>
          <w:p w14:paraId="249C03B1" w14:textId="77777777" w:rsidR="00F43AD5" w:rsidRPr="00B40C60" w:rsidRDefault="0081029D" w:rsidP="00B76A41">
            <w:pPr>
              <w:pStyle w:val="Tablerowheading"/>
              <w:rPr>
                <w:b w:val="0"/>
              </w:rPr>
            </w:pPr>
            <w:r>
              <w:rPr>
                <w:b w:val="0"/>
              </w:rPr>
              <w:t>—</w:t>
            </w:r>
          </w:p>
        </w:tc>
      </w:tr>
    </w:tbl>
    <w:p w14:paraId="776173C2" w14:textId="425D8EC3" w:rsidR="00AE2745" w:rsidRDefault="00AE2745" w:rsidP="00AE2745">
      <w:pPr>
        <w:pStyle w:val="WES"/>
        <w:tabs>
          <w:tab w:val="left" w:pos="2041"/>
        </w:tabs>
      </w:pPr>
      <w:r>
        <w:tab/>
      </w:r>
      <w:r w:rsidRPr="002C58FF">
        <w:t xml:space="preserve">Workplace </w:t>
      </w:r>
      <w:r>
        <w:t>exposure s</w:t>
      </w:r>
      <w:r w:rsidRPr="002C58FF">
        <w:t xml:space="preserve">tandard </w:t>
      </w:r>
      <w:sdt>
        <w:sdtPr>
          <w:rPr>
            <w:rStyle w:val="WESstatus"/>
          </w:rPr>
          <w:id w:val="-1336530191"/>
          <w:placeholder>
            <w:docPart w:val="E23B83A762C94EBA8097A4DA3FB4D503"/>
          </w:placeholder>
          <w:comboBox>
            <w:listItem w:displayText="(amended)" w:value="(amended)"/>
            <w:listItem w:displayText="(interim)" w:value="(interim)"/>
            <w:listItem w:displayText="(new)" w:value="(new)"/>
            <w:listItem w:displayText="(retained)" w:value="(retained)"/>
          </w:comboBox>
        </w:sdtPr>
        <w:sdtEndPr>
          <w:rPr>
            <w:rStyle w:val="WESstatus"/>
          </w:rPr>
        </w:sdtEndPr>
        <w:sdtContent>
          <w:r w:rsidR="009F343C">
            <w:rPr>
              <w:rStyle w:val="WESstatus"/>
            </w:rPr>
            <w:t>(amended)</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4010"/>
        <w:gridCol w:w="5016"/>
      </w:tblGrid>
      <w:tr w:rsidR="002C7AFE" w:rsidRPr="004C23F4" w14:paraId="4B138CDC" w14:textId="77777777" w:rsidTr="0081029D">
        <w:trPr>
          <w:cantSplit/>
          <w:tblHeader/>
        </w:trPr>
        <w:tc>
          <w:tcPr>
            <w:tcW w:w="4010" w:type="dxa"/>
            <w:vAlign w:val="center"/>
          </w:tcPr>
          <w:p w14:paraId="70A2E2E4" w14:textId="77777777" w:rsidR="002C7AFE" w:rsidRPr="002C58FF" w:rsidRDefault="00921DE7" w:rsidP="00921DE7">
            <w:pPr>
              <w:pStyle w:val="Tablerowright"/>
            </w:pPr>
            <w:r>
              <w:t>TWA:</w:t>
            </w:r>
          </w:p>
        </w:tc>
        <w:tc>
          <w:tcPr>
            <w:tcW w:w="5016" w:type="dxa"/>
          </w:tcPr>
          <w:p w14:paraId="33E74A20" w14:textId="49F360D4" w:rsidR="002C7AFE" w:rsidRPr="009924DA" w:rsidRDefault="009924DA" w:rsidP="00017C82">
            <w:pPr>
              <w:pStyle w:val="Tablefont"/>
              <w:rPr>
                <w:b/>
              </w:rPr>
            </w:pPr>
            <w:r>
              <w:rPr>
                <w:b/>
              </w:rPr>
              <w:t>0.01 ppm (0.1 mg/m</w:t>
            </w:r>
            <w:r>
              <w:rPr>
                <w:b/>
                <w:vertAlign w:val="superscript"/>
              </w:rPr>
              <w:t>3</w:t>
            </w:r>
            <w:r>
              <w:rPr>
                <w:b/>
              </w:rPr>
              <w:t>)</w:t>
            </w:r>
          </w:p>
        </w:tc>
      </w:tr>
      <w:tr w:rsidR="0081029D" w:rsidRPr="004C23F4" w14:paraId="37EF6786" w14:textId="77777777" w:rsidTr="0081029D">
        <w:trPr>
          <w:cantSplit/>
        </w:trPr>
        <w:tc>
          <w:tcPr>
            <w:tcW w:w="4010" w:type="dxa"/>
            <w:vAlign w:val="center"/>
          </w:tcPr>
          <w:p w14:paraId="480FA897" w14:textId="77777777" w:rsidR="0081029D" w:rsidRPr="002C58FF" w:rsidRDefault="0081029D" w:rsidP="0081029D">
            <w:pPr>
              <w:pStyle w:val="Tablerowright"/>
            </w:pPr>
            <w:r w:rsidRPr="002C58FF">
              <w:t>STEL</w:t>
            </w:r>
            <w:r>
              <w:t>:</w:t>
            </w:r>
          </w:p>
        </w:tc>
        <w:tc>
          <w:tcPr>
            <w:tcW w:w="5016" w:type="dxa"/>
          </w:tcPr>
          <w:p w14:paraId="1BC38C70" w14:textId="32CF2485" w:rsidR="0081029D" w:rsidRPr="009924DA" w:rsidRDefault="009924DA" w:rsidP="0081029D">
            <w:pPr>
              <w:pStyle w:val="Tablefont"/>
              <w:rPr>
                <w:b/>
              </w:rPr>
            </w:pPr>
            <w:r>
              <w:rPr>
                <w:b/>
              </w:rPr>
              <w:t>0.02 ppm (0.19 mg/m</w:t>
            </w:r>
            <w:r>
              <w:rPr>
                <w:b/>
                <w:vertAlign w:val="superscript"/>
              </w:rPr>
              <w:t>3</w:t>
            </w:r>
            <w:r>
              <w:rPr>
                <w:b/>
              </w:rPr>
              <w:t>)</w:t>
            </w:r>
          </w:p>
        </w:tc>
      </w:tr>
      <w:tr w:rsidR="0081029D" w:rsidRPr="004C23F4" w14:paraId="3174FE23" w14:textId="77777777" w:rsidTr="0081029D">
        <w:trPr>
          <w:cantSplit/>
        </w:trPr>
        <w:tc>
          <w:tcPr>
            <w:tcW w:w="4010" w:type="dxa"/>
            <w:vAlign w:val="center"/>
          </w:tcPr>
          <w:p w14:paraId="76635A6A" w14:textId="77777777" w:rsidR="0081029D" w:rsidRPr="002C58FF" w:rsidRDefault="0081029D" w:rsidP="0081029D">
            <w:pPr>
              <w:pStyle w:val="Tablerowright"/>
            </w:pPr>
            <w:r>
              <w:t>Peak limitation:</w:t>
            </w:r>
          </w:p>
        </w:tc>
        <w:tc>
          <w:tcPr>
            <w:tcW w:w="5016" w:type="dxa"/>
          </w:tcPr>
          <w:p w14:paraId="5C90936F" w14:textId="77777777" w:rsidR="0081029D" w:rsidRPr="0081029D" w:rsidRDefault="0081029D" w:rsidP="0081029D">
            <w:pPr>
              <w:pStyle w:val="Tablefont"/>
              <w:rPr>
                <w:b/>
              </w:rPr>
            </w:pPr>
            <w:r w:rsidRPr="00916D17">
              <w:rPr>
                <w:b/>
              </w:rPr>
              <w:t>—</w:t>
            </w:r>
          </w:p>
        </w:tc>
      </w:tr>
      <w:tr w:rsidR="0081029D" w:rsidRPr="004C23F4" w14:paraId="75DD447D" w14:textId="77777777" w:rsidTr="0081029D">
        <w:trPr>
          <w:cantSplit/>
        </w:trPr>
        <w:tc>
          <w:tcPr>
            <w:tcW w:w="4010" w:type="dxa"/>
          </w:tcPr>
          <w:p w14:paraId="7046655F" w14:textId="77777777" w:rsidR="0081029D" w:rsidRPr="002C58FF" w:rsidRDefault="0081029D" w:rsidP="0081029D">
            <w:pPr>
              <w:pStyle w:val="Tablerowright"/>
            </w:pPr>
            <w:r>
              <w:rPr>
                <w:b w:val="0"/>
                <w:bCs/>
                <w:color w:val="000000" w:themeColor="text1"/>
              </w:rPr>
              <w:tab/>
            </w:r>
            <w:r w:rsidRPr="003241A8">
              <w:t>Notations</w:t>
            </w:r>
            <w:r>
              <w:t>:</w:t>
            </w:r>
          </w:p>
        </w:tc>
        <w:tc>
          <w:tcPr>
            <w:tcW w:w="5016" w:type="dxa"/>
          </w:tcPr>
          <w:p w14:paraId="57ABD37D" w14:textId="2B01AFDB" w:rsidR="0081029D" w:rsidRPr="0081029D" w:rsidRDefault="00EF742D" w:rsidP="0081029D">
            <w:pPr>
              <w:pStyle w:val="Tablefont"/>
              <w:rPr>
                <w:b/>
              </w:rPr>
            </w:pPr>
            <w:r>
              <w:rPr>
                <w:b/>
              </w:rPr>
              <w:t>Sk., DSEN</w:t>
            </w:r>
          </w:p>
        </w:tc>
      </w:tr>
      <w:tr w:rsidR="0081029D" w:rsidRPr="004C23F4" w14:paraId="0E1BDF28" w14:textId="77777777" w:rsidTr="0081029D">
        <w:trPr>
          <w:cantSplit/>
        </w:trPr>
        <w:tc>
          <w:tcPr>
            <w:tcW w:w="4010" w:type="dxa"/>
            <w:vAlign w:val="center"/>
          </w:tcPr>
          <w:p w14:paraId="449966B2" w14:textId="77777777" w:rsidR="0081029D" w:rsidRPr="002C58FF" w:rsidRDefault="0081029D" w:rsidP="0081029D">
            <w:pPr>
              <w:pStyle w:val="Tablerowright"/>
            </w:pPr>
            <w:r>
              <w:t>IDLH:</w:t>
            </w:r>
          </w:p>
        </w:tc>
        <w:tc>
          <w:tcPr>
            <w:tcW w:w="5016" w:type="dxa"/>
          </w:tcPr>
          <w:p w14:paraId="4C059B19" w14:textId="3225CA3D" w:rsidR="0081029D" w:rsidRPr="0081029D" w:rsidRDefault="00843314" w:rsidP="0081029D">
            <w:pPr>
              <w:pStyle w:val="Tablefont"/>
              <w:rPr>
                <w:b/>
              </w:rPr>
            </w:pPr>
            <w:r>
              <w:rPr>
                <w:b/>
              </w:rPr>
              <w:t>75 mg/m</w:t>
            </w:r>
            <w:r w:rsidRPr="00843314">
              <w:rPr>
                <w:b/>
                <w:vertAlign w:val="superscript"/>
              </w:rPr>
              <w:t>3</w:t>
            </w:r>
          </w:p>
        </w:tc>
      </w:tr>
      <w:tr w:rsidR="009924DA" w:rsidRPr="004C23F4" w14:paraId="1F8C7B7D" w14:textId="77777777" w:rsidTr="00273097">
        <w:trPr>
          <w:cantSplit/>
        </w:trPr>
        <w:tc>
          <w:tcPr>
            <w:tcW w:w="9026" w:type="dxa"/>
            <w:gridSpan w:val="2"/>
            <w:vAlign w:val="center"/>
          </w:tcPr>
          <w:p w14:paraId="42DC7BF7" w14:textId="64248F80" w:rsidR="009924DA" w:rsidRPr="0081029D" w:rsidRDefault="009924DA" w:rsidP="0081029D">
            <w:pPr>
              <w:pStyle w:val="Tablefont"/>
              <w:rPr>
                <w:b/>
              </w:rPr>
            </w:pPr>
            <w:r w:rsidRPr="009924DA">
              <w:rPr>
                <w:b/>
              </w:rPr>
              <w:t xml:space="preserve">Sampling and analysis: </w:t>
            </w:r>
            <w:sdt>
              <w:sdtPr>
                <w:id w:val="-2105258949"/>
                <w:placeholder>
                  <w:docPart w:val="1CA1CF5C5F7542D6A557314D3E218517"/>
                </w:placeholder>
                <w:comboBox>
                  <w:listItem w:displayText="(Click here to enter)" w:value="(Click here to enter)"/>
                  <w:listItem w:displayText="The recommended value is likely to be below the current limit of detection for standard sampling and analysis techniques." w:value="The recommended value is likely to be below the current limit of detection for standard sampling and analysis techniques."/>
                  <w:listItem w:displayText="The recommended value is quantifiable through available sampling and analysis techniques. " w:value="The recommended value is quantifiable through available sampling and analysis techniques. "/>
                  <w:listItem w:displayText="There is uncertainty regarding quantification of the recommended value with available sampling and/or analysis techniques." w:value="There is uncertainty regarding quantification of the recommended value with available sampling and/or analysis techniques."/>
                </w:comboBox>
              </w:sdtPr>
              <w:sdtEndPr/>
              <w:sdtContent>
                <w:r>
                  <w:t xml:space="preserve">The recommended value is quantifiable through available sampling and analysis techniques. </w:t>
                </w:r>
              </w:sdtContent>
            </w:sdt>
          </w:p>
        </w:tc>
      </w:tr>
    </w:tbl>
    <w:p w14:paraId="6B6A2C32" w14:textId="77777777" w:rsidR="00CB1CB1" w:rsidRPr="003365A5" w:rsidRDefault="00F10C97" w:rsidP="003365A5">
      <w:pPr>
        <w:pStyle w:val="Heading2"/>
      </w:pPr>
      <w:r>
        <w:t>Recommendation and basis for workplace exposure standard</w:t>
      </w:r>
    </w:p>
    <w:p w14:paraId="72BF5EB1" w14:textId="4E117F6B" w:rsidR="009924DA" w:rsidRPr="009924DA" w:rsidRDefault="009924DA" w:rsidP="009924DA">
      <w:pPr>
        <w:rPr>
          <w:rFonts w:cs="Arial"/>
        </w:rPr>
      </w:pPr>
      <w:r w:rsidRPr="009924DA">
        <w:rPr>
          <w:rFonts w:cs="Arial"/>
        </w:rPr>
        <w:t xml:space="preserve">A TWA of </w:t>
      </w:r>
      <w:r>
        <w:rPr>
          <w:rFonts w:cs="Arial"/>
        </w:rPr>
        <w:t>0.01</w:t>
      </w:r>
      <w:r w:rsidRPr="009924DA">
        <w:rPr>
          <w:rFonts w:cs="Arial"/>
        </w:rPr>
        <w:t xml:space="preserve"> ppm (</w:t>
      </w:r>
      <w:r>
        <w:rPr>
          <w:rFonts w:cs="Arial"/>
        </w:rPr>
        <w:t>0.1</w:t>
      </w:r>
      <w:r w:rsidRPr="009924DA">
        <w:rPr>
          <w:rFonts w:cs="Arial"/>
        </w:rPr>
        <w:t xml:space="preserve"> mg/m</w:t>
      </w:r>
      <w:r w:rsidRPr="009924DA">
        <w:rPr>
          <w:rFonts w:cs="Arial"/>
          <w:vertAlign w:val="superscript"/>
        </w:rPr>
        <w:t>3</w:t>
      </w:r>
      <w:r w:rsidRPr="009924DA">
        <w:rPr>
          <w:rFonts w:cs="Arial"/>
        </w:rPr>
        <w:t xml:space="preserve">) is recommended to protect for </w:t>
      </w:r>
      <w:r>
        <w:rPr>
          <w:rFonts w:cs="Arial"/>
        </w:rPr>
        <w:t xml:space="preserve">adverse cardiovascular changes </w:t>
      </w:r>
      <w:r w:rsidRPr="009924DA">
        <w:rPr>
          <w:rFonts w:cs="Arial"/>
        </w:rPr>
        <w:t>in exposed workers</w:t>
      </w:r>
      <w:r>
        <w:rPr>
          <w:rFonts w:cs="Arial"/>
        </w:rPr>
        <w:t>.</w:t>
      </w:r>
    </w:p>
    <w:p w14:paraId="632E666F" w14:textId="6B9D83F1" w:rsidR="006639B4" w:rsidRPr="004C23F4" w:rsidRDefault="009924DA" w:rsidP="000C139A">
      <w:pPr>
        <w:rPr>
          <w:rFonts w:cs="Arial"/>
        </w:rPr>
      </w:pPr>
      <w:r w:rsidRPr="009924DA">
        <w:rPr>
          <w:rFonts w:cs="Arial"/>
        </w:rPr>
        <w:t xml:space="preserve">A STEL of </w:t>
      </w:r>
      <w:r>
        <w:rPr>
          <w:rFonts w:cs="Arial"/>
        </w:rPr>
        <w:t>0.02</w:t>
      </w:r>
      <w:r w:rsidRPr="009924DA">
        <w:rPr>
          <w:rFonts w:cs="Arial"/>
        </w:rPr>
        <w:t xml:space="preserve"> ppm (</w:t>
      </w:r>
      <w:r>
        <w:rPr>
          <w:rFonts w:cs="Arial"/>
        </w:rPr>
        <w:t>0.19</w:t>
      </w:r>
      <w:r w:rsidRPr="009924DA">
        <w:rPr>
          <w:rFonts w:cs="Arial"/>
        </w:rPr>
        <w:t xml:space="preserve"> mg/m</w:t>
      </w:r>
      <w:r w:rsidRPr="009924DA">
        <w:rPr>
          <w:rFonts w:cs="Arial"/>
          <w:vertAlign w:val="superscript"/>
        </w:rPr>
        <w:t>3</w:t>
      </w:r>
      <w:r w:rsidRPr="009924DA">
        <w:rPr>
          <w:rFonts w:cs="Arial"/>
        </w:rPr>
        <w:t xml:space="preserve">) is recommended to protect for </w:t>
      </w:r>
      <w:r>
        <w:rPr>
          <w:rFonts w:cs="Arial"/>
        </w:rPr>
        <w:t>acute headaches and irritation</w:t>
      </w:r>
      <w:r w:rsidR="00083533">
        <w:rPr>
          <w:rFonts w:cs="Arial"/>
        </w:rPr>
        <w:t xml:space="preserve"> in exposed workers</w:t>
      </w:r>
      <w:r>
        <w:rPr>
          <w:rFonts w:cs="Arial"/>
        </w:rPr>
        <w:t>.</w:t>
      </w:r>
    </w:p>
    <w:p w14:paraId="061C9C4D" w14:textId="77777777" w:rsidR="00C7155E" w:rsidRPr="004C23F4" w:rsidRDefault="00F10C97" w:rsidP="003365A5">
      <w:pPr>
        <w:pStyle w:val="Heading2"/>
      </w:pPr>
      <w:r>
        <w:t>Discussion and conclusions</w:t>
      </w:r>
    </w:p>
    <w:p w14:paraId="2E4C936A" w14:textId="6CE7FCCE" w:rsidR="00A634B3" w:rsidRDefault="009F343C" w:rsidP="006639B4">
      <w:pPr>
        <w:rPr>
          <w:rFonts w:cs="Arial"/>
        </w:rPr>
      </w:pPr>
      <w:proofErr w:type="spellStart"/>
      <w:r>
        <w:rPr>
          <w:rFonts w:cs="Arial"/>
        </w:rPr>
        <w:t>Nitroglycerine</w:t>
      </w:r>
      <w:proofErr w:type="spellEnd"/>
      <w:r>
        <w:rPr>
          <w:rFonts w:cs="Arial"/>
        </w:rPr>
        <w:t xml:space="preserve"> (NG) is used as an explosive and in </w:t>
      </w:r>
      <w:r w:rsidR="00A634B3">
        <w:rPr>
          <w:rFonts w:cs="Arial"/>
        </w:rPr>
        <w:t xml:space="preserve">the </w:t>
      </w:r>
      <w:r>
        <w:rPr>
          <w:rFonts w:cs="Arial"/>
        </w:rPr>
        <w:t xml:space="preserve">treatment </w:t>
      </w:r>
      <w:r w:rsidR="009924DA">
        <w:rPr>
          <w:rFonts w:cs="Arial"/>
        </w:rPr>
        <w:t>of heart disorders</w:t>
      </w:r>
      <w:r>
        <w:rPr>
          <w:rFonts w:cs="Arial"/>
        </w:rPr>
        <w:t xml:space="preserve">. </w:t>
      </w:r>
    </w:p>
    <w:p w14:paraId="34D68821" w14:textId="6F3119FB" w:rsidR="009924DA" w:rsidRDefault="009F343C" w:rsidP="00083533">
      <w:pPr>
        <w:rPr>
          <w:rFonts w:cs="Arial"/>
        </w:rPr>
      </w:pPr>
      <w:r>
        <w:rPr>
          <w:rFonts w:cs="Arial"/>
        </w:rPr>
        <w:t xml:space="preserve">Critical effects </w:t>
      </w:r>
      <w:r w:rsidR="00A634B3">
        <w:rPr>
          <w:rFonts w:cs="Arial"/>
        </w:rPr>
        <w:t xml:space="preserve">of exposure </w:t>
      </w:r>
      <w:r>
        <w:rPr>
          <w:rFonts w:cs="Arial"/>
        </w:rPr>
        <w:t>are cardiovascular changes that lead to headaches and reduced blood pressure.</w:t>
      </w:r>
      <w:r w:rsidR="00083533">
        <w:rPr>
          <w:rFonts w:cs="Arial"/>
        </w:rPr>
        <w:t xml:space="preserve"> </w:t>
      </w:r>
      <w:r>
        <w:rPr>
          <w:rFonts w:cs="Arial"/>
        </w:rPr>
        <w:t>Workplace studies suggest that an air concentration of 0.01 ppm is protective of headaches and reduced blood pressure</w:t>
      </w:r>
      <w:r w:rsidR="00957409">
        <w:rPr>
          <w:rFonts w:cs="Arial"/>
        </w:rPr>
        <w:t>, which is consistent with a LOAEC</w:t>
      </w:r>
      <w:r>
        <w:rPr>
          <w:rFonts w:cs="Arial"/>
        </w:rPr>
        <w:t xml:space="preserve"> </w:t>
      </w:r>
      <w:r w:rsidR="00957409">
        <w:rPr>
          <w:rFonts w:cs="Arial"/>
        </w:rPr>
        <w:t xml:space="preserve">of 0.05 ppm for moderate headaches reported in a volunteer inhalation study </w:t>
      </w:r>
      <w:r>
        <w:rPr>
          <w:rFonts w:cs="Arial"/>
        </w:rPr>
        <w:t xml:space="preserve">(ACGIH, 2018; DFG, </w:t>
      </w:r>
      <w:r w:rsidR="002E0F60">
        <w:rPr>
          <w:rFonts w:cs="Arial"/>
        </w:rPr>
        <w:t xml:space="preserve">2011; SCOEL, 2011). </w:t>
      </w:r>
      <w:r w:rsidR="009924DA">
        <w:rPr>
          <w:rFonts w:cs="Arial"/>
        </w:rPr>
        <w:t>Cardiovascular</w:t>
      </w:r>
      <w:r w:rsidR="002E0F60">
        <w:rPr>
          <w:rFonts w:cs="Arial"/>
        </w:rPr>
        <w:t xml:space="preserve"> effects and irritation are associated with average exposures above 0.03 ppm</w:t>
      </w:r>
      <w:r w:rsidR="009924DA">
        <w:rPr>
          <w:rFonts w:cs="Arial"/>
        </w:rPr>
        <w:t xml:space="preserve"> (ACGIH, 2018)</w:t>
      </w:r>
      <w:r w:rsidR="002E0F60">
        <w:rPr>
          <w:rFonts w:cs="Arial"/>
        </w:rPr>
        <w:t xml:space="preserve">. </w:t>
      </w:r>
      <w:r w:rsidR="00616399">
        <w:rPr>
          <w:rFonts w:cs="Arial"/>
        </w:rPr>
        <w:t xml:space="preserve">Carcinogenesis in the liver and testes </w:t>
      </w:r>
      <w:r w:rsidR="004B068A">
        <w:rPr>
          <w:rFonts w:cs="Arial"/>
        </w:rPr>
        <w:t xml:space="preserve">(associated with the metabolic formation of nitric oxide) </w:t>
      </w:r>
      <w:r w:rsidR="00616399">
        <w:rPr>
          <w:rFonts w:cs="Arial"/>
        </w:rPr>
        <w:t>is reported at 30</w:t>
      </w:r>
      <w:r w:rsidR="004B068A">
        <w:rPr>
          <w:rFonts w:cs="Arial"/>
        </w:rPr>
        <w:t> </w:t>
      </w:r>
      <w:r w:rsidR="00616399">
        <w:rPr>
          <w:rFonts w:cs="Arial"/>
        </w:rPr>
        <w:t xml:space="preserve">mg/kg/day with a corresponding NOAEL of 3 mg/kg/day in a chronic feeding study </w:t>
      </w:r>
      <w:r w:rsidR="004B068A">
        <w:rPr>
          <w:rFonts w:cs="Arial"/>
        </w:rPr>
        <w:t xml:space="preserve">in </w:t>
      </w:r>
      <w:r w:rsidR="00616399">
        <w:rPr>
          <w:rFonts w:cs="Arial"/>
        </w:rPr>
        <w:t>rats</w:t>
      </w:r>
      <w:r w:rsidR="004B068A">
        <w:rPr>
          <w:rFonts w:cs="Arial"/>
        </w:rPr>
        <w:t xml:space="preserve"> (DFG, 2011; SCOEL, 2011).</w:t>
      </w:r>
      <w:r w:rsidR="00616399">
        <w:rPr>
          <w:rFonts w:cs="Arial"/>
        </w:rPr>
        <w:t xml:space="preserve"> An air concentration that would deliver an effective dose at the NOAEL for carcinogenicity is approximately 0.53 ppm (DFG, 2011).</w:t>
      </w:r>
    </w:p>
    <w:p w14:paraId="33917B93" w14:textId="67ACE230" w:rsidR="004669EC" w:rsidRDefault="004669EC" w:rsidP="006639B4">
      <w:pPr>
        <w:rPr>
          <w:rFonts w:cs="Arial"/>
        </w:rPr>
      </w:pPr>
      <w:r>
        <w:rPr>
          <w:rFonts w:cs="Arial"/>
        </w:rPr>
        <w:t>Several workplace studies indicate a tolerance may be acquired from prolonged exposure. Re-exposure following a cessation period of approximately two days resulted in acute cardiovascular symptoms including heart failure</w:t>
      </w:r>
      <w:r w:rsidR="00D1625C">
        <w:rPr>
          <w:rFonts w:cs="Arial"/>
        </w:rPr>
        <w:t>.</w:t>
      </w:r>
      <w:r>
        <w:rPr>
          <w:rFonts w:cs="Arial"/>
        </w:rPr>
        <w:t xml:space="preserve"> </w:t>
      </w:r>
      <w:r w:rsidR="00D1625C">
        <w:rPr>
          <w:rFonts w:cs="Arial"/>
        </w:rPr>
        <w:t>Additionally, the effects of exposure to NG are additive with those of structurally related nitrate esters, which may be present in common mixtures or workplace environments associated with NG handling and production</w:t>
      </w:r>
      <w:r w:rsidR="00FA6D60">
        <w:rPr>
          <w:rFonts w:cs="Arial"/>
        </w:rPr>
        <w:t xml:space="preserve"> (ACGIH, 2018)</w:t>
      </w:r>
      <w:r w:rsidR="00D1625C">
        <w:rPr>
          <w:rFonts w:cs="Arial"/>
        </w:rPr>
        <w:t xml:space="preserve">. These factors should be considered when assessing workplace </w:t>
      </w:r>
      <w:r w:rsidR="00FA6D60">
        <w:rPr>
          <w:rFonts w:cs="Arial"/>
        </w:rPr>
        <w:t xml:space="preserve">exposure </w:t>
      </w:r>
      <w:r w:rsidR="00D1625C">
        <w:rPr>
          <w:rFonts w:cs="Arial"/>
        </w:rPr>
        <w:t>conditions.</w:t>
      </w:r>
    </w:p>
    <w:p w14:paraId="6E6E2F17" w14:textId="0796B5A8" w:rsidR="00FA6D60" w:rsidRDefault="00FA6D60" w:rsidP="006639B4">
      <w:pPr>
        <w:rPr>
          <w:rFonts w:cs="Arial"/>
        </w:rPr>
      </w:pPr>
      <w:r>
        <w:rPr>
          <w:rFonts w:cs="Arial"/>
        </w:rPr>
        <w:lastRenderedPageBreak/>
        <w:t xml:space="preserve">ACGIH (2018) based the TLV-TWA of 0.05 ppm on </w:t>
      </w:r>
      <w:r w:rsidRPr="00FA6D60">
        <w:rPr>
          <w:rFonts w:cs="Arial"/>
        </w:rPr>
        <w:t>human exposure data and by analogy to propylene glycol dinitrate</w:t>
      </w:r>
      <w:r w:rsidR="008F56BE">
        <w:rPr>
          <w:rFonts w:cs="Arial"/>
        </w:rPr>
        <w:t>;</w:t>
      </w:r>
      <w:r>
        <w:rPr>
          <w:rFonts w:cs="Arial"/>
        </w:rPr>
        <w:t xml:space="preserve"> no specific derivation was provided.</w:t>
      </w:r>
      <w:r w:rsidR="008F56BE">
        <w:rPr>
          <w:rFonts w:cs="Arial"/>
        </w:rPr>
        <w:t xml:space="preserve"> HCOTN </w:t>
      </w:r>
      <w:r w:rsidR="00AA27B7">
        <w:rPr>
          <w:rFonts w:cs="Arial"/>
        </w:rPr>
        <w:t>(2005) reported</w:t>
      </w:r>
      <w:r w:rsidR="008F56BE">
        <w:rPr>
          <w:rFonts w:cs="Arial"/>
        </w:rPr>
        <w:t xml:space="preserve"> </w:t>
      </w:r>
      <w:r w:rsidR="00AA27B7">
        <w:rPr>
          <w:rFonts w:cs="Arial"/>
        </w:rPr>
        <w:t xml:space="preserve">adverse effects related with </w:t>
      </w:r>
      <w:r w:rsidR="008F56BE">
        <w:rPr>
          <w:rFonts w:cs="Arial"/>
        </w:rPr>
        <w:t>v</w:t>
      </w:r>
      <w:r w:rsidR="008F56BE" w:rsidRPr="008F56BE">
        <w:rPr>
          <w:rFonts w:cs="Arial"/>
        </w:rPr>
        <w:t xml:space="preserve">asodilation </w:t>
      </w:r>
      <w:r w:rsidR="00AA27B7">
        <w:rPr>
          <w:rFonts w:cs="Arial"/>
        </w:rPr>
        <w:t>(</w:t>
      </w:r>
      <w:r w:rsidR="008F56BE" w:rsidRPr="008F56BE">
        <w:rPr>
          <w:rFonts w:cs="Arial"/>
        </w:rPr>
        <w:t>headache and decreased blood pressure</w:t>
      </w:r>
      <w:r w:rsidR="00AA27B7">
        <w:rPr>
          <w:rFonts w:cs="Arial"/>
        </w:rPr>
        <w:t>)</w:t>
      </w:r>
      <w:r w:rsidR="008F56BE" w:rsidRPr="008F56BE">
        <w:rPr>
          <w:rFonts w:cs="Arial"/>
        </w:rPr>
        <w:t xml:space="preserve"> </w:t>
      </w:r>
      <w:r w:rsidR="00AA27B7">
        <w:rPr>
          <w:rFonts w:cs="Arial"/>
        </w:rPr>
        <w:t>as</w:t>
      </w:r>
      <w:r w:rsidR="008F56BE" w:rsidRPr="008F56BE">
        <w:rPr>
          <w:rFonts w:cs="Arial"/>
        </w:rPr>
        <w:t xml:space="preserve"> critical effect</w:t>
      </w:r>
      <w:r w:rsidR="00AA27B7">
        <w:rPr>
          <w:rFonts w:cs="Arial"/>
        </w:rPr>
        <w:t>s and</w:t>
      </w:r>
      <w:r w:rsidR="008F56BE" w:rsidRPr="008F56BE">
        <w:rPr>
          <w:rFonts w:cs="Arial"/>
        </w:rPr>
        <w:t xml:space="preserve"> </w:t>
      </w:r>
      <w:r w:rsidR="00AA27B7">
        <w:rPr>
          <w:rFonts w:cs="Arial"/>
        </w:rPr>
        <w:t>considered it m</w:t>
      </w:r>
      <w:r w:rsidR="008F56BE" w:rsidRPr="008F56BE">
        <w:rPr>
          <w:rFonts w:cs="Arial"/>
        </w:rPr>
        <w:t>ore sensitive</w:t>
      </w:r>
      <w:r w:rsidR="00AA27B7">
        <w:rPr>
          <w:rFonts w:cs="Arial"/>
        </w:rPr>
        <w:t xml:space="preserve"> endpoint</w:t>
      </w:r>
      <w:r w:rsidR="008F56BE" w:rsidRPr="008F56BE">
        <w:rPr>
          <w:rFonts w:cs="Arial"/>
        </w:rPr>
        <w:t xml:space="preserve"> than carcinogeni</w:t>
      </w:r>
      <w:r w:rsidR="00AA27B7">
        <w:rPr>
          <w:rFonts w:cs="Arial"/>
        </w:rPr>
        <w:t xml:space="preserve">city </w:t>
      </w:r>
      <w:r w:rsidR="008F56BE" w:rsidRPr="008F56BE">
        <w:rPr>
          <w:rFonts w:cs="Arial"/>
        </w:rPr>
        <w:t>reported in rats</w:t>
      </w:r>
      <w:r w:rsidR="00AA27B7">
        <w:rPr>
          <w:rFonts w:cs="Arial"/>
        </w:rPr>
        <w:t>.</w:t>
      </w:r>
      <w:r w:rsidR="00015F6D">
        <w:rPr>
          <w:rFonts w:cs="Arial"/>
        </w:rPr>
        <w:t xml:space="preserve"> While DFG (2011) and SCOEL (2011) based occupational limits on worker study with a NOAEL of 0.01 ppm for headaches, which is also cited </w:t>
      </w:r>
      <w:r w:rsidR="00864D3F">
        <w:rPr>
          <w:rFonts w:cs="Arial"/>
        </w:rPr>
        <w:t xml:space="preserve">by </w:t>
      </w:r>
      <w:r w:rsidR="00015F6D">
        <w:rPr>
          <w:rFonts w:cs="Arial"/>
        </w:rPr>
        <w:t>ACGIH (2018).</w:t>
      </w:r>
    </w:p>
    <w:p w14:paraId="7E5E356E" w14:textId="04C105CB" w:rsidR="004669EC" w:rsidRDefault="008F56BE" w:rsidP="00D2383C">
      <w:pPr>
        <w:rPr>
          <w:rFonts w:cs="Arial"/>
        </w:rPr>
      </w:pPr>
      <w:r>
        <w:rPr>
          <w:rFonts w:cs="Arial"/>
        </w:rPr>
        <w:t>T</w:t>
      </w:r>
      <w:r w:rsidR="00957409">
        <w:rPr>
          <w:rFonts w:cs="Arial"/>
        </w:rPr>
        <w:t xml:space="preserve">he available workplace and volunteer data indicate </w:t>
      </w:r>
      <w:r>
        <w:rPr>
          <w:rFonts w:cs="Arial"/>
        </w:rPr>
        <w:t xml:space="preserve">that </w:t>
      </w:r>
      <w:r w:rsidR="00957409">
        <w:rPr>
          <w:rFonts w:cs="Arial"/>
        </w:rPr>
        <w:t>cardiovascular effects are associated with air concentrations above 0.03</w:t>
      </w:r>
      <w:r w:rsidR="00273097">
        <w:rPr>
          <w:rFonts w:cs="Arial"/>
        </w:rPr>
        <w:t xml:space="preserve"> to </w:t>
      </w:r>
      <w:r w:rsidR="00957409">
        <w:rPr>
          <w:rFonts w:cs="Arial"/>
        </w:rPr>
        <w:t>0.05 ppm</w:t>
      </w:r>
      <w:r>
        <w:rPr>
          <w:rFonts w:cs="Arial"/>
        </w:rPr>
        <w:t xml:space="preserve"> and no adverse effects related to vasodilation are observed in workers at 0.01 ppm.</w:t>
      </w:r>
      <w:r w:rsidR="00957409">
        <w:rPr>
          <w:rFonts w:cs="Arial"/>
        </w:rPr>
        <w:t xml:space="preserve"> </w:t>
      </w:r>
      <w:r>
        <w:rPr>
          <w:rFonts w:cs="Arial"/>
        </w:rPr>
        <w:t xml:space="preserve">Based on this, </w:t>
      </w:r>
      <w:r w:rsidR="00957409">
        <w:rPr>
          <w:rFonts w:cs="Arial"/>
        </w:rPr>
        <w:t>a</w:t>
      </w:r>
      <w:r w:rsidR="002E0F60">
        <w:rPr>
          <w:rFonts w:cs="Arial"/>
        </w:rPr>
        <w:t xml:space="preserve"> TWA of 0.01 ppm</w:t>
      </w:r>
      <w:r w:rsidR="004C08C4">
        <w:rPr>
          <w:rFonts w:cs="Arial"/>
        </w:rPr>
        <w:t xml:space="preserve"> by DFG</w:t>
      </w:r>
      <w:r w:rsidR="004669EC">
        <w:rPr>
          <w:rFonts w:cs="Arial"/>
        </w:rPr>
        <w:t> </w:t>
      </w:r>
      <w:r w:rsidR="004C08C4">
        <w:rPr>
          <w:rFonts w:cs="Arial"/>
        </w:rPr>
        <w:t>(2011) and SCOEL (2011)</w:t>
      </w:r>
      <w:r w:rsidR="00712E1C">
        <w:rPr>
          <w:rFonts w:cs="Arial"/>
        </w:rPr>
        <w:t xml:space="preserve"> is recommended</w:t>
      </w:r>
      <w:r w:rsidR="0042110F">
        <w:rPr>
          <w:rFonts w:cs="Arial"/>
        </w:rPr>
        <w:t xml:space="preserve">. The </w:t>
      </w:r>
      <w:r w:rsidR="00FA6D60">
        <w:rPr>
          <w:rFonts w:cs="Arial"/>
        </w:rPr>
        <w:t xml:space="preserve">recommended </w:t>
      </w:r>
      <w:r w:rsidR="0042110F">
        <w:rPr>
          <w:rFonts w:cs="Arial"/>
        </w:rPr>
        <w:t xml:space="preserve">TWA </w:t>
      </w:r>
      <w:r w:rsidR="002E0F60">
        <w:rPr>
          <w:rFonts w:cs="Arial"/>
        </w:rPr>
        <w:t>is expected to</w:t>
      </w:r>
      <w:r w:rsidR="004669EC">
        <w:rPr>
          <w:rFonts w:cs="Arial"/>
        </w:rPr>
        <w:t xml:space="preserve"> </w:t>
      </w:r>
      <w:r w:rsidR="002E0F60">
        <w:rPr>
          <w:rFonts w:cs="Arial"/>
        </w:rPr>
        <w:t>protect</w:t>
      </w:r>
      <w:r w:rsidR="004669EC">
        <w:rPr>
          <w:rFonts w:cs="Arial"/>
        </w:rPr>
        <w:t xml:space="preserve"> for</w:t>
      </w:r>
      <w:r w:rsidR="002E0F60">
        <w:rPr>
          <w:rFonts w:cs="Arial"/>
        </w:rPr>
        <w:t xml:space="preserve"> headaches caused by cardiovascular changes</w:t>
      </w:r>
      <w:r w:rsidR="00616399">
        <w:rPr>
          <w:rFonts w:cs="Arial"/>
        </w:rPr>
        <w:t xml:space="preserve"> and potential carcinogenicity </w:t>
      </w:r>
      <w:r w:rsidR="004C08C4">
        <w:rPr>
          <w:rFonts w:cs="Arial"/>
        </w:rPr>
        <w:t>observed in animals at higher concentrations. A STEL of 0.02 </w:t>
      </w:r>
      <w:r w:rsidR="002E0F60">
        <w:rPr>
          <w:rFonts w:cs="Arial"/>
        </w:rPr>
        <w:t xml:space="preserve">ppm is recommended to protect for acute headaches and irritation that can result from peak exposures, as </w:t>
      </w:r>
      <w:r w:rsidR="009F29CE">
        <w:rPr>
          <w:rFonts w:cs="Arial"/>
        </w:rPr>
        <w:t>recommended</w:t>
      </w:r>
      <w:r w:rsidR="002E0F60">
        <w:rPr>
          <w:rFonts w:cs="Arial"/>
        </w:rPr>
        <w:t xml:space="preserve"> by the SCOEL (2011).</w:t>
      </w:r>
    </w:p>
    <w:p w14:paraId="5A242364" w14:textId="1186E079" w:rsidR="004529F0" w:rsidRPr="004C23F4" w:rsidRDefault="004529F0" w:rsidP="004529F0">
      <w:pPr>
        <w:pStyle w:val="Heading2"/>
      </w:pPr>
      <w:r>
        <w:t>Recommendation for notations</w:t>
      </w:r>
    </w:p>
    <w:p w14:paraId="376E8F7E" w14:textId="67546996" w:rsidR="005E1234" w:rsidRPr="009924DA" w:rsidRDefault="005E1234" w:rsidP="005E1234">
      <w:pPr>
        <w:rPr>
          <w:rFonts w:cs="Arial"/>
        </w:rPr>
      </w:pPr>
      <w:r w:rsidRPr="009924DA">
        <w:rPr>
          <w:rFonts w:cs="Arial"/>
        </w:rPr>
        <w:t>Not classified as a carcinogen according to the Globally Harmonized System of Classification and Labelling o</w:t>
      </w:r>
      <w:r w:rsidR="001A3D52">
        <w:rPr>
          <w:rFonts w:cs="Arial"/>
        </w:rPr>
        <w:t>f</w:t>
      </w:r>
      <w:r w:rsidRPr="009924DA">
        <w:rPr>
          <w:rFonts w:cs="Arial"/>
        </w:rPr>
        <w:t xml:space="preserve"> Chemicals (GHS). </w:t>
      </w:r>
    </w:p>
    <w:p w14:paraId="27839849" w14:textId="02D2F9C8" w:rsidR="005E1234" w:rsidRPr="009924DA" w:rsidRDefault="00BB1424" w:rsidP="005E1234">
      <w:pPr>
        <w:rPr>
          <w:rFonts w:cs="Arial"/>
        </w:rPr>
      </w:pPr>
      <w:r>
        <w:rPr>
          <w:rFonts w:cs="Arial"/>
        </w:rPr>
        <w:t>C</w:t>
      </w:r>
      <w:r w:rsidR="005E1234" w:rsidRPr="009924DA">
        <w:rPr>
          <w:rFonts w:cs="Arial"/>
        </w:rPr>
        <w:t xml:space="preserve">lassified as a skin </w:t>
      </w:r>
      <w:r w:rsidR="001A3D52" w:rsidRPr="009924DA">
        <w:rPr>
          <w:rFonts w:cs="Arial"/>
        </w:rPr>
        <w:t xml:space="preserve">sensitiser </w:t>
      </w:r>
      <w:r>
        <w:rPr>
          <w:rFonts w:cs="Arial"/>
        </w:rPr>
        <w:t xml:space="preserve">but not a </w:t>
      </w:r>
      <w:r w:rsidR="005E1234" w:rsidRPr="009924DA">
        <w:rPr>
          <w:rFonts w:cs="Arial"/>
        </w:rPr>
        <w:t>respiratory sensitiser according to the GHS.</w:t>
      </w:r>
      <w:r w:rsidRPr="00BB1424">
        <w:rPr>
          <w:rFonts w:cs="Arial"/>
        </w:rPr>
        <w:t xml:space="preserve"> </w:t>
      </w:r>
    </w:p>
    <w:p w14:paraId="0E4E4BBB" w14:textId="3D939C47" w:rsidR="0025734A" w:rsidRPr="004C23F4" w:rsidRDefault="009924DA">
      <w:pPr>
        <w:rPr>
          <w:rFonts w:cs="Arial"/>
        </w:rPr>
      </w:pPr>
      <w:r w:rsidRPr="00A30124">
        <w:rPr>
          <w:rFonts w:cs="Arial"/>
        </w:rPr>
        <w:t xml:space="preserve">A skin notation is warranted as evidence indicates rapid absorption through the skin and reports of acute poisonings </w:t>
      </w:r>
      <w:r w:rsidR="00BB1424">
        <w:rPr>
          <w:rFonts w:cs="Arial"/>
        </w:rPr>
        <w:t xml:space="preserve">and contact dermatitis </w:t>
      </w:r>
      <w:r w:rsidRPr="00A30124">
        <w:rPr>
          <w:rFonts w:cs="Arial"/>
        </w:rPr>
        <w:t>in the workplace.</w:t>
      </w:r>
    </w:p>
    <w:p w14:paraId="6CBBF051" w14:textId="77777777" w:rsidR="005E6979" w:rsidRPr="004C23F4" w:rsidRDefault="005E6979">
      <w:pPr>
        <w:rPr>
          <w:rFonts w:cs="Arial"/>
        </w:rPr>
        <w:sectPr w:rsidR="005E6979" w:rsidRPr="004C23F4" w:rsidSect="00B479A9">
          <w:headerReference w:type="even" r:id="rId10"/>
          <w:headerReference w:type="default" r:id="rId11"/>
          <w:footerReference w:type="even" r:id="rId12"/>
          <w:footerReference w:type="default" r:id="rId13"/>
          <w:headerReference w:type="first" r:id="rId14"/>
          <w:footerReference w:type="first" r:id="rId15"/>
          <w:pgSz w:w="11906" w:h="16838"/>
          <w:pgMar w:top="1985" w:right="1440" w:bottom="1440" w:left="1440" w:header="708" w:footer="283" w:gutter="0"/>
          <w:cols w:space="708"/>
          <w:docGrid w:linePitch="360"/>
        </w:sectPr>
      </w:pPr>
    </w:p>
    <w:p w14:paraId="00FF33CA" w14:textId="77777777" w:rsidR="0034744C" w:rsidRPr="004C23F4" w:rsidRDefault="005E6979" w:rsidP="005E6979">
      <w:pPr>
        <w:pStyle w:val="Heading1"/>
        <w:rPr>
          <w:rFonts w:ascii="Arial" w:hAnsi="Arial" w:cs="Arial"/>
        </w:rPr>
      </w:pPr>
      <w:r w:rsidRPr="004C23F4">
        <w:rPr>
          <w:rFonts w:ascii="Arial" w:hAnsi="Arial" w:cs="Arial"/>
        </w:rPr>
        <w:lastRenderedPageBreak/>
        <w:t>Appendix</w:t>
      </w:r>
    </w:p>
    <w:p w14:paraId="59727046" w14:textId="77777777" w:rsidR="008D026D" w:rsidRPr="003365A5" w:rsidRDefault="00B479A9" w:rsidP="003365A5">
      <w:pPr>
        <w:pStyle w:val="Heading3"/>
      </w:pPr>
      <w:r w:rsidRPr="003365A5">
        <w:t>Primary sources with reports</w:t>
      </w:r>
    </w:p>
    <w:tbl>
      <w:tblPr>
        <w:tblStyle w:val="LightList"/>
        <w:tblW w:w="5008"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tblBorders>
        <w:tblLayout w:type="fixed"/>
        <w:tblLook w:val="0620" w:firstRow="1" w:lastRow="0" w:firstColumn="0" w:lastColumn="0" w:noHBand="1" w:noVBand="1"/>
        <w:tblCaption w:val="Table"/>
        <w:tblDescription w:val="Listing primary sources with reports"/>
      </w:tblPr>
      <w:tblGrid>
        <w:gridCol w:w="9006"/>
        <w:gridCol w:w="14"/>
      </w:tblGrid>
      <w:tr w:rsidR="00C978F0" w:rsidRPr="0026079D" w14:paraId="310E5ED1" w14:textId="77777777" w:rsidTr="0026079D">
        <w:trPr>
          <w:gridAfter w:val="1"/>
          <w:cnfStyle w:val="100000000000" w:firstRow="1" w:lastRow="0" w:firstColumn="0" w:lastColumn="0" w:oddVBand="0" w:evenVBand="0" w:oddHBand="0" w:evenHBand="0" w:firstRowFirstColumn="0" w:firstRowLastColumn="0" w:lastRowFirstColumn="0" w:lastRowLastColumn="0"/>
          <w:wAfter w:w="8" w:type="pct"/>
          <w:trHeight w:val="393"/>
          <w:tblHeader/>
        </w:trPr>
        <w:tc>
          <w:tcPr>
            <w:tcW w:w="4992" w:type="pct"/>
            <w:shd w:val="clear" w:color="auto" w:fill="BFBFBF" w:themeFill="background1" w:themeFillShade="BF"/>
            <w:vAlign w:val="center"/>
          </w:tcPr>
          <w:p w14:paraId="164A077F" w14:textId="77777777" w:rsidR="00C978F0" w:rsidRPr="0026079D" w:rsidRDefault="00C978F0" w:rsidP="001A3D52">
            <w:pPr>
              <w:pStyle w:val="Tableheader"/>
              <w:tabs>
                <w:tab w:val="left" w:pos="1418"/>
                <w:tab w:val="left" w:pos="2552"/>
                <w:tab w:val="right" w:pos="8489"/>
              </w:tabs>
              <w:rPr>
                <w:b/>
              </w:rPr>
            </w:pPr>
            <w:r w:rsidRPr="0026079D">
              <w:rPr>
                <w:b/>
              </w:rPr>
              <w:t>Source</w:t>
            </w:r>
            <w:r w:rsidR="00DA352E" w:rsidRPr="0026079D">
              <w:rPr>
                <w:b/>
              </w:rPr>
              <w:tab/>
              <w:t>Year set</w:t>
            </w:r>
            <w:r w:rsidR="00DA352E" w:rsidRPr="0026079D">
              <w:rPr>
                <w:b/>
              </w:rPr>
              <w:tab/>
              <w:t>Standard</w:t>
            </w:r>
            <w:r w:rsidR="00974F2D" w:rsidRPr="0026079D">
              <w:rPr>
                <w:b/>
              </w:rPr>
              <w:tab/>
            </w:r>
          </w:p>
        </w:tc>
      </w:tr>
      <w:tr w:rsidR="00DE26E8" w:rsidRPr="003365A5" w14:paraId="472681D4" w14:textId="77777777" w:rsidTr="0026079D">
        <w:tc>
          <w:tcPr>
            <w:tcW w:w="5000" w:type="pct"/>
            <w:gridSpan w:val="2"/>
            <w:shd w:val="clear" w:color="auto" w:fill="F2F2F2" w:themeFill="background1" w:themeFillShade="F2"/>
          </w:tcPr>
          <w:p w14:paraId="0F583CF0" w14:textId="77777777" w:rsidR="00DE26E8" w:rsidRPr="003365A5" w:rsidRDefault="00DE26E8" w:rsidP="00EF742D">
            <w:pPr>
              <w:pStyle w:val="Tablerowheadingitalic"/>
              <w:tabs>
                <w:tab w:val="clear" w:pos="2268"/>
                <w:tab w:val="clear" w:pos="5670"/>
                <w:tab w:val="left" w:pos="1418"/>
                <w:tab w:val="left" w:pos="2552"/>
              </w:tabs>
              <w:spacing w:before="60" w:after="60"/>
            </w:pPr>
            <w:r w:rsidRPr="003365A5">
              <w:t>SWA</w:t>
            </w:r>
            <w:r w:rsidRPr="003365A5">
              <w:tab/>
            </w:r>
            <w:sdt>
              <w:sdtPr>
                <w:id w:val="-2034099983"/>
                <w:placeholder>
                  <w:docPart w:val="0A35AF4547E94E219E26BC12DBC33282"/>
                </w:placeholder>
                <w:text/>
              </w:sdtPr>
              <w:sdtEndPr/>
              <w:sdtContent>
                <w:r w:rsidR="001613F1">
                  <w:t>1991</w:t>
                </w:r>
              </w:sdtContent>
            </w:sdt>
            <w:r w:rsidRPr="003365A5">
              <w:tab/>
            </w:r>
            <w:r>
              <w:tab/>
            </w:r>
            <w:sdt>
              <w:sdtPr>
                <w:alias w:val="SWA WES"/>
                <w:tag w:val="SWA WES"/>
                <w:id w:val="857077202"/>
                <w:placeholder>
                  <w:docPart w:val="81CFEC2FDBC5451289F394E66D92D1A0"/>
                </w:placeholder>
              </w:sdtPr>
              <w:sdtEndPr/>
              <w:sdtContent>
                <w:r w:rsidR="001613F1">
                  <w:t>TWA: 0.05 ppm (0.46 mg/m</w:t>
                </w:r>
                <w:r w:rsidR="001613F1" w:rsidRPr="001613F1">
                  <w:rPr>
                    <w:vertAlign w:val="superscript"/>
                  </w:rPr>
                  <w:t>3</w:t>
                </w:r>
                <w:r w:rsidR="001613F1">
                  <w:t>)</w:t>
                </w:r>
              </w:sdtContent>
            </w:sdt>
          </w:p>
        </w:tc>
      </w:tr>
      <w:tr w:rsidR="00C978F0" w:rsidRPr="00DA352E" w14:paraId="2274DC10" w14:textId="77777777" w:rsidTr="0026079D">
        <w:trPr>
          <w:gridAfter w:val="1"/>
          <w:wAfter w:w="8" w:type="pct"/>
        </w:trPr>
        <w:tc>
          <w:tcPr>
            <w:tcW w:w="4992" w:type="pct"/>
          </w:tcPr>
          <w:p w14:paraId="2B4F7629" w14:textId="77777777" w:rsidR="00C978F0" w:rsidRPr="00DA352E" w:rsidRDefault="00C978F0" w:rsidP="001A3D52">
            <w:pPr>
              <w:pStyle w:val="Tabletextprimarysource"/>
            </w:pPr>
          </w:p>
        </w:tc>
      </w:tr>
      <w:tr w:rsidR="00C978F0" w:rsidRPr="00DA352E" w14:paraId="2656EF78" w14:textId="77777777" w:rsidTr="0026079D">
        <w:trPr>
          <w:gridAfter w:val="1"/>
          <w:wAfter w:w="8" w:type="pct"/>
        </w:trPr>
        <w:tc>
          <w:tcPr>
            <w:tcW w:w="4992" w:type="pct"/>
            <w:shd w:val="clear" w:color="auto" w:fill="F2F2F2" w:themeFill="background1" w:themeFillShade="F2"/>
          </w:tcPr>
          <w:p w14:paraId="782B0B21" w14:textId="77777777" w:rsidR="00C978F0" w:rsidRPr="00DA352E" w:rsidRDefault="00DA352E" w:rsidP="00EF742D">
            <w:pPr>
              <w:pStyle w:val="Tablerowheadingitalic"/>
              <w:tabs>
                <w:tab w:val="clear" w:pos="2268"/>
                <w:tab w:val="clear" w:pos="5670"/>
                <w:tab w:val="left" w:pos="1418"/>
                <w:tab w:val="left" w:pos="2552"/>
              </w:tabs>
              <w:spacing w:before="60" w:after="60"/>
            </w:pPr>
            <w:r w:rsidRPr="00DA352E">
              <w:t>ACGIH</w:t>
            </w:r>
            <w:r w:rsidR="00916EC0">
              <w:t xml:space="preserve"> </w:t>
            </w:r>
            <w:r w:rsidR="00916EC0" w:rsidRPr="003365A5">
              <w:tab/>
            </w:r>
            <w:sdt>
              <w:sdtPr>
                <w:id w:val="444816450"/>
                <w:placeholder>
                  <w:docPart w:val="C8FBF9621EB94FE084F687C8955AF85F"/>
                </w:placeholder>
                <w:text/>
              </w:sdtPr>
              <w:sdtEndPr/>
              <w:sdtContent>
                <w:r w:rsidR="001613F1">
                  <w:t>2001</w:t>
                </w:r>
              </w:sdtContent>
            </w:sdt>
            <w:r w:rsidR="00916EC0" w:rsidRPr="003365A5">
              <w:tab/>
            </w:r>
            <w:r w:rsidR="0051509C">
              <w:tab/>
            </w:r>
            <w:sdt>
              <w:sdtPr>
                <w:alias w:val="ACGIH WES equivalent"/>
                <w:tag w:val="ACGIH WES equivalent"/>
                <w:id w:val="-1676410403"/>
                <w:placeholder>
                  <w:docPart w:val="522022AAE76B4622AC0DF750489702EB"/>
                </w:placeholder>
              </w:sdtPr>
              <w:sdtEndPr/>
              <w:sdtContent>
                <w:r w:rsidR="001613F1">
                  <w:t>TLV-</w:t>
                </w:r>
                <w:r w:rsidR="001613F1" w:rsidRPr="001613F1">
                  <w:t>TWA: 0.05 ppm (0.46 mg/m</w:t>
                </w:r>
                <w:r w:rsidR="001613F1" w:rsidRPr="00B24B8B">
                  <w:rPr>
                    <w:vertAlign w:val="superscript"/>
                  </w:rPr>
                  <w:t>3</w:t>
                </w:r>
                <w:r w:rsidR="001613F1" w:rsidRPr="001613F1">
                  <w:t>)</w:t>
                </w:r>
              </w:sdtContent>
            </w:sdt>
          </w:p>
        </w:tc>
      </w:tr>
      <w:tr w:rsidR="00C978F0" w:rsidRPr="00DA352E" w14:paraId="206495DD" w14:textId="77777777" w:rsidTr="0026079D">
        <w:trPr>
          <w:gridAfter w:val="1"/>
          <w:wAfter w:w="8" w:type="pct"/>
        </w:trPr>
        <w:tc>
          <w:tcPr>
            <w:tcW w:w="4992" w:type="pct"/>
          </w:tcPr>
          <w:p w14:paraId="2FF74AF5" w14:textId="13C39CAA" w:rsidR="00C978F0" w:rsidRDefault="00DF5F5C" w:rsidP="001A3D52">
            <w:pPr>
              <w:pStyle w:val="Tabletextprimarysource"/>
            </w:pPr>
            <w:r>
              <w:t>TLV-TWA intended to protect for headache and decreased blood pressure. Skin notation warranted based on reports of vasodilation from dermal absorption in humans.</w:t>
            </w:r>
          </w:p>
          <w:p w14:paraId="5C1210DD" w14:textId="77777777" w:rsidR="00DF5F5C" w:rsidRDefault="00DF5F5C" w:rsidP="001A3D52">
            <w:pPr>
              <w:pStyle w:val="Tabletextprimarysource"/>
            </w:pPr>
            <w:r>
              <w:t>Summary of data:</w:t>
            </w:r>
          </w:p>
          <w:p w14:paraId="47B18D52" w14:textId="4178A5B2" w:rsidR="00DF5F5C" w:rsidRDefault="00DF5F5C" w:rsidP="001A3D52">
            <w:pPr>
              <w:pStyle w:val="Tabletextprimarysource"/>
            </w:pPr>
            <w:r>
              <w:t>Exposures to ethylene glycol dinitrate (EGDN) and NG are frequently mixed due to their use in explosives manufacture; their effects are considered additive</w:t>
            </w:r>
            <w:r w:rsidR="0043122A">
              <w:t>. Available toxicological data are frequently of mixed exposures to EGDN and NG.</w:t>
            </w:r>
            <w:r w:rsidR="00F906C8">
              <w:t xml:space="preserve"> TLV-TWA based on weight of evidence of human exposure data and by analogy to propylene glycol dinitrate</w:t>
            </w:r>
            <w:r w:rsidR="00227BA8">
              <w:t xml:space="preserve"> (PGDN)</w:t>
            </w:r>
            <w:r w:rsidR="00F906C8">
              <w:t>; TLV-TWA derivation and its deviation from the ceiling OEL recommended by a cited review of workplace studies</w:t>
            </w:r>
            <w:r w:rsidR="00604C77">
              <w:t>,</w:t>
            </w:r>
            <w:r w:rsidR="00F906C8">
              <w:t xml:space="preserve"> are not discussed.</w:t>
            </w:r>
          </w:p>
          <w:p w14:paraId="7DDCA032" w14:textId="074E7248" w:rsidR="00DF5F5C" w:rsidRDefault="00DF5F5C" w:rsidP="001A3D52">
            <w:pPr>
              <w:pStyle w:val="Tabletextprimarysource"/>
            </w:pPr>
            <w:r>
              <w:t>Human data:</w:t>
            </w:r>
          </w:p>
          <w:p w14:paraId="6782E425" w14:textId="0C702D8D" w:rsidR="00DF5F5C" w:rsidRDefault="0043122A" w:rsidP="001A3D52">
            <w:pPr>
              <w:pStyle w:val="Tabletextprimarysource"/>
              <w:numPr>
                <w:ilvl w:val="0"/>
                <w:numId w:val="2"/>
              </w:numPr>
            </w:pPr>
            <w:r>
              <w:t>Severe headaches reported at 0.5 ppm in exposed workers</w:t>
            </w:r>
          </w:p>
          <w:p w14:paraId="51BB862F" w14:textId="56936E6E" w:rsidR="0043122A" w:rsidRDefault="0043122A" w:rsidP="001A3D52">
            <w:pPr>
              <w:pStyle w:val="Tabletextprimarysource"/>
              <w:numPr>
                <w:ilvl w:val="0"/>
                <w:numId w:val="2"/>
              </w:numPr>
            </w:pPr>
            <w:r>
              <w:t>Single report of headaches occurring at 0.04 ppm in production plant</w:t>
            </w:r>
          </w:p>
          <w:p w14:paraId="3F940DA5" w14:textId="71A0D89B" w:rsidR="0043122A" w:rsidRDefault="0043122A" w:rsidP="001A3D52">
            <w:pPr>
              <w:pStyle w:val="Tabletextprimarysource"/>
              <w:numPr>
                <w:ilvl w:val="0"/>
                <w:numId w:val="2"/>
              </w:numPr>
            </w:pPr>
            <w:r>
              <w:t>Sublingual dose of 0.3 mg relaxes vascular smooth muscle</w:t>
            </w:r>
          </w:p>
          <w:p w14:paraId="42A29417" w14:textId="03541B9D" w:rsidR="0043122A" w:rsidRDefault="0043122A" w:rsidP="001A3D52">
            <w:pPr>
              <w:pStyle w:val="Tabletextprimarysource"/>
              <w:numPr>
                <w:ilvl w:val="0"/>
                <w:numId w:val="2"/>
              </w:numPr>
            </w:pPr>
            <w:r>
              <w:t>Lethal dose estimated at 200 mg; however, non-lethal exposures to 1,200 mg are reported</w:t>
            </w:r>
          </w:p>
          <w:p w14:paraId="3DA9DF8D" w14:textId="7AC4C910" w:rsidR="0043122A" w:rsidRDefault="0043122A" w:rsidP="001A3D52">
            <w:pPr>
              <w:pStyle w:val="Tabletextprimarysource"/>
              <w:numPr>
                <w:ilvl w:val="0"/>
                <w:numId w:val="2"/>
              </w:numPr>
            </w:pPr>
            <w:r>
              <w:t>Immediate hypotension and headaches at 0.1–0.2 ppm of NG/EGDN mixture in volunteer inhalation study (no further information provided)</w:t>
            </w:r>
          </w:p>
          <w:p w14:paraId="3F424602" w14:textId="051E6F1F" w:rsidR="0043122A" w:rsidRDefault="0043122A" w:rsidP="001A3D52">
            <w:pPr>
              <w:pStyle w:val="Tabletextprimarysource"/>
              <w:numPr>
                <w:ilvl w:val="0"/>
                <w:numId w:val="2"/>
              </w:numPr>
            </w:pPr>
            <w:r>
              <w:t>Workplace study with exclusive NG exposure reported headaches and irritation at intermittent exposures of 0.03–0.11 ppm; headaches subsided at &lt;0.01 ppm</w:t>
            </w:r>
          </w:p>
          <w:p w14:paraId="23EF82F3" w14:textId="038172E1" w:rsidR="0043122A" w:rsidRDefault="00B24B8B" w:rsidP="001A3D52">
            <w:pPr>
              <w:pStyle w:val="Tabletextprimarysource"/>
              <w:numPr>
                <w:ilvl w:val="0"/>
                <w:numId w:val="2"/>
              </w:numPr>
            </w:pPr>
            <w:r>
              <w:t>Several reports of a</w:t>
            </w:r>
            <w:r w:rsidR="0043122A">
              <w:t xml:space="preserve">ngina pectoris and sudden fatality reported in workers at dynamite and rocket propellant </w:t>
            </w:r>
            <w:r>
              <w:t>factories</w:t>
            </w:r>
            <w:r w:rsidR="00E01F40">
              <w:t>:</w:t>
            </w:r>
          </w:p>
          <w:p w14:paraId="08B4473F" w14:textId="41B4261F" w:rsidR="0043122A" w:rsidRDefault="001A3D52" w:rsidP="00EF742D">
            <w:pPr>
              <w:pStyle w:val="Tabletextprimarysource"/>
              <w:numPr>
                <w:ilvl w:val="1"/>
                <w:numId w:val="1"/>
              </w:numPr>
              <w:ind w:left="1159" w:hanging="425"/>
            </w:pPr>
            <w:r>
              <w:t>2</w:t>
            </w:r>
            <w:r w:rsidR="00B24B8B">
              <w:t xml:space="preserve"> of these reports suggest sudden death occurred in workers exposed </w:t>
            </w:r>
            <w:r w:rsidR="00083533">
              <w:t>at</w:t>
            </w:r>
            <w:r w:rsidR="00B24B8B">
              <w:t xml:space="preserve"> average of 0.18–0.24 ppm</w:t>
            </w:r>
          </w:p>
          <w:p w14:paraId="087F5F25" w14:textId="79286015" w:rsidR="00B24B8B" w:rsidRDefault="00BC39ED" w:rsidP="00EF742D">
            <w:pPr>
              <w:pStyle w:val="Tabletextprimarysource"/>
              <w:numPr>
                <w:ilvl w:val="1"/>
                <w:numId w:val="1"/>
              </w:numPr>
              <w:ind w:left="1159" w:hanging="425"/>
            </w:pPr>
            <w:r>
              <w:t xml:space="preserve">case study reported </w:t>
            </w:r>
            <w:r w:rsidR="00B24B8B">
              <w:t xml:space="preserve">greater incidence of heart disease in dynamite factory workers than regional average; in some </w:t>
            </w:r>
            <w:r w:rsidR="00F16F8D">
              <w:t>cases,</w:t>
            </w:r>
            <w:r w:rsidR="00B24B8B">
              <w:t xml:space="preserve"> exposure was maintained </w:t>
            </w:r>
            <w:r w:rsidR="00B24B8B">
              <w:rPr>
                <w:rFonts w:cs="Arial"/>
              </w:rPr>
              <w:t>≤</w:t>
            </w:r>
            <w:r w:rsidR="00B24B8B">
              <w:t>0.02 ppm</w:t>
            </w:r>
            <w:r w:rsidR="001A3D52">
              <w:t>.</w:t>
            </w:r>
          </w:p>
          <w:p w14:paraId="3F475593" w14:textId="0682A27E" w:rsidR="00B24B8B" w:rsidRDefault="00B24B8B" w:rsidP="001A3D52">
            <w:pPr>
              <w:pStyle w:val="Tabletextprimarysource"/>
              <w:numPr>
                <w:ilvl w:val="0"/>
                <w:numId w:val="2"/>
              </w:numPr>
            </w:pPr>
            <w:r>
              <w:t>Review of workplace studies concluded that exposure should be controlled to protect for vasodilation (indicated by throbbing headaches and reduced blood pressure); recommended 20</w:t>
            </w:r>
            <w:r w:rsidR="001A3D52">
              <w:t xml:space="preserve"> </w:t>
            </w:r>
            <w:r>
              <w:t>min ceiling concentration of 0.01 ppm for both EGDN and NG or NG alone and is considered protective if skin contact is prevented</w:t>
            </w:r>
            <w:r w:rsidR="001A3D52">
              <w:t>.</w:t>
            </w:r>
          </w:p>
          <w:p w14:paraId="28C4604F" w14:textId="365991BC" w:rsidR="00DF5F5C" w:rsidRDefault="00DF5F5C" w:rsidP="001A3D52">
            <w:pPr>
              <w:pStyle w:val="Tabletextprimarysource"/>
            </w:pPr>
            <w:r>
              <w:t>Animal data:</w:t>
            </w:r>
          </w:p>
          <w:p w14:paraId="05A8AE23" w14:textId="767A79B9" w:rsidR="00DF5F5C" w:rsidRDefault="00DF5F5C" w:rsidP="001A3D52">
            <w:pPr>
              <w:pStyle w:val="Tabletextprimarysource"/>
              <w:numPr>
                <w:ilvl w:val="0"/>
                <w:numId w:val="1"/>
              </w:numPr>
            </w:pPr>
            <w:r>
              <w:t>None presented</w:t>
            </w:r>
            <w:r w:rsidR="001A3D52">
              <w:t>.</w:t>
            </w:r>
          </w:p>
          <w:p w14:paraId="62E5410C" w14:textId="77777777" w:rsidR="00C15574" w:rsidRDefault="00C15574" w:rsidP="001A3D52">
            <w:pPr>
              <w:pStyle w:val="Tabletextprimarysource"/>
              <w:contextualSpacing/>
            </w:pPr>
          </w:p>
          <w:p w14:paraId="2299F437" w14:textId="5CA06BF3" w:rsidR="00DF5F5C" w:rsidRDefault="00DF5F5C" w:rsidP="001A3D52">
            <w:pPr>
              <w:pStyle w:val="Tabletextprimarysource"/>
            </w:pPr>
            <w:r>
              <w:t>Insufficient data to recommend a TLV-STEL or notations for carcinogenicity or sensitisation.</w:t>
            </w:r>
          </w:p>
          <w:p w14:paraId="702D9972" w14:textId="517F7AE1" w:rsidR="00C15574" w:rsidRPr="00DA352E" w:rsidRDefault="00C15574" w:rsidP="001A3D52">
            <w:pPr>
              <w:pStyle w:val="Tabletextprimarysource"/>
            </w:pPr>
          </w:p>
        </w:tc>
      </w:tr>
      <w:tr w:rsidR="00C978F0" w:rsidRPr="00DA352E" w14:paraId="268C54F5" w14:textId="77777777" w:rsidTr="0026079D">
        <w:trPr>
          <w:gridAfter w:val="1"/>
          <w:wAfter w:w="8" w:type="pct"/>
        </w:trPr>
        <w:tc>
          <w:tcPr>
            <w:tcW w:w="4992" w:type="pct"/>
            <w:shd w:val="clear" w:color="auto" w:fill="F2F2F2" w:themeFill="background1" w:themeFillShade="F2"/>
          </w:tcPr>
          <w:p w14:paraId="4DD6050B" w14:textId="7A0DC38C" w:rsidR="00C978F0" w:rsidRPr="00DA352E" w:rsidRDefault="00DA352E" w:rsidP="00EF742D">
            <w:pPr>
              <w:pStyle w:val="Tablerowheadingitalic"/>
              <w:tabs>
                <w:tab w:val="clear" w:pos="2268"/>
                <w:tab w:val="clear" w:pos="5670"/>
                <w:tab w:val="left" w:pos="1418"/>
                <w:tab w:val="left" w:pos="2552"/>
              </w:tabs>
              <w:spacing w:before="60" w:after="60"/>
            </w:pPr>
            <w:r w:rsidRPr="00DA352E">
              <w:t>DFG</w:t>
            </w:r>
            <w:r w:rsidR="00916EC0" w:rsidRPr="003365A5">
              <w:t xml:space="preserve"> </w:t>
            </w:r>
            <w:r w:rsidR="00916EC0" w:rsidRPr="003365A5">
              <w:tab/>
            </w:r>
            <w:sdt>
              <w:sdtPr>
                <w:id w:val="272751712"/>
                <w:placeholder>
                  <w:docPart w:val="6918C77959FE4E2CB3B6BD78ABC69E19"/>
                </w:placeholder>
                <w:text/>
              </w:sdtPr>
              <w:sdtEndPr/>
              <w:sdtContent>
                <w:r w:rsidR="00343D55">
                  <w:t>2011</w:t>
                </w:r>
              </w:sdtContent>
            </w:sdt>
            <w:r w:rsidR="00916EC0" w:rsidRPr="003365A5">
              <w:tab/>
            </w:r>
            <w:r w:rsidR="0051509C">
              <w:tab/>
            </w:r>
            <w:sdt>
              <w:sdtPr>
                <w:alias w:val="DFG WES equivalent"/>
                <w:tag w:val="DFG WES equivalent"/>
                <w:id w:val="-736175395"/>
                <w:placeholder>
                  <w:docPart w:val="1ED9AEC91FDC4528B51A567B2B19EB9F"/>
                </w:placeholder>
              </w:sdtPr>
              <w:sdtEndPr/>
              <w:sdtContent>
                <w:r w:rsidR="00343D55">
                  <w:t>MAK: 0.01 ppm (0.1 mg/m</w:t>
                </w:r>
                <w:r w:rsidR="00343D55" w:rsidRPr="00343D55">
                  <w:rPr>
                    <w:vertAlign w:val="superscript"/>
                  </w:rPr>
                  <w:t>3</w:t>
                </w:r>
                <w:r w:rsidR="00343D55">
                  <w:t>)</w:t>
                </w:r>
              </w:sdtContent>
            </w:sdt>
          </w:p>
        </w:tc>
      </w:tr>
      <w:tr w:rsidR="00C978F0" w:rsidRPr="00DA352E" w14:paraId="6078C2E2" w14:textId="77777777" w:rsidTr="0026079D">
        <w:trPr>
          <w:gridAfter w:val="1"/>
          <w:wAfter w:w="8" w:type="pct"/>
        </w:trPr>
        <w:tc>
          <w:tcPr>
            <w:tcW w:w="4992" w:type="pct"/>
          </w:tcPr>
          <w:p w14:paraId="5D91B94F" w14:textId="77777777" w:rsidR="00C978F0" w:rsidRDefault="00F906C8" w:rsidP="001A3D52">
            <w:pPr>
              <w:pStyle w:val="Tabletextprimarysource"/>
            </w:pPr>
            <w:r>
              <w:t>Summary of additional data:</w:t>
            </w:r>
          </w:p>
          <w:p w14:paraId="4D4C92F7" w14:textId="46C01C2E" w:rsidR="001A5C46" w:rsidRDefault="00F906C8" w:rsidP="001A3D52">
            <w:pPr>
              <w:pStyle w:val="Tabletextprimarysource"/>
            </w:pPr>
            <w:r>
              <w:t xml:space="preserve">Development of headaches considered the most sensitive endpoint and are likely caused by cerebral vasodilation. MAK derived from </w:t>
            </w:r>
            <w:r w:rsidR="00C41105">
              <w:t xml:space="preserve">an </w:t>
            </w:r>
            <w:r w:rsidR="00227BA8">
              <w:t xml:space="preserve">acute inhalation study </w:t>
            </w:r>
            <w:r w:rsidR="00C41105">
              <w:t xml:space="preserve">(pure NG exposure) in volunteers </w:t>
            </w:r>
            <w:r w:rsidR="00227BA8">
              <w:t>with</w:t>
            </w:r>
            <w:r w:rsidR="00C41105">
              <w:t xml:space="preserve"> a reported</w:t>
            </w:r>
            <w:r w:rsidR="00227BA8">
              <w:t xml:space="preserve"> LOAEL of 0.05 ppm for mild to moderate headaches</w:t>
            </w:r>
            <w:r w:rsidR="00C41105">
              <w:t>. This</w:t>
            </w:r>
            <w:r w:rsidR="00227BA8">
              <w:t xml:space="preserve"> is supported by a workplace study that showed headaches were reported in workers at 0.03–0.11 ppm, but not </w:t>
            </w:r>
            <w:r w:rsidR="00227BA8">
              <w:lastRenderedPageBreak/>
              <w:t>at 0.01 ppm</w:t>
            </w:r>
            <w:r w:rsidR="003E1F43">
              <w:t xml:space="preserve"> (also cited in ACGIH, 2018)</w:t>
            </w:r>
            <w:r w:rsidR="00227BA8">
              <w:t>. MAK of 0.01 ppm is therefore considered protective of headaches</w:t>
            </w:r>
            <w:r w:rsidR="00C41105">
              <w:t xml:space="preserve"> </w:t>
            </w:r>
            <w:r w:rsidR="00227BA8">
              <w:t xml:space="preserve">but is </w:t>
            </w:r>
            <w:r w:rsidR="00957409">
              <w:t xml:space="preserve">additive </w:t>
            </w:r>
            <w:r w:rsidR="00227BA8">
              <w:t>with exposures to EGDN and PGDN.</w:t>
            </w:r>
            <w:r w:rsidR="007955D7">
              <w:t xml:space="preserve"> </w:t>
            </w:r>
          </w:p>
          <w:p w14:paraId="293111D5" w14:textId="3C81E834" w:rsidR="001A5C46" w:rsidRDefault="007955D7" w:rsidP="001A3D52">
            <w:pPr>
              <w:pStyle w:val="Tabletextprimarysource"/>
            </w:pPr>
            <w:r>
              <w:t>Carcinogenic activity, as observed in chronically fed rats with NOAEL of 3 mg/kg, is not considered likely if the MAK is observed; equivalent inhalational dose at the NOAEL would be 0.53 ppm.</w:t>
            </w:r>
            <w:r w:rsidR="001A5C46">
              <w:t xml:space="preserve"> </w:t>
            </w:r>
            <w:r w:rsidR="00ED6983">
              <w:t>Assigned with 3B notation</w:t>
            </w:r>
            <w:r w:rsidR="001A3D52">
              <w:t>.</w:t>
            </w:r>
          </w:p>
          <w:p w14:paraId="183ECACA" w14:textId="77777777" w:rsidR="001A5C46" w:rsidRDefault="001A5C46" w:rsidP="001A3D52">
            <w:pPr>
              <w:pStyle w:val="Tabletextprimarysource"/>
            </w:pPr>
            <w:r>
              <w:t xml:space="preserve">Skin notation recommended based on established transdermal medicinal use. </w:t>
            </w:r>
          </w:p>
          <w:p w14:paraId="28B76E15" w14:textId="41709CDE" w:rsidR="00F906C8" w:rsidRDefault="001A5C46" w:rsidP="001A3D52">
            <w:pPr>
              <w:pStyle w:val="Tabletextprimarysource"/>
            </w:pPr>
            <w:r>
              <w:t>No evidence for contact dermatitis under conditions relevant to the workplace, therefore not classified as a dermal sensitiser.</w:t>
            </w:r>
          </w:p>
          <w:p w14:paraId="33F0192A" w14:textId="77777777" w:rsidR="00227BA8" w:rsidRDefault="00227BA8" w:rsidP="001A3D52">
            <w:pPr>
              <w:pStyle w:val="Tabletextprimarysource"/>
            </w:pPr>
            <w:r>
              <w:t>Human data:</w:t>
            </w:r>
          </w:p>
          <w:p w14:paraId="3C8737A0" w14:textId="4140FC5C" w:rsidR="00227BA8" w:rsidRDefault="00957409" w:rsidP="001A3D52">
            <w:pPr>
              <w:pStyle w:val="Tabletextprimarysource"/>
              <w:numPr>
                <w:ilvl w:val="0"/>
                <w:numId w:val="1"/>
              </w:numPr>
            </w:pPr>
            <w:r>
              <w:t>LOAEC</w:t>
            </w:r>
            <w:r w:rsidR="00227BA8">
              <w:t xml:space="preserve">: 0.05 ppm </w:t>
            </w:r>
            <w:r w:rsidR="003E1F43">
              <w:t xml:space="preserve">for mild–moderate headaches in 3/7 volunteers in acute inhalation study (25 min, </w:t>
            </w:r>
            <w:r w:rsidR="00C41105">
              <w:t xml:space="preserve">pure NG </w:t>
            </w:r>
            <w:r w:rsidR="003E1F43">
              <w:t>also cited in ACGIH, 2018)</w:t>
            </w:r>
            <w:r w:rsidR="004669EC">
              <w:t>:</w:t>
            </w:r>
          </w:p>
          <w:p w14:paraId="0225C184" w14:textId="77777777" w:rsidR="003E1F43" w:rsidRDefault="003E1F43" w:rsidP="00A634B3">
            <w:pPr>
              <w:pStyle w:val="Tabletextprimarysource"/>
              <w:numPr>
                <w:ilvl w:val="1"/>
                <w:numId w:val="1"/>
              </w:numPr>
              <w:ind w:left="1094" w:hanging="357"/>
            </w:pPr>
            <w:r>
              <w:t>severity of headaches increased at 0.07 ppm</w:t>
            </w:r>
          </w:p>
          <w:p w14:paraId="11530DE8" w14:textId="5305DBDD" w:rsidR="003E1F43" w:rsidRDefault="003E1F43" w:rsidP="001A3D52">
            <w:pPr>
              <w:pStyle w:val="Tabletextprimarysource"/>
              <w:numPr>
                <w:ilvl w:val="0"/>
                <w:numId w:val="1"/>
              </w:numPr>
            </w:pPr>
            <w:r>
              <w:t>Study of explosives industry workers reported headaches at 0.01–0.05 ppm and chest pains, dizziness and blood pressure changes above 0.03 ppm in workers exposed to NG and EGDN/NG mixtures</w:t>
            </w:r>
          </w:p>
          <w:p w14:paraId="69D04231" w14:textId="22D08E3F" w:rsidR="001A5C46" w:rsidRDefault="001A5C46" w:rsidP="001A3D52">
            <w:pPr>
              <w:pStyle w:val="Tabletextprimarysource"/>
              <w:numPr>
                <w:ilvl w:val="0"/>
                <w:numId w:val="1"/>
              </w:numPr>
            </w:pPr>
            <w:r>
              <w:t>Patch test</w:t>
            </w:r>
            <w:r w:rsidR="00ED6983">
              <w:t>s</w:t>
            </w:r>
            <w:r>
              <w:t xml:space="preserve"> with </w:t>
            </w:r>
            <w:r w:rsidR="00ED6983">
              <w:t>0.1, 0.5 and 1% were positive, but reactions were less pronounced at 72 h compared to 48 h</w:t>
            </w:r>
            <w:r w:rsidR="001A3D52">
              <w:t>.</w:t>
            </w:r>
          </w:p>
          <w:p w14:paraId="11A730A3" w14:textId="72B48C98" w:rsidR="001A5C46" w:rsidRDefault="001A5C46" w:rsidP="001A3D52">
            <w:pPr>
              <w:pStyle w:val="Tabletextprimarysource"/>
            </w:pPr>
            <w:r>
              <w:t>Animal data:</w:t>
            </w:r>
          </w:p>
          <w:p w14:paraId="1965CF3C" w14:textId="35EDBC03" w:rsidR="007955D7" w:rsidRDefault="007955D7" w:rsidP="001A3D52">
            <w:pPr>
              <w:pStyle w:val="Tabletextprimarysource"/>
              <w:numPr>
                <w:ilvl w:val="0"/>
                <w:numId w:val="1"/>
              </w:numPr>
            </w:pPr>
            <w:r>
              <w:t xml:space="preserve">Hepatocellular carcinomas and interstitial cell tumours in testes reported in chronic feeding study with treatment groups </w:t>
            </w:r>
            <w:r w:rsidR="00616399">
              <w:t xml:space="preserve">0, </w:t>
            </w:r>
            <w:r>
              <w:t xml:space="preserve">3, 30 and 363–434 mg/kg/d (rats, 2 </w:t>
            </w:r>
            <w:proofErr w:type="spellStart"/>
            <w:r>
              <w:t>yr</w:t>
            </w:r>
            <w:proofErr w:type="spellEnd"/>
            <w:r>
              <w:t>)</w:t>
            </w:r>
            <w:r w:rsidR="004669EC">
              <w:t>:</w:t>
            </w:r>
          </w:p>
          <w:p w14:paraId="5D75155A" w14:textId="334CFFC3" w:rsidR="006A5A31" w:rsidRDefault="007955D7" w:rsidP="00A634B3">
            <w:pPr>
              <w:pStyle w:val="Tabletextprimarysource"/>
              <w:numPr>
                <w:ilvl w:val="1"/>
                <w:numId w:val="1"/>
              </w:numPr>
              <w:ind w:left="1094" w:hanging="357"/>
            </w:pPr>
            <w:r>
              <w:t>NOAEL: 3 mg/kg/d for increased tumour incidence</w:t>
            </w:r>
          </w:p>
          <w:p w14:paraId="2BFCBC59" w14:textId="724D2851" w:rsidR="007955D7" w:rsidRDefault="007955D7" w:rsidP="00A634B3">
            <w:pPr>
              <w:pStyle w:val="Tabletextprimarysource"/>
              <w:numPr>
                <w:ilvl w:val="1"/>
                <w:numId w:val="1"/>
              </w:numPr>
              <w:ind w:left="1094" w:hanging="357"/>
            </w:pPr>
            <w:r>
              <w:t>tumour formation in higher dose groups may relate to exposure to nitric oxide (NO) metabolite, mechanism is however unclear</w:t>
            </w:r>
          </w:p>
          <w:p w14:paraId="34CEE5E4" w14:textId="741321A9" w:rsidR="003E1F43" w:rsidRDefault="003E1F43" w:rsidP="001A3D52">
            <w:pPr>
              <w:pStyle w:val="Tabletextprimarysource"/>
              <w:numPr>
                <w:ilvl w:val="0"/>
                <w:numId w:val="1"/>
              </w:numPr>
            </w:pPr>
            <w:r>
              <w:t>Negative</w:t>
            </w:r>
            <w:r w:rsidR="00C15574">
              <w:t xml:space="preserve">, </w:t>
            </w:r>
            <w:r>
              <w:t xml:space="preserve">weakly positive genotoxicity </w:t>
            </w:r>
            <w:r>
              <w:rPr>
                <w:i/>
              </w:rPr>
              <w:t>in vitro</w:t>
            </w:r>
            <w:r w:rsidR="006A5A31">
              <w:t xml:space="preserve"> in bacteria; negative results </w:t>
            </w:r>
            <w:r w:rsidR="006A5A31">
              <w:rPr>
                <w:i/>
              </w:rPr>
              <w:t>in vivo</w:t>
            </w:r>
            <w:r w:rsidR="006A5A31">
              <w:t xml:space="preserve"> in dominant lethal test (rats, 13 </w:t>
            </w:r>
            <w:proofErr w:type="spellStart"/>
            <w:r w:rsidR="006A5A31">
              <w:t>wk</w:t>
            </w:r>
            <w:proofErr w:type="spellEnd"/>
            <w:r w:rsidR="006A5A31">
              <w:t xml:space="preserve">) and no chromosomal aberrations in chronic feeding study at 363–434 mg/kg (rats, 2 </w:t>
            </w:r>
            <w:proofErr w:type="spellStart"/>
            <w:r w:rsidR="006A5A31">
              <w:t>yr</w:t>
            </w:r>
            <w:proofErr w:type="spellEnd"/>
            <w:r w:rsidR="006A5A31">
              <w:t>)</w:t>
            </w:r>
            <w:r w:rsidR="001A3D52">
              <w:t>.</w:t>
            </w:r>
          </w:p>
          <w:p w14:paraId="70A40C4C" w14:textId="79B8778A" w:rsidR="004669EC" w:rsidRPr="00DA352E" w:rsidRDefault="004669EC" w:rsidP="00A634B3">
            <w:pPr>
              <w:pStyle w:val="Tabletextprimarysource"/>
            </w:pPr>
          </w:p>
        </w:tc>
      </w:tr>
      <w:tr w:rsidR="00C978F0" w:rsidRPr="00DA352E" w14:paraId="0FB6ACB5" w14:textId="77777777" w:rsidTr="0026079D">
        <w:trPr>
          <w:gridAfter w:val="1"/>
          <w:wAfter w:w="8" w:type="pct"/>
        </w:trPr>
        <w:tc>
          <w:tcPr>
            <w:tcW w:w="4992" w:type="pct"/>
            <w:shd w:val="clear" w:color="auto" w:fill="F2F2F2" w:themeFill="background1" w:themeFillShade="F2"/>
          </w:tcPr>
          <w:p w14:paraId="13D93AEF" w14:textId="3D7F2F5D" w:rsidR="00C978F0" w:rsidRPr="00DA352E" w:rsidRDefault="00DA352E" w:rsidP="00EF742D">
            <w:pPr>
              <w:pStyle w:val="Tablerowheadingitalic"/>
              <w:tabs>
                <w:tab w:val="clear" w:pos="2268"/>
                <w:tab w:val="clear" w:pos="5670"/>
                <w:tab w:val="left" w:pos="1418"/>
              </w:tabs>
              <w:spacing w:before="60" w:after="60"/>
              <w:ind w:left="2857" w:hanging="2857"/>
            </w:pPr>
            <w:r w:rsidRPr="00DA352E">
              <w:lastRenderedPageBreak/>
              <w:t>SCOEL</w:t>
            </w:r>
            <w:r w:rsidR="00916EC0" w:rsidRPr="003365A5">
              <w:t xml:space="preserve"> </w:t>
            </w:r>
            <w:r w:rsidR="00916EC0" w:rsidRPr="003365A5">
              <w:tab/>
            </w:r>
            <w:sdt>
              <w:sdtPr>
                <w:id w:val="-768699850"/>
                <w:placeholder>
                  <w:docPart w:val="FDC2A24E7D2549238DA6EE03BD0A6AE0"/>
                </w:placeholder>
                <w:text/>
              </w:sdtPr>
              <w:sdtEndPr/>
              <w:sdtContent>
                <w:r w:rsidR="00343D55">
                  <w:t>2011</w:t>
                </w:r>
              </w:sdtContent>
            </w:sdt>
            <w:r w:rsidR="001A3D52">
              <w:t xml:space="preserve"> </w:t>
            </w:r>
            <w:sdt>
              <w:sdtPr>
                <w:alias w:val="SCOEL WES equivalent"/>
                <w:tag w:val="SCOEL WES equivalent"/>
                <w:id w:val="-1474213062"/>
                <w:placeholder>
                  <w:docPart w:val="9E827C9D0DA949E385F2E9AB4264125E"/>
                </w:placeholder>
              </w:sdtPr>
              <w:sdtEndPr/>
              <w:sdtContent>
                <w:r w:rsidR="00EF742D">
                  <w:t xml:space="preserve">             </w:t>
                </w:r>
                <w:r w:rsidR="00343D55" w:rsidRPr="00343D55">
                  <w:t>TWA:</w:t>
                </w:r>
              </w:sdtContent>
            </w:sdt>
            <w:r w:rsidR="00343D55">
              <w:t xml:space="preserve"> </w:t>
            </w:r>
            <w:r w:rsidR="00343D55" w:rsidRPr="00343D55">
              <w:t>0.01 ppm (0.095 mg/m</w:t>
            </w:r>
            <w:r w:rsidR="00343D55" w:rsidRPr="00343D55">
              <w:rPr>
                <w:vertAlign w:val="superscript"/>
              </w:rPr>
              <w:t>3</w:t>
            </w:r>
            <w:r w:rsidR="00343D55" w:rsidRPr="00343D55">
              <w:t>)</w:t>
            </w:r>
            <w:r w:rsidR="00343D55">
              <w:t>;</w:t>
            </w:r>
            <w:r w:rsidR="00ED6983">
              <w:t xml:space="preserve"> </w:t>
            </w:r>
            <w:r w:rsidR="00343D55">
              <w:t xml:space="preserve">STEL: </w:t>
            </w:r>
            <w:r w:rsidR="00343D55" w:rsidRPr="00343D55">
              <w:t xml:space="preserve">0.02 ppm (0.19 </w:t>
            </w:r>
            <w:r w:rsidR="00ED6983">
              <w:t>m</w:t>
            </w:r>
            <w:r w:rsidR="00343D55" w:rsidRPr="00343D55">
              <w:t>g/m</w:t>
            </w:r>
            <w:r w:rsidR="00343D55" w:rsidRPr="00B24B8B">
              <w:rPr>
                <w:vertAlign w:val="superscript"/>
              </w:rPr>
              <w:t>3</w:t>
            </w:r>
            <w:r w:rsidR="00343D55" w:rsidRPr="00343D55">
              <w:t>)</w:t>
            </w:r>
          </w:p>
        </w:tc>
      </w:tr>
      <w:tr w:rsidR="00C978F0" w:rsidRPr="00DA352E" w14:paraId="69D815A3" w14:textId="77777777" w:rsidTr="0026079D">
        <w:trPr>
          <w:gridAfter w:val="1"/>
          <w:wAfter w:w="8" w:type="pct"/>
        </w:trPr>
        <w:tc>
          <w:tcPr>
            <w:tcW w:w="4992" w:type="pct"/>
          </w:tcPr>
          <w:p w14:paraId="0BA8B3AE" w14:textId="0370D29D" w:rsidR="00F16F8D" w:rsidRDefault="00F16F8D" w:rsidP="001A3D52">
            <w:pPr>
              <w:pStyle w:val="Tabletextprimarysource"/>
            </w:pPr>
            <w:r>
              <w:t>Summary of additional data:</w:t>
            </w:r>
          </w:p>
          <w:p w14:paraId="71B0C755" w14:textId="109393C9" w:rsidR="00D42583" w:rsidRDefault="00BC7054" w:rsidP="001A3D52">
            <w:pPr>
              <w:pStyle w:val="Tabletextprimarysource"/>
            </w:pPr>
            <w:r>
              <w:t>Metabolic release of NO associated with adverse cardiovascular and chronic carcinogenic effects; avoidance of cardiovascular effects therefore considered to be protective of potential carcinogenicity. Dermal dose of 5 mg over 24 h in humans associated with same effect level as 0.5 mg/m</w:t>
            </w:r>
            <w:r>
              <w:rPr>
                <w:vertAlign w:val="superscript"/>
              </w:rPr>
              <w:t>3</w:t>
            </w:r>
            <w:r>
              <w:t xml:space="preserve"> inhalational exposure under workplace conditions. TWA derived from workplace study (also cited in ACGIH, 2018), which reported NOAEL of 0.01 ppm for these effects.</w:t>
            </w:r>
          </w:p>
          <w:p w14:paraId="0B957908" w14:textId="06521A28" w:rsidR="00BC7054" w:rsidRDefault="00BC7054" w:rsidP="001A3D52">
            <w:pPr>
              <w:pStyle w:val="Tabletextprimarysource"/>
            </w:pPr>
            <w:r>
              <w:t>STEL based on reported irritation (from same workplace study) that occurred at 0.03 ppm.</w:t>
            </w:r>
          </w:p>
          <w:p w14:paraId="16C23518" w14:textId="4763450B" w:rsidR="00BC7054" w:rsidRPr="00BC7054" w:rsidRDefault="00BC7054" w:rsidP="001A3D52">
            <w:pPr>
              <w:pStyle w:val="Tabletextprimarysource"/>
            </w:pPr>
            <w:r>
              <w:t>Group C notation recommended based on tumorigenicity in chronic feeding study with rats (also cited in DFG, 2011</w:t>
            </w:r>
            <w:r w:rsidR="003B6B0A">
              <w:t>)</w:t>
            </w:r>
            <w:r w:rsidR="001A3D52">
              <w:t>.</w:t>
            </w:r>
          </w:p>
          <w:p w14:paraId="1A4C893C" w14:textId="431873D7" w:rsidR="00F16F8D" w:rsidRDefault="00D42583" w:rsidP="001A3D52">
            <w:pPr>
              <w:pStyle w:val="Tabletextprimarysource"/>
            </w:pPr>
            <w:r>
              <w:t>Skin notation recommended based on reported cardiovascular effects following dermal absorption.</w:t>
            </w:r>
          </w:p>
          <w:p w14:paraId="575C4B89" w14:textId="74D8AB3F" w:rsidR="00BC7054" w:rsidRDefault="00BC7054" w:rsidP="001A3D52">
            <w:pPr>
              <w:pStyle w:val="Tabletextprimarysource"/>
            </w:pPr>
            <w:r>
              <w:t>Rate of sensitisation summarised from several studies not considered sufficient to warrant sensitiser notation.</w:t>
            </w:r>
          </w:p>
          <w:p w14:paraId="5A4226CA" w14:textId="3004C42A" w:rsidR="00BC7054" w:rsidRDefault="00F16F8D" w:rsidP="001A3D52">
            <w:pPr>
              <w:pStyle w:val="Tabletextprimarysource"/>
            </w:pPr>
            <w:r>
              <w:t>Human data:</w:t>
            </w:r>
          </w:p>
          <w:p w14:paraId="5C678424" w14:textId="1E8B1F72" w:rsidR="00C978F0" w:rsidRDefault="00FE6708" w:rsidP="00A634B3">
            <w:pPr>
              <w:pStyle w:val="Tabletextprimarysource"/>
              <w:numPr>
                <w:ilvl w:val="0"/>
                <w:numId w:val="1"/>
              </w:numPr>
              <w:ind w:left="714" w:hanging="357"/>
            </w:pPr>
            <w:r>
              <w:t>Volunteer oral dose studies showed threshold limits for vasodilation, measured by metabolites 1,2-glycerol dinitrate (GDN) and 1,3-GDN, are 0.5 ng/mL and 0.4 ng/mL in blood, respectively</w:t>
            </w:r>
          </w:p>
          <w:p w14:paraId="14A613D9" w14:textId="77777777" w:rsidR="00FE6708" w:rsidRDefault="00FE6708" w:rsidP="00A634B3">
            <w:pPr>
              <w:pStyle w:val="Tabletextprimarysource"/>
              <w:numPr>
                <w:ilvl w:val="0"/>
                <w:numId w:val="1"/>
              </w:numPr>
              <w:ind w:left="714" w:hanging="357"/>
            </w:pPr>
            <w:r>
              <w:t xml:space="preserve">Dermal absorption reported to be major contributing factor in producing headaches </w:t>
            </w:r>
            <w:r w:rsidR="00BC39ED">
              <w:t>in exposed workers at gunpowder factory at air concentrations of 1–4 mg/m</w:t>
            </w:r>
            <w:r w:rsidR="00BC39ED">
              <w:rPr>
                <w:vertAlign w:val="superscript"/>
              </w:rPr>
              <w:t>3</w:t>
            </w:r>
            <w:r w:rsidR="00BC39ED">
              <w:t>; no dependence of air concentrations on resulting symptoms noted</w:t>
            </w:r>
          </w:p>
          <w:p w14:paraId="2604D8BD" w14:textId="620414A3" w:rsidR="00BC39ED" w:rsidRDefault="00BC39ED" w:rsidP="00A634B3">
            <w:pPr>
              <w:pStyle w:val="Tabletextprimarysource"/>
              <w:numPr>
                <w:ilvl w:val="0"/>
                <w:numId w:val="1"/>
              </w:numPr>
              <w:ind w:left="714" w:hanging="357"/>
            </w:pPr>
            <w:r>
              <w:t>Headache and nausea in volunteer dermal patch study; patches delivered 5–15 mg in 24 h</w:t>
            </w:r>
          </w:p>
          <w:p w14:paraId="08A5F142" w14:textId="33DBAA73" w:rsidR="00BC39ED" w:rsidRDefault="00BC39ED" w:rsidP="00A634B3">
            <w:pPr>
              <w:pStyle w:val="Tabletextprimarysource"/>
              <w:numPr>
                <w:ilvl w:val="0"/>
                <w:numId w:val="1"/>
              </w:numPr>
              <w:ind w:left="714" w:hanging="357"/>
            </w:pPr>
            <w:r>
              <w:t>Several sensitisation studies show low rate of sensitisation</w:t>
            </w:r>
            <w:r w:rsidR="004669EC">
              <w:t>:</w:t>
            </w:r>
          </w:p>
          <w:p w14:paraId="3CA2CC24" w14:textId="77777777" w:rsidR="00BC39ED" w:rsidRDefault="00BC39ED" w:rsidP="00A634B3">
            <w:pPr>
              <w:pStyle w:val="Tabletextprimarysource"/>
              <w:numPr>
                <w:ilvl w:val="1"/>
                <w:numId w:val="1"/>
              </w:numPr>
              <w:ind w:left="1094" w:hanging="357"/>
            </w:pPr>
            <w:r>
              <w:lastRenderedPageBreak/>
              <w:t>dynamite workers (n=4) with allergic dermatitis had positive reactions to NG</w:t>
            </w:r>
          </w:p>
          <w:p w14:paraId="072E0F06" w14:textId="0D26BE72" w:rsidR="00BC39ED" w:rsidRDefault="00BC39ED" w:rsidP="00A634B3">
            <w:pPr>
              <w:pStyle w:val="Tabletextprimarysource"/>
              <w:numPr>
                <w:ilvl w:val="1"/>
                <w:numId w:val="1"/>
              </w:numPr>
              <w:ind w:left="1094" w:hanging="357"/>
            </w:pPr>
            <w:r>
              <w:t>no sensitisation in volunteer patch test (n=28, 12 h/d, 14 d)</w:t>
            </w:r>
          </w:p>
          <w:p w14:paraId="6D49AFAA" w14:textId="7BC0EF9C" w:rsidR="00BC39ED" w:rsidRDefault="00F16F8D" w:rsidP="001A3D52">
            <w:pPr>
              <w:pStyle w:val="Tabletextprimarysource"/>
              <w:numPr>
                <w:ilvl w:val="0"/>
                <w:numId w:val="1"/>
              </w:numPr>
            </w:pPr>
            <w:r>
              <w:t>Epidemiological studies indicate association between NG/EGDN exposure and cardiovascular disease and exc</w:t>
            </w:r>
            <w:r w:rsidR="00633907">
              <w:t>ess acute myocardial infarction;</w:t>
            </w:r>
            <w:r>
              <w:t xml:space="preserve"> unclear, but unlikely that NG alone is associated with these effects</w:t>
            </w:r>
          </w:p>
          <w:p w14:paraId="2BAE44DF" w14:textId="77777777" w:rsidR="00F16F8D" w:rsidRDefault="00F16F8D" w:rsidP="001A3D52">
            <w:pPr>
              <w:pStyle w:val="Tabletextprimarysource"/>
              <w:numPr>
                <w:ilvl w:val="0"/>
                <w:numId w:val="1"/>
              </w:numPr>
            </w:pPr>
            <w:r>
              <w:t>No excess mortality due to cancers in cohort studies of explosives factory (n=900) and ammunition (n=5,500) workers; non-significant increase in lung cancers noted in workers co-exposed to NG and EGDN</w:t>
            </w:r>
            <w:r w:rsidR="001A3D52">
              <w:t>.</w:t>
            </w:r>
          </w:p>
          <w:p w14:paraId="6E0C52F9" w14:textId="3B9058DF" w:rsidR="004669EC" w:rsidRPr="00DA352E" w:rsidRDefault="004669EC" w:rsidP="00A634B3">
            <w:pPr>
              <w:pStyle w:val="Tabletextprimarysource"/>
            </w:pPr>
          </w:p>
        </w:tc>
      </w:tr>
      <w:tr w:rsidR="00DA352E" w:rsidRPr="00DA352E" w14:paraId="50D989E4" w14:textId="77777777" w:rsidTr="0026079D">
        <w:trPr>
          <w:gridAfter w:val="1"/>
          <w:wAfter w:w="8" w:type="pct"/>
        </w:trPr>
        <w:tc>
          <w:tcPr>
            <w:tcW w:w="4992" w:type="pct"/>
            <w:shd w:val="clear" w:color="auto" w:fill="F2F2F2" w:themeFill="background1" w:themeFillShade="F2"/>
          </w:tcPr>
          <w:p w14:paraId="21C2FFBC" w14:textId="75AC1145" w:rsidR="00DA352E" w:rsidRPr="00DA352E" w:rsidRDefault="00DA352E" w:rsidP="00EF742D">
            <w:pPr>
              <w:pStyle w:val="Tablerowheadingitalic"/>
              <w:tabs>
                <w:tab w:val="clear" w:pos="2268"/>
                <w:tab w:val="clear" w:pos="5670"/>
                <w:tab w:val="left" w:pos="1418"/>
                <w:tab w:val="left" w:pos="2552"/>
              </w:tabs>
              <w:spacing w:before="60" w:after="60"/>
            </w:pPr>
            <w:r w:rsidRPr="00DA352E">
              <w:lastRenderedPageBreak/>
              <w:t>OARS/AIHA</w:t>
            </w:r>
            <w:r w:rsidR="00916EC0" w:rsidRPr="003365A5">
              <w:t xml:space="preserve"> </w:t>
            </w:r>
            <w:r w:rsidR="00916EC0" w:rsidRPr="003365A5">
              <w:tab/>
            </w:r>
            <w:sdt>
              <w:sdtPr>
                <w:id w:val="-936748013"/>
                <w:placeholder>
                  <w:docPart w:val="47E4EC2DB10B4B8E8A66F7A5C13653CB"/>
                </w:placeholder>
                <w:text/>
              </w:sdtPr>
              <w:sdtEndPr/>
              <w:sdtContent>
                <w:r w:rsidR="00FA714B">
                  <w:t>NA</w:t>
                </w:r>
              </w:sdtContent>
            </w:sdt>
            <w:r w:rsidR="00916EC0" w:rsidRPr="003365A5">
              <w:tab/>
            </w:r>
            <w:r w:rsidR="0051509C">
              <w:tab/>
            </w:r>
            <w:sdt>
              <w:sdtPr>
                <w:alias w:val="OARS/AIHA WES equivalent"/>
                <w:tag w:val="OARS/AIHA WES equivalent"/>
                <w:id w:val="-1320338798"/>
                <w:placeholder>
                  <w:docPart w:val="5E4DD00C3A334F93BF5CC79754EBC5EA"/>
                </w:placeholder>
              </w:sdtPr>
              <w:sdtEndPr/>
              <w:sdtContent>
                <w:r w:rsidR="00FA714B">
                  <w:t>NA</w:t>
                </w:r>
              </w:sdtContent>
            </w:sdt>
          </w:p>
        </w:tc>
      </w:tr>
      <w:tr w:rsidR="00DA352E" w:rsidRPr="00DA352E" w14:paraId="4203B3F3" w14:textId="77777777" w:rsidTr="0026079D">
        <w:trPr>
          <w:gridAfter w:val="1"/>
          <w:wAfter w:w="8" w:type="pct"/>
        </w:trPr>
        <w:tc>
          <w:tcPr>
            <w:tcW w:w="4992" w:type="pct"/>
          </w:tcPr>
          <w:p w14:paraId="448BCB51" w14:textId="58733BED" w:rsidR="00DA352E" w:rsidRPr="00DA352E" w:rsidRDefault="00FA714B" w:rsidP="001A3D52">
            <w:pPr>
              <w:pStyle w:val="Tabletextprimarysource"/>
            </w:pPr>
            <w:r>
              <w:t>No report</w:t>
            </w:r>
            <w:r w:rsidR="001A3D52">
              <w:t>.</w:t>
            </w:r>
          </w:p>
        </w:tc>
      </w:tr>
      <w:tr w:rsidR="00DA352E" w:rsidRPr="00DA352E" w14:paraId="66F5A866" w14:textId="77777777" w:rsidTr="0026079D">
        <w:trPr>
          <w:gridAfter w:val="1"/>
          <w:wAfter w:w="8" w:type="pct"/>
        </w:trPr>
        <w:tc>
          <w:tcPr>
            <w:tcW w:w="4992" w:type="pct"/>
            <w:shd w:val="clear" w:color="auto" w:fill="F2F2F2" w:themeFill="background1" w:themeFillShade="F2"/>
          </w:tcPr>
          <w:p w14:paraId="231B3CBB" w14:textId="4ABD26E2" w:rsidR="00DA352E" w:rsidRPr="00DA352E" w:rsidRDefault="00DA352E" w:rsidP="00EF742D">
            <w:pPr>
              <w:pStyle w:val="Tablerowheadingitalic"/>
              <w:tabs>
                <w:tab w:val="clear" w:pos="2268"/>
                <w:tab w:val="clear" w:pos="5670"/>
                <w:tab w:val="left" w:pos="1418"/>
                <w:tab w:val="left" w:pos="2552"/>
              </w:tabs>
              <w:spacing w:before="60" w:after="60"/>
            </w:pPr>
            <w:r w:rsidRPr="00DA352E">
              <w:t>HCOTN</w:t>
            </w:r>
            <w:r w:rsidR="00916EC0" w:rsidRPr="003365A5">
              <w:t xml:space="preserve"> </w:t>
            </w:r>
            <w:r w:rsidR="00916EC0" w:rsidRPr="003365A5">
              <w:tab/>
            </w:r>
            <w:sdt>
              <w:sdtPr>
                <w:id w:val="1543090908"/>
                <w:placeholder>
                  <w:docPart w:val="EA1708404F1C4A3BB080A0D8EEB67D1D"/>
                </w:placeholder>
                <w:text/>
              </w:sdtPr>
              <w:sdtEndPr/>
              <w:sdtContent>
                <w:r w:rsidR="00FA714B">
                  <w:t>2005</w:t>
                </w:r>
              </w:sdtContent>
            </w:sdt>
            <w:r w:rsidR="00916EC0" w:rsidRPr="003365A5">
              <w:tab/>
            </w:r>
            <w:r w:rsidR="0051509C">
              <w:tab/>
            </w:r>
            <w:sdt>
              <w:sdtPr>
                <w:alias w:val="HCOTN WES equivalent"/>
                <w:tag w:val="HCOTN WES equivalent"/>
                <w:id w:val="1471562734"/>
                <w:placeholder>
                  <w:docPart w:val="F3D4204BA37A4A21A656C76DA4274412"/>
                </w:placeholder>
              </w:sdtPr>
              <w:sdtEndPr/>
              <w:sdtContent>
                <w:r w:rsidR="00E35293">
                  <w:t>TWA</w:t>
                </w:r>
                <w:r w:rsidR="00FA714B">
                  <w:t>: 0.05 ppm (0.5 mg/m</w:t>
                </w:r>
                <w:r w:rsidR="00FA714B" w:rsidRPr="00FA714B">
                  <w:rPr>
                    <w:vertAlign w:val="superscript"/>
                  </w:rPr>
                  <w:t>3</w:t>
                </w:r>
                <w:r w:rsidR="00FA714B">
                  <w:t>)</w:t>
                </w:r>
              </w:sdtContent>
            </w:sdt>
          </w:p>
        </w:tc>
      </w:tr>
      <w:tr w:rsidR="00DA352E" w:rsidRPr="00DA352E" w14:paraId="30E2FC42" w14:textId="77777777" w:rsidTr="0026079D">
        <w:trPr>
          <w:gridAfter w:val="1"/>
          <w:wAfter w:w="8" w:type="pct"/>
        </w:trPr>
        <w:tc>
          <w:tcPr>
            <w:tcW w:w="4992" w:type="pct"/>
          </w:tcPr>
          <w:p w14:paraId="16F59C3D" w14:textId="77777777" w:rsidR="00DA352E" w:rsidRDefault="00984B21" w:rsidP="001A3D52">
            <w:pPr>
              <w:pStyle w:val="Tabletextprimarysource"/>
            </w:pPr>
            <w:r>
              <w:t>Summary of additional data:</w:t>
            </w:r>
          </w:p>
          <w:p w14:paraId="28071A81" w14:textId="544942B4" w:rsidR="002A34BF" w:rsidRDefault="00984B21" w:rsidP="001A3D52">
            <w:pPr>
              <w:pStyle w:val="Tabletextprimarysource"/>
            </w:pPr>
            <w:r>
              <w:t xml:space="preserve">Vasodilation </w:t>
            </w:r>
            <w:r w:rsidR="00F20699">
              <w:t xml:space="preserve">causing headache and decreased blood pressure </w:t>
            </w:r>
            <w:r>
              <w:t>considered critical effect</w:t>
            </w:r>
            <w:r w:rsidR="0025448B">
              <w:t xml:space="preserve">; </w:t>
            </w:r>
            <w:r w:rsidR="002A34BF">
              <w:t xml:space="preserve">is more sensitive than </w:t>
            </w:r>
            <w:r w:rsidR="00F20699">
              <w:t>carcinogenic</w:t>
            </w:r>
            <w:r w:rsidR="002A34BF">
              <w:t xml:space="preserve"> endpoint reported in rats at </w:t>
            </w:r>
            <w:r w:rsidR="0025448B">
              <w:t xml:space="preserve">higher </w:t>
            </w:r>
            <w:r w:rsidR="002A34BF">
              <w:t>concentrations (also cited in DFG, 2011; and SCOEL, 2011).</w:t>
            </w:r>
            <w:r w:rsidR="00F20699">
              <w:t xml:space="preserve"> </w:t>
            </w:r>
          </w:p>
          <w:p w14:paraId="2CE980C9" w14:textId="35F60443" w:rsidR="005E79FA" w:rsidRDefault="005E79FA" w:rsidP="001A3D52">
            <w:pPr>
              <w:pStyle w:val="Tabletextprimarysource"/>
            </w:pPr>
            <w:r>
              <w:t>Current administrative OEL considered too high to protect for adverse cardiovascular effects; health-based recommended OEL (HBROEL) derived from NOAEL of 0.1 mg/m</w:t>
            </w:r>
            <w:r>
              <w:rPr>
                <w:vertAlign w:val="superscript"/>
              </w:rPr>
              <w:t>3</w:t>
            </w:r>
            <w:r>
              <w:t xml:space="preserve"> (0.01 ppm) for headaches and irritation in exposed workers with a corresponding LOAEL of 0.3 mg/m</w:t>
            </w:r>
            <w:r>
              <w:rPr>
                <w:vertAlign w:val="superscript"/>
              </w:rPr>
              <w:t>3</w:t>
            </w:r>
            <w:r>
              <w:t xml:space="preserve"> (0.03 ppm). A factor of 2 is applied to the NOAEL to account for the small difference between the NOAEL and LOAEL to arrive at the proposed HBROEL of 0.05 mg/m</w:t>
            </w:r>
            <w:r>
              <w:rPr>
                <w:vertAlign w:val="superscript"/>
              </w:rPr>
              <w:t>3</w:t>
            </w:r>
            <w:r>
              <w:t xml:space="preserve"> (0.006 ppm). Due to the rapid onset of headaches at peak exposures, the proposed HBROEL is a 15</w:t>
            </w:r>
            <w:r w:rsidR="001A3D52">
              <w:t xml:space="preserve"> </w:t>
            </w:r>
            <w:r>
              <w:t>min STEL.</w:t>
            </w:r>
          </w:p>
          <w:p w14:paraId="0AE2AFFD" w14:textId="0B966B48" w:rsidR="005E79FA" w:rsidRDefault="005E79FA" w:rsidP="001A3D52">
            <w:pPr>
              <w:pStyle w:val="Tabletextprimarysource"/>
            </w:pPr>
            <w:r>
              <w:t xml:space="preserve">A skin notation is recommended based on </w:t>
            </w:r>
            <w:r w:rsidR="009C5142">
              <w:t>evidence for significantly increased body burden resulting from dermal exposure.</w:t>
            </w:r>
          </w:p>
          <w:p w14:paraId="6759FE94" w14:textId="2D2F4D51" w:rsidR="00984B21" w:rsidRDefault="00984B21" w:rsidP="001A3D52">
            <w:pPr>
              <w:pStyle w:val="Tabletextprimarysource"/>
            </w:pPr>
            <w:r>
              <w:t>Human data:</w:t>
            </w:r>
          </w:p>
          <w:p w14:paraId="3BB23ED6" w14:textId="13BD4BBB" w:rsidR="00984B21" w:rsidRDefault="00984B21" w:rsidP="001A3D52">
            <w:pPr>
              <w:pStyle w:val="Tabletextprimarysource"/>
              <w:numPr>
                <w:ilvl w:val="0"/>
                <w:numId w:val="1"/>
              </w:numPr>
            </w:pPr>
            <w:r>
              <w:t>Bioavailability of dermal doses from medical transdermal patches is 68–76%</w:t>
            </w:r>
            <w:r w:rsidR="004669EC">
              <w:t>:</w:t>
            </w:r>
          </w:p>
          <w:p w14:paraId="2EBE30CE" w14:textId="0C1C7C55" w:rsidR="00633907" w:rsidRDefault="00984B21" w:rsidP="00A634B3">
            <w:pPr>
              <w:pStyle w:val="Tabletextprimarysource"/>
              <w:numPr>
                <w:ilvl w:val="1"/>
                <w:numId w:val="1"/>
              </w:numPr>
              <w:ind w:left="1094" w:hanging="357"/>
            </w:pPr>
            <w:r>
              <w:t xml:space="preserve">blood </w:t>
            </w:r>
            <w:r w:rsidR="00CE5D6C">
              <w:t>t</w:t>
            </w:r>
            <w:r w:rsidR="00CE5D6C">
              <w:rPr>
                <w:vertAlign w:val="subscript"/>
              </w:rPr>
              <w:t>1/</w:t>
            </w:r>
            <w:r w:rsidR="00CE5D6C" w:rsidRPr="00CE5D6C">
              <w:rPr>
                <w:vertAlign w:val="subscript"/>
              </w:rPr>
              <w:t>2</w:t>
            </w:r>
            <w:r w:rsidR="00CE5D6C">
              <w:t>:</w:t>
            </w:r>
            <w:r w:rsidR="00633907">
              <w:t xml:space="preserve"> 5–30 min</w:t>
            </w:r>
            <w:r w:rsidR="004669EC">
              <w:t>.</w:t>
            </w:r>
          </w:p>
          <w:p w14:paraId="163CB9A0" w14:textId="77777777" w:rsidR="00984B21" w:rsidRDefault="00984B21" w:rsidP="001A3D52">
            <w:pPr>
              <w:pStyle w:val="Tabletextprimarysource"/>
            </w:pPr>
            <w:r>
              <w:t>Animal data:</w:t>
            </w:r>
          </w:p>
          <w:p w14:paraId="2827DEC3" w14:textId="30ABAF06" w:rsidR="00984B21" w:rsidRDefault="002A34BF" w:rsidP="001A3D52">
            <w:pPr>
              <w:pStyle w:val="Tabletextprimarysource"/>
              <w:numPr>
                <w:ilvl w:val="0"/>
                <w:numId w:val="1"/>
              </w:numPr>
            </w:pPr>
            <w:r>
              <w:t>D</w:t>
            </w:r>
            <w:r w:rsidR="00984B21">
              <w:t>ermal absorption rate: 0.6–0.9 mg/cm</w:t>
            </w:r>
            <w:r w:rsidR="00984B21">
              <w:rPr>
                <w:vertAlign w:val="superscript"/>
              </w:rPr>
              <w:t>2</w:t>
            </w:r>
            <w:r w:rsidR="00984B21">
              <w:t>/h (rats)</w:t>
            </w:r>
          </w:p>
          <w:p w14:paraId="7769A24E" w14:textId="77777777" w:rsidR="002A34BF" w:rsidRDefault="002A34BF" w:rsidP="001A3D52">
            <w:pPr>
              <w:pStyle w:val="Tabletextprimarysource"/>
              <w:numPr>
                <w:ilvl w:val="0"/>
                <w:numId w:val="1"/>
              </w:numPr>
            </w:pPr>
            <w:r>
              <w:t>Available genotoxicity data are insufficient for conclusive assessment; mutagenic mechanism of action for carcinogenicity in chronically fed rats therefore not dismissed</w:t>
            </w:r>
            <w:r w:rsidR="001A3D52">
              <w:t>.</w:t>
            </w:r>
          </w:p>
          <w:p w14:paraId="794A426B" w14:textId="390B091E" w:rsidR="004669EC" w:rsidRPr="00DA352E" w:rsidRDefault="004669EC" w:rsidP="00A634B3">
            <w:pPr>
              <w:pStyle w:val="Tabletextprimarysource"/>
            </w:pPr>
          </w:p>
        </w:tc>
      </w:tr>
    </w:tbl>
    <w:p w14:paraId="0EF42D59" w14:textId="77777777" w:rsidR="00A20751" w:rsidRPr="004C23F4" w:rsidRDefault="00A20751" w:rsidP="003365A5">
      <w:pPr>
        <w:pStyle w:val="Heading3"/>
      </w:pPr>
      <w:bookmarkStart w:id="0" w:name="SecondSource"/>
      <w:r w:rsidRPr="004C23F4">
        <w:t xml:space="preserve">Secondary </w:t>
      </w:r>
      <w:r w:rsidR="0088798F">
        <w:t xml:space="preserve">source reports relied upon </w:t>
      </w:r>
    </w:p>
    <w:tbl>
      <w:tblPr>
        <w:tblStyle w:val="LightList"/>
        <w:tblW w:w="0" w:type="auto"/>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ook w:val="0620" w:firstRow="1" w:lastRow="0" w:firstColumn="0" w:lastColumn="0" w:noHBand="1" w:noVBand="1"/>
        <w:tblCaption w:val="Table"/>
        <w:tblDescription w:val="Listing secondary sources with reports"/>
      </w:tblPr>
      <w:tblGrid>
        <w:gridCol w:w="1459"/>
        <w:gridCol w:w="419"/>
        <w:gridCol w:w="917"/>
        <w:gridCol w:w="6231"/>
      </w:tblGrid>
      <w:tr w:rsidR="004966BF" w:rsidRPr="0026079D" w14:paraId="60FC770B" w14:textId="77777777" w:rsidTr="0026079D">
        <w:trPr>
          <w:cnfStyle w:val="100000000000" w:firstRow="1" w:lastRow="0" w:firstColumn="0" w:lastColumn="0" w:oddVBand="0" w:evenVBand="0" w:oddHBand="0" w:evenHBand="0" w:firstRowFirstColumn="0" w:firstRowLastColumn="0" w:lastRowFirstColumn="0" w:lastRowLastColumn="0"/>
          <w:cantSplit/>
          <w:trHeight w:val="393"/>
          <w:tblHeader/>
        </w:trPr>
        <w:tc>
          <w:tcPr>
            <w:tcW w:w="1459" w:type="dxa"/>
            <w:shd w:val="clear" w:color="auto" w:fill="BFBFBF" w:themeFill="background1" w:themeFillShade="BF"/>
            <w:vAlign w:val="center"/>
          </w:tcPr>
          <w:p w14:paraId="487C59BE" w14:textId="77777777" w:rsidR="004966BF" w:rsidRPr="0026079D" w:rsidRDefault="004966BF" w:rsidP="00263255">
            <w:pPr>
              <w:pStyle w:val="Tableheader"/>
              <w:rPr>
                <w:b/>
              </w:rPr>
            </w:pPr>
            <w:r w:rsidRPr="0026079D">
              <w:rPr>
                <w:b/>
              </w:rPr>
              <w:t>Source</w:t>
            </w:r>
          </w:p>
        </w:tc>
        <w:tc>
          <w:tcPr>
            <w:tcW w:w="419" w:type="dxa"/>
            <w:shd w:val="clear" w:color="auto" w:fill="BFBFBF" w:themeFill="background1" w:themeFillShade="BF"/>
            <w:vAlign w:val="center"/>
          </w:tcPr>
          <w:p w14:paraId="658BA084" w14:textId="77777777" w:rsidR="004966BF" w:rsidRPr="0026079D" w:rsidRDefault="004966BF" w:rsidP="00263255">
            <w:pPr>
              <w:pStyle w:val="Tableheader"/>
              <w:rPr>
                <w:b/>
              </w:rPr>
            </w:pPr>
          </w:p>
        </w:tc>
        <w:tc>
          <w:tcPr>
            <w:tcW w:w="917" w:type="dxa"/>
            <w:shd w:val="clear" w:color="auto" w:fill="BFBFBF" w:themeFill="background1" w:themeFillShade="BF"/>
            <w:vAlign w:val="center"/>
          </w:tcPr>
          <w:p w14:paraId="3899E7A2" w14:textId="77777777" w:rsidR="004966BF" w:rsidRPr="0026079D" w:rsidRDefault="004966BF" w:rsidP="00263255">
            <w:pPr>
              <w:pStyle w:val="Tableheader"/>
              <w:rPr>
                <w:b/>
              </w:rPr>
            </w:pPr>
            <w:r w:rsidRPr="0026079D">
              <w:rPr>
                <w:b/>
              </w:rPr>
              <w:t>Year</w:t>
            </w:r>
          </w:p>
        </w:tc>
        <w:tc>
          <w:tcPr>
            <w:tcW w:w="6231" w:type="dxa"/>
            <w:shd w:val="clear" w:color="auto" w:fill="BFBFBF" w:themeFill="background1" w:themeFillShade="BF"/>
            <w:vAlign w:val="center"/>
          </w:tcPr>
          <w:p w14:paraId="0357F91D" w14:textId="77777777" w:rsidR="004966BF" w:rsidRPr="0026079D" w:rsidRDefault="004966BF" w:rsidP="00263255">
            <w:pPr>
              <w:pStyle w:val="Tableheader"/>
              <w:rPr>
                <w:b/>
              </w:rPr>
            </w:pPr>
            <w:r w:rsidRPr="0026079D">
              <w:rPr>
                <w:b/>
              </w:rPr>
              <w:t>Additional information</w:t>
            </w:r>
          </w:p>
        </w:tc>
      </w:tr>
      <w:tr w:rsidR="004966BF" w:rsidRPr="004C23F4" w14:paraId="6B46BE1E" w14:textId="77777777" w:rsidTr="0026079D">
        <w:trPr>
          <w:cantSplit/>
        </w:trPr>
        <w:tc>
          <w:tcPr>
            <w:tcW w:w="1459" w:type="dxa"/>
          </w:tcPr>
          <w:p w14:paraId="722686E0" w14:textId="77777777" w:rsidR="004966BF" w:rsidRPr="004C23F4" w:rsidRDefault="004966BF" w:rsidP="00224EE2">
            <w:pPr>
              <w:pStyle w:val="Tablefont"/>
            </w:pPr>
            <w:r>
              <w:t>NICNAS</w:t>
            </w:r>
          </w:p>
        </w:tc>
        <w:tc>
          <w:tcPr>
            <w:tcW w:w="419" w:type="dxa"/>
          </w:tcPr>
          <w:p w14:paraId="4B114725" w14:textId="45DCE2DD" w:rsidR="004966BF" w:rsidRPr="00CE617F" w:rsidRDefault="0026079D" w:rsidP="00AB43C4">
            <w:pPr>
              <w:spacing w:before="40"/>
              <w:jc w:val="center"/>
              <w:rPr>
                <w:rStyle w:val="checkbox"/>
              </w:rPr>
            </w:pPr>
            <w:sdt>
              <w:sdtPr>
                <w:rPr>
                  <w:rStyle w:val="checkbox"/>
                </w:rPr>
                <w:id w:val="1234131032"/>
                <w:placeholder>
                  <w:docPart w:val="C2B44F29000D47BD8588D2D5E8DFA6C8"/>
                </w:placeholder>
                <w:dropDownList>
                  <w:listItem w:displayText="" w:value=""/>
                  <w:listItem w:displayText="" w:value=""/>
                  <w:listItem w:displayText="" w:value=""/>
                </w:dropDownList>
              </w:sdtPr>
              <w:sdtEndPr>
                <w:rPr>
                  <w:rStyle w:val="checkbox"/>
                </w:rPr>
              </w:sdtEndPr>
              <w:sdtContent>
                <w:r w:rsidR="006B39AC">
                  <w:rPr>
                    <w:rStyle w:val="checkbox"/>
                  </w:rPr>
                  <w:t></w:t>
                </w:r>
              </w:sdtContent>
            </w:sdt>
          </w:p>
        </w:tc>
        <w:tc>
          <w:tcPr>
            <w:tcW w:w="917" w:type="dxa"/>
          </w:tcPr>
          <w:p w14:paraId="70E3355F" w14:textId="5B7F2EB7" w:rsidR="004966BF" w:rsidRPr="004C23F4" w:rsidRDefault="006B39AC" w:rsidP="00717D45">
            <w:pPr>
              <w:pStyle w:val="Tablefont"/>
              <w:rPr>
                <w:rStyle w:val="checkbox"/>
                <w:rFonts w:ascii="Arial" w:hAnsi="Arial" w:cs="Arial"/>
              </w:rPr>
            </w:pPr>
            <w:r>
              <w:rPr>
                <w:rStyle w:val="checkbox"/>
                <w:rFonts w:ascii="Arial" w:hAnsi="Arial" w:cs="Arial"/>
              </w:rPr>
              <w:t>2017</w:t>
            </w:r>
          </w:p>
        </w:tc>
        <w:tc>
          <w:tcPr>
            <w:tcW w:w="6231" w:type="dxa"/>
          </w:tcPr>
          <w:p w14:paraId="5F3B52D9" w14:textId="219142D3" w:rsidR="004966BF" w:rsidRDefault="009C5142" w:rsidP="00A634B3">
            <w:pPr>
              <w:pStyle w:val="Tablefont"/>
              <w:numPr>
                <w:ilvl w:val="0"/>
                <w:numId w:val="1"/>
              </w:numPr>
              <w:spacing w:before="60" w:after="60"/>
              <w:ind w:left="714" w:hanging="357"/>
              <w:rPr>
                <w:rStyle w:val="checkbox"/>
                <w:rFonts w:ascii="Arial" w:hAnsi="Arial" w:cs="Arial"/>
              </w:rPr>
            </w:pPr>
            <w:r>
              <w:rPr>
                <w:rStyle w:val="checkbox"/>
                <w:rFonts w:ascii="Arial" w:hAnsi="Arial" w:cs="Arial"/>
              </w:rPr>
              <w:t>Allergic contact dermatitis reported in humans following application as ointment or transdermal patch</w:t>
            </w:r>
            <w:r w:rsidR="004669EC">
              <w:rPr>
                <w:rStyle w:val="checkbox"/>
                <w:rFonts w:ascii="Arial" w:hAnsi="Arial" w:cs="Arial"/>
              </w:rPr>
              <w:t>:</w:t>
            </w:r>
          </w:p>
          <w:p w14:paraId="52761284" w14:textId="6B677F18" w:rsidR="00EF742D" w:rsidRPr="00EF742D" w:rsidRDefault="009C5142" w:rsidP="00A634B3">
            <w:pPr>
              <w:pStyle w:val="Tabletextprimarysource"/>
              <w:numPr>
                <w:ilvl w:val="1"/>
                <w:numId w:val="1"/>
              </w:numPr>
              <w:ind w:left="1094" w:hanging="357"/>
              <w:rPr>
                <w:rStyle w:val="checkbox"/>
                <w:rFonts w:ascii="Arial" w:hAnsi="Arial" w:cs="Arial"/>
                <w:lang w:eastAsia="en-AU"/>
              </w:rPr>
            </w:pPr>
            <w:r w:rsidRPr="00EF742D">
              <w:t>sensitising</w:t>
            </w:r>
            <w:r>
              <w:rPr>
                <w:rStyle w:val="checkbox"/>
                <w:rFonts w:ascii="Arial" w:hAnsi="Arial" w:cs="Arial"/>
              </w:rPr>
              <w:t xml:space="preserve"> in humans at 0.01% (no further details)</w:t>
            </w:r>
          </w:p>
          <w:p w14:paraId="74BB59B8" w14:textId="340E94B5" w:rsidR="00EF742D" w:rsidRDefault="00EF742D" w:rsidP="00A634B3">
            <w:pPr>
              <w:pStyle w:val="Tablefont"/>
              <w:numPr>
                <w:ilvl w:val="0"/>
                <w:numId w:val="1"/>
              </w:numPr>
              <w:spacing w:before="60" w:after="60"/>
              <w:ind w:left="714" w:hanging="357"/>
              <w:rPr>
                <w:rStyle w:val="checkbox"/>
                <w:rFonts w:ascii="Arial" w:hAnsi="Arial" w:cs="Arial"/>
                <w:lang w:eastAsia="en-US"/>
              </w:rPr>
            </w:pPr>
            <w:r>
              <w:rPr>
                <w:rFonts w:cs="Arial"/>
                <w:color w:val="262626"/>
              </w:rPr>
              <w:t>4/10 guinea pigs exposed to 3.41 % in peanut oil, for the induction and challenge test phases developed signs consistent with sensitisation</w:t>
            </w:r>
          </w:p>
          <w:p w14:paraId="0D554E43" w14:textId="4A6D2956" w:rsidR="009C5142" w:rsidRDefault="009C5142" w:rsidP="00A634B3">
            <w:pPr>
              <w:pStyle w:val="Tablefont"/>
              <w:numPr>
                <w:ilvl w:val="0"/>
                <w:numId w:val="1"/>
              </w:numPr>
              <w:spacing w:before="60" w:after="60"/>
              <w:ind w:left="714" w:hanging="357"/>
              <w:rPr>
                <w:rStyle w:val="checkbox"/>
                <w:rFonts w:ascii="Arial" w:hAnsi="Arial" w:cs="Arial"/>
              </w:rPr>
            </w:pPr>
            <w:r>
              <w:rPr>
                <w:rStyle w:val="checkbox"/>
                <w:rFonts w:ascii="Arial" w:hAnsi="Arial" w:cs="Arial"/>
              </w:rPr>
              <w:t>LD</w:t>
            </w:r>
            <w:r>
              <w:rPr>
                <w:rStyle w:val="checkbox"/>
                <w:rFonts w:ascii="Arial" w:hAnsi="Arial" w:cs="Arial"/>
                <w:vertAlign w:val="subscript"/>
              </w:rPr>
              <w:t>50</w:t>
            </w:r>
            <w:r w:rsidR="00EF742D">
              <w:rPr>
                <w:rStyle w:val="checkbox"/>
                <w:rFonts w:ascii="Arial" w:hAnsi="Arial" w:cs="Arial"/>
              </w:rPr>
              <w:t>:</w:t>
            </w:r>
            <w:r>
              <w:rPr>
                <w:rStyle w:val="checkbox"/>
                <w:rFonts w:ascii="Arial" w:hAnsi="Arial" w:cs="Arial"/>
              </w:rPr>
              <w:t xml:space="preserve"> &gt;9,560 mg/kg (rats</w:t>
            </w:r>
            <w:r w:rsidR="00EF742D">
              <w:rPr>
                <w:rStyle w:val="checkbox"/>
                <w:rFonts w:ascii="Arial" w:hAnsi="Arial" w:cs="Arial"/>
              </w:rPr>
              <w:t>, dermal</w:t>
            </w:r>
            <w:r>
              <w:rPr>
                <w:rStyle w:val="checkbox"/>
                <w:rFonts w:ascii="Arial" w:hAnsi="Arial" w:cs="Arial"/>
              </w:rPr>
              <w:t>)</w:t>
            </w:r>
            <w:r w:rsidR="004669EC">
              <w:rPr>
                <w:rStyle w:val="checkbox"/>
                <w:rFonts w:ascii="Arial" w:hAnsi="Arial" w:cs="Arial"/>
              </w:rPr>
              <w:t>:</w:t>
            </w:r>
          </w:p>
          <w:p w14:paraId="5DA9C594" w14:textId="620FBE09" w:rsidR="009C5142" w:rsidRDefault="006B39AC" w:rsidP="00A634B3">
            <w:pPr>
              <w:pStyle w:val="Tabletextprimarysource"/>
              <w:numPr>
                <w:ilvl w:val="1"/>
                <w:numId w:val="1"/>
              </w:numPr>
              <w:ind w:left="1094" w:hanging="357"/>
              <w:rPr>
                <w:rFonts w:cs="Arial"/>
              </w:rPr>
            </w:pPr>
            <w:r>
              <w:rPr>
                <w:rFonts w:cs="Arial"/>
              </w:rPr>
              <w:t>available data</w:t>
            </w:r>
            <w:r w:rsidRPr="006B39AC">
              <w:rPr>
                <w:rFonts w:cs="Arial"/>
              </w:rPr>
              <w:t xml:space="preserve"> support an amendment to the</w:t>
            </w:r>
            <w:r>
              <w:rPr>
                <w:rFonts w:cs="Arial"/>
              </w:rPr>
              <w:t xml:space="preserve"> ‘fatal in contact with skin’ </w:t>
            </w:r>
            <w:r w:rsidRPr="006B39AC">
              <w:rPr>
                <w:rFonts w:cs="Arial"/>
              </w:rPr>
              <w:t>classification in the HCIS</w:t>
            </w:r>
            <w:r>
              <w:rPr>
                <w:rFonts w:cs="Arial"/>
              </w:rPr>
              <w:t xml:space="preserve"> databas</w:t>
            </w:r>
            <w:r w:rsidR="004669EC">
              <w:rPr>
                <w:rFonts w:cs="Arial"/>
              </w:rPr>
              <w:t>e</w:t>
            </w:r>
          </w:p>
          <w:p w14:paraId="57838308" w14:textId="2096F19B" w:rsidR="00EF742D" w:rsidRPr="00A634B3" w:rsidRDefault="009F343C" w:rsidP="00A634B3">
            <w:pPr>
              <w:pStyle w:val="Tablefont"/>
              <w:numPr>
                <w:ilvl w:val="0"/>
                <w:numId w:val="1"/>
              </w:numPr>
              <w:spacing w:before="60" w:after="60"/>
              <w:ind w:left="714" w:hanging="357"/>
              <w:rPr>
                <w:rStyle w:val="checkbox"/>
                <w:rFonts w:ascii="Arial" w:hAnsi="Arial" w:cs="Arial"/>
              </w:rPr>
            </w:pPr>
            <w:r>
              <w:rPr>
                <w:rFonts w:cs="Arial"/>
                <w:color w:val="262626"/>
              </w:rPr>
              <w:t>Isolated</w:t>
            </w:r>
            <w:r w:rsidR="00032351" w:rsidRPr="009F343C">
              <w:rPr>
                <w:rFonts w:cs="Arial"/>
                <w:color w:val="262626"/>
              </w:rPr>
              <w:t xml:space="preserve"> </w:t>
            </w:r>
            <w:r>
              <w:rPr>
                <w:rFonts w:cs="Arial"/>
                <w:color w:val="262626"/>
              </w:rPr>
              <w:t xml:space="preserve">positive </w:t>
            </w:r>
            <w:r w:rsidR="00032351" w:rsidRPr="009F343C">
              <w:rPr>
                <w:rFonts w:cs="Arial"/>
                <w:i/>
                <w:color w:val="262626"/>
              </w:rPr>
              <w:t>in</w:t>
            </w:r>
            <w:r w:rsidR="00032351" w:rsidRPr="009F343C">
              <w:rPr>
                <w:rFonts w:cs="Arial"/>
                <w:color w:val="262626"/>
              </w:rPr>
              <w:t xml:space="preserve"> </w:t>
            </w:r>
            <w:r w:rsidR="00032351" w:rsidRPr="009F343C">
              <w:rPr>
                <w:rFonts w:cs="Arial"/>
                <w:i/>
                <w:color w:val="262626"/>
              </w:rPr>
              <w:t>vitro</w:t>
            </w:r>
            <w:r w:rsidR="00032351" w:rsidRPr="009F343C">
              <w:rPr>
                <w:rFonts w:cs="Arial"/>
                <w:color w:val="262626"/>
              </w:rPr>
              <w:t xml:space="preserve"> genotoxicity </w:t>
            </w:r>
            <w:r>
              <w:rPr>
                <w:rFonts w:cs="Arial"/>
                <w:color w:val="262626"/>
              </w:rPr>
              <w:t xml:space="preserve">test result not affirmed in a standardised </w:t>
            </w:r>
            <w:r>
              <w:rPr>
                <w:rFonts w:cs="Arial"/>
                <w:i/>
                <w:color w:val="262626"/>
              </w:rPr>
              <w:t xml:space="preserve">in vivo </w:t>
            </w:r>
            <w:r>
              <w:rPr>
                <w:rFonts w:cs="Arial"/>
                <w:color w:val="262626"/>
              </w:rPr>
              <w:t xml:space="preserve">test at 59 or 229 mg/kg/d in repeat feeding chromosomal aberration study (rats, 4–13 </w:t>
            </w:r>
            <w:proofErr w:type="spellStart"/>
            <w:r>
              <w:rPr>
                <w:rFonts w:cs="Arial"/>
                <w:color w:val="262626"/>
              </w:rPr>
              <w:t>wk</w:t>
            </w:r>
            <w:proofErr w:type="spellEnd"/>
            <w:r>
              <w:rPr>
                <w:rFonts w:cs="Arial"/>
                <w:color w:val="262626"/>
              </w:rPr>
              <w:t>)</w:t>
            </w:r>
            <w:r w:rsidR="004669EC">
              <w:rPr>
                <w:rFonts w:cs="Arial"/>
                <w:color w:val="262626"/>
              </w:rPr>
              <w:t>.</w:t>
            </w:r>
          </w:p>
        </w:tc>
        <w:bookmarkStart w:id="1" w:name="_GoBack"/>
        <w:bookmarkEnd w:id="1"/>
      </w:tr>
      <w:tr w:rsidR="004966BF" w:rsidRPr="004C23F4" w14:paraId="752D7925" w14:textId="77777777" w:rsidTr="0026079D">
        <w:trPr>
          <w:cantSplit/>
        </w:trPr>
        <w:tc>
          <w:tcPr>
            <w:tcW w:w="1459" w:type="dxa"/>
          </w:tcPr>
          <w:p w14:paraId="2EE24625" w14:textId="77777777" w:rsidR="004966BF" w:rsidRDefault="004966BF" w:rsidP="00224EE2">
            <w:pPr>
              <w:pStyle w:val="Tablefont"/>
            </w:pPr>
            <w:r>
              <w:lastRenderedPageBreak/>
              <w:t>US NIOSH</w:t>
            </w:r>
          </w:p>
        </w:tc>
        <w:tc>
          <w:tcPr>
            <w:tcW w:w="419" w:type="dxa"/>
          </w:tcPr>
          <w:p w14:paraId="39A9CC50" w14:textId="574CDDD0" w:rsidR="004966BF" w:rsidRDefault="0026079D" w:rsidP="00AB43C4">
            <w:pPr>
              <w:spacing w:before="40"/>
              <w:jc w:val="center"/>
              <w:rPr>
                <w:rStyle w:val="checkbox"/>
              </w:rPr>
            </w:pPr>
            <w:sdt>
              <w:sdtPr>
                <w:rPr>
                  <w:rStyle w:val="checkbox"/>
                </w:rPr>
                <w:id w:val="-1814863282"/>
                <w:placeholder>
                  <w:docPart w:val="EA51C8540A4D4F0A9062F5B1698DCBB0"/>
                </w:placeholder>
                <w:dropDownList>
                  <w:listItem w:displayText="" w:value=""/>
                  <w:listItem w:displayText="" w:value=""/>
                  <w:listItem w:displayText="" w:value=""/>
                </w:dropDownList>
              </w:sdtPr>
              <w:sdtEndPr>
                <w:rPr>
                  <w:rStyle w:val="checkbox"/>
                </w:rPr>
              </w:sdtEndPr>
              <w:sdtContent>
                <w:r w:rsidR="00EB44DF">
                  <w:rPr>
                    <w:rStyle w:val="checkbox"/>
                  </w:rPr>
                  <w:t></w:t>
                </w:r>
              </w:sdtContent>
            </w:sdt>
          </w:p>
        </w:tc>
        <w:tc>
          <w:tcPr>
            <w:tcW w:w="917" w:type="dxa"/>
          </w:tcPr>
          <w:p w14:paraId="420FEEDB" w14:textId="0560FA29" w:rsidR="004966BF" w:rsidRPr="004C23F4" w:rsidRDefault="002A1F95" w:rsidP="00717D45">
            <w:pPr>
              <w:pStyle w:val="Tablefont"/>
              <w:rPr>
                <w:rStyle w:val="checkbox"/>
                <w:rFonts w:ascii="Arial" w:hAnsi="Arial" w:cs="Arial"/>
              </w:rPr>
            </w:pPr>
            <w:r>
              <w:rPr>
                <w:rStyle w:val="checkbox"/>
                <w:rFonts w:ascii="Arial" w:hAnsi="Arial" w:cs="Arial"/>
              </w:rPr>
              <w:t>2011</w:t>
            </w:r>
          </w:p>
        </w:tc>
        <w:tc>
          <w:tcPr>
            <w:tcW w:w="6231" w:type="dxa"/>
          </w:tcPr>
          <w:p w14:paraId="37D0A25A" w14:textId="2FB76441" w:rsidR="00032351" w:rsidRDefault="00032351" w:rsidP="00A634B3">
            <w:pPr>
              <w:pStyle w:val="Tablefont"/>
              <w:numPr>
                <w:ilvl w:val="0"/>
                <w:numId w:val="1"/>
              </w:numPr>
              <w:spacing w:before="60" w:after="60"/>
              <w:ind w:left="714" w:hanging="357"/>
              <w:rPr>
                <w:rFonts w:cs="Arial"/>
              </w:rPr>
            </w:pPr>
            <w:r>
              <w:rPr>
                <w:rFonts w:cs="Arial"/>
              </w:rPr>
              <w:t>Evidence for systemic availability following dermal absorption in animals and humans; systemic uptake causes cardiovascular changes, which can be fatal</w:t>
            </w:r>
            <w:r w:rsidR="004669EC">
              <w:rPr>
                <w:rFonts w:cs="Arial"/>
              </w:rPr>
              <w:t>:</w:t>
            </w:r>
          </w:p>
          <w:p w14:paraId="73BA6165" w14:textId="40C18D7C" w:rsidR="00032351" w:rsidRDefault="00032351" w:rsidP="00A634B3">
            <w:pPr>
              <w:pStyle w:val="Tabletextprimarysource"/>
              <w:numPr>
                <w:ilvl w:val="1"/>
                <w:numId w:val="1"/>
              </w:numPr>
              <w:ind w:left="1094" w:hanging="357"/>
              <w:rPr>
                <w:rFonts w:cs="Arial"/>
              </w:rPr>
            </w:pPr>
            <w:r>
              <w:rPr>
                <w:rFonts w:cs="Arial"/>
              </w:rPr>
              <w:t>tolerance gained from chronic exposure and abrupt cessation can cause lethal cardiovascular symptoms upon re-</w:t>
            </w:r>
            <w:r w:rsidRPr="001A3D52">
              <w:t>exposure</w:t>
            </w:r>
            <w:r>
              <w:rPr>
                <w:rFonts w:cs="Arial"/>
              </w:rPr>
              <w:t xml:space="preserve"> in workers</w:t>
            </w:r>
          </w:p>
          <w:p w14:paraId="3C0B3E20" w14:textId="77777777" w:rsidR="00032351" w:rsidRDefault="00032351" w:rsidP="00A634B3">
            <w:pPr>
              <w:pStyle w:val="Tablefont"/>
              <w:numPr>
                <w:ilvl w:val="0"/>
                <w:numId w:val="1"/>
              </w:numPr>
              <w:spacing w:before="60" w:after="60"/>
              <w:ind w:left="714" w:hanging="357"/>
              <w:rPr>
                <w:rFonts w:cs="Arial"/>
              </w:rPr>
            </w:pPr>
            <w:r>
              <w:rPr>
                <w:rFonts w:cs="Arial"/>
              </w:rPr>
              <w:t>H</w:t>
            </w:r>
            <w:r w:rsidR="00EB44DF" w:rsidRPr="00EB44DF">
              <w:rPr>
                <w:rFonts w:cs="Arial"/>
              </w:rPr>
              <w:t xml:space="preserve">uman patch tests and one </w:t>
            </w:r>
            <w:r>
              <w:rPr>
                <w:rFonts w:cs="Arial"/>
              </w:rPr>
              <w:t>guinea pig maximisation test</w:t>
            </w:r>
            <w:r w:rsidR="00EB44DF" w:rsidRPr="00EB44DF">
              <w:rPr>
                <w:rFonts w:cs="Arial"/>
              </w:rPr>
              <w:t xml:space="preserve"> provide limited evidence that prolonged and repeated </w:t>
            </w:r>
            <w:r>
              <w:rPr>
                <w:rFonts w:cs="Arial"/>
              </w:rPr>
              <w:t>exposure</w:t>
            </w:r>
            <w:r w:rsidR="00EB44DF" w:rsidRPr="00EB44DF">
              <w:rPr>
                <w:rFonts w:cs="Arial"/>
              </w:rPr>
              <w:t xml:space="preserve"> </w:t>
            </w:r>
            <w:r>
              <w:rPr>
                <w:rFonts w:cs="Arial"/>
              </w:rPr>
              <w:t>causes</w:t>
            </w:r>
            <w:r w:rsidR="00EB44DF" w:rsidRPr="00EB44DF">
              <w:rPr>
                <w:rFonts w:cs="Arial"/>
              </w:rPr>
              <w:t xml:space="preserve"> allergic contact de</w:t>
            </w:r>
            <w:r>
              <w:rPr>
                <w:rFonts w:cs="Arial"/>
              </w:rPr>
              <w:t>rmatitis</w:t>
            </w:r>
          </w:p>
          <w:p w14:paraId="784B2092" w14:textId="4D905955" w:rsidR="004966BF" w:rsidRPr="004C23F4" w:rsidRDefault="00032351" w:rsidP="00A634B3">
            <w:pPr>
              <w:pStyle w:val="Tablefont"/>
              <w:numPr>
                <w:ilvl w:val="0"/>
                <w:numId w:val="1"/>
              </w:numPr>
              <w:spacing w:before="60" w:after="60"/>
              <w:ind w:left="714" w:hanging="357"/>
              <w:rPr>
                <w:rStyle w:val="checkbox"/>
                <w:rFonts w:ascii="Arial" w:hAnsi="Arial" w:cs="Arial"/>
              </w:rPr>
            </w:pPr>
            <w:r>
              <w:rPr>
                <w:rFonts w:cs="Arial"/>
              </w:rPr>
              <w:t>Composite notation SK: SYS (FATAL)-DIR (IRR)-SEN assigned</w:t>
            </w:r>
            <w:r w:rsidR="001A3D52">
              <w:rPr>
                <w:rFonts w:cs="Arial"/>
              </w:rPr>
              <w:t>.</w:t>
            </w:r>
          </w:p>
        </w:tc>
      </w:tr>
    </w:tbl>
    <w:bookmarkEnd w:id="0"/>
    <w:p w14:paraId="0C8A0050" w14:textId="77777777" w:rsidR="007E2A4B" w:rsidRDefault="007E2A4B" w:rsidP="007E2A4B">
      <w:pPr>
        <w:pStyle w:val="Heading3"/>
      </w:pPr>
      <w:r>
        <w:t>Carcinogenicity — non-threshold based genotoxic carcinogens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Listing secondary sources with reports"/>
      </w:tblPr>
      <w:tblGrid>
        <w:gridCol w:w="6597"/>
        <w:gridCol w:w="2429"/>
      </w:tblGrid>
      <w:tr w:rsidR="002E0D61" w14:paraId="46997AF8" w14:textId="77777777" w:rsidTr="00032351">
        <w:trPr>
          <w:trHeight w:val="454"/>
          <w:tblHeader/>
        </w:trPr>
        <w:tc>
          <w:tcPr>
            <w:tcW w:w="6597" w:type="dxa"/>
            <w:vAlign w:val="center"/>
          </w:tcPr>
          <w:p w14:paraId="253AA5C0" w14:textId="77777777" w:rsidR="002E0D61" w:rsidRDefault="00B1422A" w:rsidP="00C3091E">
            <w:pPr>
              <w:pStyle w:val="Tablefont"/>
              <w:keepNext/>
              <w:keepLines/>
              <w:spacing w:before="40" w:after="40"/>
            </w:pPr>
            <w:bookmarkStart w:id="2" w:name="GCQuest"/>
            <w:r>
              <w:t>Is the chemical mutagenic</w:t>
            </w:r>
            <w:r w:rsidR="002E0D61">
              <w:t>?</w:t>
            </w:r>
          </w:p>
        </w:tc>
        <w:sdt>
          <w:sdtPr>
            <w:id w:val="319705052"/>
            <w:placeholder>
              <w:docPart w:val="0168237C60E6479CAFA3D9A1A8409B78"/>
            </w:placeholder>
            <w:comboBox>
              <w:listItem w:value="Choose an item."/>
              <w:listItem w:displayText="Yes" w:value="Yes"/>
              <w:listItem w:displayText="No" w:value="No"/>
              <w:listItem w:displayText="Insufficient data" w:value="Insufficient data"/>
            </w:comboBox>
          </w:sdtPr>
          <w:sdtEndPr/>
          <w:sdtContent>
            <w:tc>
              <w:tcPr>
                <w:tcW w:w="2429" w:type="dxa"/>
                <w:vAlign w:val="center"/>
              </w:tcPr>
              <w:p w14:paraId="55F5826D" w14:textId="5B60AD8D" w:rsidR="002E0D61" w:rsidRDefault="00032351" w:rsidP="00C3091E">
                <w:pPr>
                  <w:pStyle w:val="Tablefont"/>
                  <w:keepNext/>
                  <w:keepLines/>
                  <w:spacing w:before="40" w:after="40"/>
                </w:pPr>
                <w:r>
                  <w:t>No</w:t>
                </w:r>
              </w:p>
            </w:tc>
          </w:sdtContent>
        </w:sdt>
      </w:tr>
      <w:tr w:rsidR="008A36CF" w14:paraId="3EA0F854" w14:textId="77777777" w:rsidTr="00032351">
        <w:trPr>
          <w:trHeight w:val="454"/>
        </w:trPr>
        <w:sdt>
          <w:sdtPr>
            <w:rPr>
              <w:b/>
            </w:rPr>
            <w:id w:val="1830936485"/>
            <w:placeholder>
              <w:docPart w:val="CAD2D506A5824AB88D896BC2795BCEDE"/>
            </w:placeholder>
            <w:dropDownList>
              <w:listItem w:value="Choose an item."/>
              <w:listItem w:displayText="The chemical is a non-threshold based genotoxic carcinogen." w:value="The chemical is a non-threshold based genotoxic carcinogen."/>
              <w:listItem w:displayText="The chemical is not a non-threshold based genotoxic carcinogen." w:value="The chemical is not a non-threshold based genotoxic carcinogen."/>
              <w:listItem w:displayText="Insufficient data are available to determine if the chemical is a non-threshold based genotoxic carcinogen." w:value="Insufficient data are available to determine if the chemical is a non-threshold based genotoxic carcinogen."/>
            </w:dropDownList>
          </w:sdtPr>
          <w:sdtEndPr/>
          <w:sdtContent>
            <w:tc>
              <w:tcPr>
                <w:tcW w:w="6597" w:type="dxa"/>
                <w:vAlign w:val="center"/>
              </w:tcPr>
              <w:p w14:paraId="72044F7A" w14:textId="329EA13F" w:rsidR="008A36CF" w:rsidRPr="006901A2" w:rsidRDefault="00032351" w:rsidP="008A36CF">
                <w:pPr>
                  <w:pStyle w:val="Tablefont"/>
                  <w:keepNext/>
                  <w:keepLines/>
                  <w:spacing w:before="40" w:after="40"/>
                  <w:rPr>
                    <w:b/>
                  </w:rPr>
                </w:pPr>
                <w:r>
                  <w:rPr>
                    <w:b/>
                  </w:rPr>
                  <w:t>The chemical is not a non-threshold based genotoxic carcinogen.</w:t>
                </w:r>
              </w:p>
            </w:tc>
          </w:sdtContent>
        </w:sdt>
        <w:tc>
          <w:tcPr>
            <w:tcW w:w="2429" w:type="dxa"/>
            <w:vAlign w:val="center"/>
          </w:tcPr>
          <w:p w14:paraId="2A69F9CD" w14:textId="77777777" w:rsidR="008A36CF" w:rsidRDefault="008A36CF" w:rsidP="008A36CF">
            <w:pPr>
              <w:pStyle w:val="Tablefont"/>
              <w:keepNext/>
              <w:keepLines/>
              <w:spacing w:before="40" w:after="40"/>
            </w:pPr>
          </w:p>
        </w:tc>
      </w:tr>
    </w:tbl>
    <w:bookmarkEnd w:id="2"/>
    <w:p w14:paraId="5B447729" w14:textId="77777777" w:rsidR="00687890" w:rsidRPr="004C23F4" w:rsidRDefault="00B479A9" w:rsidP="00474E33">
      <w:pPr>
        <w:pStyle w:val="Heading2"/>
      </w:pPr>
      <w:r w:rsidRPr="004C23F4">
        <w:t>Notations</w:t>
      </w:r>
    </w:p>
    <w:tbl>
      <w:tblPr>
        <w:tblStyle w:val="LightList"/>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ayout w:type="fixed"/>
        <w:tblLook w:val="0620" w:firstRow="1" w:lastRow="0" w:firstColumn="0" w:lastColumn="0" w:noHBand="1" w:noVBand="1"/>
        <w:tblCaption w:val="Table"/>
        <w:tblDescription w:val="Listing notations"/>
      </w:tblPr>
      <w:tblGrid>
        <w:gridCol w:w="3153"/>
        <w:gridCol w:w="5873"/>
      </w:tblGrid>
      <w:tr w:rsidR="00687890" w:rsidRPr="0026079D" w14:paraId="596467C4" w14:textId="77777777" w:rsidTr="0026079D">
        <w:trPr>
          <w:cnfStyle w:val="100000000000" w:firstRow="1" w:lastRow="0" w:firstColumn="0" w:lastColumn="0" w:oddVBand="0" w:evenVBand="0" w:oddHBand="0" w:evenHBand="0" w:firstRowFirstColumn="0" w:firstRowLastColumn="0" w:lastRowFirstColumn="0" w:lastRowLastColumn="0"/>
          <w:cantSplit/>
          <w:tblHeader/>
        </w:trPr>
        <w:tc>
          <w:tcPr>
            <w:tcW w:w="3227" w:type="dxa"/>
            <w:shd w:val="clear" w:color="auto" w:fill="BFBFBF" w:themeFill="background1" w:themeFillShade="BF"/>
            <w:vAlign w:val="center"/>
          </w:tcPr>
          <w:p w14:paraId="6C9C48B8" w14:textId="77777777" w:rsidR="00687890" w:rsidRPr="0026079D" w:rsidRDefault="00687890" w:rsidP="00263255">
            <w:pPr>
              <w:pStyle w:val="Tableheader"/>
              <w:rPr>
                <w:b/>
              </w:rPr>
            </w:pPr>
            <w:bookmarkStart w:id="3" w:name="Notations"/>
            <w:r w:rsidRPr="0026079D">
              <w:rPr>
                <w:b/>
              </w:rPr>
              <w:t>Source</w:t>
            </w:r>
          </w:p>
        </w:tc>
        <w:tc>
          <w:tcPr>
            <w:tcW w:w="6015" w:type="dxa"/>
            <w:shd w:val="clear" w:color="auto" w:fill="BFBFBF" w:themeFill="background1" w:themeFillShade="BF"/>
            <w:vAlign w:val="center"/>
          </w:tcPr>
          <w:p w14:paraId="429E991B" w14:textId="77777777" w:rsidR="00687890" w:rsidRPr="0026079D" w:rsidRDefault="00687890" w:rsidP="00F4402E">
            <w:pPr>
              <w:pStyle w:val="Tableheader"/>
              <w:tabs>
                <w:tab w:val="right" w:pos="5272"/>
              </w:tabs>
              <w:rPr>
                <w:b/>
              </w:rPr>
            </w:pPr>
            <w:r w:rsidRPr="0026079D">
              <w:rPr>
                <w:b/>
              </w:rPr>
              <w:t>Notations</w:t>
            </w:r>
            <w:r w:rsidR="003A2B94" w:rsidRPr="0026079D">
              <w:rPr>
                <w:b/>
              </w:rPr>
              <w:tab/>
            </w:r>
          </w:p>
        </w:tc>
      </w:tr>
      <w:tr w:rsidR="00687890" w:rsidRPr="004C23F4" w14:paraId="34A85DD2" w14:textId="77777777" w:rsidTr="0026079D">
        <w:trPr>
          <w:cantSplit/>
        </w:trPr>
        <w:tc>
          <w:tcPr>
            <w:tcW w:w="3227" w:type="dxa"/>
          </w:tcPr>
          <w:p w14:paraId="7BEDA490" w14:textId="77777777" w:rsidR="004079B4" w:rsidRPr="004C23F4" w:rsidRDefault="00084513" w:rsidP="00F4402E">
            <w:pPr>
              <w:pStyle w:val="Tablefont"/>
            </w:pPr>
            <w:r w:rsidRPr="004C23F4">
              <w:t>SWA</w:t>
            </w:r>
          </w:p>
        </w:tc>
        <w:tc>
          <w:tcPr>
            <w:tcW w:w="6015" w:type="dxa"/>
          </w:tcPr>
          <w:p w14:paraId="66CF2AC3" w14:textId="7A20929C" w:rsidR="00687890" w:rsidRPr="00DD2F9B" w:rsidRDefault="00F906C8" w:rsidP="00DD2F9B">
            <w:pPr>
              <w:pStyle w:val="Tablefont"/>
            </w:pPr>
            <w:r>
              <w:t>Sk.</w:t>
            </w:r>
          </w:p>
        </w:tc>
      </w:tr>
      <w:tr w:rsidR="007925F0" w:rsidRPr="004C23F4" w14:paraId="65670BBC" w14:textId="77777777" w:rsidTr="0026079D">
        <w:trPr>
          <w:cantSplit/>
        </w:trPr>
        <w:tc>
          <w:tcPr>
            <w:tcW w:w="3227" w:type="dxa"/>
          </w:tcPr>
          <w:p w14:paraId="3A24191B" w14:textId="77777777" w:rsidR="004079B4" w:rsidRPr="004C23F4" w:rsidRDefault="007925F0" w:rsidP="00F4402E">
            <w:pPr>
              <w:pStyle w:val="Tablefont"/>
            </w:pPr>
            <w:r>
              <w:t>HCIS</w:t>
            </w:r>
          </w:p>
        </w:tc>
        <w:tc>
          <w:tcPr>
            <w:tcW w:w="6015" w:type="dxa"/>
          </w:tcPr>
          <w:p w14:paraId="15E3F628" w14:textId="73EC4F56" w:rsidR="007925F0" w:rsidRPr="00DD2F9B" w:rsidRDefault="00EB44DF" w:rsidP="00DD2F9B">
            <w:pPr>
              <w:pStyle w:val="Tablefont"/>
            </w:pPr>
            <w:r>
              <w:t>—</w:t>
            </w:r>
          </w:p>
        </w:tc>
      </w:tr>
      <w:tr w:rsidR="00AF483F" w:rsidRPr="004C23F4" w14:paraId="635A4014" w14:textId="77777777" w:rsidTr="0026079D">
        <w:trPr>
          <w:cantSplit/>
        </w:trPr>
        <w:tc>
          <w:tcPr>
            <w:tcW w:w="3227" w:type="dxa"/>
          </w:tcPr>
          <w:p w14:paraId="3D3A15C5" w14:textId="77777777" w:rsidR="00AF483F" w:rsidRPr="004C23F4" w:rsidRDefault="00AF483F" w:rsidP="00F4402E">
            <w:pPr>
              <w:pStyle w:val="Tablefont"/>
            </w:pPr>
            <w:r>
              <w:t>NICNAS</w:t>
            </w:r>
          </w:p>
        </w:tc>
        <w:tc>
          <w:tcPr>
            <w:tcW w:w="6015" w:type="dxa"/>
          </w:tcPr>
          <w:p w14:paraId="786204AC" w14:textId="214566B8" w:rsidR="00AF483F" w:rsidRPr="00DD2F9B" w:rsidRDefault="002A1F95" w:rsidP="00DD2F9B">
            <w:pPr>
              <w:pStyle w:val="Tablefont"/>
            </w:pPr>
            <w:proofErr w:type="spellStart"/>
            <w:r>
              <w:t>Carc</w:t>
            </w:r>
            <w:proofErr w:type="spellEnd"/>
            <w:r>
              <w:t>. 2, Skin sensitisation – category 1</w:t>
            </w:r>
          </w:p>
        </w:tc>
      </w:tr>
      <w:tr w:rsidR="00687890" w:rsidRPr="004C23F4" w14:paraId="3F96D987" w14:textId="77777777" w:rsidTr="0026079D">
        <w:trPr>
          <w:cantSplit/>
        </w:trPr>
        <w:tc>
          <w:tcPr>
            <w:tcW w:w="3227" w:type="dxa"/>
          </w:tcPr>
          <w:p w14:paraId="18593A60" w14:textId="77777777" w:rsidR="004079B4" w:rsidRPr="004C23F4" w:rsidRDefault="00687890" w:rsidP="00F4402E">
            <w:pPr>
              <w:pStyle w:val="Tablefont"/>
            </w:pPr>
            <w:r w:rsidRPr="004C23F4">
              <w:t>EU Annex</w:t>
            </w:r>
          </w:p>
        </w:tc>
        <w:tc>
          <w:tcPr>
            <w:tcW w:w="6015" w:type="dxa"/>
          </w:tcPr>
          <w:p w14:paraId="32213910" w14:textId="0F20321C" w:rsidR="00687890" w:rsidRPr="00DD2F9B" w:rsidRDefault="00EB44DF" w:rsidP="00DD2F9B">
            <w:pPr>
              <w:pStyle w:val="Tablefont"/>
            </w:pPr>
            <w:r>
              <w:t>—</w:t>
            </w:r>
          </w:p>
        </w:tc>
      </w:tr>
      <w:tr w:rsidR="00E41A26" w:rsidRPr="004C23F4" w14:paraId="52FE1176" w14:textId="77777777" w:rsidTr="0026079D">
        <w:trPr>
          <w:cantSplit/>
        </w:trPr>
        <w:tc>
          <w:tcPr>
            <w:tcW w:w="3227" w:type="dxa"/>
          </w:tcPr>
          <w:p w14:paraId="1923EB29" w14:textId="77777777" w:rsidR="00E41A26" w:rsidRDefault="00E41A26" w:rsidP="00F4402E">
            <w:pPr>
              <w:pStyle w:val="Tablefont"/>
            </w:pPr>
            <w:r>
              <w:t>ECHA</w:t>
            </w:r>
          </w:p>
        </w:tc>
        <w:tc>
          <w:tcPr>
            <w:tcW w:w="6015" w:type="dxa"/>
          </w:tcPr>
          <w:p w14:paraId="12013294" w14:textId="64FAC306" w:rsidR="00E41A26" w:rsidRPr="00DD2F9B" w:rsidRDefault="0024790E" w:rsidP="00DD2F9B">
            <w:pPr>
              <w:pStyle w:val="Tablefont"/>
            </w:pPr>
            <w:r>
              <w:t>—</w:t>
            </w:r>
          </w:p>
        </w:tc>
      </w:tr>
      <w:tr w:rsidR="002E0D61" w:rsidRPr="004C23F4" w14:paraId="2BC3E4A4" w14:textId="77777777" w:rsidTr="0026079D">
        <w:trPr>
          <w:cantSplit/>
        </w:trPr>
        <w:tc>
          <w:tcPr>
            <w:tcW w:w="3227" w:type="dxa"/>
          </w:tcPr>
          <w:p w14:paraId="77F0B075" w14:textId="77777777" w:rsidR="004079B4" w:rsidRPr="004C23F4" w:rsidRDefault="002E0D61" w:rsidP="00F4402E">
            <w:pPr>
              <w:pStyle w:val="Tablefont"/>
            </w:pPr>
            <w:r>
              <w:t>ACGIH</w:t>
            </w:r>
          </w:p>
        </w:tc>
        <w:tc>
          <w:tcPr>
            <w:tcW w:w="6015" w:type="dxa"/>
          </w:tcPr>
          <w:p w14:paraId="67AE7B7A" w14:textId="1119158C" w:rsidR="002E0D61" w:rsidRPr="00DD2F9B" w:rsidRDefault="00343D55" w:rsidP="00DD2F9B">
            <w:pPr>
              <w:pStyle w:val="Tablefont"/>
            </w:pPr>
            <w:r>
              <w:t>Skin</w:t>
            </w:r>
          </w:p>
        </w:tc>
      </w:tr>
      <w:tr w:rsidR="002E0D61" w:rsidRPr="004C23F4" w14:paraId="56B4CE1E" w14:textId="77777777" w:rsidTr="0026079D">
        <w:trPr>
          <w:cantSplit/>
        </w:trPr>
        <w:tc>
          <w:tcPr>
            <w:tcW w:w="3227" w:type="dxa"/>
          </w:tcPr>
          <w:p w14:paraId="152741F2" w14:textId="77777777" w:rsidR="004079B4" w:rsidRPr="004C23F4" w:rsidRDefault="002E0D61" w:rsidP="00F4402E">
            <w:pPr>
              <w:pStyle w:val="Tablefont"/>
            </w:pPr>
            <w:r>
              <w:t>DFG</w:t>
            </w:r>
          </w:p>
        </w:tc>
        <w:tc>
          <w:tcPr>
            <w:tcW w:w="6015" w:type="dxa"/>
          </w:tcPr>
          <w:p w14:paraId="1E1996A4" w14:textId="6BC92C2A" w:rsidR="002E0D61" w:rsidRPr="00DD2F9B" w:rsidRDefault="00930260" w:rsidP="00DD2F9B">
            <w:pPr>
              <w:pStyle w:val="Tablefont"/>
            </w:pPr>
            <w:r w:rsidRPr="00930260">
              <w:t>Carcinogenicity – 3B</w:t>
            </w:r>
            <w:r>
              <w:t>, H (skin)</w:t>
            </w:r>
          </w:p>
        </w:tc>
      </w:tr>
      <w:tr w:rsidR="002E0D61" w:rsidRPr="004C23F4" w14:paraId="6343ED8E" w14:textId="77777777" w:rsidTr="0026079D">
        <w:trPr>
          <w:cantSplit/>
        </w:trPr>
        <w:tc>
          <w:tcPr>
            <w:tcW w:w="3227" w:type="dxa"/>
          </w:tcPr>
          <w:p w14:paraId="71544C1B" w14:textId="77777777" w:rsidR="004079B4" w:rsidRPr="004C23F4" w:rsidRDefault="002E0D61" w:rsidP="00F4402E">
            <w:pPr>
              <w:pStyle w:val="Tablefont"/>
            </w:pPr>
            <w:r>
              <w:t>SCOEL</w:t>
            </w:r>
          </w:p>
        </w:tc>
        <w:tc>
          <w:tcPr>
            <w:tcW w:w="6015" w:type="dxa"/>
          </w:tcPr>
          <w:p w14:paraId="49F8A7A3" w14:textId="2F2C6C60" w:rsidR="002E0D61" w:rsidRPr="00DD2F9B" w:rsidRDefault="00930260" w:rsidP="00DD2F9B">
            <w:pPr>
              <w:pStyle w:val="Tablefont"/>
            </w:pPr>
            <w:r w:rsidRPr="00930260">
              <w:t>Carcinogenicity – C</w:t>
            </w:r>
            <w:r>
              <w:t>, Skin</w:t>
            </w:r>
          </w:p>
        </w:tc>
      </w:tr>
      <w:tr w:rsidR="002E0D61" w:rsidRPr="004C23F4" w14:paraId="3F4319B5" w14:textId="77777777" w:rsidTr="0026079D">
        <w:trPr>
          <w:cantSplit/>
        </w:trPr>
        <w:tc>
          <w:tcPr>
            <w:tcW w:w="3227" w:type="dxa"/>
          </w:tcPr>
          <w:p w14:paraId="3FFD5C85" w14:textId="77777777" w:rsidR="004079B4" w:rsidRDefault="002E0D61" w:rsidP="00F4402E">
            <w:pPr>
              <w:pStyle w:val="Tablefont"/>
            </w:pPr>
            <w:r>
              <w:t>HCOTN</w:t>
            </w:r>
          </w:p>
        </w:tc>
        <w:tc>
          <w:tcPr>
            <w:tcW w:w="6015" w:type="dxa"/>
          </w:tcPr>
          <w:p w14:paraId="75D31E6C" w14:textId="6973BF2C" w:rsidR="002E0D61" w:rsidRPr="00DD2F9B" w:rsidRDefault="005C1783" w:rsidP="00DD2F9B">
            <w:pPr>
              <w:pStyle w:val="Tablefont"/>
            </w:pPr>
            <w:r>
              <w:t>Skin</w:t>
            </w:r>
          </w:p>
        </w:tc>
      </w:tr>
      <w:tr w:rsidR="00386093" w:rsidRPr="004C23F4" w14:paraId="228A0259" w14:textId="77777777" w:rsidTr="0026079D">
        <w:trPr>
          <w:cantSplit/>
        </w:trPr>
        <w:tc>
          <w:tcPr>
            <w:tcW w:w="3227" w:type="dxa"/>
          </w:tcPr>
          <w:p w14:paraId="0C3E13FE" w14:textId="77777777" w:rsidR="004079B4" w:rsidRDefault="00386093" w:rsidP="00F4402E">
            <w:pPr>
              <w:pStyle w:val="Tablefont"/>
            </w:pPr>
            <w:r>
              <w:t>IARC</w:t>
            </w:r>
          </w:p>
        </w:tc>
        <w:tc>
          <w:tcPr>
            <w:tcW w:w="6015" w:type="dxa"/>
          </w:tcPr>
          <w:p w14:paraId="4491A594" w14:textId="37265B79" w:rsidR="00386093" w:rsidRPr="00DD2F9B" w:rsidRDefault="0031765E" w:rsidP="00DD2F9B">
            <w:pPr>
              <w:pStyle w:val="Tablefont"/>
            </w:pPr>
            <w:r>
              <w:t>NA</w:t>
            </w:r>
          </w:p>
        </w:tc>
      </w:tr>
      <w:tr w:rsidR="00386093" w:rsidRPr="004C23F4" w14:paraId="2599E8FD" w14:textId="77777777" w:rsidTr="0026079D">
        <w:trPr>
          <w:cantSplit/>
        </w:trPr>
        <w:tc>
          <w:tcPr>
            <w:tcW w:w="3227" w:type="dxa"/>
          </w:tcPr>
          <w:p w14:paraId="2388D32C" w14:textId="77777777" w:rsidR="004079B4" w:rsidRDefault="00386093" w:rsidP="00F4402E">
            <w:pPr>
              <w:pStyle w:val="Tablefont"/>
              <w:keepNext/>
            </w:pPr>
            <w:r>
              <w:t>US NIOSH</w:t>
            </w:r>
          </w:p>
        </w:tc>
        <w:tc>
          <w:tcPr>
            <w:tcW w:w="6015" w:type="dxa"/>
          </w:tcPr>
          <w:p w14:paraId="5319F35C" w14:textId="630E1915" w:rsidR="00386093" w:rsidRPr="00DD2F9B" w:rsidRDefault="0024790E" w:rsidP="00D87570">
            <w:pPr>
              <w:pStyle w:val="Tablefont"/>
              <w:keepNext/>
            </w:pPr>
            <w:r>
              <w:rPr>
                <w:rFonts w:cs="Arial"/>
              </w:rPr>
              <w:t>SK:</w:t>
            </w:r>
            <w:r w:rsidR="00C52C84">
              <w:rPr>
                <w:rFonts w:cs="Arial"/>
              </w:rPr>
              <w:t xml:space="preserve"> </w:t>
            </w:r>
            <w:r w:rsidRPr="00EB44DF">
              <w:rPr>
                <w:rFonts w:cs="Arial"/>
              </w:rPr>
              <w:t>SYS</w:t>
            </w:r>
            <w:r>
              <w:rPr>
                <w:rFonts w:cs="Arial"/>
              </w:rPr>
              <w:t>, SK:</w:t>
            </w:r>
            <w:r w:rsidR="00C52C84">
              <w:rPr>
                <w:rFonts w:cs="Arial"/>
              </w:rPr>
              <w:t xml:space="preserve"> </w:t>
            </w:r>
            <w:r>
              <w:rPr>
                <w:rFonts w:cs="Arial"/>
              </w:rPr>
              <w:t>SEN</w:t>
            </w:r>
          </w:p>
        </w:tc>
      </w:tr>
    </w:tbl>
    <w:bookmarkEnd w:id="3"/>
    <w:p w14:paraId="1C8C0036" w14:textId="77777777" w:rsidR="00485BFD" w:rsidRDefault="00485BFD" w:rsidP="00485BFD">
      <w:pPr>
        <w:pStyle w:val="Tablefooter"/>
      </w:pPr>
      <w:r>
        <w:t>NA = not applicable (a recommendation has not been made by this Agency); —</w:t>
      </w:r>
      <w:r w:rsidR="00D87570">
        <w:t xml:space="preserve"> = the Agency has assessed available data for this chemical but has not recommended any notations</w:t>
      </w:r>
    </w:p>
    <w:p w14:paraId="41F0EA57" w14:textId="77777777" w:rsidR="00474E33" w:rsidRDefault="00474E33" w:rsidP="00474E33">
      <w:pPr>
        <w:pStyle w:val="Heading3"/>
      </w:pPr>
      <w:r>
        <w:t>Skin notation assessment</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kin notation assessment calculation"/>
      </w:tblPr>
      <w:tblGrid>
        <w:gridCol w:w="9026"/>
      </w:tblGrid>
      <w:tr w:rsidR="00932DCE" w:rsidRPr="004C23F4" w14:paraId="016F3721" w14:textId="77777777" w:rsidTr="00EA6243">
        <w:trPr>
          <w:cantSplit/>
          <w:tblHeader/>
        </w:trPr>
        <w:tc>
          <w:tcPr>
            <w:tcW w:w="5000" w:type="pct"/>
            <w:shd w:val="clear" w:color="auto" w:fill="BFBFBF" w:themeFill="background1" w:themeFillShade="BF"/>
            <w:vAlign w:val="center"/>
          </w:tcPr>
          <w:p w14:paraId="525AD376" w14:textId="77777777" w:rsidR="00932DCE" w:rsidRPr="004C23F4" w:rsidRDefault="00932DCE" w:rsidP="00F4402E">
            <w:pPr>
              <w:pStyle w:val="Tableheader"/>
              <w:keepNext/>
              <w:tabs>
                <w:tab w:val="right" w:pos="8800"/>
              </w:tabs>
            </w:pPr>
            <w:bookmarkStart w:id="4" w:name="SkinNot"/>
            <w:r>
              <w:t>Calculation</w:t>
            </w:r>
            <w:r w:rsidR="00177CA1">
              <w:tab/>
            </w:r>
          </w:p>
        </w:tc>
      </w:tr>
      <w:tr w:rsidR="00932DCE" w:rsidRPr="004C23F4" w14:paraId="529F962A" w14:textId="77777777" w:rsidTr="00EA6243">
        <w:trPr>
          <w:cantSplit/>
          <w:tblHeader/>
        </w:trPr>
        <w:tc>
          <w:tcPr>
            <w:tcW w:w="5000" w:type="pct"/>
            <w:vAlign w:val="center"/>
          </w:tcPr>
          <w:tbl>
            <w:tblPr>
              <w:tblW w:w="8527" w:type="dxa"/>
              <w:tblLook w:val="04A0" w:firstRow="1" w:lastRow="0" w:firstColumn="1" w:lastColumn="0" w:noHBand="0" w:noVBand="1"/>
            </w:tblPr>
            <w:tblGrid>
              <w:gridCol w:w="3706"/>
              <w:gridCol w:w="1091"/>
              <w:gridCol w:w="1091"/>
              <w:gridCol w:w="2639"/>
            </w:tblGrid>
            <w:tr w:rsidR="00A30124" w:rsidRPr="00A30124" w14:paraId="731A98EF" w14:textId="77777777" w:rsidTr="00A30124">
              <w:trPr>
                <w:trHeight w:val="231"/>
              </w:trPr>
              <w:tc>
                <w:tcPr>
                  <w:tcW w:w="3706" w:type="dxa"/>
                  <w:tcBorders>
                    <w:top w:val="nil"/>
                    <w:left w:val="nil"/>
                    <w:bottom w:val="nil"/>
                    <w:right w:val="nil"/>
                  </w:tcBorders>
                  <w:shd w:val="clear" w:color="000000" w:fill="C5D9F1"/>
                  <w:noWrap/>
                  <w:vAlign w:val="center"/>
                  <w:hideMark/>
                </w:tcPr>
                <w:p w14:paraId="7E49B598" w14:textId="77777777" w:rsidR="00A30124" w:rsidRPr="00A30124" w:rsidRDefault="00A30124" w:rsidP="00A30124">
                  <w:pPr>
                    <w:spacing w:after="0" w:line="240" w:lineRule="auto"/>
                    <w:jc w:val="right"/>
                    <w:rPr>
                      <w:rFonts w:ascii="Segoe UI" w:eastAsia="Times New Roman" w:hAnsi="Segoe UI" w:cs="Segoe UI"/>
                      <w:color w:val="000000"/>
                      <w:sz w:val="18"/>
                      <w:szCs w:val="18"/>
                      <w:lang w:eastAsia="en-AU"/>
                    </w:rPr>
                  </w:pPr>
                  <w:r w:rsidRPr="00A30124">
                    <w:rPr>
                      <w:rFonts w:ascii="Segoe UI" w:eastAsia="Times New Roman" w:hAnsi="Segoe UI" w:cs="Segoe UI"/>
                      <w:color w:val="000000"/>
                      <w:sz w:val="18"/>
                      <w:szCs w:val="18"/>
                      <w:lang w:eastAsia="en-AU"/>
                    </w:rPr>
                    <w:t>Adverse effects in human case study:</w:t>
                  </w:r>
                </w:p>
              </w:tc>
              <w:tc>
                <w:tcPr>
                  <w:tcW w:w="1091" w:type="dxa"/>
                  <w:tcBorders>
                    <w:top w:val="nil"/>
                    <w:left w:val="nil"/>
                    <w:bottom w:val="nil"/>
                    <w:right w:val="nil"/>
                  </w:tcBorders>
                  <w:shd w:val="clear" w:color="000000" w:fill="FFEB9C"/>
                  <w:noWrap/>
                  <w:vAlign w:val="center"/>
                  <w:hideMark/>
                </w:tcPr>
                <w:p w14:paraId="6CC88259" w14:textId="77777777" w:rsidR="00A30124" w:rsidRPr="00A30124" w:rsidRDefault="00A30124" w:rsidP="00A30124">
                  <w:pPr>
                    <w:spacing w:after="0" w:line="240" w:lineRule="auto"/>
                    <w:jc w:val="center"/>
                    <w:rPr>
                      <w:rFonts w:ascii="Segoe UI" w:eastAsia="Times New Roman" w:hAnsi="Segoe UI" w:cs="Segoe UI"/>
                      <w:color w:val="9C6500"/>
                      <w:sz w:val="18"/>
                      <w:szCs w:val="18"/>
                      <w:lang w:eastAsia="en-AU"/>
                    </w:rPr>
                  </w:pPr>
                  <w:r w:rsidRPr="00A30124">
                    <w:rPr>
                      <w:rFonts w:ascii="Segoe UI" w:eastAsia="Times New Roman" w:hAnsi="Segoe UI" w:cs="Segoe UI"/>
                      <w:color w:val="9C6500"/>
                      <w:sz w:val="18"/>
                      <w:szCs w:val="18"/>
                      <w:lang w:eastAsia="en-AU"/>
                    </w:rPr>
                    <w:t>yes</w:t>
                  </w:r>
                </w:p>
              </w:tc>
              <w:tc>
                <w:tcPr>
                  <w:tcW w:w="1091" w:type="dxa"/>
                  <w:tcBorders>
                    <w:top w:val="nil"/>
                    <w:left w:val="nil"/>
                    <w:bottom w:val="nil"/>
                    <w:right w:val="nil"/>
                  </w:tcBorders>
                  <w:shd w:val="clear" w:color="000000" w:fill="C5D9F1"/>
                  <w:noWrap/>
                  <w:vAlign w:val="center"/>
                  <w:hideMark/>
                </w:tcPr>
                <w:p w14:paraId="633D9388" w14:textId="77777777" w:rsidR="00A30124" w:rsidRPr="00A30124" w:rsidRDefault="00A30124" w:rsidP="00A30124">
                  <w:pPr>
                    <w:spacing w:after="0" w:line="240" w:lineRule="auto"/>
                    <w:jc w:val="right"/>
                    <w:rPr>
                      <w:rFonts w:ascii="Segoe UI" w:eastAsia="Times New Roman" w:hAnsi="Segoe UI" w:cs="Segoe UI"/>
                      <w:color w:val="C5D9F1"/>
                      <w:sz w:val="18"/>
                      <w:szCs w:val="18"/>
                      <w:lang w:eastAsia="en-AU"/>
                    </w:rPr>
                  </w:pPr>
                  <w:r w:rsidRPr="00A30124">
                    <w:rPr>
                      <w:rFonts w:ascii="Segoe UI" w:eastAsia="Times New Roman" w:hAnsi="Segoe UI" w:cs="Segoe UI"/>
                      <w:color w:val="C5D9F1"/>
                      <w:sz w:val="18"/>
                      <w:szCs w:val="18"/>
                      <w:lang w:eastAsia="en-AU"/>
                    </w:rPr>
                    <w:t>4.00</w:t>
                  </w:r>
                </w:p>
              </w:tc>
              <w:tc>
                <w:tcPr>
                  <w:tcW w:w="2639" w:type="dxa"/>
                  <w:tcBorders>
                    <w:top w:val="nil"/>
                    <w:left w:val="nil"/>
                    <w:bottom w:val="nil"/>
                    <w:right w:val="nil"/>
                  </w:tcBorders>
                  <w:shd w:val="clear" w:color="000000" w:fill="C5D9F1"/>
                  <w:noWrap/>
                  <w:vAlign w:val="center"/>
                  <w:hideMark/>
                </w:tcPr>
                <w:p w14:paraId="4C51A458" w14:textId="77777777" w:rsidR="00A30124" w:rsidRPr="00A30124" w:rsidRDefault="00A30124" w:rsidP="00A30124">
                  <w:pPr>
                    <w:spacing w:after="0" w:line="240" w:lineRule="auto"/>
                    <w:rPr>
                      <w:rFonts w:ascii="Segoe UI" w:eastAsia="Times New Roman" w:hAnsi="Segoe UI" w:cs="Segoe UI"/>
                      <w:color w:val="000000"/>
                      <w:sz w:val="18"/>
                      <w:szCs w:val="18"/>
                      <w:lang w:eastAsia="en-AU"/>
                    </w:rPr>
                  </w:pPr>
                  <w:r w:rsidRPr="00A30124">
                    <w:rPr>
                      <w:rFonts w:ascii="Segoe UI" w:eastAsia="Times New Roman" w:hAnsi="Segoe UI" w:cs="Segoe UI"/>
                      <w:color w:val="000000"/>
                      <w:sz w:val="18"/>
                      <w:szCs w:val="18"/>
                      <w:lang w:eastAsia="en-AU"/>
                    </w:rPr>
                    <w:t> </w:t>
                  </w:r>
                </w:p>
              </w:tc>
            </w:tr>
            <w:tr w:rsidR="00A30124" w:rsidRPr="00A30124" w14:paraId="6BEB64EC" w14:textId="77777777" w:rsidTr="00A30124">
              <w:trPr>
                <w:trHeight w:val="231"/>
              </w:trPr>
              <w:tc>
                <w:tcPr>
                  <w:tcW w:w="3706" w:type="dxa"/>
                  <w:tcBorders>
                    <w:top w:val="nil"/>
                    <w:left w:val="nil"/>
                    <w:bottom w:val="nil"/>
                    <w:right w:val="nil"/>
                  </w:tcBorders>
                  <w:shd w:val="clear" w:color="000000" w:fill="C5D9F1"/>
                  <w:noWrap/>
                  <w:vAlign w:val="center"/>
                  <w:hideMark/>
                </w:tcPr>
                <w:p w14:paraId="5E6A0847" w14:textId="77777777" w:rsidR="00A30124" w:rsidRPr="00A30124" w:rsidRDefault="00A30124" w:rsidP="00A30124">
                  <w:pPr>
                    <w:spacing w:after="0" w:line="240" w:lineRule="auto"/>
                    <w:jc w:val="right"/>
                    <w:rPr>
                      <w:rFonts w:ascii="Segoe UI" w:eastAsia="Times New Roman" w:hAnsi="Segoe UI" w:cs="Segoe UI"/>
                      <w:color w:val="000000"/>
                      <w:sz w:val="18"/>
                      <w:szCs w:val="18"/>
                      <w:lang w:eastAsia="en-AU"/>
                    </w:rPr>
                  </w:pPr>
                  <w:r w:rsidRPr="00A30124">
                    <w:rPr>
                      <w:rFonts w:ascii="Segoe UI" w:eastAsia="Times New Roman" w:hAnsi="Segoe UI" w:cs="Segoe UI"/>
                      <w:color w:val="000000"/>
                      <w:sz w:val="18"/>
                      <w:szCs w:val="18"/>
                      <w:lang w:eastAsia="en-AU"/>
                    </w:rPr>
                    <w:t>Dermal LD</w:t>
                  </w:r>
                  <w:r w:rsidRPr="00A30124">
                    <w:rPr>
                      <w:rFonts w:ascii="Segoe UI" w:eastAsia="Times New Roman" w:hAnsi="Segoe UI" w:cs="Segoe UI"/>
                      <w:color w:val="000000"/>
                      <w:sz w:val="18"/>
                      <w:szCs w:val="18"/>
                      <w:vertAlign w:val="subscript"/>
                      <w:lang w:eastAsia="en-AU"/>
                    </w:rPr>
                    <w:t>50</w:t>
                  </w:r>
                  <w:r w:rsidRPr="00A30124">
                    <w:rPr>
                      <w:rFonts w:ascii="Segoe UI" w:eastAsia="Times New Roman" w:hAnsi="Segoe UI" w:cs="Segoe UI"/>
                      <w:color w:val="000000"/>
                      <w:sz w:val="18"/>
                      <w:szCs w:val="18"/>
                      <w:lang w:eastAsia="en-AU"/>
                    </w:rPr>
                    <w:t xml:space="preserve"> ≤1000 mg/kg:</w:t>
                  </w:r>
                </w:p>
              </w:tc>
              <w:tc>
                <w:tcPr>
                  <w:tcW w:w="1091" w:type="dxa"/>
                  <w:tcBorders>
                    <w:top w:val="nil"/>
                    <w:left w:val="nil"/>
                    <w:bottom w:val="nil"/>
                    <w:right w:val="nil"/>
                  </w:tcBorders>
                  <w:shd w:val="clear" w:color="000000" w:fill="C5D9F1"/>
                  <w:noWrap/>
                  <w:vAlign w:val="center"/>
                  <w:hideMark/>
                </w:tcPr>
                <w:p w14:paraId="24CC6496" w14:textId="77777777" w:rsidR="00A30124" w:rsidRPr="00A30124" w:rsidRDefault="00A30124" w:rsidP="00A30124">
                  <w:pPr>
                    <w:spacing w:after="0" w:line="240" w:lineRule="auto"/>
                    <w:jc w:val="center"/>
                    <w:rPr>
                      <w:rFonts w:ascii="Segoe UI" w:eastAsia="Times New Roman" w:hAnsi="Segoe UI" w:cs="Segoe UI"/>
                      <w:color w:val="000000"/>
                      <w:sz w:val="18"/>
                      <w:szCs w:val="18"/>
                      <w:lang w:eastAsia="en-AU"/>
                    </w:rPr>
                  </w:pPr>
                  <w:r w:rsidRPr="00A30124">
                    <w:rPr>
                      <w:rFonts w:ascii="Segoe UI" w:eastAsia="Times New Roman" w:hAnsi="Segoe UI" w:cs="Segoe UI"/>
                      <w:color w:val="000000"/>
                      <w:sz w:val="18"/>
                      <w:szCs w:val="18"/>
                      <w:lang w:eastAsia="en-AU"/>
                    </w:rPr>
                    <w:t>no</w:t>
                  </w:r>
                </w:p>
              </w:tc>
              <w:tc>
                <w:tcPr>
                  <w:tcW w:w="1091" w:type="dxa"/>
                  <w:tcBorders>
                    <w:top w:val="nil"/>
                    <w:left w:val="nil"/>
                    <w:bottom w:val="nil"/>
                    <w:right w:val="nil"/>
                  </w:tcBorders>
                  <w:shd w:val="clear" w:color="000000" w:fill="C5D9F1"/>
                  <w:noWrap/>
                  <w:vAlign w:val="center"/>
                  <w:hideMark/>
                </w:tcPr>
                <w:p w14:paraId="503B8B55" w14:textId="77777777" w:rsidR="00A30124" w:rsidRPr="00A30124" w:rsidRDefault="00A30124" w:rsidP="00A30124">
                  <w:pPr>
                    <w:spacing w:after="0" w:line="240" w:lineRule="auto"/>
                    <w:rPr>
                      <w:rFonts w:ascii="Segoe UI" w:eastAsia="Times New Roman" w:hAnsi="Segoe UI" w:cs="Segoe UI"/>
                      <w:color w:val="C5D9F1"/>
                      <w:sz w:val="18"/>
                      <w:szCs w:val="18"/>
                      <w:lang w:eastAsia="en-AU"/>
                    </w:rPr>
                  </w:pPr>
                  <w:r w:rsidRPr="00A30124">
                    <w:rPr>
                      <w:rFonts w:ascii="Segoe UI" w:eastAsia="Times New Roman" w:hAnsi="Segoe UI" w:cs="Segoe UI"/>
                      <w:color w:val="C5D9F1"/>
                      <w:sz w:val="18"/>
                      <w:szCs w:val="18"/>
                      <w:lang w:eastAsia="en-AU"/>
                    </w:rPr>
                    <w:t> </w:t>
                  </w:r>
                </w:p>
              </w:tc>
              <w:tc>
                <w:tcPr>
                  <w:tcW w:w="2639" w:type="dxa"/>
                  <w:tcBorders>
                    <w:top w:val="nil"/>
                    <w:left w:val="nil"/>
                    <w:bottom w:val="nil"/>
                    <w:right w:val="nil"/>
                  </w:tcBorders>
                  <w:shd w:val="clear" w:color="000000" w:fill="C5D9F1"/>
                  <w:noWrap/>
                  <w:vAlign w:val="center"/>
                  <w:hideMark/>
                </w:tcPr>
                <w:p w14:paraId="175D289A" w14:textId="77777777" w:rsidR="00A30124" w:rsidRPr="00A30124" w:rsidRDefault="00A30124" w:rsidP="00A30124">
                  <w:pPr>
                    <w:spacing w:after="0" w:line="240" w:lineRule="auto"/>
                    <w:rPr>
                      <w:rFonts w:ascii="Segoe UI" w:eastAsia="Times New Roman" w:hAnsi="Segoe UI" w:cs="Segoe UI"/>
                      <w:color w:val="000000"/>
                      <w:sz w:val="18"/>
                      <w:szCs w:val="18"/>
                      <w:lang w:eastAsia="en-AU"/>
                    </w:rPr>
                  </w:pPr>
                  <w:r w:rsidRPr="00A30124">
                    <w:rPr>
                      <w:rFonts w:ascii="Segoe UI" w:eastAsia="Times New Roman" w:hAnsi="Segoe UI" w:cs="Segoe UI"/>
                      <w:color w:val="000000"/>
                      <w:sz w:val="18"/>
                      <w:szCs w:val="18"/>
                      <w:lang w:eastAsia="en-AU"/>
                    </w:rPr>
                    <w:t> </w:t>
                  </w:r>
                </w:p>
              </w:tc>
            </w:tr>
            <w:tr w:rsidR="00A30124" w:rsidRPr="00A30124" w14:paraId="29E11E58" w14:textId="77777777" w:rsidTr="00A30124">
              <w:trPr>
                <w:trHeight w:val="231"/>
              </w:trPr>
              <w:tc>
                <w:tcPr>
                  <w:tcW w:w="3706" w:type="dxa"/>
                  <w:tcBorders>
                    <w:top w:val="nil"/>
                    <w:left w:val="nil"/>
                    <w:bottom w:val="nil"/>
                    <w:right w:val="nil"/>
                  </w:tcBorders>
                  <w:shd w:val="clear" w:color="000000" w:fill="C5D9F1"/>
                  <w:noWrap/>
                  <w:vAlign w:val="center"/>
                  <w:hideMark/>
                </w:tcPr>
                <w:p w14:paraId="408BAECA" w14:textId="77777777" w:rsidR="00A30124" w:rsidRPr="00A30124" w:rsidRDefault="00A30124" w:rsidP="00A30124">
                  <w:pPr>
                    <w:spacing w:after="0" w:line="240" w:lineRule="auto"/>
                    <w:jc w:val="right"/>
                    <w:rPr>
                      <w:rFonts w:ascii="Segoe UI" w:eastAsia="Times New Roman" w:hAnsi="Segoe UI" w:cs="Segoe UI"/>
                      <w:color w:val="000000"/>
                      <w:sz w:val="18"/>
                      <w:szCs w:val="18"/>
                      <w:lang w:eastAsia="en-AU"/>
                    </w:rPr>
                  </w:pPr>
                  <w:r w:rsidRPr="00A30124">
                    <w:rPr>
                      <w:rFonts w:ascii="Segoe UI" w:eastAsia="Times New Roman" w:hAnsi="Segoe UI" w:cs="Segoe UI"/>
                      <w:color w:val="000000"/>
                      <w:sz w:val="18"/>
                      <w:szCs w:val="18"/>
                      <w:lang w:eastAsia="en-AU"/>
                    </w:rPr>
                    <w:t>Dermal repeat-dose NOAEL ≤200 mg/kg:</w:t>
                  </w:r>
                </w:p>
              </w:tc>
              <w:tc>
                <w:tcPr>
                  <w:tcW w:w="1091" w:type="dxa"/>
                  <w:tcBorders>
                    <w:top w:val="nil"/>
                    <w:left w:val="nil"/>
                    <w:bottom w:val="nil"/>
                    <w:right w:val="nil"/>
                  </w:tcBorders>
                  <w:shd w:val="clear" w:color="000000" w:fill="C5D9F1"/>
                  <w:noWrap/>
                  <w:vAlign w:val="center"/>
                  <w:hideMark/>
                </w:tcPr>
                <w:p w14:paraId="49BD5B5E" w14:textId="77777777" w:rsidR="00A30124" w:rsidRPr="00A30124" w:rsidRDefault="00A30124" w:rsidP="00A30124">
                  <w:pPr>
                    <w:spacing w:after="0" w:line="240" w:lineRule="auto"/>
                    <w:jc w:val="center"/>
                    <w:rPr>
                      <w:rFonts w:ascii="Segoe UI" w:eastAsia="Times New Roman" w:hAnsi="Segoe UI" w:cs="Segoe UI"/>
                      <w:color w:val="000000"/>
                      <w:sz w:val="18"/>
                      <w:szCs w:val="18"/>
                      <w:lang w:eastAsia="en-AU"/>
                    </w:rPr>
                  </w:pPr>
                  <w:r w:rsidRPr="00A30124">
                    <w:rPr>
                      <w:rFonts w:ascii="Segoe UI" w:eastAsia="Times New Roman" w:hAnsi="Segoe UI" w:cs="Segoe UI"/>
                      <w:color w:val="000000"/>
                      <w:sz w:val="18"/>
                      <w:szCs w:val="18"/>
                      <w:lang w:eastAsia="en-AU"/>
                    </w:rPr>
                    <w:t> </w:t>
                  </w:r>
                </w:p>
              </w:tc>
              <w:tc>
                <w:tcPr>
                  <w:tcW w:w="1091" w:type="dxa"/>
                  <w:tcBorders>
                    <w:top w:val="nil"/>
                    <w:left w:val="nil"/>
                    <w:bottom w:val="nil"/>
                    <w:right w:val="nil"/>
                  </w:tcBorders>
                  <w:shd w:val="clear" w:color="000000" w:fill="C5D9F1"/>
                  <w:noWrap/>
                  <w:vAlign w:val="center"/>
                  <w:hideMark/>
                </w:tcPr>
                <w:p w14:paraId="0066F2C7" w14:textId="77777777" w:rsidR="00A30124" w:rsidRPr="00A30124" w:rsidRDefault="00A30124" w:rsidP="00A30124">
                  <w:pPr>
                    <w:spacing w:after="0" w:line="240" w:lineRule="auto"/>
                    <w:rPr>
                      <w:rFonts w:ascii="Segoe UI" w:eastAsia="Times New Roman" w:hAnsi="Segoe UI" w:cs="Segoe UI"/>
                      <w:color w:val="C5D9F1"/>
                      <w:sz w:val="18"/>
                      <w:szCs w:val="18"/>
                      <w:lang w:eastAsia="en-AU"/>
                    </w:rPr>
                  </w:pPr>
                  <w:r w:rsidRPr="00A30124">
                    <w:rPr>
                      <w:rFonts w:ascii="Segoe UI" w:eastAsia="Times New Roman" w:hAnsi="Segoe UI" w:cs="Segoe UI"/>
                      <w:color w:val="C5D9F1"/>
                      <w:sz w:val="18"/>
                      <w:szCs w:val="18"/>
                      <w:lang w:eastAsia="en-AU"/>
                    </w:rPr>
                    <w:t> </w:t>
                  </w:r>
                </w:p>
              </w:tc>
              <w:tc>
                <w:tcPr>
                  <w:tcW w:w="2639" w:type="dxa"/>
                  <w:tcBorders>
                    <w:top w:val="nil"/>
                    <w:left w:val="nil"/>
                    <w:bottom w:val="nil"/>
                    <w:right w:val="nil"/>
                  </w:tcBorders>
                  <w:shd w:val="clear" w:color="000000" w:fill="C5D9F1"/>
                  <w:noWrap/>
                  <w:vAlign w:val="center"/>
                  <w:hideMark/>
                </w:tcPr>
                <w:p w14:paraId="087C76AA" w14:textId="77777777" w:rsidR="00A30124" w:rsidRPr="00A30124" w:rsidRDefault="00A30124" w:rsidP="00A30124">
                  <w:pPr>
                    <w:spacing w:after="0" w:line="240" w:lineRule="auto"/>
                    <w:rPr>
                      <w:rFonts w:ascii="Segoe UI" w:eastAsia="Times New Roman" w:hAnsi="Segoe UI" w:cs="Segoe UI"/>
                      <w:color w:val="000000"/>
                      <w:sz w:val="18"/>
                      <w:szCs w:val="18"/>
                      <w:lang w:eastAsia="en-AU"/>
                    </w:rPr>
                  </w:pPr>
                  <w:r w:rsidRPr="00A30124">
                    <w:rPr>
                      <w:rFonts w:ascii="Segoe UI" w:eastAsia="Times New Roman" w:hAnsi="Segoe UI" w:cs="Segoe UI"/>
                      <w:color w:val="000000"/>
                      <w:sz w:val="18"/>
                      <w:szCs w:val="18"/>
                      <w:lang w:eastAsia="en-AU"/>
                    </w:rPr>
                    <w:t> </w:t>
                  </w:r>
                </w:p>
              </w:tc>
            </w:tr>
            <w:tr w:rsidR="00A30124" w:rsidRPr="00A30124" w14:paraId="02F23BAB" w14:textId="77777777" w:rsidTr="00A30124">
              <w:trPr>
                <w:trHeight w:val="231"/>
              </w:trPr>
              <w:tc>
                <w:tcPr>
                  <w:tcW w:w="3706" w:type="dxa"/>
                  <w:tcBorders>
                    <w:top w:val="nil"/>
                    <w:left w:val="nil"/>
                    <w:bottom w:val="nil"/>
                    <w:right w:val="nil"/>
                  </w:tcBorders>
                  <w:shd w:val="clear" w:color="000000" w:fill="C5D9F1"/>
                  <w:noWrap/>
                  <w:vAlign w:val="center"/>
                  <w:hideMark/>
                </w:tcPr>
                <w:p w14:paraId="3C55DBDE" w14:textId="77777777" w:rsidR="00A30124" w:rsidRPr="00A30124" w:rsidRDefault="00A30124" w:rsidP="00A30124">
                  <w:pPr>
                    <w:spacing w:after="0" w:line="240" w:lineRule="auto"/>
                    <w:jc w:val="right"/>
                    <w:rPr>
                      <w:rFonts w:ascii="Segoe UI" w:eastAsia="Times New Roman" w:hAnsi="Segoe UI" w:cs="Segoe UI"/>
                      <w:color w:val="000000"/>
                      <w:sz w:val="18"/>
                      <w:szCs w:val="18"/>
                      <w:lang w:eastAsia="en-AU"/>
                    </w:rPr>
                  </w:pPr>
                  <w:r w:rsidRPr="00A30124">
                    <w:rPr>
                      <w:rFonts w:ascii="Segoe UI" w:eastAsia="Times New Roman" w:hAnsi="Segoe UI" w:cs="Segoe UI"/>
                      <w:color w:val="000000"/>
                      <w:sz w:val="18"/>
                      <w:szCs w:val="18"/>
                      <w:lang w:eastAsia="en-AU"/>
                    </w:rPr>
                    <w:t>Dermal LD</w:t>
                  </w:r>
                  <w:r w:rsidRPr="00A30124">
                    <w:rPr>
                      <w:rFonts w:ascii="Segoe UI" w:eastAsia="Times New Roman" w:hAnsi="Segoe UI" w:cs="Segoe UI"/>
                      <w:color w:val="000000"/>
                      <w:sz w:val="18"/>
                      <w:szCs w:val="18"/>
                      <w:vertAlign w:val="subscript"/>
                      <w:lang w:eastAsia="en-AU"/>
                    </w:rPr>
                    <w:t>50</w:t>
                  </w:r>
                  <w:r w:rsidRPr="00A30124">
                    <w:rPr>
                      <w:rFonts w:ascii="Segoe UI" w:eastAsia="Times New Roman" w:hAnsi="Segoe UI" w:cs="Segoe UI"/>
                      <w:color w:val="000000"/>
                      <w:sz w:val="18"/>
                      <w:szCs w:val="18"/>
                      <w:lang w:eastAsia="en-AU"/>
                    </w:rPr>
                    <w:t>/Inhalation LD</w:t>
                  </w:r>
                  <w:r w:rsidRPr="00A30124">
                    <w:rPr>
                      <w:rFonts w:ascii="Segoe UI" w:eastAsia="Times New Roman" w:hAnsi="Segoe UI" w:cs="Segoe UI"/>
                      <w:color w:val="000000"/>
                      <w:sz w:val="18"/>
                      <w:szCs w:val="18"/>
                      <w:vertAlign w:val="subscript"/>
                      <w:lang w:eastAsia="en-AU"/>
                    </w:rPr>
                    <w:t>50</w:t>
                  </w:r>
                  <w:r w:rsidRPr="00A30124">
                    <w:rPr>
                      <w:rFonts w:ascii="Segoe UI" w:eastAsia="Times New Roman" w:hAnsi="Segoe UI" w:cs="Segoe UI"/>
                      <w:color w:val="000000"/>
                      <w:sz w:val="18"/>
                      <w:szCs w:val="18"/>
                      <w:lang w:eastAsia="en-AU"/>
                    </w:rPr>
                    <w:t xml:space="preserve"> &lt;10:</w:t>
                  </w:r>
                </w:p>
              </w:tc>
              <w:tc>
                <w:tcPr>
                  <w:tcW w:w="1091" w:type="dxa"/>
                  <w:tcBorders>
                    <w:top w:val="nil"/>
                    <w:left w:val="nil"/>
                    <w:bottom w:val="nil"/>
                    <w:right w:val="nil"/>
                  </w:tcBorders>
                  <w:shd w:val="clear" w:color="000000" w:fill="C5D9F1"/>
                  <w:noWrap/>
                  <w:vAlign w:val="center"/>
                  <w:hideMark/>
                </w:tcPr>
                <w:p w14:paraId="44E0B04C" w14:textId="77777777" w:rsidR="00A30124" w:rsidRPr="00A30124" w:rsidRDefault="00A30124" w:rsidP="00A30124">
                  <w:pPr>
                    <w:spacing w:after="0" w:line="240" w:lineRule="auto"/>
                    <w:jc w:val="center"/>
                    <w:rPr>
                      <w:rFonts w:ascii="Segoe UI" w:eastAsia="Times New Roman" w:hAnsi="Segoe UI" w:cs="Segoe UI"/>
                      <w:color w:val="000000"/>
                      <w:sz w:val="18"/>
                      <w:szCs w:val="18"/>
                      <w:lang w:eastAsia="en-AU"/>
                    </w:rPr>
                  </w:pPr>
                  <w:r w:rsidRPr="00A30124">
                    <w:rPr>
                      <w:rFonts w:ascii="Segoe UI" w:eastAsia="Times New Roman" w:hAnsi="Segoe UI" w:cs="Segoe UI"/>
                      <w:color w:val="000000"/>
                      <w:sz w:val="18"/>
                      <w:szCs w:val="18"/>
                      <w:lang w:eastAsia="en-AU"/>
                    </w:rPr>
                    <w:t> </w:t>
                  </w:r>
                </w:p>
              </w:tc>
              <w:tc>
                <w:tcPr>
                  <w:tcW w:w="1091" w:type="dxa"/>
                  <w:tcBorders>
                    <w:top w:val="nil"/>
                    <w:left w:val="nil"/>
                    <w:bottom w:val="nil"/>
                    <w:right w:val="nil"/>
                  </w:tcBorders>
                  <w:shd w:val="clear" w:color="000000" w:fill="C5D9F1"/>
                  <w:noWrap/>
                  <w:vAlign w:val="center"/>
                  <w:hideMark/>
                </w:tcPr>
                <w:p w14:paraId="7AD83144" w14:textId="77777777" w:rsidR="00A30124" w:rsidRPr="00A30124" w:rsidRDefault="00A30124" w:rsidP="00A30124">
                  <w:pPr>
                    <w:spacing w:after="0" w:line="240" w:lineRule="auto"/>
                    <w:rPr>
                      <w:rFonts w:ascii="Segoe UI" w:eastAsia="Times New Roman" w:hAnsi="Segoe UI" w:cs="Segoe UI"/>
                      <w:color w:val="C5D9F1"/>
                      <w:sz w:val="18"/>
                      <w:szCs w:val="18"/>
                      <w:lang w:eastAsia="en-AU"/>
                    </w:rPr>
                  </w:pPr>
                  <w:r w:rsidRPr="00A30124">
                    <w:rPr>
                      <w:rFonts w:ascii="Segoe UI" w:eastAsia="Times New Roman" w:hAnsi="Segoe UI" w:cs="Segoe UI"/>
                      <w:color w:val="C5D9F1"/>
                      <w:sz w:val="18"/>
                      <w:szCs w:val="18"/>
                      <w:lang w:eastAsia="en-AU"/>
                    </w:rPr>
                    <w:t> </w:t>
                  </w:r>
                </w:p>
              </w:tc>
              <w:tc>
                <w:tcPr>
                  <w:tcW w:w="2639" w:type="dxa"/>
                  <w:tcBorders>
                    <w:top w:val="nil"/>
                    <w:left w:val="nil"/>
                    <w:bottom w:val="nil"/>
                    <w:right w:val="nil"/>
                  </w:tcBorders>
                  <w:shd w:val="clear" w:color="000000" w:fill="C5D9F1"/>
                  <w:noWrap/>
                  <w:vAlign w:val="center"/>
                  <w:hideMark/>
                </w:tcPr>
                <w:p w14:paraId="52E6FFDA" w14:textId="77777777" w:rsidR="00A30124" w:rsidRPr="00A30124" w:rsidRDefault="00A30124" w:rsidP="00A30124">
                  <w:pPr>
                    <w:spacing w:after="0" w:line="240" w:lineRule="auto"/>
                    <w:rPr>
                      <w:rFonts w:ascii="Segoe UI" w:eastAsia="Times New Roman" w:hAnsi="Segoe UI" w:cs="Segoe UI"/>
                      <w:color w:val="000000"/>
                      <w:sz w:val="18"/>
                      <w:szCs w:val="18"/>
                      <w:lang w:eastAsia="en-AU"/>
                    </w:rPr>
                  </w:pPr>
                  <w:r w:rsidRPr="00A30124">
                    <w:rPr>
                      <w:rFonts w:ascii="Segoe UI" w:eastAsia="Times New Roman" w:hAnsi="Segoe UI" w:cs="Segoe UI"/>
                      <w:color w:val="000000"/>
                      <w:sz w:val="18"/>
                      <w:szCs w:val="18"/>
                      <w:lang w:eastAsia="en-AU"/>
                    </w:rPr>
                    <w:t> </w:t>
                  </w:r>
                </w:p>
              </w:tc>
            </w:tr>
            <w:tr w:rsidR="00A30124" w:rsidRPr="00A30124" w14:paraId="43291742" w14:textId="77777777" w:rsidTr="00A30124">
              <w:trPr>
                <w:trHeight w:val="231"/>
              </w:trPr>
              <w:tc>
                <w:tcPr>
                  <w:tcW w:w="3706" w:type="dxa"/>
                  <w:tcBorders>
                    <w:top w:val="nil"/>
                    <w:left w:val="nil"/>
                    <w:bottom w:val="nil"/>
                    <w:right w:val="nil"/>
                  </w:tcBorders>
                  <w:shd w:val="clear" w:color="000000" w:fill="C5D9F1"/>
                  <w:noWrap/>
                  <w:vAlign w:val="center"/>
                  <w:hideMark/>
                </w:tcPr>
                <w:p w14:paraId="21E7D10F" w14:textId="77777777" w:rsidR="00A30124" w:rsidRPr="00A30124" w:rsidRDefault="00A30124" w:rsidP="00A30124">
                  <w:pPr>
                    <w:spacing w:after="0" w:line="240" w:lineRule="auto"/>
                    <w:jc w:val="right"/>
                    <w:rPr>
                      <w:rFonts w:ascii="Segoe UI" w:eastAsia="Times New Roman" w:hAnsi="Segoe UI" w:cs="Segoe UI"/>
                      <w:i/>
                      <w:iCs/>
                      <w:color w:val="000000"/>
                      <w:sz w:val="18"/>
                      <w:szCs w:val="18"/>
                      <w:lang w:eastAsia="en-AU"/>
                    </w:rPr>
                  </w:pPr>
                  <w:r w:rsidRPr="00A30124">
                    <w:rPr>
                      <w:rFonts w:ascii="Segoe UI" w:eastAsia="Times New Roman" w:hAnsi="Segoe UI" w:cs="Segoe UI"/>
                      <w:i/>
                      <w:iCs/>
                      <w:color w:val="000000"/>
                      <w:sz w:val="18"/>
                      <w:szCs w:val="18"/>
                      <w:lang w:eastAsia="en-AU"/>
                    </w:rPr>
                    <w:t>In vivo</w:t>
                  </w:r>
                  <w:r w:rsidRPr="00A30124">
                    <w:rPr>
                      <w:rFonts w:ascii="Segoe UI" w:eastAsia="Times New Roman" w:hAnsi="Segoe UI" w:cs="Segoe UI"/>
                      <w:color w:val="000000"/>
                      <w:sz w:val="18"/>
                      <w:szCs w:val="18"/>
                      <w:lang w:eastAsia="en-AU"/>
                    </w:rPr>
                    <w:t xml:space="preserve"> dermal absorption rate &gt;10%:</w:t>
                  </w:r>
                </w:p>
              </w:tc>
              <w:tc>
                <w:tcPr>
                  <w:tcW w:w="1091" w:type="dxa"/>
                  <w:tcBorders>
                    <w:top w:val="nil"/>
                    <w:left w:val="nil"/>
                    <w:bottom w:val="nil"/>
                    <w:right w:val="nil"/>
                  </w:tcBorders>
                  <w:shd w:val="clear" w:color="000000" w:fill="FFEB9C"/>
                  <w:noWrap/>
                  <w:vAlign w:val="center"/>
                  <w:hideMark/>
                </w:tcPr>
                <w:p w14:paraId="554C004C" w14:textId="77777777" w:rsidR="00A30124" w:rsidRPr="00A30124" w:rsidRDefault="00A30124" w:rsidP="00A30124">
                  <w:pPr>
                    <w:spacing w:after="0" w:line="240" w:lineRule="auto"/>
                    <w:jc w:val="center"/>
                    <w:rPr>
                      <w:rFonts w:ascii="Segoe UI" w:eastAsia="Times New Roman" w:hAnsi="Segoe UI" w:cs="Segoe UI"/>
                      <w:color w:val="9C6500"/>
                      <w:sz w:val="18"/>
                      <w:szCs w:val="18"/>
                      <w:lang w:eastAsia="en-AU"/>
                    </w:rPr>
                  </w:pPr>
                  <w:r w:rsidRPr="00A30124">
                    <w:rPr>
                      <w:rFonts w:ascii="Segoe UI" w:eastAsia="Times New Roman" w:hAnsi="Segoe UI" w:cs="Segoe UI"/>
                      <w:color w:val="9C6500"/>
                      <w:sz w:val="18"/>
                      <w:szCs w:val="18"/>
                      <w:lang w:eastAsia="en-AU"/>
                    </w:rPr>
                    <w:t>yes</w:t>
                  </w:r>
                </w:p>
              </w:tc>
              <w:tc>
                <w:tcPr>
                  <w:tcW w:w="1091" w:type="dxa"/>
                  <w:tcBorders>
                    <w:top w:val="nil"/>
                    <w:left w:val="nil"/>
                    <w:bottom w:val="nil"/>
                    <w:right w:val="nil"/>
                  </w:tcBorders>
                  <w:shd w:val="clear" w:color="000000" w:fill="C5D9F1"/>
                  <w:noWrap/>
                  <w:vAlign w:val="center"/>
                  <w:hideMark/>
                </w:tcPr>
                <w:p w14:paraId="5FB437E7" w14:textId="77777777" w:rsidR="00A30124" w:rsidRPr="00A30124" w:rsidRDefault="00A30124" w:rsidP="00A30124">
                  <w:pPr>
                    <w:spacing w:after="0" w:line="240" w:lineRule="auto"/>
                    <w:jc w:val="right"/>
                    <w:rPr>
                      <w:rFonts w:ascii="Segoe UI" w:eastAsia="Times New Roman" w:hAnsi="Segoe UI" w:cs="Segoe UI"/>
                      <w:color w:val="C5D9F1"/>
                      <w:sz w:val="18"/>
                      <w:szCs w:val="18"/>
                      <w:lang w:eastAsia="en-AU"/>
                    </w:rPr>
                  </w:pPr>
                  <w:r w:rsidRPr="00A30124">
                    <w:rPr>
                      <w:rFonts w:ascii="Segoe UI" w:eastAsia="Times New Roman" w:hAnsi="Segoe UI" w:cs="Segoe UI"/>
                      <w:color w:val="C5D9F1"/>
                      <w:sz w:val="18"/>
                      <w:szCs w:val="18"/>
                      <w:lang w:eastAsia="en-AU"/>
                    </w:rPr>
                    <w:t>3.00</w:t>
                  </w:r>
                </w:p>
              </w:tc>
              <w:tc>
                <w:tcPr>
                  <w:tcW w:w="2639" w:type="dxa"/>
                  <w:tcBorders>
                    <w:top w:val="nil"/>
                    <w:left w:val="nil"/>
                    <w:bottom w:val="nil"/>
                    <w:right w:val="nil"/>
                  </w:tcBorders>
                  <w:shd w:val="clear" w:color="000000" w:fill="C5D9F1"/>
                  <w:noWrap/>
                  <w:vAlign w:val="center"/>
                  <w:hideMark/>
                </w:tcPr>
                <w:p w14:paraId="1FD18006" w14:textId="77777777" w:rsidR="00A30124" w:rsidRPr="00A30124" w:rsidRDefault="00A30124" w:rsidP="00A30124">
                  <w:pPr>
                    <w:spacing w:after="0" w:line="240" w:lineRule="auto"/>
                    <w:rPr>
                      <w:rFonts w:ascii="Segoe UI" w:eastAsia="Times New Roman" w:hAnsi="Segoe UI" w:cs="Segoe UI"/>
                      <w:color w:val="000000"/>
                      <w:sz w:val="18"/>
                      <w:szCs w:val="18"/>
                      <w:lang w:eastAsia="en-AU"/>
                    </w:rPr>
                  </w:pPr>
                  <w:r w:rsidRPr="00A30124">
                    <w:rPr>
                      <w:rFonts w:ascii="Segoe UI" w:eastAsia="Times New Roman" w:hAnsi="Segoe UI" w:cs="Segoe UI"/>
                      <w:color w:val="000000"/>
                      <w:sz w:val="18"/>
                      <w:szCs w:val="18"/>
                      <w:lang w:eastAsia="en-AU"/>
                    </w:rPr>
                    <w:t> </w:t>
                  </w:r>
                </w:p>
              </w:tc>
            </w:tr>
            <w:tr w:rsidR="00A30124" w:rsidRPr="00A30124" w14:paraId="44A7B888" w14:textId="77777777" w:rsidTr="00A30124">
              <w:trPr>
                <w:trHeight w:val="231"/>
              </w:trPr>
              <w:tc>
                <w:tcPr>
                  <w:tcW w:w="3706" w:type="dxa"/>
                  <w:tcBorders>
                    <w:top w:val="nil"/>
                    <w:left w:val="nil"/>
                    <w:bottom w:val="nil"/>
                    <w:right w:val="nil"/>
                  </w:tcBorders>
                  <w:shd w:val="clear" w:color="000000" w:fill="C5D9F1"/>
                  <w:noWrap/>
                  <w:vAlign w:val="center"/>
                  <w:hideMark/>
                </w:tcPr>
                <w:p w14:paraId="1A6E17D8" w14:textId="77777777" w:rsidR="00A30124" w:rsidRPr="00A30124" w:rsidRDefault="00A30124" w:rsidP="00A30124">
                  <w:pPr>
                    <w:spacing w:after="0" w:line="240" w:lineRule="auto"/>
                    <w:jc w:val="right"/>
                    <w:rPr>
                      <w:rFonts w:ascii="Segoe UI" w:eastAsia="Times New Roman" w:hAnsi="Segoe UI" w:cs="Segoe UI"/>
                      <w:color w:val="000000"/>
                      <w:sz w:val="18"/>
                      <w:szCs w:val="18"/>
                      <w:lang w:eastAsia="en-AU"/>
                    </w:rPr>
                  </w:pPr>
                  <w:r w:rsidRPr="00A30124">
                    <w:rPr>
                      <w:rFonts w:ascii="Segoe UI" w:eastAsia="Times New Roman" w:hAnsi="Segoe UI" w:cs="Segoe UI"/>
                      <w:color w:val="000000"/>
                      <w:sz w:val="18"/>
                      <w:szCs w:val="18"/>
                      <w:lang w:eastAsia="en-AU"/>
                    </w:rPr>
                    <w:t>Estimated dermal exposure at WES &gt;10%:</w:t>
                  </w:r>
                </w:p>
              </w:tc>
              <w:tc>
                <w:tcPr>
                  <w:tcW w:w="1091" w:type="dxa"/>
                  <w:tcBorders>
                    <w:top w:val="nil"/>
                    <w:left w:val="nil"/>
                    <w:bottom w:val="nil"/>
                    <w:right w:val="nil"/>
                  </w:tcBorders>
                  <w:shd w:val="clear" w:color="000000" w:fill="FFEB9C"/>
                  <w:noWrap/>
                  <w:vAlign w:val="center"/>
                  <w:hideMark/>
                </w:tcPr>
                <w:p w14:paraId="0C957D48" w14:textId="77777777" w:rsidR="00A30124" w:rsidRPr="00A30124" w:rsidRDefault="00A30124" w:rsidP="00A30124">
                  <w:pPr>
                    <w:spacing w:after="0" w:line="240" w:lineRule="auto"/>
                    <w:jc w:val="center"/>
                    <w:rPr>
                      <w:rFonts w:ascii="Segoe UI" w:eastAsia="Times New Roman" w:hAnsi="Segoe UI" w:cs="Segoe UI"/>
                      <w:color w:val="9C6500"/>
                      <w:sz w:val="18"/>
                      <w:szCs w:val="18"/>
                      <w:lang w:eastAsia="en-AU"/>
                    </w:rPr>
                  </w:pPr>
                  <w:r w:rsidRPr="00A30124">
                    <w:rPr>
                      <w:rFonts w:ascii="Segoe UI" w:eastAsia="Times New Roman" w:hAnsi="Segoe UI" w:cs="Segoe UI"/>
                      <w:color w:val="9C6500"/>
                      <w:sz w:val="18"/>
                      <w:szCs w:val="18"/>
                      <w:lang w:eastAsia="en-AU"/>
                    </w:rPr>
                    <w:t>yes</w:t>
                  </w:r>
                </w:p>
              </w:tc>
              <w:tc>
                <w:tcPr>
                  <w:tcW w:w="1091" w:type="dxa"/>
                  <w:tcBorders>
                    <w:top w:val="nil"/>
                    <w:left w:val="nil"/>
                    <w:bottom w:val="nil"/>
                    <w:right w:val="nil"/>
                  </w:tcBorders>
                  <w:shd w:val="clear" w:color="000000" w:fill="C5D9F1"/>
                  <w:noWrap/>
                  <w:vAlign w:val="center"/>
                  <w:hideMark/>
                </w:tcPr>
                <w:p w14:paraId="5DF3F564" w14:textId="77777777" w:rsidR="00A30124" w:rsidRPr="00A30124" w:rsidRDefault="00A30124" w:rsidP="00A30124">
                  <w:pPr>
                    <w:spacing w:after="0" w:line="240" w:lineRule="auto"/>
                    <w:jc w:val="right"/>
                    <w:rPr>
                      <w:rFonts w:ascii="Segoe UI" w:eastAsia="Times New Roman" w:hAnsi="Segoe UI" w:cs="Segoe UI"/>
                      <w:color w:val="C5D9F1"/>
                      <w:sz w:val="18"/>
                      <w:szCs w:val="18"/>
                      <w:lang w:eastAsia="en-AU"/>
                    </w:rPr>
                  </w:pPr>
                  <w:r w:rsidRPr="00A30124">
                    <w:rPr>
                      <w:rFonts w:ascii="Segoe UI" w:eastAsia="Times New Roman" w:hAnsi="Segoe UI" w:cs="Segoe UI"/>
                      <w:color w:val="C5D9F1"/>
                      <w:sz w:val="18"/>
                      <w:szCs w:val="18"/>
                      <w:lang w:eastAsia="en-AU"/>
                    </w:rPr>
                    <w:t>2.00</w:t>
                  </w:r>
                </w:p>
              </w:tc>
              <w:tc>
                <w:tcPr>
                  <w:tcW w:w="2639" w:type="dxa"/>
                  <w:tcBorders>
                    <w:top w:val="nil"/>
                    <w:left w:val="nil"/>
                    <w:bottom w:val="nil"/>
                    <w:right w:val="nil"/>
                  </w:tcBorders>
                  <w:shd w:val="clear" w:color="000000" w:fill="C5D9F1"/>
                  <w:noWrap/>
                  <w:vAlign w:val="center"/>
                  <w:hideMark/>
                </w:tcPr>
                <w:p w14:paraId="7319ED0B" w14:textId="77777777" w:rsidR="00A30124" w:rsidRPr="00A30124" w:rsidRDefault="00A30124" w:rsidP="00A30124">
                  <w:pPr>
                    <w:spacing w:after="0" w:line="240" w:lineRule="auto"/>
                    <w:rPr>
                      <w:rFonts w:ascii="Segoe UI" w:eastAsia="Times New Roman" w:hAnsi="Segoe UI" w:cs="Segoe UI"/>
                      <w:color w:val="000000"/>
                      <w:sz w:val="18"/>
                      <w:szCs w:val="18"/>
                      <w:lang w:eastAsia="en-AU"/>
                    </w:rPr>
                  </w:pPr>
                  <w:r w:rsidRPr="00A30124">
                    <w:rPr>
                      <w:rFonts w:ascii="Segoe UI" w:eastAsia="Times New Roman" w:hAnsi="Segoe UI" w:cs="Segoe UI"/>
                      <w:color w:val="000000"/>
                      <w:sz w:val="18"/>
                      <w:szCs w:val="18"/>
                      <w:lang w:eastAsia="en-AU"/>
                    </w:rPr>
                    <w:t> </w:t>
                  </w:r>
                </w:p>
              </w:tc>
            </w:tr>
            <w:tr w:rsidR="00A30124" w:rsidRPr="00A30124" w14:paraId="42FCAB37" w14:textId="77777777" w:rsidTr="00A30124">
              <w:trPr>
                <w:trHeight w:val="231"/>
              </w:trPr>
              <w:tc>
                <w:tcPr>
                  <w:tcW w:w="3706" w:type="dxa"/>
                  <w:tcBorders>
                    <w:top w:val="nil"/>
                    <w:left w:val="nil"/>
                    <w:bottom w:val="nil"/>
                    <w:right w:val="nil"/>
                  </w:tcBorders>
                  <w:shd w:val="clear" w:color="000000" w:fill="C5D9F1"/>
                  <w:noWrap/>
                  <w:vAlign w:val="center"/>
                  <w:hideMark/>
                </w:tcPr>
                <w:p w14:paraId="715F04DB" w14:textId="77777777" w:rsidR="00A30124" w:rsidRPr="00A30124" w:rsidRDefault="00A30124" w:rsidP="00A30124">
                  <w:pPr>
                    <w:spacing w:after="0" w:line="240" w:lineRule="auto"/>
                    <w:jc w:val="right"/>
                    <w:rPr>
                      <w:rFonts w:ascii="Segoe UI" w:eastAsia="Times New Roman" w:hAnsi="Segoe UI" w:cs="Segoe UI"/>
                      <w:color w:val="000000"/>
                      <w:sz w:val="18"/>
                      <w:szCs w:val="18"/>
                      <w:lang w:eastAsia="en-AU"/>
                    </w:rPr>
                  </w:pPr>
                  <w:r w:rsidRPr="00A30124">
                    <w:rPr>
                      <w:rFonts w:ascii="Segoe UI" w:eastAsia="Times New Roman" w:hAnsi="Segoe UI" w:cs="Segoe UI"/>
                      <w:color w:val="000000"/>
                      <w:sz w:val="18"/>
                      <w:szCs w:val="18"/>
                      <w:lang w:eastAsia="en-AU"/>
                    </w:rPr>
                    <w:t> </w:t>
                  </w:r>
                </w:p>
              </w:tc>
              <w:tc>
                <w:tcPr>
                  <w:tcW w:w="1091" w:type="dxa"/>
                  <w:tcBorders>
                    <w:top w:val="nil"/>
                    <w:left w:val="nil"/>
                    <w:bottom w:val="nil"/>
                    <w:right w:val="nil"/>
                  </w:tcBorders>
                  <w:shd w:val="clear" w:color="000000" w:fill="C5D9F1"/>
                  <w:noWrap/>
                  <w:vAlign w:val="center"/>
                  <w:hideMark/>
                </w:tcPr>
                <w:p w14:paraId="654A4263" w14:textId="77777777" w:rsidR="00A30124" w:rsidRPr="00A30124" w:rsidRDefault="00A30124" w:rsidP="00A30124">
                  <w:pPr>
                    <w:spacing w:after="0" w:line="240" w:lineRule="auto"/>
                    <w:jc w:val="center"/>
                    <w:rPr>
                      <w:rFonts w:ascii="Segoe UI" w:eastAsia="Times New Roman" w:hAnsi="Segoe UI" w:cs="Segoe UI"/>
                      <w:color w:val="000000"/>
                      <w:sz w:val="18"/>
                      <w:szCs w:val="18"/>
                      <w:lang w:eastAsia="en-AU"/>
                    </w:rPr>
                  </w:pPr>
                  <w:r w:rsidRPr="00A30124">
                    <w:rPr>
                      <w:rFonts w:ascii="Segoe UI" w:eastAsia="Times New Roman" w:hAnsi="Segoe UI" w:cs="Segoe UI"/>
                      <w:color w:val="000000"/>
                      <w:sz w:val="18"/>
                      <w:szCs w:val="18"/>
                      <w:lang w:eastAsia="en-AU"/>
                    </w:rPr>
                    <w:t> </w:t>
                  </w:r>
                </w:p>
              </w:tc>
              <w:tc>
                <w:tcPr>
                  <w:tcW w:w="1091" w:type="dxa"/>
                  <w:tcBorders>
                    <w:top w:val="nil"/>
                    <w:left w:val="nil"/>
                    <w:bottom w:val="nil"/>
                    <w:right w:val="nil"/>
                  </w:tcBorders>
                  <w:shd w:val="clear" w:color="000000" w:fill="C5D9F1"/>
                  <w:noWrap/>
                  <w:vAlign w:val="center"/>
                  <w:hideMark/>
                </w:tcPr>
                <w:p w14:paraId="6CE1C17B" w14:textId="77777777" w:rsidR="00A30124" w:rsidRPr="00A30124" w:rsidRDefault="00A30124" w:rsidP="00A30124">
                  <w:pPr>
                    <w:spacing w:after="0" w:line="240" w:lineRule="auto"/>
                    <w:jc w:val="right"/>
                    <w:rPr>
                      <w:rFonts w:ascii="Segoe UI" w:eastAsia="Times New Roman" w:hAnsi="Segoe UI" w:cs="Segoe UI"/>
                      <w:color w:val="C5D9F1"/>
                      <w:sz w:val="18"/>
                      <w:szCs w:val="18"/>
                      <w:lang w:eastAsia="en-AU"/>
                    </w:rPr>
                  </w:pPr>
                  <w:r w:rsidRPr="00A30124">
                    <w:rPr>
                      <w:rFonts w:ascii="Segoe UI" w:eastAsia="Times New Roman" w:hAnsi="Segoe UI" w:cs="Segoe UI"/>
                      <w:color w:val="C5D9F1"/>
                      <w:sz w:val="18"/>
                      <w:szCs w:val="18"/>
                      <w:lang w:eastAsia="en-AU"/>
                    </w:rPr>
                    <w:t>2.5</w:t>
                  </w:r>
                </w:p>
              </w:tc>
              <w:tc>
                <w:tcPr>
                  <w:tcW w:w="2639" w:type="dxa"/>
                  <w:tcBorders>
                    <w:top w:val="nil"/>
                    <w:left w:val="nil"/>
                    <w:bottom w:val="nil"/>
                    <w:right w:val="nil"/>
                  </w:tcBorders>
                  <w:shd w:val="clear" w:color="000000" w:fill="C5D9F1"/>
                  <w:noWrap/>
                  <w:vAlign w:val="center"/>
                  <w:hideMark/>
                </w:tcPr>
                <w:p w14:paraId="2BC86CA4" w14:textId="77777777" w:rsidR="00A30124" w:rsidRPr="00A30124" w:rsidRDefault="00A30124" w:rsidP="00A30124">
                  <w:pPr>
                    <w:spacing w:after="0" w:line="240" w:lineRule="auto"/>
                    <w:rPr>
                      <w:rFonts w:ascii="Segoe UI" w:eastAsia="Times New Roman" w:hAnsi="Segoe UI" w:cs="Segoe UI"/>
                      <w:b/>
                      <w:bCs/>
                      <w:color w:val="000000"/>
                      <w:sz w:val="18"/>
                      <w:szCs w:val="18"/>
                      <w:lang w:eastAsia="en-AU"/>
                    </w:rPr>
                  </w:pPr>
                  <w:r w:rsidRPr="00A30124">
                    <w:rPr>
                      <w:rFonts w:ascii="Segoe UI" w:eastAsia="Times New Roman" w:hAnsi="Segoe UI" w:cs="Segoe UI"/>
                      <w:b/>
                      <w:bCs/>
                      <w:color w:val="000000"/>
                      <w:sz w:val="18"/>
                      <w:szCs w:val="18"/>
                      <w:lang w:eastAsia="en-AU"/>
                    </w:rPr>
                    <w:t>a skin notation is warranted</w:t>
                  </w:r>
                </w:p>
              </w:tc>
            </w:tr>
          </w:tbl>
          <w:p w14:paraId="22A297A0" w14:textId="77777777" w:rsidR="00932DCE" w:rsidRPr="004C23F4" w:rsidRDefault="00932DCE" w:rsidP="00F9496B">
            <w:pPr>
              <w:pStyle w:val="Tablefont"/>
            </w:pPr>
          </w:p>
        </w:tc>
      </w:tr>
    </w:tbl>
    <w:bookmarkEnd w:id="4"/>
    <w:p w14:paraId="4F50A1B6" w14:textId="77777777" w:rsidR="00EB3D1B" w:rsidRDefault="00EB3D1B" w:rsidP="00EB3D1B">
      <w:pPr>
        <w:pStyle w:val="Heading3"/>
      </w:pPr>
      <w:r>
        <w:lastRenderedPageBreak/>
        <w:t>IDLH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DLH Table"/>
        <w:tblDescription w:val="Poses question: Ist here a suitable IDLH value available"/>
      </w:tblPr>
      <w:tblGrid>
        <w:gridCol w:w="4268"/>
        <w:gridCol w:w="4758"/>
      </w:tblGrid>
      <w:tr w:rsidR="00EB3D1B" w14:paraId="35E65C49" w14:textId="77777777" w:rsidTr="00610F2E">
        <w:trPr>
          <w:trHeight w:val="454"/>
          <w:tblHeader/>
        </w:trPr>
        <w:tc>
          <w:tcPr>
            <w:tcW w:w="4361" w:type="dxa"/>
            <w:vAlign w:val="center"/>
          </w:tcPr>
          <w:p w14:paraId="63589A2F" w14:textId="77777777" w:rsidR="00EB3D1B" w:rsidRDefault="00EB3D1B" w:rsidP="00D87570">
            <w:pPr>
              <w:pStyle w:val="Tablefont"/>
            </w:pPr>
            <w:r>
              <w:t xml:space="preserve">Is there a </w:t>
            </w:r>
            <w:r w:rsidR="006E5D05">
              <w:t>suitable</w:t>
            </w:r>
            <w:r>
              <w:t xml:space="preserve"> IDLH value available?</w:t>
            </w:r>
          </w:p>
        </w:tc>
        <w:sdt>
          <w:sdtPr>
            <w:id w:val="1781757649"/>
            <w:placeholder>
              <w:docPart w:val="F426C563814E402488AC06CC39354A11"/>
            </w:placeholder>
            <w:comboBox>
              <w:listItem w:value="Choose an item."/>
              <w:listItem w:displayText="Yes" w:value="Yes"/>
              <w:listItem w:displayText="Yes, based on LEL" w:value="Yes, based on LEL"/>
              <w:listItem w:displayText="No" w:value="No"/>
              <w:listItem w:displayText="No, the chemical is a genotoxic carcinogen" w:value="No, the chemical is a genotoxic carcinogen"/>
            </w:comboBox>
          </w:sdtPr>
          <w:sdtEndPr/>
          <w:sdtContent>
            <w:tc>
              <w:tcPr>
                <w:tcW w:w="4881" w:type="dxa"/>
                <w:vAlign w:val="center"/>
              </w:tcPr>
              <w:p w14:paraId="591FD976" w14:textId="544B80D1" w:rsidR="00EB3D1B" w:rsidRDefault="00843314" w:rsidP="00EB3D1B">
                <w:pPr>
                  <w:pStyle w:val="Tablefont"/>
                </w:pPr>
                <w:r>
                  <w:t>Yes</w:t>
                </w:r>
              </w:p>
            </w:tc>
          </w:sdtContent>
        </w:sdt>
      </w:tr>
    </w:tbl>
    <w:p w14:paraId="616F1CE2" w14:textId="77777777" w:rsidR="00687890" w:rsidRPr="004C23F4" w:rsidRDefault="00B479A9" w:rsidP="00474E33">
      <w:pPr>
        <w:pStyle w:val="Heading2"/>
      </w:pPr>
      <w:r w:rsidRPr="004C23F4">
        <w:t>Additional information</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additional information"/>
      </w:tblPr>
      <w:tblGrid>
        <w:gridCol w:w="3995"/>
        <w:gridCol w:w="5031"/>
      </w:tblGrid>
      <w:tr w:rsidR="001B79E5" w:rsidRPr="004C23F4" w14:paraId="5C4AA688" w14:textId="77777777" w:rsidTr="00EA6243">
        <w:trPr>
          <w:cantSplit/>
          <w:tblHeader/>
        </w:trPr>
        <w:tc>
          <w:tcPr>
            <w:tcW w:w="4077" w:type="dxa"/>
            <w:vAlign w:val="center"/>
          </w:tcPr>
          <w:p w14:paraId="7EB3E510" w14:textId="77777777" w:rsidR="001B79E5" w:rsidRDefault="001B79E5" w:rsidP="00A31D99">
            <w:pPr>
              <w:pStyle w:val="Tablefont"/>
            </w:pPr>
            <w:r>
              <w:t>Molecular weight:</w:t>
            </w:r>
          </w:p>
        </w:tc>
        <w:sdt>
          <w:sdtPr>
            <w:id w:val="2058126578"/>
            <w:placeholder>
              <w:docPart w:val="0DAD3FB9ACEF4778B961F088737E2361"/>
            </w:placeholder>
          </w:sdtPr>
          <w:sdtEndPr/>
          <w:sdtContent>
            <w:tc>
              <w:tcPr>
                <w:tcW w:w="5165" w:type="dxa"/>
                <w:vAlign w:val="center"/>
              </w:tcPr>
              <w:p w14:paraId="56678448" w14:textId="77777777" w:rsidR="001B79E5" w:rsidRDefault="00947A7F" w:rsidP="001B79E5">
                <w:pPr>
                  <w:pStyle w:val="Tablefont"/>
                </w:pPr>
                <w:r>
                  <w:t>227.09</w:t>
                </w:r>
              </w:p>
            </w:tc>
          </w:sdtContent>
        </w:sdt>
      </w:tr>
      <w:tr w:rsidR="00A31D99" w:rsidRPr="004C23F4" w14:paraId="256332EB" w14:textId="77777777" w:rsidTr="00EA6243">
        <w:trPr>
          <w:cantSplit/>
          <w:tblHeader/>
        </w:trPr>
        <w:tc>
          <w:tcPr>
            <w:tcW w:w="4077" w:type="dxa"/>
            <w:vAlign w:val="center"/>
          </w:tcPr>
          <w:p w14:paraId="36E38A38" w14:textId="77777777" w:rsidR="00A31D99" w:rsidRPr="00263255" w:rsidRDefault="00A31D99" w:rsidP="00A31D99">
            <w:pPr>
              <w:pStyle w:val="Tablefont"/>
            </w:pPr>
            <w:r>
              <w:t>Conversion factors at 25</w:t>
            </w:r>
            <w:r>
              <w:rPr>
                <w:rFonts w:cs="Arial"/>
              </w:rPr>
              <w:t>°</w:t>
            </w:r>
            <w:r>
              <w:t xml:space="preserve">C and 101.3 kPa: </w:t>
            </w:r>
          </w:p>
        </w:tc>
        <w:tc>
          <w:tcPr>
            <w:tcW w:w="5165" w:type="dxa"/>
            <w:vAlign w:val="center"/>
          </w:tcPr>
          <w:p w14:paraId="523A65E0" w14:textId="77777777" w:rsidR="00A31D99" w:rsidRDefault="00A0643F" w:rsidP="00A174CC">
            <w:pPr>
              <w:pStyle w:val="Tablefont"/>
            </w:pPr>
            <w:r>
              <w:t xml:space="preserve">1 ppm = </w:t>
            </w:r>
            <w:sdt>
              <w:sdtPr>
                <w:id w:val="-371151491"/>
                <w:placeholder>
                  <w:docPart w:val="A7231FB73EFF4B2B92EB3BD21C0CEA01"/>
                </w:placeholder>
                <w:showingPlcHdr/>
              </w:sdtPr>
              <w:sdtEndPr/>
              <w:sdtContent>
                <w:r w:rsidR="00A174CC">
                  <w:rPr>
                    <w:rStyle w:val="PlaceholderText"/>
                  </w:rPr>
                  <w:t>Number</w:t>
                </w:r>
              </w:sdtContent>
            </w:sdt>
            <w:r>
              <w:t xml:space="preserve"> mg/m</w:t>
            </w:r>
            <w:r w:rsidRPr="00D83761">
              <w:rPr>
                <w:vertAlign w:val="superscript"/>
              </w:rPr>
              <w:t>3</w:t>
            </w:r>
            <w:r>
              <w:t>; 1 mg/m</w:t>
            </w:r>
            <w:r w:rsidRPr="00D83761">
              <w:rPr>
                <w:vertAlign w:val="superscript"/>
              </w:rPr>
              <w:t>3</w:t>
            </w:r>
            <w:r>
              <w:t xml:space="preserve"> = </w:t>
            </w:r>
            <w:sdt>
              <w:sdtPr>
                <w:id w:val="-1913150218"/>
                <w:placeholder>
                  <w:docPart w:val="5D98FA8C84704C71B6F1557317AE5303"/>
                </w:placeholder>
              </w:sdtPr>
              <w:sdtEndPr/>
              <w:sdtContent>
                <w:r w:rsidR="00A174CC" w:rsidRPr="00A174CC">
                  <w:rPr>
                    <w:color w:val="808080"/>
                  </w:rPr>
                  <w:t>Number</w:t>
                </w:r>
              </w:sdtContent>
            </w:sdt>
            <w:r>
              <w:t xml:space="preserve"> ppm</w:t>
            </w:r>
          </w:p>
        </w:tc>
      </w:tr>
      <w:tr w:rsidR="00687890" w:rsidRPr="004C23F4" w14:paraId="3BCFAE1D" w14:textId="77777777" w:rsidTr="00EA6243">
        <w:trPr>
          <w:cantSplit/>
          <w:tblHeader/>
        </w:trPr>
        <w:tc>
          <w:tcPr>
            <w:tcW w:w="4077" w:type="dxa"/>
            <w:vAlign w:val="center"/>
          </w:tcPr>
          <w:p w14:paraId="69A53477" w14:textId="77777777" w:rsidR="00687890" w:rsidRPr="00263255" w:rsidRDefault="00687890" w:rsidP="00263255">
            <w:pPr>
              <w:pStyle w:val="Tablefont"/>
            </w:pPr>
            <w:r w:rsidRPr="00263255">
              <w:t>This chemical is used as a pesticide:</w:t>
            </w:r>
          </w:p>
        </w:tc>
        <w:sdt>
          <w:sdtPr>
            <w:id w:val="1704441067"/>
            <w14:checkbox>
              <w14:checked w14:val="0"/>
              <w14:checkedState w14:val="00FC" w14:font="Wingdings"/>
              <w14:uncheckedState w14:val="2610" w14:font="MS Gothic"/>
            </w14:checkbox>
          </w:sdtPr>
          <w:sdtEndPr/>
          <w:sdtContent>
            <w:tc>
              <w:tcPr>
                <w:tcW w:w="5165" w:type="dxa"/>
                <w:vAlign w:val="center"/>
              </w:tcPr>
              <w:p w14:paraId="01DAA3EF" w14:textId="77777777" w:rsidR="00687890" w:rsidRPr="004C23F4" w:rsidRDefault="00E46BCB" w:rsidP="00717D45">
                <w:pPr>
                  <w:pStyle w:val="Tablefont"/>
                </w:pPr>
                <w:r w:rsidRPr="004C23F4">
                  <w:rPr>
                    <w:rFonts w:ascii="MS Gothic" w:eastAsia="MS Gothic" w:hAnsi="MS Gothic" w:cs="MS Gothic" w:hint="eastAsia"/>
                  </w:rPr>
                  <w:t>☐</w:t>
                </w:r>
              </w:p>
            </w:tc>
          </w:sdtContent>
        </w:sdt>
      </w:tr>
      <w:tr w:rsidR="00687890" w:rsidRPr="004C23F4" w14:paraId="070260B8" w14:textId="77777777" w:rsidTr="00EA6243">
        <w:trPr>
          <w:cantSplit/>
        </w:trPr>
        <w:tc>
          <w:tcPr>
            <w:tcW w:w="4077" w:type="dxa"/>
            <w:vAlign w:val="center"/>
          </w:tcPr>
          <w:p w14:paraId="29576169" w14:textId="77777777" w:rsidR="00687890" w:rsidRPr="00263255" w:rsidRDefault="00687890" w:rsidP="00263255">
            <w:pPr>
              <w:pStyle w:val="Tablefont"/>
            </w:pPr>
            <w:r w:rsidRPr="00263255">
              <w:t>This chemical is a biological product:</w:t>
            </w:r>
          </w:p>
        </w:tc>
        <w:sdt>
          <w:sdtPr>
            <w:id w:val="-659616774"/>
            <w14:checkbox>
              <w14:checked w14:val="0"/>
              <w14:checkedState w14:val="00FC" w14:font="Wingdings"/>
              <w14:uncheckedState w14:val="2610" w14:font="MS Gothic"/>
            </w14:checkbox>
          </w:sdtPr>
          <w:sdtEndPr/>
          <w:sdtContent>
            <w:tc>
              <w:tcPr>
                <w:tcW w:w="5165" w:type="dxa"/>
                <w:vAlign w:val="center"/>
              </w:tcPr>
              <w:p w14:paraId="1840BF94" w14:textId="77777777" w:rsidR="00687890" w:rsidRPr="004C23F4" w:rsidRDefault="00A20751" w:rsidP="00717D45">
                <w:pPr>
                  <w:pStyle w:val="Tablefont"/>
                </w:pPr>
                <w:r w:rsidRPr="004C23F4">
                  <w:rPr>
                    <w:rFonts w:ascii="MS Gothic" w:eastAsia="MS Gothic" w:hAnsi="MS Gothic" w:cs="MS Gothic" w:hint="eastAsia"/>
                  </w:rPr>
                  <w:t>☐</w:t>
                </w:r>
              </w:p>
            </w:tc>
          </w:sdtContent>
        </w:sdt>
      </w:tr>
      <w:tr w:rsidR="00687890" w:rsidRPr="004C23F4" w14:paraId="4AEA0DDD" w14:textId="77777777" w:rsidTr="00EA6243">
        <w:trPr>
          <w:cantSplit/>
        </w:trPr>
        <w:tc>
          <w:tcPr>
            <w:tcW w:w="4077" w:type="dxa"/>
            <w:vAlign w:val="center"/>
          </w:tcPr>
          <w:p w14:paraId="01451F0E" w14:textId="77777777" w:rsidR="00687890" w:rsidRPr="00263255" w:rsidRDefault="00687890" w:rsidP="00263255">
            <w:pPr>
              <w:pStyle w:val="Tablefont"/>
            </w:pPr>
            <w:r w:rsidRPr="00263255">
              <w:t>This chemical is a by-product of a process:</w:t>
            </w:r>
          </w:p>
        </w:tc>
        <w:sdt>
          <w:sdtPr>
            <w:id w:val="-863134491"/>
            <w14:checkbox>
              <w14:checked w14:val="0"/>
              <w14:checkedState w14:val="00FC" w14:font="Wingdings"/>
              <w14:uncheckedState w14:val="2610" w14:font="MS Gothic"/>
            </w14:checkbox>
          </w:sdtPr>
          <w:sdtEndPr/>
          <w:sdtContent>
            <w:tc>
              <w:tcPr>
                <w:tcW w:w="5165" w:type="dxa"/>
                <w:vAlign w:val="center"/>
              </w:tcPr>
              <w:p w14:paraId="53C51601" w14:textId="77777777" w:rsidR="00687890" w:rsidRPr="004C23F4" w:rsidRDefault="00687890" w:rsidP="00717D45">
                <w:pPr>
                  <w:pStyle w:val="Tablefont"/>
                </w:pPr>
                <w:r w:rsidRPr="004C23F4">
                  <w:rPr>
                    <w:rFonts w:ascii="MS Gothic" w:eastAsia="MS Gothic" w:hAnsi="MS Gothic" w:cs="MS Gothic" w:hint="eastAsia"/>
                  </w:rPr>
                  <w:t>☐</w:t>
                </w:r>
              </w:p>
            </w:tc>
          </w:sdtContent>
        </w:sdt>
      </w:tr>
      <w:tr w:rsidR="00E06F40" w:rsidRPr="004C23F4" w14:paraId="29969644" w14:textId="77777777" w:rsidTr="00EA6243">
        <w:trPr>
          <w:cantSplit/>
        </w:trPr>
        <w:tc>
          <w:tcPr>
            <w:tcW w:w="4077" w:type="dxa"/>
            <w:vAlign w:val="center"/>
          </w:tcPr>
          <w:p w14:paraId="1022B300" w14:textId="77777777" w:rsidR="00E06F40" w:rsidRPr="00263255" w:rsidRDefault="00E06F40" w:rsidP="00084513">
            <w:pPr>
              <w:pStyle w:val="Tablefont"/>
            </w:pPr>
            <w:r w:rsidRPr="00263255">
              <w:t xml:space="preserve">A biological exposure index has been recommended by </w:t>
            </w:r>
            <w:r w:rsidR="00084513">
              <w:t>these agencies</w:t>
            </w:r>
            <w:r w:rsidRPr="00263255">
              <w:t>:</w:t>
            </w:r>
          </w:p>
        </w:tc>
        <w:tc>
          <w:tcPr>
            <w:tcW w:w="5165" w:type="dxa"/>
            <w:vAlign w:val="center"/>
          </w:tcPr>
          <w:p w14:paraId="1E39C711" w14:textId="5B6D9C1D" w:rsidR="00E06F40" w:rsidRPr="00A006A0" w:rsidRDefault="0026079D" w:rsidP="00B40C60">
            <w:pPr>
              <w:pStyle w:val="Tablefont"/>
              <w:tabs>
                <w:tab w:val="left" w:pos="1310"/>
                <w:tab w:val="left" w:pos="2444"/>
                <w:tab w:val="left" w:pos="3861"/>
              </w:tabs>
            </w:pPr>
            <w:sdt>
              <w:sdtPr>
                <w:id w:val="92759666"/>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ACGIH</w:t>
            </w:r>
            <w:r w:rsidR="00E06F40">
              <w:tab/>
            </w:r>
            <w:sdt>
              <w:sdtPr>
                <w:id w:val="129367724"/>
                <w14:checkbox>
                  <w14:checked w14:val="1"/>
                  <w14:checkedState w14:val="00FC" w14:font="Wingdings"/>
                  <w14:uncheckedState w14:val="2610" w14:font="MS Gothic"/>
                </w14:checkbox>
              </w:sdtPr>
              <w:sdtEndPr/>
              <w:sdtContent>
                <w:r w:rsidR="00CC1D36">
                  <w:sym w:font="Wingdings" w:char="F0FC"/>
                </w:r>
              </w:sdtContent>
            </w:sdt>
            <w:r w:rsidR="00E06F40" w:rsidRPr="00A006A0">
              <w:t xml:space="preserve"> DFG</w:t>
            </w:r>
            <w:r w:rsidR="00E06F40">
              <w:tab/>
            </w:r>
            <w:sdt>
              <w:sdtPr>
                <w:id w:val="-1535876012"/>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SCOEL</w:t>
            </w:r>
            <w:r w:rsidR="00E06F40">
              <w:tab/>
            </w:r>
          </w:p>
        </w:tc>
      </w:tr>
    </w:tbl>
    <w:p w14:paraId="110F864C" w14:textId="77777777" w:rsidR="007F1005" w:rsidRPr="004C23F4" w:rsidRDefault="007F1005" w:rsidP="00EB3D1B">
      <w:pPr>
        <w:pStyle w:val="Heading2"/>
        <w:keepLines/>
      </w:pPr>
      <w:r w:rsidRPr="004C23F4">
        <w:t xml:space="preserve">Workplace exposure </w:t>
      </w:r>
      <w:r w:rsidR="00B479A9" w:rsidRPr="004C23F4">
        <w:t>standard history</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Workplace Exposure Standard history"/>
      </w:tblPr>
      <w:tblGrid>
        <w:gridCol w:w="3979"/>
        <w:gridCol w:w="5047"/>
      </w:tblGrid>
      <w:tr w:rsidR="00224EE2" w:rsidRPr="004C23F4" w14:paraId="79C7183B" w14:textId="77777777" w:rsidTr="00F053FA">
        <w:trPr>
          <w:tblHeader/>
        </w:trPr>
        <w:tc>
          <w:tcPr>
            <w:tcW w:w="4077" w:type="dxa"/>
            <w:shd w:val="clear" w:color="auto" w:fill="BFBFBF" w:themeFill="background1" w:themeFillShade="BF"/>
            <w:vAlign w:val="center"/>
          </w:tcPr>
          <w:p w14:paraId="1B9FD20D" w14:textId="77777777" w:rsidR="00224EE2" w:rsidRPr="004C23F4" w:rsidRDefault="00224EE2" w:rsidP="00EB3D1B">
            <w:pPr>
              <w:pStyle w:val="Tableheader"/>
              <w:keepNext/>
              <w:keepLines/>
            </w:pPr>
            <w:bookmarkStart w:id="5" w:name="History" w:colFirst="0" w:colLast="1"/>
            <w:r>
              <w:t>Year</w:t>
            </w:r>
          </w:p>
        </w:tc>
        <w:tc>
          <w:tcPr>
            <w:tcW w:w="5165" w:type="dxa"/>
            <w:shd w:val="clear" w:color="auto" w:fill="BFBFBF" w:themeFill="background1" w:themeFillShade="BF"/>
            <w:vAlign w:val="center"/>
          </w:tcPr>
          <w:p w14:paraId="5D49F84A" w14:textId="77777777" w:rsidR="00224EE2" w:rsidRPr="004C23F4" w:rsidRDefault="00224EE2" w:rsidP="00EB3D1B">
            <w:pPr>
              <w:pStyle w:val="Tableheader"/>
              <w:keepNext/>
              <w:keepLines/>
            </w:pPr>
            <w:r>
              <w:t>Standard</w:t>
            </w:r>
          </w:p>
        </w:tc>
      </w:tr>
      <w:tr w:rsidR="007F1005" w:rsidRPr="004C23F4" w14:paraId="3D13A90F" w14:textId="77777777" w:rsidTr="00F053FA">
        <w:trPr>
          <w:tblHeader/>
        </w:trPr>
        <w:sdt>
          <w:sdtPr>
            <w:id w:val="-25557549"/>
            <w:showingPlcHdr/>
            <w:text/>
          </w:sdtPr>
          <w:sdtEndPr/>
          <w:sdtContent>
            <w:tc>
              <w:tcPr>
                <w:tcW w:w="4077" w:type="dxa"/>
                <w:vAlign w:val="center"/>
              </w:tcPr>
              <w:p w14:paraId="65F9781B" w14:textId="77777777" w:rsidR="007F1005" w:rsidRPr="004C23F4" w:rsidRDefault="00131092" w:rsidP="00EB3D1B">
                <w:pPr>
                  <w:pStyle w:val="Tablefont"/>
                  <w:keepLines/>
                </w:pPr>
                <w:r w:rsidRPr="004C23F4">
                  <w:rPr>
                    <w:rStyle w:val="PlaceholderText"/>
                    <w:rFonts w:cs="Arial"/>
                  </w:rPr>
                  <w:t>Click here to enter year</w:t>
                </w:r>
              </w:p>
            </w:tc>
          </w:sdtContent>
        </w:sdt>
        <w:tc>
          <w:tcPr>
            <w:tcW w:w="5165" w:type="dxa"/>
            <w:vAlign w:val="center"/>
          </w:tcPr>
          <w:p w14:paraId="2E819A92" w14:textId="77777777" w:rsidR="007F1005" w:rsidRPr="004C23F4" w:rsidRDefault="007F1005" w:rsidP="00EB3D1B">
            <w:pPr>
              <w:pStyle w:val="Tablefont"/>
              <w:keepLines/>
            </w:pPr>
          </w:p>
        </w:tc>
      </w:tr>
    </w:tbl>
    <w:bookmarkEnd w:id="5"/>
    <w:p w14:paraId="36496C02" w14:textId="77777777" w:rsidR="00F87D92" w:rsidRDefault="00F87D92" w:rsidP="00EF7F78">
      <w:pPr>
        <w:pStyle w:val="Heading2"/>
        <w:tabs>
          <w:tab w:val="right" w:pos="8505"/>
        </w:tabs>
      </w:pPr>
      <w:r>
        <w:t>References</w:t>
      </w:r>
      <w:r w:rsidR="00EF7F78">
        <w:tab/>
      </w:r>
    </w:p>
    <w:p w14:paraId="39C14E1C" w14:textId="39095A65" w:rsidR="007F1005" w:rsidRDefault="006650FE" w:rsidP="00084859">
      <w:r>
        <w:t>American Conference of Industrial Hygienists (ACGIH</w:t>
      </w:r>
      <w:r>
        <w:rPr>
          <w:vertAlign w:val="superscript"/>
        </w:rPr>
        <w:t>®</w:t>
      </w:r>
      <w:r>
        <w:t>) (201</w:t>
      </w:r>
      <w:r w:rsidR="00F67BBB">
        <w:t>8</w:t>
      </w:r>
      <w:r>
        <w:t>) TLVs</w:t>
      </w:r>
      <w:r>
        <w:rPr>
          <w:vertAlign w:val="superscript"/>
        </w:rPr>
        <w:t>®</w:t>
      </w:r>
      <w:r>
        <w:t xml:space="preserve"> and BEIs</w:t>
      </w:r>
      <w:r>
        <w:rPr>
          <w:vertAlign w:val="superscript"/>
        </w:rPr>
        <w:t>®</w:t>
      </w:r>
      <w:r>
        <w:t xml:space="preserve"> with 7</w:t>
      </w:r>
      <w:r>
        <w:rPr>
          <w:vertAlign w:val="superscript"/>
        </w:rPr>
        <w:t>th</w:t>
      </w:r>
      <w:r>
        <w:t xml:space="preserve"> Edition Documentation, CD-ROM, Single User Version. Copyright 201</w:t>
      </w:r>
      <w:r w:rsidR="00F67BBB">
        <w:t>8</w:t>
      </w:r>
      <w:r>
        <w:t xml:space="preserve">. Reprinted with permission. See the </w:t>
      </w:r>
      <w:hyperlink r:id="rId16" w:history="1">
        <w:r>
          <w:rPr>
            <w:rStyle w:val="Hyperlink"/>
            <w:i/>
          </w:rPr>
          <w:t>TLVs</w:t>
        </w:r>
        <w:r>
          <w:rPr>
            <w:rStyle w:val="Hyperlink"/>
            <w:i/>
            <w:vertAlign w:val="superscript"/>
          </w:rPr>
          <w:t>®</w:t>
        </w:r>
        <w:r>
          <w:rPr>
            <w:rStyle w:val="Hyperlink"/>
            <w:i/>
          </w:rPr>
          <w:t xml:space="preserve"> and BEIs</w:t>
        </w:r>
        <w:r>
          <w:rPr>
            <w:rStyle w:val="Hyperlink"/>
            <w:i/>
            <w:vertAlign w:val="superscript"/>
          </w:rPr>
          <w:t>®</w:t>
        </w:r>
        <w:r>
          <w:rPr>
            <w:rStyle w:val="Hyperlink"/>
            <w:i/>
          </w:rPr>
          <w:t xml:space="preserve"> Guidelines section</w:t>
        </w:r>
      </w:hyperlink>
      <w:r>
        <w:t xml:space="preserve"> on the ACGIH website.</w:t>
      </w:r>
    </w:p>
    <w:p w14:paraId="7691138F" w14:textId="4C379B73" w:rsidR="003E1F43" w:rsidRDefault="003E1F43" w:rsidP="003E1F43">
      <w:pPr>
        <w:rPr>
          <w:b/>
        </w:rPr>
      </w:pPr>
      <w:r w:rsidRPr="002022B6">
        <w:t xml:space="preserve">Deutsche </w:t>
      </w:r>
      <w:proofErr w:type="spellStart"/>
      <w:r w:rsidRPr="002022B6">
        <w:t>Forschungsgemeinschaft</w:t>
      </w:r>
      <w:proofErr w:type="spellEnd"/>
      <w:r w:rsidRPr="002022B6">
        <w:t xml:space="preserve"> (DFG)</w:t>
      </w:r>
      <w:r>
        <w:t xml:space="preserve"> (2018)</w:t>
      </w:r>
      <w:r w:rsidRPr="003E1F43">
        <w:rPr>
          <w:rFonts w:eastAsia="Times New Roman"/>
          <w:iCs/>
          <w:color w:val="1C1D1E"/>
          <w:sz w:val="36"/>
          <w:szCs w:val="36"/>
        </w:rPr>
        <w:t xml:space="preserve"> </w:t>
      </w:r>
      <w:proofErr w:type="spellStart"/>
      <w:r w:rsidRPr="003E1F43">
        <w:rPr>
          <w:bCs/>
        </w:rPr>
        <w:t>Nitroglycerin</w:t>
      </w:r>
      <w:proofErr w:type="spellEnd"/>
      <w:r>
        <w:t xml:space="preserve"> – MAK value documentation.</w:t>
      </w:r>
    </w:p>
    <w:p w14:paraId="06FBAA27" w14:textId="4C296E1F" w:rsidR="00CC1D36" w:rsidRDefault="00CC1D36" w:rsidP="00CC1D36">
      <w:pPr>
        <w:rPr>
          <w:b/>
        </w:rPr>
      </w:pPr>
      <w:r w:rsidRPr="002022B6">
        <w:t xml:space="preserve">Deutsche </w:t>
      </w:r>
      <w:proofErr w:type="spellStart"/>
      <w:r w:rsidRPr="002022B6">
        <w:t>Forschungsgemeinschaft</w:t>
      </w:r>
      <w:proofErr w:type="spellEnd"/>
      <w:r w:rsidRPr="002022B6">
        <w:t xml:space="preserve"> (DFG)</w:t>
      </w:r>
      <w:r>
        <w:t xml:space="preserve"> (2011) </w:t>
      </w:r>
      <w:proofErr w:type="spellStart"/>
      <w:r w:rsidRPr="00CC1D36">
        <w:t>Glycerintrinitrat</w:t>
      </w:r>
      <w:proofErr w:type="spellEnd"/>
      <w:r>
        <w:t xml:space="preserve"> – MAK value documentation</w:t>
      </w:r>
      <w:r w:rsidR="003E1F43">
        <w:t>, German language edition</w:t>
      </w:r>
      <w:r>
        <w:t>.</w:t>
      </w:r>
    </w:p>
    <w:p w14:paraId="3371956B" w14:textId="056F635F" w:rsidR="00CC1D36" w:rsidRDefault="00CC1D36" w:rsidP="00CC1D36">
      <w:pPr>
        <w:rPr>
          <w:b/>
        </w:rPr>
      </w:pPr>
      <w:r w:rsidRPr="002022B6">
        <w:t>EU Scientific Committee on Occupational Exposure Limits (SCOEL)</w:t>
      </w:r>
      <w:r>
        <w:t xml:space="preserve"> (</w:t>
      </w:r>
      <w:sdt>
        <w:sdtPr>
          <w:id w:val="550196045"/>
          <w:temporary/>
          <w:showingPlcHdr/>
        </w:sdtPr>
        <w:sdtEndPr/>
        <w:sdtContent>
          <w:r w:rsidRPr="00CC1D36">
            <w:rPr>
              <w:rStyle w:val="PlaceholderText"/>
              <w:color w:val="auto"/>
            </w:rPr>
            <w:t>2011</w:t>
          </w:r>
        </w:sdtContent>
      </w:sdt>
      <w:r>
        <w:t xml:space="preserve">) Recommendation from the Scientific Committee on Occupational Exposure Limits for </w:t>
      </w:r>
      <w:r w:rsidRPr="00CC1D36">
        <w:t>glyceryl trinitrate</w:t>
      </w:r>
      <w:r>
        <w:t>. SCOEL/SUM/147.</w:t>
      </w:r>
    </w:p>
    <w:p w14:paraId="04EC38DF" w14:textId="27DF7F66" w:rsidR="00CC1D36" w:rsidRDefault="00CC1D36" w:rsidP="00CC1D36">
      <w:r w:rsidRPr="002022B6">
        <w:t>Health Council of the Netherlands</w:t>
      </w:r>
      <w:r>
        <w:t xml:space="preserve"> (HCOTN) (2005) </w:t>
      </w:r>
      <w:r w:rsidRPr="00CC1D36">
        <w:t>Glycerol trinitrate</w:t>
      </w:r>
      <w:r w:rsidRPr="005F7416">
        <w:t xml:space="preserve">. </w:t>
      </w:r>
      <w:r w:rsidRPr="00CC1D36">
        <w:t>Health-based Reassessment of Administrative Occupational Exposure Limits</w:t>
      </w:r>
      <w:r w:rsidRPr="005F7416">
        <w:t xml:space="preserve">. The Hague: Health Council of the Netherlands; publication no. </w:t>
      </w:r>
      <w:r w:rsidR="003374F3">
        <w:t>2000/15OSH/150</w:t>
      </w:r>
      <w:r>
        <w:t>.</w:t>
      </w:r>
    </w:p>
    <w:p w14:paraId="2003CB56" w14:textId="10F1EEAC" w:rsidR="0024790E" w:rsidRPr="006B39AC" w:rsidRDefault="0024790E" w:rsidP="00CC1D36">
      <w:r w:rsidRPr="00DB0A36">
        <w:t>National Industrial Chemicals Notification and Assessment Scheme (NICNAS) (</w:t>
      </w:r>
      <w:r>
        <w:t>2017</w:t>
      </w:r>
      <w:r w:rsidRPr="00DB0A36">
        <w:t xml:space="preserve">) </w:t>
      </w:r>
      <w:r w:rsidRPr="006B39AC">
        <w:t>1,2,3-Propanetriol, trinitrate</w:t>
      </w:r>
      <w:r w:rsidRPr="00DB0A36">
        <w:t>:</w:t>
      </w:r>
      <w:r>
        <w:t xml:space="preserve"> </w:t>
      </w:r>
      <w:r w:rsidRPr="00DB0A36">
        <w:t xml:space="preserve">Human </w:t>
      </w:r>
      <w:r w:rsidRPr="004633BA">
        <w:t xml:space="preserve">health </w:t>
      </w:r>
      <w:sdt>
        <w:sdtPr>
          <w:id w:val="-1295753243"/>
          <w:temporary/>
          <w:showingPlcHdr/>
        </w:sdtPr>
        <w:sdtEndPr/>
        <w:sdtContent>
          <w:r w:rsidRPr="005F4305">
            <w:t>tier II</w:t>
          </w:r>
        </w:sdtContent>
      </w:sdt>
      <w:r w:rsidRPr="004633BA">
        <w:t xml:space="preserve"> assessment </w:t>
      </w:r>
      <w:r w:rsidRPr="00DB0A36">
        <w:t>– IMAP report.</w:t>
      </w:r>
    </w:p>
    <w:p w14:paraId="57A8121A" w14:textId="27C42A7E" w:rsidR="00CC1D36" w:rsidRDefault="00CC1D36" w:rsidP="00CC1D36">
      <w:pPr>
        <w:rPr>
          <w:b/>
        </w:rPr>
      </w:pPr>
      <w:r w:rsidRPr="00D86E03">
        <w:t>US National Institute for Occupational Safety and Health (NIOSH)</w:t>
      </w:r>
      <w:r>
        <w:t xml:space="preserve"> (</w:t>
      </w:r>
      <w:sdt>
        <w:sdtPr>
          <w:id w:val="-1194999823"/>
          <w:temporary/>
          <w:showingPlcHdr/>
        </w:sdtPr>
        <w:sdtEndPr/>
        <w:sdtContent>
          <w:r w:rsidRPr="003374F3">
            <w:t>1994</w:t>
          </w:r>
        </w:sdtContent>
      </w:sdt>
      <w:r>
        <w:t xml:space="preserve">) Immediately dangerous to life or health concentrations – </w:t>
      </w:r>
      <w:proofErr w:type="spellStart"/>
      <w:r w:rsidR="003374F3">
        <w:t>n</w:t>
      </w:r>
      <w:r w:rsidR="003374F3" w:rsidRPr="003374F3">
        <w:t>itroglycerine</w:t>
      </w:r>
      <w:proofErr w:type="spellEnd"/>
      <w:r>
        <w:t>.</w:t>
      </w:r>
    </w:p>
    <w:p w14:paraId="72E2DA3D" w14:textId="55B9C2CE" w:rsidR="0024790E" w:rsidRPr="00351FE0" w:rsidRDefault="0024790E" w:rsidP="0024790E">
      <w:r>
        <w:t xml:space="preserve">US National Institute for Occupational Safety and Health (NIOSH) (2011) Skin Notation Profiles: </w:t>
      </w:r>
      <w:proofErr w:type="spellStart"/>
      <w:r>
        <w:t>Nitroglycerin</w:t>
      </w:r>
      <w:proofErr w:type="spellEnd"/>
      <w:r>
        <w:t xml:space="preserve"> </w:t>
      </w:r>
    </w:p>
    <w:p w14:paraId="36DD9428" w14:textId="77777777" w:rsidR="00CC1D36" w:rsidRPr="00351FE0" w:rsidRDefault="00CC1D36" w:rsidP="00084859"/>
    <w:sectPr w:rsidR="00CC1D36" w:rsidRPr="00351FE0" w:rsidSect="00B87D4C">
      <w:headerReference w:type="even" r:id="rId17"/>
      <w:headerReference w:type="default" r:id="rId18"/>
      <w:headerReference w:type="first" r:id="rId19"/>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96A83" w14:textId="77777777" w:rsidR="00273097" w:rsidRDefault="00273097" w:rsidP="00F43AD5">
      <w:pPr>
        <w:spacing w:after="0" w:line="240" w:lineRule="auto"/>
      </w:pPr>
      <w:r>
        <w:separator/>
      </w:r>
    </w:p>
  </w:endnote>
  <w:endnote w:type="continuationSeparator" w:id="0">
    <w:p w14:paraId="71FEF997" w14:textId="77777777" w:rsidR="00273097" w:rsidRDefault="00273097" w:rsidP="00F4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EAFDC" w14:textId="77777777" w:rsidR="0026079D" w:rsidRDefault="002607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787447"/>
      <w:docPartObj>
        <w:docPartGallery w:val="Page Numbers (Bottom of Page)"/>
        <w:docPartUnique/>
      </w:docPartObj>
    </w:sdtPr>
    <w:sdtEndPr>
      <w:rPr>
        <w:noProof/>
        <w:sz w:val="18"/>
        <w:szCs w:val="18"/>
      </w:rPr>
    </w:sdtEndPr>
    <w:sdtContent>
      <w:p w14:paraId="0373F85B" w14:textId="39DE8CD1" w:rsidR="00273097" w:rsidRDefault="00273097" w:rsidP="0034744C">
        <w:pPr>
          <w:pStyle w:val="Footer"/>
          <w:rPr>
            <w:sz w:val="18"/>
            <w:szCs w:val="18"/>
          </w:rPr>
        </w:pPr>
        <w:proofErr w:type="spellStart"/>
        <w:r>
          <w:rPr>
            <w:b/>
            <w:sz w:val="18"/>
            <w:szCs w:val="18"/>
          </w:rPr>
          <w:t>Nitroglycerine</w:t>
        </w:r>
        <w:proofErr w:type="spellEnd"/>
        <w:r>
          <w:rPr>
            <w:b/>
            <w:sz w:val="18"/>
            <w:szCs w:val="18"/>
          </w:rPr>
          <w:t xml:space="preserve"> (NG) (</w:t>
        </w:r>
        <w:r w:rsidRPr="00AB7081">
          <w:rPr>
            <w:b/>
            <w:sz w:val="18"/>
            <w:szCs w:val="18"/>
          </w:rPr>
          <w:t>55-63-0</w:t>
        </w:r>
        <w:r>
          <w:rPr>
            <w:b/>
            <w:sz w:val="18"/>
            <w:szCs w:val="18"/>
          </w:rPr>
          <w:t>)</w:t>
        </w:r>
        <w:r w:rsidRPr="00F43AD5">
          <w:rPr>
            <w:sz w:val="18"/>
            <w:szCs w:val="18"/>
          </w:rPr>
          <w:br/>
          <w:t xml:space="preserve">Safe Work Australia </w:t>
        </w:r>
        <w:r w:rsidRPr="00F43AD5">
          <w:rPr>
            <w:rFonts w:ascii="Courier New" w:hAnsi="Courier New" w:cs="Courier New"/>
            <w:sz w:val="18"/>
            <w:szCs w:val="18"/>
          </w:rPr>
          <w:t>—</w:t>
        </w:r>
        <w:r w:rsidRPr="00F43AD5">
          <w:rPr>
            <w:sz w:val="18"/>
            <w:szCs w:val="18"/>
          </w:rPr>
          <w:t xml:space="preserve"> 20</w:t>
        </w:r>
        <w:r>
          <w:rPr>
            <w:sz w:val="18"/>
            <w:szCs w:val="18"/>
          </w:rPr>
          <w:t>20</w:t>
        </w:r>
      </w:p>
      <w:p w14:paraId="130B7D4C" w14:textId="7665CC3D" w:rsidR="00273097" w:rsidRPr="00F43AD5" w:rsidRDefault="00273097" w:rsidP="00A27E2D">
        <w:pPr>
          <w:pStyle w:val="Footer"/>
          <w:jc w:val="right"/>
          <w:rPr>
            <w:sz w:val="18"/>
            <w:szCs w:val="18"/>
          </w:rPr>
        </w:pPr>
        <w:r w:rsidRPr="00F43AD5">
          <w:rPr>
            <w:sz w:val="18"/>
            <w:szCs w:val="18"/>
          </w:rPr>
          <w:fldChar w:fldCharType="begin"/>
        </w:r>
        <w:r w:rsidRPr="00F43AD5">
          <w:rPr>
            <w:sz w:val="18"/>
            <w:szCs w:val="18"/>
          </w:rPr>
          <w:instrText xml:space="preserve"> PAGE   \* MERGEFORMAT </w:instrText>
        </w:r>
        <w:r w:rsidRPr="00F43AD5">
          <w:rPr>
            <w:sz w:val="18"/>
            <w:szCs w:val="18"/>
          </w:rPr>
          <w:fldChar w:fldCharType="separate"/>
        </w:r>
        <w:r w:rsidR="0042110F">
          <w:rPr>
            <w:noProof/>
            <w:sz w:val="18"/>
            <w:szCs w:val="18"/>
          </w:rPr>
          <w:t>7</w:t>
        </w:r>
        <w:r w:rsidRPr="00F43AD5">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DCCFA" w14:textId="77777777" w:rsidR="0026079D" w:rsidRDefault="00260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3E47F" w14:textId="77777777" w:rsidR="00273097" w:rsidRDefault="00273097" w:rsidP="00F43AD5">
      <w:pPr>
        <w:spacing w:after="0" w:line="240" w:lineRule="auto"/>
      </w:pPr>
      <w:r>
        <w:separator/>
      </w:r>
    </w:p>
  </w:footnote>
  <w:footnote w:type="continuationSeparator" w:id="0">
    <w:p w14:paraId="50907EA1" w14:textId="77777777" w:rsidR="00273097" w:rsidRDefault="00273097" w:rsidP="00F43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BF4EE" w14:textId="05609A66" w:rsidR="0026079D" w:rsidRDefault="0026079D">
    <w:pPr>
      <w:pStyle w:val="Header"/>
    </w:pPr>
    <w:r>
      <w:rPr>
        <w:noProof/>
      </w:rPr>
      <w:pict w14:anchorId="261818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236735" o:spid="_x0000_s20482"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4C73D" w14:textId="4E971D56" w:rsidR="00273097" w:rsidRDefault="0026079D" w:rsidP="00F43AD5">
    <w:pPr>
      <w:pStyle w:val="Header"/>
      <w:jc w:val="right"/>
    </w:pPr>
    <w:r>
      <w:rPr>
        <w:noProof/>
      </w:rPr>
      <w:pict w14:anchorId="53BB2C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236736" o:spid="_x0000_s20483" type="#_x0000_t136" style="position:absolute;left:0;text-align:left;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r w:rsidR="00273097">
      <w:rPr>
        <w:noProof/>
        <w:lang w:eastAsia="en-AU"/>
      </w:rPr>
      <w:drawing>
        <wp:inline distT="0" distB="0" distL="0" distR="0" wp14:anchorId="04ED6269" wp14:editId="21E5020E">
          <wp:extent cx="2938272" cy="594360"/>
          <wp:effectExtent l="0" t="0" r="0" b="0"/>
          <wp:docPr id="2" name="Picture 2" descr="Safe Work Australia logo"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8272" cy="5943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D1C20" w14:textId="474BAEE1" w:rsidR="0026079D" w:rsidRDefault="0026079D">
    <w:pPr>
      <w:pStyle w:val="Header"/>
    </w:pPr>
    <w:r>
      <w:rPr>
        <w:noProof/>
      </w:rPr>
      <w:pict w14:anchorId="633019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236734" o:spid="_x0000_s20481"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2E33A" w14:textId="7F4B6038" w:rsidR="0026079D" w:rsidRDefault="0026079D">
    <w:pPr>
      <w:pStyle w:val="Header"/>
    </w:pPr>
    <w:r>
      <w:rPr>
        <w:noProof/>
      </w:rPr>
      <w:pict w14:anchorId="28D144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236738" o:spid="_x0000_s20485" type="#_x0000_t136" style="position:absolute;margin-left:0;margin-top:0;width:454.5pt;height:181.8pt;rotation:315;z-index:-251649024;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FF7E7" w14:textId="207B5361" w:rsidR="00273097" w:rsidRDefault="0026079D" w:rsidP="00F43AD5">
    <w:pPr>
      <w:pStyle w:val="Header"/>
      <w:jc w:val="right"/>
    </w:pPr>
    <w:r>
      <w:rPr>
        <w:noProof/>
      </w:rPr>
      <w:pict w14:anchorId="18A22B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236739" o:spid="_x0000_s20486" type="#_x0000_t136" style="position:absolute;left:0;text-align:left;margin-left:0;margin-top:0;width:454.5pt;height:181.8pt;rotation:315;z-index:-251646976;mso-position-horizontal:center;mso-position-horizontal-relative:margin;mso-position-vertical:center;mso-position-vertical-relative:margin" o:allowincell="f" fillcolor="silver" stroked="f">
          <v:fill opacity=".5"/>
          <v:textpath style="font-family:&quot;Arial&quot;;font-size:1pt" string="DRAFT"/>
        </v:shape>
      </w:pict>
    </w:r>
    <w:r>
      <w:rPr>
        <w:noProof/>
      </w:rPr>
      <w:drawing>
        <wp:inline distT="0" distB="0" distL="0" distR="0" wp14:anchorId="404F5B36" wp14:editId="3F6B00FC">
          <wp:extent cx="2938145" cy="594360"/>
          <wp:effectExtent l="0" t="0" r="0" b="0"/>
          <wp:docPr id="1" name="Picture 1" descr="Safe Work Australia logo" title="Image"/>
          <wp:cNvGraphicFramePr/>
          <a:graphic xmlns:a="http://schemas.openxmlformats.org/drawingml/2006/main">
            <a:graphicData uri="http://schemas.openxmlformats.org/drawingml/2006/picture">
              <pic:pic xmlns:pic="http://schemas.openxmlformats.org/drawingml/2006/picture">
                <pic:nvPicPr>
                  <pic:cNvPr id="2" name="Picture 2" descr="Safe Work Australia logo" title="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8145" cy="59436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B8099" w14:textId="40E4271A" w:rsidR="0026079D" w:rsidRDefault="0026079D">
    <w:pPr>
      <w:pStyle w:val="Header"/>
    </w:pPr>
    <w:r>
      <w:rPr>
        <w:noProof/>
      </w:rPr>
      <w:pict w14:anchorId="372C7D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236737" o:spid="_x0000_s20484" type="#_x0000_t136" style="position:absolute;margin-left:0;margin-top:0;width:454.5pt;height:181.8pt;rotation:315;z-index:-251651072;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50B7A"/>
    <w:multiLevelType w:val="hybridMultilevel"/>
    <w:tmpl w:val="6FE8904E"/>
    <w:lvl w:ilvl="0" w:tplc="9976CB3C">
      <w:start w:val="8"/>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63E44C8"/>
    <w:multiLevelType w:val="hybridMultilevel"/>
    <w:tmpl w:val="A8DEBEC0"/>
    <w:lvl w:ilvl="0" w:tplc="90A803DE">
      <w:start w:val="2"/>
      <w:numFmt w:val="bullet"/>
      <w:lvlText w:val="-"/>
      <w:lvlJc w:val="left"/>
      <w:pPr>
        <w:ind w:left="677" w:hanging="360"/>
      </w:pPr>
      <w:rPr>
        <w:rFonts w:ascii="Arial" w:eastAsiaTheme="minorHAnsi" w:hAnsi="Arial" w:cs="Arial" w:hint="default"/>
      </w:rPr>
    </w:lvl>
    <w:lvl w:ilvl="1" w:tplc="0C090003" w:tentative="1">
      <w:start w:val="1"/>
      <w:numFmt w:val="bullet"/>
      <w:lvlText w:val="o"/>
      <w:lvlJc w:val="left"/>
      <w:pPr>
        <w:ind w:left="1397" w:hanging="360"/>
      </w:pPr>
      <w:rPr>
        <w:rFonts w:ascii="Courier New" w:hAnsi="Courier New" w:cs="Courier New" w:hint="default"/>
      </w:rPr>
    </w:lvl>
    <w:lvl w:ilvl="2" w:tplc="0C090005" w:tentative="1">
      <w:start w:val="1"/>
      <w:numFmt w:val="bullet"/>
      <w:lvlText w:val=""/>
      <w:lvlJc w:val="left"/>
      <w:pPr>
        <w:ind w:left="2117" w:hanging="360"/>
      </w:pPr>
      <w:rPr>
        <w:rFonts w:ascii="Wingdings" w:hAnsi="Wingdings" w:hint="default"/>
      </w:rPr>
    </w:lvl>
    <w:lvl w:ilvl="3" w:tplc="0C090001" w:tentative="1">
      <w:start w:val="1"/>
      <w:numFmt w:val="bullet"/>
      <w:lvlText w:val=""/>
      <w:lvlJc w:val="left"/>
      <w:pPr>
        <w:ind w:left="2837" w:hanging="360"/>
      </w:pPr>
      <w:rPr>
        <w:rFonts w:ascii="Symbol" w:hAnsi="Symbol" w:hint="default"/>
      </w:rPr>
    </w:lvl>
    <w:lvl w:ilvl="4" w:tplc="0C090003" w:tentative="1">
      <w:start w:val="1"/>
      <w:numFmt w:val="bullet"/>
      <w:lvlText w:val="o"/>
      <w:lvlJc w:val="left"/>
      <w:pPr>
        <w:ind w:left="3557" w:hanging="360"/>
      </w:pPr>
      <w:rPr>
        <w:rFonts w:ascii="Courier New" w:hAnsi="Courier New" w:cs="Courier New" w:hint="default"/>
      </w:rPr>
    </w:lvl>
    <w:lvl w:ilvl="5" w:tplc="0C090005" w:tentative="1">
      <w:start w:val="1"/>
      <w:numFmt w:val="bullet"/>
      <w:lvlText w:val=""/>
      <w:lvlJc w:val="left"/>
      <w:pPr>
        <w:ind w:left="4277" w:hanging="360"/>
      </w:pPr>
      <w:rPr>
        <w:rFonts w:ascii="Wingdings" w:hAnsi="Wingdings" w:hint="default"/>
      </w:rPr>
    </w:lvl>
    <w:lvl w:ilvl="6" w:tplc="0C090001" w:tentative="1">
      <w:start w:val="1"/>
      <w:numFmt w:val="bullet"/>
      <w:lvlText w:val=""/>
      <w:lvlJc w:val="left"/>
      <w:pPr>
        <w:ind w:left="4997" w:hanging="360"/>
      </w:pPr>
      <w:rPr>
        <w:rFonts w:ascii="Symbol" w:hAnsi="Symbol" w:hint="default"/>
      </w:rPr>
    </w:lvl>
    <w:lvl w:ilvl="7" w:tplc="0C090003" w:tentative="1">
      <w:start w:val="1"/>
      <w:numFmt w:val="bullet"/>
      <w:lvlText w:val="o"/>
      <w:lvlJc w:val="left"/>
      <w:pPr>
        <w:ind w:left="5717" w:hanging="360"/>
      </w:pPr>
      <w:rPr>
        <w:rFonts w:ascii="Courier New" w:hAnsi="Courier New" w:cs="Courier New" w:hint="default"/>
      </w:rPr>
    </w:lvl>
    <w:lvl w:ilvl="8" w:tplc="0C090005" w:tentative="1">
      <w:start w:val="1"/>
      <w:numFmt w:val="bullet"/>
      <w:lvlText w:val=""/>
      <w:lvlJc w:val="left"/>
      <w:pPr>
        <w:ind w:left="6437" w:hanging="360"/>
      </w:pPr>
      <w:rPr>
        <w:rFonts w:ascii="Wingdings" w:hAnsi="Wingdings" w:hint="default"/>
      </w:rPr>
    </w:lvl>
  </w:abstractNum>
  <w:abstractNum w:abstractNumId="2" w15:restartNumberingAfterBreak="0">
    <w:nsid w:val="7B9B4D97"/>
    <w:multiLevelType w:val="hybridMultilevel"/>
    <w:tmpl w:val="340ABA3E"/>
    <w:lvl w:ilvl="0" w:tplc="BF00F4FE">
      <w:start w:val="8"/>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7"/>
    <o:shapelayout v:ext="edit">
      <o:idmap v:ext="edit" data="2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xAppendixName" w:val="Appendix"/>
  </w:docVars>
  <w:rsids>
    <w:rsidRoot w:val="00610F2E"/>
    <w:rsid w:val="00000109"/>
    <w:rsid w:val="00007B80"/>
    <w:rsid w:val="00013A22"/>
    <w:rsid w:val="00014C3F"/>
    <w:rsid w:val="00015F6D"/>
    <w:rsid w:val="00017BD3"/>
    <w:rsid w:val="00017C82"/>
    <w:rsid w:val="00032351"/>
    <w:rsid w:val="00032B88"/>
    <w:rsid w:val="00046DF5"/>
    <w:rsid w:val="00052060"/>
    <w:rsid w:val="0005574A"/>
    <w:rsid w:val="00055FE1"/>
    <w:rsid w:val="00056EC2"/>
    <w:rsid w:val="00060B48"/>
    <w:rsid w:val="00066908"/>
    <w:rsid w:val="00067F32"/>
    <w:rsid w:val="00071807"/>
    <w:rsid w:val="000803E1"/>
    <w:rsid w:val="00083533"/>
    <w:rsid w:val="00084513"/>
    <w:rsid w:val="00084859"/>
    <w:rsid w:val="00092D94"/>
    <w:rsid w:val="000B0868"/>
    <w:rsid w:val="000B3E12"/>
    <w:rsid w:val="000B3E78"/>
    <w:rsid w:val="000B7B48"/>
    <w:rsid w:val="000C096D"/>
    <w:rsid w:val="000C139A"/>
    <w:rsid w:val="000C2053"/>
    <w:rsid w:val="000C248C"/>
    <w:rsid w:val="000D291C"/>
    <w:rsid w:val="000E5A54"/>
    <w:rsid w:val="000E63D3"/>
    <w:rsid w:val="000E67CF"/>
    <w:rsid w:val="0010461E"/>
    <w:rsid w:val="00106FAA"/>
    <w:rsid w:val="00113443"/>
    <w:rsid w:val="001269A7"/>
    <w:rsid w:val="00131092"/>
    <w:rsid w:val="00140E6A"/>
    <w:rsid w:val="00146545"/>
    <w:rsid w:val="00146B75"/>
    <w:rsid w:val="0015266D"/>
    <w:rsid w:val="0015288A"/>
    <w:rsid w:val="00160F47"/>
    <w:rsid w:val="001613F1"/>
    <w:rsid w:val="00177CA1"/>
    <w:rsid w:val="00183823"/>
    <w:rsid w:val="00183942"/>
    <w:rsid w:val="00197092"/>
    <w:rsid w:val="00197A30"/>
    <w:rsid w:val="001A009E"/>
    <w:rsid w:val="001A1287"/>
    <w:rsid w:val="001A3859"/>
    <w:rsid w:val="001A3C9D"/>
    <w:rsid w:val="001A3D52"/>
    <w:rsid w:val="001A43F8"/>
    <w:rsid w:val="001A5C46"/>
    <w:rsid w:val="001B79E5"/>
    <w:rsid w:val="001D56F0"/>
    <w:rsid w:val="001D663B"/>
    <w:rsid w:val="001D7B41"/>
    <w:rsid w:val="001E46DA"/>
    <w:rsid w:val="001E7D80"/>
    <w:rsid w:val="001F4B6C"/>
    <w:rsid w:val="001F62CB"/>
    <w:rsid w:val="001F6ED0"/>
    <w:rsid w:val="001F72E6"/>
    <w:rsid w:val="001F73C5"/>
    <w:rsid w:val="002046A6"/>
    <w:rsid w:val="00204956"/>
    <w:rsid w:val="00213640"/>
    <w:rsid w:val="00221547"/>
    <w:rsid w:val="002216FC"/>
    <w:rsid w:val="00222533"/>
    <w:rsid w:val="00222F30"/>
    <w:rsid w:val="00224EE2"/>
    <w:rsid w:val="00227BA8"/>
    <w:rsid w:val="00227EC7"/>
    <w:rsid w:val="00244AD1"/>
    <w:rsid w:val="002463BC"/>
    <w:rsid w:val="002465CE"/>
    <w:rsid w:val="0024790E"/>
    <w:rsid w:val="0025448B"/>
    <w:rsid w:val="0025734A"/>
    <w:rsid w:val="0026079D"/>
    <w:rsid w:val="00263255"/>
    <w:rsid w:val="00273097"/>
    <w:rsid w:val="00276494"/>
    <w:rsid w:val="00277B0C"/>
    <w:rsid w:val="002A1F95"/>
    <w:rsid w:val="002A34BF"/>
    <w:rsid w:val="002B1A2C"/>
    <w:rsid w:val="002C34F2"/>
    <w:rsid w:val="002C58FF"/>
    <w:rsid w:val="002C7AFE"/>
    <w:rsid w:val="002D05D2"/>
    <w:rsid w:val="002E0D61"/>
    <w:rsid w:val="002E0F60"/>
    <w:rsid w:val="002E4C7B"/>
    <w:rsid w:val="00303D06"/>
    <w:rsid w:val="0030740C"/>
    <w:rsid w:val="00307504"/>
    <w:rsid w:val="00315833"/>
    <w:rsid w:val="0031765E"/>
    <w:rsid w:val="003215EE"/>
    <w:rsid w:val="003224BF"/>
    <w:rsid w:val="003241A8"/>
    <w:rsid w:val="003253F0"/>
    <w:rsid w:val="003337DA"/>
    <w:rsid w:val="00334EFB"/>
    <w:rsid w:val="00335CDE"/>
    <w:rsid w:val="003365A5"/>
    <w:rsid w:val="003374F3"/>
    <w:rsid w:val="00343D55"/>
    <w:rsid w:val="00347192"/>
    <w:rsid w:val="0034744C"/>
    <w:rsid w:val="00351FE0"/>
    <w:rsid w:val="00352615"/>
    <w:rsid w:val="0035412B"/>
    <w:rsid w:val="003567A8"/>
    <w:rsid w:val="00362895"/>
    <w:rsid w:val="00363704"/>
    <w:rsid w:val="00370DBF"/>
    <w:rsid w:val="00386093"/>
    <w:rsid w:val="003904A4"/>
    <w:rsid w:val="00391841"/>
    <w:rsid w:val="00391B6D"/>
    <w:rsid w:val="00394922"/>
    <w:rsid w:val="003A0E32"/>
    <w:rsid w:val="003A2B94"/>
    <w:rsid w:val="003B387D"/>
    <w:rsid w:val="003B6B0A"/>
    <w:rsid w:val="003C0D58"/>
    <w:rsid w:val="003D4FA3"/>
    <w:rsid w:val="003E0807"/>
    <w:rsid w:val="003E1F43"/>
    <w:rsid w:val="003E51FB"/>
    <w:rsid w:val="003E6B39"/>
    <w:rsid w:val="003F07E1"/>
    <w:rsid w:val="004030BC"/>
    <w:rsid w:val="00403F7D"/>
    <w:rsid w:val="00406785"/>
    <w:rsid w:val="004079B4"/>
    <w:rsid w:val="00417A56"/>
    <w:rsid w:val="00420957"/>
    <w:rsid w:val="0042110F"/>
    <w:rsid w:val="00422A10"/>
    <w:rsid w:val="00430179"/>
    <w:rsid w:val="0043122A"/>
    <w:rsid w:val="004414B5"/>
    <w:rsid w:val="00444482"/>
    <w:rsid w:val="00444B42"/>
    <w:rsid w:val="00445E44"/>
    <w:rsid w:val="004509E2"/>
    <w:rsid w:val="004515EE"/>
    <w:rsid w:val="004529F0"/>
    <w:rsid w:val="00460A03"/>
    <w:rsid w:val="004669EC"/>
    <w:rsid w:val="00472A11"/>
    <w:rsid w:val="00472AAD"/>
    <w:rsid w:val="00474E33"/>
    <w:rsid w:val="00476803"/>
    <w:rsid w:val="00485BFD"/>
    <w:rsid w:val="004867A2"/>
    <w:rsid w:val="004873F2"/>
    <w:rsid w:val="00490D4C"/>
    <w:rsid w:val="00493A35"/>
    <w:rsid w:val="0049527A"/>
    <w:rsid w:val="004966BF"/>
    <w:rsid w:val="00497984"/>
    <w:rsid w:val="004A5088"/>
    <w:rsid w:val="004B068A"/>
    <w:rsid w:val="004C08C4"/>
    <w:rsid w:val="004C1E3F"/>
    <w:rsid w:val="004C23F4"/>
    <w:rsid w:val="004C3475"/>
    <w:rsid w:val="004C46F6"/>
    <w:rsid w:val="004C58B6"/>
    <w:rsid w:val="004D16A3"/>
    <w:rsid w:val="004D29B6"/>
    <w:rsid w:val="004D4AA1"/>
    <w:rsid w:val="004D6D68"/>
    <w:rsid w:val="004E2DBB"/>
    <w:rsid w:val="004E5EDD"/>
    <w:rsid w:val="004E6AA6"/>
    <w:rsid w:val="004F448A"/>
    <w:rsid w:val="004F493D"/>
    <w:rsid w:val="004F65E8"/>
    <w:rsid w:val="0050005E"/>
    <w:rsid w:val="00502B88"/>
    <w:rsid w:val="005142C4"/>
    <w:rsid w:val="0051509C"/>
    <w:rsid w:val="005272E2"/>
    <w:rsid w:val="0053108F"/>
    <w:rsid w:val="00532B56"/>
    <w:rsid w:val="00534B10"/>
    <w:rsid w:val="005446A2"/>
    <w:rsid w:val="00544D2F"/>
    <w:rsid w:val="00551BD8"/>
    <w:rsid w:val="00581055"/>
    <w:rsid w:val="00591E38"/>
    <w:rsid w:val="00593F41"/>
    <w:rsid w:val="005A19C5"/>
    <w:rsid w:val="005A3034"/>
    <w:rsid w:val="005A462D"/>
    <w:rsid w:val="005B253B"/>
    <w:rsid w:val="005B771D"/>
    <w:rsid w:val="005C1783"/>
    <w:rsid w:val="005C5D16"/>
    <w:rsid w:val="005D3193"/>
    <w:rsid w:val="005D4A6E"/>
    <w:rsid w:val="005E1234"/>
    <w:rsid w:val="005E6979"/>
    <w:rsid w:val="005E75CB"/>
    <w:rsid w:val="005E79FA"/>
    <w:rsid w:val="006013C1"/>
    <w:rsid w:val="00604C77"/>
    <w:rsid w:val="0060669E"/>
    <w:rsid w:val="00610F2E"/>
    <w:rsid w:val="00611399"/>
    <w:rsid w:val="00616399"/>
    <w:rsid w:val="006178A4"/>
    <w:rsid w:val="00624C4E"/>
    <w:rsid w:val="00625200"/>
    <w:rsid w:val="00633907"/>
    <w:rsid w:val="006363A8"/>
    <w:rsid w:val="00636DB7"/>
    <w:rsid w:val="006446F6"/>
    <w:rsid w:val="00650905"/>
    <w:rsid w:val="006532ED"/>
    <w:rsid w:val="006549F2"/>
    <w:rsid w:val="006567B7"/>
    <w:rsid w:val="00657BFB"/>
    <w:rsid w:val="0066333C"/>
    <w:rsid w:val="006639B4"/>
    <w:rsid w:val="006650FE"/>
    <w:rsid w:val="0067305D"/>
    <w:rsid w:val="00677D9B"/>
    <w:rsid w:val="006867F3"/>
    <w:rsid w:val="00687890"/>
    <w:rsid w:val="006901A2"/>
    <w:rsid w:val="00690368"/>
    <w:rsid w:val="0069079C"/>
    <w:rsid w:val="00690B53"/>
    <w:rsid w:val="00695B72"/>
    <w:rsid w:val="006A5A31"/>
    <w:rsid w:val="006B160A"/>
    <w:rsid w:val="006B39AC"/>
    <w:rsid w:val="006B4E6C"/>
    <w:rsid w:val="006B50B6"/>
    <w:rsid w:val="006B7F88"/>
    <w:rsid w:val="006C5790"/>
    <w:rsid w:val="006D79EA"/>
    <w:rsid w:val="006E5D05"/>
    <w:rsid w:val="00701053"/>
    <w:rsid w:val="00701507"/>
    <w:rsid w:val="007074A7"/>
    <w:rsid w:val="00712E1C"/>
    <w:rsid w:val="00714021"/>
    <w:rsid w:val="00716A0F"/>
    <w:rsid w:val="00717D45"/>
    <w:rsid w:val="007208F7"/>
    <w:rsid w:val="007218AF"/>
    <w:rsid w:val="007365D1"/>
    <w:rsid w:val="00740E0E"/>
    <w:rsid w:val="00750212"/>
    <w:rsid w:val="00754779"/>
    <w:rsid w:val="0075716D"/>
    <w:rsid w:val="007632D8"/>
    <w:rsid w:val="00765F14"/>
    <w:rsid w:val="00770E31"/>
    <w:rsid w:val="007770F1"/>
    <w:rsid w:val="00783FB1"/>
    <w:rsid w:val="00785CDD"/>
    <w:rsid w:val="00791847"/>
    <w:rsid w:val="007925F0"/>
    <w:rsid w:val="007939B3"/>
    <w:rsid w:val="0079509C"/>
    <w:rsid w:val="007955D7"/>
    <w:rsid w:val="00796708"/>
    <w:rsid w:val="007B1B42"/>
    <w:rsid w:val="007C30EB"/>
    <w:rsid w:val="007E063C"/>
    <w:rsid w:val="007E2A4B"/>
    <w:rsid w:val="007E307D"/>
    <w:rsid w:val="007E4DE8"/>
    <w:rsid w:val="007E6A4E"/>
    <w:rsid w:val="007E6C94"/>
    <w:rsid w:val="007F1005"/>
    <w:rsid w:val="007F25E0"/>
    <w:rsid w:val="007F5328"/>
    <w:rsid w:val="0080066F"/>
    <w:rsid w:val="00804F5A"/>
    <w:rsid w:val="0081029D"/>
    <w:rsid w:val="00810C6D"/>
    <w:rsid w:val="00812887"/>
    <w:rsid w:val="00826F21"/>
    <w:rsid w:val="00834CC8"/>
    <w:rsid w:val="00835E00"/>
    <w:rsid w:val="00837113"/>
    <w:rsid w:val="008414E4"/>
    <w:rsid w:val="00843314"/>
    <w:rsid w:val="00843E21"/>
    <w:rsid w:val="0084508E"/>
    <w:rsid w:val="00853E50"/>
    <w:rsid w:val="00854EC6"/>
    <w:rsid w:val="00857A8A"/>
    <w:rsid w:val="008630EE"/>
    <w:rsid w:val="00864AC2"/>
    <w:rsid w:val="00864D13"/>
    <w:rsid w:val="00864D3F"/>
    <w:rsid w:val="00871CD5"/>
    <w:rsid w:val="008745A2"/>
    <w:rsid w:val="008768A8"/>
    <w:rsid w:val="0088798F"/>
    <w:rsid w:val="00887E4B"/>
    <w:rsid w:val="008915C8"/>
    <w:rsid w:val="008A36CF"/>
    <w:rsid w:val="008A3BC4"/>
    <w:rsid w:val="008B403C"/>
    <w:rsid w:val="008B7983"/>
    <w:rsid w:val="008C2511"/>
    <w:rsid w:val="008D026D"/>
    <w:rsid w:val="008D23AB"/>
    <w:rsid w:val="008D4B8B"/>
    <w:rsid w:val="008D5A78"/>
    <w:rsid w:val="008E7B64"/>
    <w:rsid w:val="008F56BE"/>
    <w:rsid w:val="008F5DCD"/>
    <w:rsid w:val="00900951"/>
    <w:rsid w:val="009118A6"/>
    <w:rsid w:val="009168EA"/>
    <w:rsid w:val="00916909"/>
    <w:rsid w:val="00916EC0"/>
    <w:rsid w:val="00920467"/>
    <w:rsid w:val="00921DE7"/>
    <w:rsid w:val="00923285"/>
    <w:rsid w:val="00930260"/>
    <w:rsid w:val="0093041A"/>
    <w:rsid w:val="00930714"/>
    <w:rsid w:val="00931B03"/>
    <w:rsid w:val="009323B9"/>
    <w:rsid w:val="00932DCE"/>
    <w:rsid w:val="0093327E"/>
    <w:rsid w:val="00934028"/>
    <w:rsid w:val="0093760E"/>
    <w:rsid w:val="00946044"/>
    <w:rsid w:val="0094660B"/>
    <w:rsid w:val="00946A33"/>
    <w:rsid w:val="009478FD"/>
    <w:rsid w:val="00947A7F"/>
    <w:rsid w:val="0095260E"/>
    <w:rsid w:val="00957409"/>
    <w:rsid w:val="009578DD"/>
    <w:rsid w:val="00961124"/>
    <w:rsid w:val="009621B6"/>
    <w:rsid w:val="00974F2D"/>
    <w:rsid w:val="00977524"/>
    <w:rsid w:val="00977E88"/>
    <w:rsid w:val="00984920"/>
    <w:rsid w:val="00984B21"/>
    <w:rsid w:val="009924DA"/>
    <w:rsid w:val="0099303A"/>
    <w:rsid w:val="009971C2"/>
    <w:rsid w:val="009A1254"/>
    <w:rsid w:val="009A40B0"/>
    <w:rsid w:val="009B2FF2"/>
    <w:rsid w:val="009B380C"/>
    <w:rsid w:val="009B4843"/>
    <w:rsid w:val="009B6543"/>
    <w:rsid w:val="009C199D"/>
    <w:rsid w:val="009C278F"/>
    <w:rsid w:val="009C2B94"/>
    <w:rsid w:val="009C5142"/>
    <w:rsid w:val="009C5874"/>
    <w:rsid w:val="009D3B5A"/>
    <w:rsid w:val="009E0C05"/>
    <w:rsid w:val="009E0D1C"/>
    <w:rsid w:val="009E2214"/>
    <w:rsid w:val="009E355A"/>
    <w:rsid w:val="009E63E2"/>
    <w:rsid w:val="009F04D2"/>
    <w:rsid w:val="009F05CF"/>
    <w:rsid w:val="009F0F3A"/>
    <w:rsid w:val="009F29CE"/>
    <w:rsid w:val="009F343C"/>
    <w:rsid w:val="00A01D0C"/>
    <w:rsid w:val="00A0643F"/>
    <w:rsid w:val="00A067EE"/>
    <w:rsid w:val="00A10FCE"/>
    <w:rsid w:val="00A16D91"/>
    <w:rsid w:val="00A174CC"/>
    <w:rsid w:val="00A2073D"/>
    <w:rsid w:val="00A20751"/>
    <w:rsid w:val="00A27E2D"/>
    <w:rsid w:val="00A30124"/>
    <w:rsid w:val="00A31D99"/>
    <w:rsid w:val="00A357BA"/>
    <w:rsid w:val="00A35ADC"/>
    <w:rsid w:val="00A402A3"/>
    <w:rsid w:val="00A53681"/>
    <w:rsid w:val="00A633D4"/>
    <w:rsid w:val="00A634B3"/>
    <w:rsid w:val="00A6461A"/>
    <w:rsid w:val="00A84504"/>
    <w:rsid w:val="00A8672F"/>
    <w:rsid w:val="00A93057"/>
    <w:rsid w:val="00A968B0"/>
    <w:rsid w:val="00AA27B7"/>
    <w:rsid w:val="00AB2672"/>
    <w:rsid w:val="00AB2817"/>
    <w:rsid w:val="00AB43C4"/>
    <w:rsid w:val="00AB7081"/>
    <w:rsid w:val="00AC32E7"/>
    <w:rsid w:val="00AC3A9F"/>
    <w:rsid w:val="00AC6D2F"/>
    <w:rsid w:val="00AE2745"/>
    <w:rsid w:val="00AE2F64"/>
    <w:rsid w:val="00AF42CB"/>
    <w:rsid w:val="00AF483F"/>
    <w:rsid w:val="00AF5E07"/>
    <w:rsid w:val="00AF5F06"/>
    <w:rsid w:val="00B00A25"/>
    <w:rsid w:val="00B1422A"/>
    <w:rsid w:val="00B16B35"/>
    <w:rsid w:val="00B1765C"/>
    <w:rsid w:val="00B213C4"/>
    <w:rsid w:val="00B24B8B"/>
    <w:rsid w:val="00B40C60"/>
    <w:rsid w:val="00B479A9"/>
    <w:rsid w:val="00B52EDF"/>
    <w:rsid w:val="00B647C5"/>
    <w:rsid w:val="00B71188"/>
    <w:rsid w:val="00B76A41"/>
    <w:rsid w:val="00B87D4C"/>
    <w:rsid w:val="00B93646"/>
    <w:rsid w:val="00BA0B38"/>
    <w:rsid w:val="00BA1DBB"/>
    <w:rsid w:val="00BA4510"/>
    <w:rsid w:val="00BA529A"/>
    <w:rsid w:val="00BB0541"/>
    <w:rsid w:val="00BB1424"/>
    <w:rsid w:val="00BB612A"/>
    <w:rsid w:val="00BC39ED"/>
    <w:rsid w:val="00BC7054"/>
    <w:rsid w:val="00BD499F"/>
    <w:rsid w:val="00BD56DE"/>
    <w:rsid w:val="00BF2406"/>
    <w:rsid w:val="00C06E43"/>
    <w:rsid w:val="00C15574"/>
    <w:rsid w:val="00C16315"/>
    <w:rsid w:val="00C3091E"/>
    <w:rsid w:val="00C40FF1"/>
    <w:rsid w:val="00C41105"/>
    <w:rsid w:val="00C419E2"/>
    <w:rsid w:val="00C5020E"/>
    <w:rsid w:val="00C52C84"/>
    <w:rsid w:val="00C57452"/>
    <w:rsid w:val="00C61EDF"/>
    <w:rsid w:val="00C6239D"/>
    <w:rsid w:val="00C6594B"/>
    <w:rsid w:val="00C65DA0"/>
    <w:rsid w:val="00C67FFB"/>
    <w:rsid w:val="00C7155E"/>
    <w:rsid w:val="00C71D1E"/>
    <w:rsid w:val="00C71D7D"/>
    <w:rsid w:val="00C74833"/>
    <w:rsid w:val="00C774DA"/>
    <w:rsid w:val="00C776C7"/>
    <w:rsid w:val="00C850A0"/>
    <w:rsid w:val="00C85A86"/>
    <w:rsid w:val="00C978F0"/>
    <w:rsid w:val="00CA58FE"/>
    <w:rsid w:val="00CB1CB1"/>
    <w:rsid w:val="00CB6BC1"/>
    <w:rsid w:val="00CB6CB8"/>
    <w:rsid w:val="00CC1A68"/>
    <w:rsid w:val="00CC1D36"/>
    <w:rsid w:val="00CC2123"/>
    <w:rsid w:val="00CD2BFD"/>
    <w:rsid w:val="00CD4962"/>
    <w:rsid w:val="00CE1C38"/>
    <w:rsid w:val="00CE5AD6"/>
    <w:rsid w:val="00CE5D6C"/>
    <w:rsid w:val="00CE617F"/>
    <w:rsid w:val="00CE78EF"/>
    <w:rsid w:val="00D048F7"/>
    <w:rsid w:val="00D0517E"/>
    <w:rsid w:val="00D140FC"/>
    <w:rsid w:val="00D15D31"/>
    <w:rsid w:val="00D1625C"/>
    <w:rsid w:val="00D21D8C"/>
    <w:rsid w:val="00D2383C"/>
    <w:rsid w:val="00D31357"/>
    <w:rsid w:val="00D33220"/>
    <w:rsid w:val="00D334D1"/>
    <w:rsid w:val="00D42583"/>
    <w:rsid w:val="00D44C89"/>
    <w:rsid w:val="00D516CD"/>
    <w:rsid w:val="00D668E6"/>
    <w:rsid w:val="00D70670"/>
    <w:rsid w:val="00D74D80"/>
    <w:rsid w:val="00D76624"/>
    <w:rsid w:val="00D87570"/>
    <w:rsid w:val="00D91CB9"/>
    <w:rsid w:val="00D97989"/>
    <w:rsid w:val="00D97D8D"/>
    <w:rsid w:val="00DA352E"/>
    <w:rsid w:val="00DC7694"/>
    <w:rsid w:val="00DD1BF6"/>
    <w:rsid w:val="00DD2F9B"/>
    <w:rsid w:val="00DE2027"/>
    <w:rsid w:val="00DE2513"/>
    <w:rsid w:val="00DE26E8"/>
    <w:rsid w:val="00DF5F5C"/>
    <w:rsid w:val="00DF6F36"/>
    <w:rsid w:val="00E0084C"/>
    <w:rsid w:val="00E01F40"/>
    <w:rsid w:val="00E025AB"/>
    <w:rsid w:val="00E02B23"/>
    <w:rsid w:val="00E06F40"/>
    <w:rsid w:val="00E07CE8"/>
    <w:rsid w:val="00E26A07"/>
    <w:rsid w:val="00E32595"/>
    <w:rsid w:val="00E35193"/>
    <w:rsid w:val="00E35293"/>
    <w:rsid w:val="00E37CFD"/>
    <w:rsid w:val="00E41A26"/>
    <w:rsid w:val="00E46BCB"/>
    <w:rsid w:val="00E51CAF"/>
    <w:rsid w:val="00E60F04"/>
    <w:rsid w:val="00E62AAC"/>
    <w:rsid w:val="00E67C2F"/>
    <w:rsid w:val="00E67EF5"/>
    <w:rsid w:val="00E7668E"/>
    <w:rsid w:val="00E804EA"/>
    <w:rsid w:val="00E80A71"/>
    <w:rsid w:val="00E82337"/>
    <w:rsid w:val="00E92499"/>
    <w:rsid w:val="00E949AF"/>
    <w:rsid w:val="00E96077"/>
    <w:rsid w:val="00EA0A06"/>
    <w:rsid w:val="00EA409E"/>
    <w:rsid w:val="00EA6243"/>
    <w:rsid w:val="00EA74AB"/>
    <w:rsid w:val="00EB3D1B"/>
    <w:rsid w:val="00EB44DF"/>
    <w:rsid w:val="00ED1D89"/>
    <w:rsid w:val="00ED66BC"/>
    <w:rsid w:val="00ED6983"/>
    <w:rsid w:val="00EE7982"/>
    <w:rsid w:val="00EF233A"/>
    <w:rsid w:val="00EF303E"/>
    <w:rsid w:val="00EF3A40"/>
    <w:rsid w:val="00EF742D"/>
    <w:rsid w:val="00EF7F78"/>
    <w:rsid w:val="00F01B08"/>
    <w:rsid w:val="00F01C4D"/>
    <w:rsid w:val="00F02E0A"/>
    <w:rsid w:val="00F053FA"/>
    <w:rsid w:val="00F10C97"/>
    <w:rsid w:val="00F11C71"/>
    <w:rsid w:val="00F16019"/>
    <w:rsid w:val="00F16F8D"/>
    <w:rsid w:val="00F20699"/>
    <w:rsid w:val="00F20E68"/>
    <w:rsid w:val="00F22093"/>
    <w:rsid w:val="00F236DF"/>
    <w:rsid w:val="00F43AD5"/>
    <w:rsid w:val="00F4402E"/>
    <w:rsid w:val="00F56DD0"/>
    <w:rsid w:val="00F621D8"/>
    <w:rsid w:val="00F6491C"/>
    <w:rsid w:val="00F67BBB"/>
    <w:rsid w:val="00F87D92"/>
    <w:rsid w:val="00F906C8"/>
    <w:rsid w:val="00F90AA7"/>
    <w:rsid w:val="00F92498"/>
    <w:rsid w:val="00F9496B"/>
    <w:rsid w:val="00F970C9"/>
    <w:rsid w:val="00FA06A8"/>
    <w:rsid w:val="00FA3DF5"/>
    <w:rsid w:val="00FA6D60"/>
    <w:rsid w:val="00FA714B"/>
    <w:rsid w:val="00FA741F"/>
    <w:rsid w:val="00FB4E07"/>
    <w:rsid w:val="00FB755A"/>
    <w:rsid w:val="00FC60A2"/>
    <w:rsid w:val="00FD1871"/>
    <w:rsid w:val="00FD3110"/>
    <w:rsid w:val="00FE6708"/>
    <w:rsid w:val="00FF5C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7"/>
    <o:shapelayout v:ext="edit">
      <o:idmap v:ext="edit" data="1"/>
    </o:shapelayout>
  </w:shapeDefaults>
  <w:decimalSymbol w:val="."/>
  <w:listSeparator w:val=","/>
  <w14:docId w14:val="519CB6C2"/>
  <w15:docId w15:val="{17D0BA17-3D0C-497E-8DB9-33D804C8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3220"/>
    <w:pPr>
      <w:spacing w:after="120"/>
    </w:pPr>
  </w:style>
  <w:style w:type="paragraph" w:styleId="Heading1">
    <w:name w:val="heading 1"/>
    <w:basedOn w:val="Normal"/>
    <w:next w:val="Normal"/>
    <w:link w:val="Heading1Char"/>
    <w:qFormat/>
    <w:rsid w:val="00AE2745"/>
    <w:pPr>
      <w:keepNext/>
      <w:spacing w:before="360" w:after="240" w:line="240" w:lineRule="auto"/>
      <w:outlineLvl w:val="0"/>
    </w:pPr>
    <w:rPr>
      <w:rFonts w:ascii="Arial Bold" w:eastAsiaTheme="majorEastAsia" w:hAnsi="Arial Bold" w:cstheme="majorBidi"/>
      <w:b/>
      <w:bCs/>
      <w:caps/>
      <w:kern w:val="32"/>
      <w:sz w:val="36"/>
      <w:szCs w:val="40"/>
      <w:lang w:eastAsia="en-AU"/>
    </w:rPr>
  </w:style>
  <w:style w:type="paragraph" w:styleId="Heading2">
    <w:name w:val="heading 2"/>
    <w:basedOn w:val="Normal"/>
    <w:next w:val="Normal"/>
    <w:link w:val="Heading2Char"/>
    <w:unhideWhenUsed/>
    <w:qFormat/>
    <w:rsid w:val="00AE2745"/>
    <w:pPr>
      <w:keepNext/>
      <w:spacing w:before="240" w:line="240" w:lineRule="auto"/>
      <w:outlineLvl w:val="1"/>
    </w:pPr>
    <w:rPr>
      <w:rFonts w:eastAsiaTheme="majorEastAsia" w:cs="Arial"/>
      <w:b/>
      <w:bCs/>
      <w:iCs/>
      <w:color w:val="000000" w:themeColor="text1"/>
      <w:sz w:val="28"/>
      <w:szCs w:val="32"/>
      <w:lang w:eastAsia="en-AU"/>
    </w:rPr>
  </w:style>
  <w:style w:type="paragraph" w:styleId="Heading3">
    <w:name w:val="heading 3"/>
    <w:basedOn w:val="Normal"/>
    <w:next w:val="Normal"/>
    <w:link w:val="Heading3Char"/>
    <w:uiPriority w:val="9"/>
    <w:unhideWhenUsed/>
    <w:qFormat/>
    <w:rsid w:val="002E0D61"/>
    <w:pPr>
      <w:keepNext/>
      <w:spacing w:before="240" w:line="240" w:lineRule="auto"/>
      <w:outlineLvl w:val="2"/>
    </w:pPr>
    <w:rPr>
      <w:rFonts w:eastAsiaTheme="majorEastAsia" w:cs="Arial"/>
      <w:b/>
      <w:bCs/>
      <w:color w:val="000000" w:themeColor="text1"/>
      <w:sz w:val="24"/>
      <w:lang w:eastAsia="en-AU"/>
    </w:rPr>
  </w:style>
  <w:style w:type="paragraph" w:styleId="Heading4">
    <w:name w:val="heading 4"/>
    <w:basedOn w:val="Normal"/>
    <w:next w:val="Normal"/>
    <w:link w:val="Heading4Char"/>
    <w:uiPriority w:val="9"/>
    <w:semiHidden/>
    <w:unhideWhenUsed/>
    <w:qFormat/>
    <w:rsid w:val="00AF5E07"/>
    <w:pPr>
      <w:spacing w:before="200" w:after="0" w:line="240" w:lineRule="auto"/>
      <w:outlineLvl w:val="3"/>
    </w:pPr>
    <w:rPr>
      <w:rFonts w:eastAsiaTheme="majorEastAsia" w:cstheme="majorBidi"/>
      <w:b/>
      <w:bCs/>
      <w:i/>
      <w:iCs/>
      <w:lang w:eastAsia="en-AU"/>
    </w:rPr>
  </w:style>
  <w:style w:type="paragraph" w:styleId="Heading5">
    <w:name w:val="heading 5"/>
    <w:basedOn w:val="Normal"/>
    <w:next w:val="Normal"/>
    <w:link w:val="Heading5Char"/>
    <w:uiPriority w:val="9"/>
    <w:semiHidden/>
    <w:unhideWhenUsed/>
    <w:qFormat/>
    <w:rsid w:val="00C61EDF"/>
    <w:pPr>
      <w:spacing w:before="200" w:after="0" w:line="240" w:lineRule="auto"/>
      <w:outlineLvl w:val="4"/>
    </w:pPr>
    <w:rPr>
      <w:rFonts w:asciiTheme="majorHAnsi" w:eastAsiaTheme="majorEastAsia" w:hAnsiTheme="majorHAnsi" w:cstheme="majorBidi"/>
      <w:b/>
      <w:bCs/>
      <w:color w:val="7F7F7F" w:themeColor="text1" w:themeTint="8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AD5"/>
  </w:style>
  <w:style w:type="paragraph" w:styleId="Footer">
    <w:name w:val="footer"/>
    <w:basedOn w:val="Normal"/>
    <w:link w:val="FooterChar"/>
    <w:uiPriority w:val="99"/>
    <w:unhideWhenUsed/>
    <w:rsid w:val="00F43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AD5"/>
  </w:style>
  <w:style w:type="paragraph" w:styleId="BalloonText">
    <w:name w:val="Balloon Text"/>
    <w:basedOn w:val="Normal"/>
    <w:link w:val="BalloonTextChar"/>
    <w:uiPriority w:val="99"/>
    <w:semiHidden/>
    <w:unhideWhenUsed/>
    <w:rsid w:val="00F43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AD5"/>
    <w:rPr>
      <w:rFonts w:ascii="Tahoma" w:hAnsi="Tahoma" w:cs="Tahoma"/>
      <w:sz w:val="16"/>
      <w:szCs w:val="16"/>
    </w:rPr>
  </w:style>
  <w:style w:type="paragraph" w:customStyle="1" w:styleId="ChemicalName">
    <w:name w:val="Chemical Name"/>
    <w:basedOn w:val="Normal"/>
    <w:next w:val="Normal"/>
    <w:qFormat/>
    <w:rsid w:val="00F43AD5"/>
    <w:rPr>
      <w:rFonts w:ascii="Arial Bold" w:hAnsi="Arial Bold"/>
      <w:b/>
      <w:caps/>
      <w:sz w:val="28"/>
    </w:rPr>
  </w:style>
  <w:style w:type="table" w:styleId="TableGrid">
    <w:name w:val="Table Grid"/>
    <w:basedOn w:val="TableNormal"/>
    <w:uiPriority w:val="59"/>
    <w:rsid w:val="00717D45"/>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1CB1"/>
    <w:rPr>
      <w:color w:val="808080"/>
    </w:rPr>
  </w:style>
  <w:style w:type="character" w:customStyle="1" w:styleId="Heading1Char">
    <w:name w:val="Heading 1 Char"/>
    <w:basedOn w:val="DefaultParagraphFont"/>
    <w:link w:val="Heading1"/>
    <w:rsid w:val="00AE2745"/>
    <w:rPr>
      <w:rFonts w:ascii="Arial Bold" w:eastAsiaTheme="majorEastAsia" w:hAnsi="Arial Bold" w:cstheme="majorBidi"/>
      <w:b/>
      <w:bCs/>
      <w:caps/>
      <w:kern w:val="32"/>
      <w:sz w:val="36"/>
      <w:szCs w:val="40"/>
      <w:lang w:eastAsia="en-AU"/>
    </w:rPr>
  </w:style>
  <w:style w:type="paragraph" w:customStyle="1" w:styleId="Tablefont">
    <w:name w:val="Table font"/>
    <w:basedOn w:val="Normal"/>
    <w:qFormat/>
    <w:rsid w:val="002C58FF"/>
    <w:pPr>
      <w:spacing w:before="80" w:after="80" w:line="240" w:lineRule="auto"/>
    </w:pPr>
    <w:rPr>
      <w:lang w:eastAsia="en-AU"/>
    </w:rPr>
  </w:style>
  <w:style w:type="paragraph" w:customStyle="1" w:styleId="Tableheader">
    <w:name w:val="Table header"/>
    <w:basedOn w:val="Tablefont"/>
    <w:qFormat/>
    <w:rsid w:val="00263255"/>
    <w:pPr>
      <w:spacing w:before="60" w:after="60"/>
    </w:pPr>
    <w:rPr>
      <w:b/>
      <w:bCs/>
      <w:color w:val="000000" w:themeColor="text1"/>
    </w:rPr>
  </w:style>
  <w:style w:type="character" w:customStyle="1" w:styleId="checkbox">
    <w:name w:val="checkbox"/>
    <w:basedOn w:val="DefaultParagraphFont"/>
    <w:uiPriority w:val="1"/>
    <w:rsid w:val="00687890"/>
    <w:rPr>
      <w:rFonts w:ascii="Wingdings" w:hAnsi="Wingdings"/>
    </w:rPr>
  </w:style>
  <w:style w:type="character" w:customStyle="1" w:styleId="WESstatus">
    <w:name w:val="WES status"/>
    <w:basedOn w:val="DefaultParagraphFont"/>
    <w:uiPriority w:val="1"/>
    <w:rsid w:val="007F1005"/>
    <w:rPr>
      <w:b w:val="0"/>
      <w:color w:val="A6A6A6" w:themeColor="background1" w:themeShade="A6"/>
    </w:rPr>
  </w:style>
  <w:style w:type="table" w:customStyle="1" w:styleId="TableGrid1">
    <w:name w:val="Table Grid1"/>
    <w:basedOn w:val="TableNormal"/>
    <w:next w:val="TableGrid"/>
    <w:uiPriority w:val="59"/>
    <w:rsid w:val="000C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E2745"/>
    <w:rPr>
      <w:rFonts w:eastAsiaTheme="majorEastAsia" w:cs="Arial"/>
      <w:b/>
      <w:bCs/>
      <w:iCs/>
      <w:color w:val="000000" w:themeColor="text1"/>
      <w:sz w:val="28"/>
      <w:szCs w:val="32"/>
      <w:lang w:eastAsia="en-AU"/>
    </w:rPr>
  </w:style>
  <w:style w:type="character" w:customStyle="1" w:styleId="Heading3Char">
    <w:name w:val="Heading 3 Char"/>
    <w:basedOn w:val="DefaultParagraphFont"/>
    <w:link w:val="Heading3"/>
    <w:uiPriority w:val="9"/>
    <w:rsid w:val="002E0D61"/>
    <w:rPr>
      <w:rFonts w:eastAsiaTheme="majorEastAsia" w:cs="Arial"/>
      <w:b/>
      <w:bCs/>
      <w:color w:val="000000" w:themeColor="text1"/>
      <w:sz w:val="24"/>
      <w:lang w:eastAsia="en-AU"/>
    </w:rPr>
  </w:style>
  <w:style w:type="character" w:customStyle="1" w:styleId="Heading4Char">
    <w:name w:val="Heading 4 Char"/>
    <w:basedOn w:val="DefaultParagraphFont"/>
    <w:link w:val="Heading4"/>
    <w:uiPriority w:val="9"/>
    <w:semiHidden/>
    <w:rsid w:val="00AF5E07"/>
    <w:rPr>
      <w:rFonts w:eastAsiaTheme="majorEastAsia" w:cstheme="majorBidi"/>
      <w:b/>
      <w:bCs/>
      <w:i/>
      <w:iCs/>
      <w:lang w:eastAsia="en-AU"/>
    </w:rPr>
  </w:style>
  <w:style w:type="character" w:customStyle="1" w:styleId="Heading5Char">
    <w:name w:val="Heading 5 Char"/>
    <w:basedOn w:val="DefaultParagraphFont"/>
    <w:link w:val="Heading5"/>
    <w:uiPriority w:val="9"/>
    <w:semiHidden/>
    <w:rsid w:val="00C61EDF"/>
    <w:rPr>
      <w:rFonts w:asciiTheme="majorHAnsi" w:eastAsiaTheme="majorEastAsia" w:hAnsiTheme="majorHAnsi" w:cstheme="majorBidi"/>
      <w:b/>
      <w:bCs/>
      <w:color w:val="7F7F7F" w:themeColor="text1" w:themeTint="80"/>
      <w:lang w:eastAsia="en-AU"/>
    </w:rPr>
  </w:style>
  <w:style w:type="paragraph" w:styleId="Title">
    <w:name w:val="Title"/>
    <w:basedOn w:val="Normal"/>
    <w:next w:val="Heading1"/>
    <w:link w:val="TitleChar"/>
    <w:qFormat/>
    <w:rsid w:val="006532ED"/>
    <w:pPr>
      <w:spacing w:before="240" w:after="60" w:line="240" w:lineRule="auto"/>
      <w:jc w:val="center"/>
      <w:outlineLvl w:val="0"/>
    </w:pPr>
    <w:rPr>
      <w:rFonts w:eastAsiaTheme="majorEastAsia" w:cstheme="majorBidi"/>
      <w:b/>
      <w:bCs/>
      <w:kern w:val="28"/>
      <w:sz w:val="72"/>
      <w:szCs w:val="32"/>
      <w:lang w:eastAsia="en-AU"/>
    </w:rPr>
  </w:style>
  <w:style w:type="character" w:customStyle="1" w:styleId="TitleChar">
    <w:name w:val="Title Char"/>
    <w:basedOn w:val="DefaultParagraphFont"/>
    <w:link w:val="Title"/>
    <w:rsid w:val="006532ED"/>
    <w:rPr>
      <w:rFonts w:eastAsiaTheme="majorEastAsia" w:cstheme="majorBidi"/>
      <w:b/>
      <w:bCs/>
      <w:kern w:val="28"/>
      <w:sz w:val="72"/>
      <w:szCs w:val="32"/>
      <w:lang w:eastAsia="en-AU"/>
    </w:rPr>
  </w:style>
  <w:style w:type="paragraph" w:styleId="Subtitle">
    <w:name w:val="Subtitle"/>
    <w:basedOn w:val="Normal"/>
    <w:next w:val="Normal"/>
    <w:link w:val="SubtitleChar"/>
    <w:uiPriority w:val="11"/>
    <w:qFormat/>
    <w:rsid w:val="006532ED"/>
    <w:pPr>
      <w:numPr>
        <w:ilvl w:val="1"/>
      </w:numPr>
    </w:pPr>
    <w:rPr>
      <w:rFonts w:eastAsiaTheme="majorEastAsia" w:cstheme="majorBidi"/>
      <w:i/>
      <w:iCs/>
      <w:color w:val="7F7F7F" w:themeColor="text1" w:themeTint="80"/>
      <w:spacing w:val="15"/>
      <w:sz w:val="24"/>
      <w:szCs w:val="24"/>
    </w:rPr>
  </w:style>
  <w:style w:type="character" w:customStyle="1" w:styleId="SubtitleChar">
    <w:name w:val="Subtitle Char"/>
    <w:basedOn w:val="DefaultParagraphFont"/>
    <w:link w:val="Subtitle"/>
    <w:uiPriority w:val="11"/>
    <w:rsid w:val="006532ED"/>
    <w:rPr>
      <w:rFonts w:eastAsiaTheme="majorEastAsia" w:cstheme="majorBidi"/>
      <w:i/>
      <w:iCs/>
      <w:color w:val="7F7F7F" w:themeColor="text1" w:themeTint="80"/>
      <w:spacing w:val="15"/>
      <w:sz w:val="24"/>
      <w:szCs w:val="24"/>
    </w:rPr>
  </w:style>
  <w:style w:type="character" w:styleId="IntenseEmphasis">
    <w:name w:val="Intense Emphasis"/>
    <w:basedOn w:val="DefaultParagraphFont"/>
    <w:uiPriority w:val="21"/>
    <w:qFormat/>
    <w:rsid w:val="006532ED"/>
    <w:rPr>
      <w:rFonts w:ascii="Arial" w:hAnsi="Arial"/>
      <w:b/>
      <w:bCs/>
      <w:i/>
      <w:iCs/>
      <w:color w:val="7F7F7F" w:themeColor="text1" w:themeTint="80"/>
    </w:rPr>
  </w:style>
  <w:style w:type="paragraph" w:customStyle="1" w:styleId="Tableitalics">
    <w:name w:val="Table italics"/>
    <w:basedOn w:val="Tablefont"/>
    <w:qFormat/>
    <w:rsid w:val="00717D45"/>
    <w:pPr>
      <w:jc w:val="right"/>
    </w:pPr>
    <w:rPr>
      <w:i/>
    </w:rPr>
  </w:style>
  <w:style w:type="table" w:styleId="LightList-Accent1">
    <w:name w:val="Light List Accent 1"/>
    <w:basedOn w:val="TableNormal"/>
    <w:uiPriority w:val="61"/>
    <w:rsid w:val="00D048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E307D"/>
    <w:pPr>
      <w:spacing w:before="80" w:after="80" w:line="240" w:lineRule="auto"/>
    </w:pPr>
    <w:tblPr>
      <w:tblStyleRowBandSize w:val="1"/>
      <w:tblStyleColBandSize w:val="1"/>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dotted" w:sz="4" w:space="0" w:color="808080" w:themeColor="background1" w:themeShade="80"/>
      </w:tblBorders>
    </w:tblPr>
    <w:tblStylePr w:type="firstRow">
      <w:pPr>
        <w:spacing w:before="0" w:after="0" w:line="240" w:lineRule="auto"/>
      </w:pPr>
      <w:rPr>
        <w:b/>
        <w:bCs/>
        <w:color w:val="FFFFFF" w:themeColor="background1"/>
      </w:rPr>
      <w:tblPr/>
      <w:tcPr>
        <w:shd w:val="clear" w:color="auto" w:fill="7F7F7F" w:themeFill="text1" w:themeFillTint="8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dotted" w:sz="4" w:space="0" w:color="808080" w:themeColor="background1" w:themeShade="80"/>
          <w:left w:val="single" w:sz="8" w:space="0" w:color="7F7F7F" w:themeColor="text1" w:themeTint="80"/>
          <w:bottom w:val="dotted" w:sz="4" w:space="0" w:color="808080" w:themeColor="background1" w:themeShade="80"/>
          <w:right w:val="single" w:sz="8" w:space="0" w:color="7F7F7F" w:themeColor="text1" w:themeTint="80"/>
          <w:insideH w:val="nil"/>
          <w:insideV w:val="nil"/>
          <w:tl2br w:val="nil"/>
          <w:tr2bl w:val="nil"/>
        </w:tcBorders>
      </w:tcPr>
    </w:tblStylePr>
  </w:style>
  <w:style w:type="paragraph" w:styleId="IntenseQuote">
    <w:name w:val="Intense Quote"/>
    <w:basedOn w:val="Normal"/>
    <w:next w:val="Normal"/>
    <w:link w:val="IntenseQuoteChar"/>
    <w:uiPriority w:val="30"/>
    <w:qFormat/>
    <w:rsid w:val="00D33220"/>
    <w:pPr>
      <w:pBdr>
        <w:bottom w:val="single" w:sz="4" w:space="4" w:color="7F7F7F" w:themeColor="text1" w:themeTint="80"/>
      </w:pBdr>
      <w:spacing w:before="200" w:after="280"/>
      <w:ind w:left="936" w:right="936"/>
    </w:pPr>
    <w:rPr>
      <w:b/>
      <w:bCs/>
      <w:i/>
      <w:iCs/>
      <w:color w:val="808080" w:themeColor="background1" w:themeShade="80"/>
    </w:rPr>
  </w:style>
  <w:style w:type="character" w:customStyle="1" w:styleId="IntenseQuoteChar">
    <w:name w:val="Intense Quote Char"/>
    <w:basedOn w:val="DefaultParagraphFont"/>
    <w:link w:val="IntenseQuote"/>
    <w:uiPriority w:val="30"/>
    <w:rsid w:val="00D33220"/>
    <w:rPr>
      <w:b/>
      <w:bCs/>
      <w:i/>
      <w:iCs/>
      <w:color w:val="808080" w:themeColor="background1" w:themeShade="80"/>
    </w:rPr>
  </w:style>
  <w:style w:type="character" w:styleId="SubtleReference">
    <w:name w:val="Subtle Reference"/>
    <w:basedOn w:val="DefaultParagraphFont"/>
    <w:uiPriority w:val="31"/>
    <w:qFormat/>
    <w:rsid w:val="00AF5E07"/>
    <w:rPr>
      <w:rFonts w:ascii="Arial" w:hAnsi="Arial"/>
      <w:smallCaps/>
      <w:color w:val="000000" w:themeColor="text1"/>
      <w:u w:val="single"/>
    </w:rPr>
  </w:style>
  <w:style w:type="character" w:styleId="IntenseReference">
    <w:name w:val="Intense Reference"/>
    <w:basedOn w:val="DefaultParagraphFont"/>
    <w:uiPriority w:val="32"/>
    <w:qFormat/>
    <w:rsid w:val="00AF5E07"/>
    <w:rPr>
      <w:rFonts w:ascii="Arial" w:hAnsi="Arial"/>
      <w:b/>
      <w:bCs/>
      <w:smallCaps/>
      <w:color w:val="000000" w:themeColor="text1"/>
      <w:spacing w:val="5"/>
      <w:u w:val="single"/>
    </w:rPr>
  </w:style>
  <w:style w:type="character" w:styleId="Strong">
    <w:name w:val="Strong"/>
    <w:basedOn w:val="DefaultParagraphFont"/>
    <w:uiPriority w:val="22"/>
    <w:qFormat/>
    <w:rsid w:val="007770F1"/>
    <w:rPr>
      <w:b/>
      <w:bCs/>
    </w:rPr>
  </w:style>
  <w:style w:type="paragraph" w:styleId="NoSpacing">
    <w:name w:val="No Spacing"/>
    <w:uiPriority w:val="1"/>
    <w:qFormat/>
    <w:rsid w:val="00717D45"/>
    <w:pPr>
      <w:spacing w:after="0" w:line="240" w:lineRule="auto"/>
    </w:pPr>
  </w:style>
  <w:style w:type="paragraph" w:customStyle="1" w:styleId="WES">
    <w:name w:val="WES"/>
    <w:basedOn w:val="Tablefont"/>
    <w:qFormat/>
    <w:rsid w:val="00AE2745"/>
    <w:pPr>
      <w:spacing w:before="240" w:after="120"/>
    </w:pPr>
    <w:rPr>
      <w:b/>
      <w:sz w:val="24"/>
    </w:rPr>
  </w:style>
  <w:style w:type="paragraph" w:customStyle="1" w:styleId="Tablerowheading">
    <w:name w:val="Table row heading"/>
    <w:basedOn w:val="Normal"/>
    <w:qFormat/>
    <w:rsid w:val="00D33220"/>
    <w:pPr>
      <w:spacing w:before="80" w:after="80" w:line="240" w:lineRule="auto"/>
    </w:pPr>
    <w:rPr>
      <w:b/>
      <w:lang w:eastAsia="en-AU"/>
    </w:rPr>
  </w:style>
  <w:style w:type="paragraph" w:customStyle="1" w:styleId="Tablerowright">
    <w:name w:val="Table row right"/>
    <w:basedOn w:val="Tablerowheading"/>
    <w:qFormat/>
    <w:rsid w:val="00921DE7"/>
    <w:pPr>
      <w:jc w:val="right"/>
    </w:pPr>
  </w:style>
  <w:style w:type="paragraph" w:customStyle="1" w:styleId="Tablerowheadingitalic">
    <w:name w:val="Table row heading italic"/>
    <w:basedOn w:val="Tablerowheading"/>
    <w:qFormat/>
    <w:rsid w:val="003365A5"/>
    <w:pPr>
      <w:keepNext/>
      <w:keepLines/>
      <w:tabs>
        <w:tab w:val="left" w:pos="2268"/>
        <w:tab w:val="left" w:pos="5670"/>
      </w:tabs>
    </w:pPr>
    <w:rPr>
      <w:i/>
    </w:rPr>
  </w:style>
  <w:style w:type="paragraph" w:customStyle="1" w:styleId="Tabletextprimarysource">
    <w:name w:val="Table text primary source"/>
    <w:basedOn w:val="Normal"/>
    <w:qFormat/>
    <w:rsid w:val="003365A5"/>
    <w:pPr>
      <w:spacing w:before="60" w:after="60" w:line="240" w:lineRule="auto"/>
    </w:pPr>
  </w:style>
  <w:style w:type="paragraph" w:styleId="z-TopofForm">
    <w:name w:val="HTML Top of Form"/>
    <w:basedOn w:val="Normal"/>
    <w:next w:val="Normal"/>
    <w:link w:val="z-TopofFormChar"/>
    <w:hidden/>
    <w:uiPriority w:val="99"/>
    <w:semiHidden/>
    <w:unhideWhenUsed/>
    <w:rsid w:val="00F9496B"/>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F9496B"/>
    <w:rPr>
      <w:rFonts w:cs="Arial"/>
      <w:vanish/>
      <w:sz w:val="16"/>
      <w:szCs w:val="16"/>
    </w:rPr>
  </w:style>
  <w:style w:type="paragraph" w:styleId="z-BottomofForm">
    <w:name w:val="HTML Bottom of Form"/>
    <w:basedOn w:val="Normal"/>
    <w:next w:val="Normal"/>
    <w:link w:val="z-BottomofFormChar"/>
    <w:hidden/>
    <w:uiPriority w:val="99"/>
    <w:semiHidden/>
    <w:unhideWhenUsed/>
    <w:rsid w:val="00F9496B"/>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F9496B"/>
    <w:rPr>
      <w:rFonts w:cs="Arial"/>
      <w:vanish/>
      <w:sz w:val="16"/>
      <w:szCs w:val="16"/>
    </w:rPr>
  </w:style>
  <w:style w:type="character" w:styleId="Hyperlink">
    <w:name w:val="Hyperlink"/>
    <w:basedOn w:val="DefaultParagraphFont"/>
    <w:uiPriority w:val="99"/>
    <w:semiHidden/>
    <w:unhideWhenUsed/>
    <w:rsid w:val="006650FE"/>
    <w:rPr>
      <w:color w:val="0000FF" w:themeColor="hyperlink"/>
      <w:u w:val="single"/>
    </w:rPr>
  </w:style>
  <w:style w:type="paragraph" w:customStyle="1" w:styleId="SWALink">
    <w:name w:val="SWA Link"/>
    <w:basedOn w:val="Normal"/>
    <w:link w:val="SWALinkChar"/>
    <w:qFormat/>
    <w:rsid w:val="00DD2F9B"/>
    <w:pPr>
      <w:spacing w:line="240" w:lineRule="auto"/>
    </w:pPr>
    <w:rPr>
      <w:rFonts w:eastAsia="Times New Roman" w:cs="Times New Roman"/>
      <w:szCs w:val="24"/>
      <w:u w:val="single"/>
      <w:lang w:eastAsia="en-AU"/>
    </w:rPr>
  </w:style>
  <w:style w:type="character" w:customStyle="1" w:styleId="SWALinkChar">
    <w:name w:val="SWA Link Char"/>
    <w:basedOn w:val="DefaultParagraphFont"/>
    <w:link w:val="SWALink"/>
    <w:rsid w:val="00DD2F9B"/>
    <w:rPr>
      <w:rFonts w:eastAsia="Times New Roman" w:cs="Times New Roman"/>
      <w:szCs w:val="24"/>
      <w:u w:val="single"/>
      <w:lang w:eastAsia="en-AU"/>
    </w:rPr>
  </w:style>
  <w:style w:type="paragraph" w:customStyle="1" w:styleId="Tablefooter">
    <w:name w:val="Table footer"/>
    <w:basedOn w:val="Tablefont"/>
    <w:next w:val="Normal"/>
    <w:qFormat/>
    <w:rsid w:val="00485BFD"/>
    <w:pPr>
      <w:spacing w:before="0" w:after="240"/>
      <w:ind w:left="227"/>
    </w:pPr>
    <w:rPr>
      <w:sz w:val="17"/>
    </w:rPr>
  </w:style>
  <w:style w:type="character" w:styleId="CommentReference">
    <w:name w:val="annotation reference"/>
    <w:basedOn w:val="DefaultParagraphFont"/>
    <w:uiPriority w:val="99"/>
    <w:semiHidden/>
    <w:unhideWhenUsed/>
    <w:rsid w:val="001613F1"/>
    <w:rPr>
      <w:sz w:val="16"/>
      <w:szCs w:val="16"/>
    </w:rPr>
  </w:style>
  <w:style w:type="paragraph" w:styleId="CommentText">
    <w:name w:val="annotation text"/>
    <w:basedOn w:val="Normal"/>
    <w:link w:val="CommentTextChar"/>
    <w:uiPriority w:val="99"/>
    <w:semiHidden/>
    <w:unhideWhenUsed/>
    <w:rsid w:val="001613F1"/>
    <w:pPr>
      <w:spacing w:line="240" w:lineRule="auto"/>
    </w:pPr>
    <w:rPr>
      <w:szCs w:val="20"/>
    </w:rPr>
  </w:style>
  <w:style w:type="character" w:customStyle="1" w:styleId="CommentTextChar">
    <w:name w:val="Comment Text Char"/>
    <w:basedOn w:val="DefaultParagraphFont"/>
    <w:link w:val="CommentText"/>
    <w:uiPriority w:val="99"/>
    <w:semiHidden/>
    <w:rsid w:val="001613F1"/>
    <w:rPr>
      <w:szCs w:val="20"/>
    </w:rPr>
  </w:style>
  <w:style w:type="paragraph" w:styleId="CommentSubject">
    <w:name w:val="annotation subject"/>
    <w:basedOn w:val="CommentText"/>
    <w:next w:val="CommentText"/>
    <w:link w:val="CommentSubjectChar"/>
    <w:uiPriority w:val="99"/>
    <w:semiHidden/>
    <w:unhideWhenUsed/>
    <w:rsid w:val="001613F1"/>
    <w:rPr>
      <w:b/>
      <w:bCs/>
    </w:rPr>
  </w:style>
  <w:style w:type="character" w:customStyle="1" w:styleId="CommentSubjectChar">
    <w:name w:val="Comment Subject Char"/>
    <w:basedOn w:val="CommentTextChar"/>
    <w:link w:val="CommentSubject"/>
    <w:uiPriority w:val="99"/>
    <w:semiHidden/>
    <w:rsid w:val="001613F1"/>
    <w:rPr>
      <w:b/>
      <w:bCs/>
      <w:szCs w:val="20"/>
    </w:rPr>
  </w:style>
  <w:style w:type="table" w:styleId="LightShading-Accent2">
    <w:name w:val="Light Shading Accent 2"/>
    <w:aliases w:val="SWA Table Style"/>
    <w:basedOn w:val="TableNormal"/>
    <w:uiPriority w:val="60"/>
    <w:rsid w:val="00CC1D36"/>
    <w:pPr>
      <w:spacing w:before="120" w:after="120" w:line="240" w:lineRule="auto"/>
    </w:pPr>
    <w:rPr>
      <w:sz w:val="22"/>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2"/>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paragraph" w:styleId="Revision">
    <w:name w:val="Revision"/>
    <w:hidden/>
    <w:uiPriority w:val="99"/>
    <w:semiHidden/>
    <w:rsid w:val="00BB1424"/>
    <w:pPr>
      <w:spacing w:after="0" w:line="240" w:lineRule="auto"/>
    </w:pPr>
  </w:style>
  <w:style w:type="paragraph" w:styleId="ListParagraph">
    <w:name w:val="List Paragraph"/>
    <w:basedOn w:val="Normal"/>
    <w:uiPriority w:val="34"/>
    <w:qFormat/>
    <w:rsid w:val="00B16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974701">
      <w:bodyDiv w:val="1"/>
      <w:marLeft w:val="0"/>
      <w:marRight w:val="0"/>
      <w:marTop w:val="0"/>
      <w:marBottom w:val="0"/>
      <w:divBdr>
        <w:top w:val="none" w:sz="0" w:space="0" w:color="auto"/>
        <w:left w:val="none" w:sz="0" w:space="0" w:color="auto"/>
        <w:bottom w:val="none" w:sz="0" w:space="0" w:color="auto"/>
        <w:right w:val="none" w:sz="0" w:space="0" w:color="auto"/>
      </w:divBdr>
    </w:div>
    <w:div w:id="895091098">
      <w:bodyDiv w:val="1"/>
      <w:marLeft w:val="0"/>
      <w:marRight w:val="0"/>
      <w:marTop w:val="0"/>
      <w:marBottom w:val="0"/>
      <w:divBdr>
        <w:top w:val="none" w:sz="0" w:space="0" w:color="auto"/>
        <w:left w:val="none" w:sz="0" w:space="0" w:color="auto"/>
        <w:bottom w:val="none" w:sz="0" w:space="0" w:color="auto"/>
        <w:right w:val="none" w:sz="0" w:space="0" w:color="auto"/>
      </w:divBdr>
    </w:div>
    <w:div w:id="1341473523">
      <w:bodyDiv w:val="1"/>
      <w:marLeft w:val="0"/>
      <w:marRight w:val="0"/>
      <w:marTop w:val="0"/>
      <w:marBottom w:val="0"/>
      <w:divBdr>
        <w:top w:val="none" w:sz="0" w:space="0" w:color="auto"/>
        <w:left w:val="none" w:sz="0" w:space="0" w:color="auto"/>
        <w:bottom w:val="none" w:sz="0" w:space="0" w:color="auto"/>
        <w:right w:val="none" w:sz="0" w:space="0" w:color="auto"/>
      </w:divBdr>
    </w:div>
    <w:div w:id="139736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acgih.org/tlv-bei-guidelines/policies-procedures-presenta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1736E50B02464986D1BEC8B7ACDE96"/>
        <w:category>
          <w:name w:val="General"/>
          <w:gallery w:val="placeholder"/>
        </w:category>
        <w:types>
          <w:type w:val="bbPlcHdr"/>
        </w:types>
        <w:behaviors>
          <w:behavior w:val="content"/>
        </w:behaviors>
        <w:guid w:val="{C8D94199-680D-4E9C-9EF3-3D915D06B842}"/>
      </w:docPartPr>
      <w:docPartBody>
        <w:p w:rsidR="00D21A9F" w:rsidRDefault="00D21A9F">
          <w:pPr>
            <w:pStyle w:val="CE1736E50B02464986D1BEC8B7ACDE96"/>
          </w:pPr>
          <w:r>
            <w:rPr>
              <w:rStyle w:val="PlaceholderText"/>
            </w:rPr>
            <w:t>Nameofchemical</w:t>
          </w:r>
        </w:p>
      </w:docPartBody>
    </w:docPart>
    <w:docPart>
      <w:docPartPr>
        <w:name w:val="E23B83A762C94EBA8097A4DA3FB4D503"/>
        <w:category>
          <w:name w:val="General"/>
          <w:gallery w:val="placeholder"/>
        </w:category>
        <w:types>
          <w:type w:val="bbPlcHdr"/>
        </w:types>
        <w:behaviors>
          <w:behavior w:val="content"/>
        </w:behaviors>
        <w:guid w:val="{65A02F65-DBBA-4D5A-AAD5-C6FAA5E6CE0E}"/>
      </w:docPartPr>
      <w:docPartBody>
        <w:p w:rsidR="00D21A9F" w:rsidRDefault="00D21A9F">
          <w:pPr>
            <w:pStyle w:val="E23B83A762C94EBA8097A4DA3FB4D503"/>
          </w:pPr>
          <w:r>
            <w:rPr>
              <w:rStyle w:val="PlaceholderText"/>
            </w:rPr>
            <w:t>Has this value changed?</w:t>
          </w:r>
        </w:p>
      </w:docPartBody>
    </w:docPart>
    <w:docPart>
      <w:docPartPr>
        <w:name w:val="0A35AF4547E94E219E26BC12DBC33282"/>
        <w:category>
          <w:name w:val="General"/>
          <w:gallery w:val="placeholder"/>
        </w:category>
        <w:types>
          <w:type w:val="bbPlcHdr"/>
        </w:types>
        <w:behaviors>
          <w:behavior w:val="content"/>
        </w:behaviors>
        <w:guid w:val="{817D360E-8225-4AF6-9FDF-3CF80276F4FF}"/>
      </w:docPartPr>
      <w:docPartBody>
        <w:p w:rsidR="00D21A9F" w:rsidRDefault="00D21A9F">
          <w:pPr>
            <w:pStyle w:val="0A35AF4547E94E219E26BC12DBC33282"/>
          </w:pPr>
          <w:r>
            <w:rPr>
              <w:rStyle w:val="PlaceholderText"/>
            </w:rPr>
            <w:t>Y</w:t>
          </w:r>
          <w:r w:rsidRPr="003365A5">
            <w:rPr>
              <w:rStyle w:val="PlaceholderText"/>
            </w:rPr>
            <w:t>ear</w:t>
          </w:r>
        </w:p>
      </w:docPartBody>
    </w:docPart>
    <w:docPart>
      <w:docPartPr>
        <w:name w:val="81CFEC2FDBC5451289F394E66D92D1A0"/>
        <w:category>
          <w:name w:val="General"/>
          <w:gallery w:val="placeholder"/>
        </w:category>
        <w:types>
          <w:type w:val="bbPlcHdr"/>
        </w:types>
        <w:behaviors>
          <w:behavior w:val="content"/>
        </w:behaviors>
        <w:guid w:val="{7B474E63-31E6-4636-887F-D101B2E0A187}"/>
      </w:docPartPr>
      <w:docPartBody>
        <w:p w:rsidR="00D21A9F" w:rsidRDefault="00D21A9F">
          <w:pPr>
            <w:pStyle w:val="81CFEC2FDBC5451289F394E66D92D1A0"/>
          </w:pPr>
          <w:r w:rsidRPr="0051509C">
            <w:rPr>
              <w:rStyle w:val="PlaceholderText"/>
            </w:rPr>
            <w:t>Click here to enter standard</w:t>
          </w:r>
        </w:p>
      </w:docPartBody>
    </w:docPart>
    <w:docPart>
      <w:docPartPr>
        <w:name w:val="C8FBF9621EB94FE084F687C8955AF85F"/>
        <w:category>
          <w:name w:val="General"/>
          <w:gallery w:val="placeholder"/>
        </w:category>
        <w:types>
          <w:type w:val="bbPlcHdr"/>
        </w:types>
        <w:behaviors>
          <w:behavior w:val="content"/>
        </w:behaviors>
        <w:guid w:val="{540EEAE9-5999-4667-9E06-55916FEE5D03}"/>
      </w:docPartPr>
      <w:docPartBody>
        <w:p w:rsidR="00D21A9F" w:rsidRDefault="00D21A9F">
          <w:pPr>
            <w:pStyle w:val="C8FBF9621EB94FE084F687C8955AF85F"/>
          </w:pPr>
          <w:r>
            <w:rPr>
              <w:rStyle w:val="PlaceholderText"/>
            </w:rPr>
            <w:t>Y</w:t>
          </w:r>
          <w:r w:rsidRPr="003365A5">
            <w:rPr>
              <w:rStyle w:val="PlaceholderText"/>
            </w:rPr>
            <w:t>ear</w:t>
          </w:r>
        </w:p>
      </w:docPartBody>
    </w:docPart>
    <w:docPart>
      <w:docPartPr>
        <w:name w:val="522022AAE76B4622AC0DF750489702EB"/>
        <w:category>
          <w:name w:val="General"/>
          <w:gallery w:val="placeholder"/>
        </w:category>
        <w:types>
          <w:type w:val="bbPlcHdr"/>
        </w:types>
        <w:behaviors>
          <w:behavior w:val="content"/>
        </w:behaviors>
        <w:guid w:val="{4755DFBF-019C-4562-B49E-2AA0323A449A}"/>
      </w:docPartPr>
      <w:docPartBody>
        <w:p w:rsidR="00D21A9F" w:rsidRDefault="00D21A9F">
          <w:pPr>
            <w:pStyle w:val="522022AAE76B4622AC0DF750489702EB"/>
          </w:pPr>
          <w:r w:rsidRPr="0051509C">
            <w:rPr>
              <w:rStyle w:val="PlaceholderText"/>
            </w:rPr>
            <w:t>Click here to enter standard</w:t>
          </w:r>
        </w:p>
      </w:docPartBody>
    </w:docPart>
    <w:docPart>
      <w:docPartPr>
        <w:name w:val="6918C77959FE4E2CB3B6BD78ABC69E19"/>
        <w:category>
          <w:name w:val="General"/>
          <w:gallery w:val="placeholder"/>
        </w:category>
        <w:types>
          <w:type w:val="bbPlcHdr"/>
        </w:types>
        <w:behaviors>
          <w:behavior w:val="content"/>
        </w:behaviors>
        <w:guid w:val="{E8FDE167-8D8A-4F47-8F15-5DED52B85CB3}"/>
      </w:docPartPr>
      <w:docPartBody>
        <w:p w:rsidR="00D21A9F" w:rsidRDefault="00D21A9F">
          <w:pPr>
            <w:pStyle w:val="6918C77959FE4E2CB3B6BD78ABC69E19"/>
          </w:pPr>
          <w:r>
            <w:rPr>
              <w:rStyle w:val="PlaceholderText"/>
            </w:rPr>
            <w:t>Y</w:t>
          </w:r>
          <w:r w:rsidRPr="003365A5">
            <w:rPr>
              <w:rStyle w:val="PlaceholderText"/>
            </w:rPr>
            <w:t>ear</w:t>
          </w:r>
        </w:p>
      </w:docPartBody>
    </w:docPart>
    <w:docPart>
      <w:docPartPr>
        <w:name w:val="1ED9AEC91FDC4528B51A567B2B19EB9F"/>
        <w:category>
          <w:name w:val="General"/>
          <w:gallery w:val="placeholder"/>
        </w:category>
        <w:types>
          <w:type w:val="bbPlcHdr"/>
        </w:types>
        <w:behaviors>
          <w:behavior w:val="content"/>
        </w:behaviors>
        <w:guid w:val="{2F68FFA9-39F8-44B7-9FD3-B2DA6644805F}"/>
      </w:docPartPr>
      <w:docPartBody>
        <w:p w:rsidR="00D21A9F" w:rsidRDefault="00D21A9F">
          <w:pPr>
            <w:pStyle w:val="1ED9AEC91FDC4528B51A567B2B19EB9F"/>
          </w:pPr>
          <w:r w:rsidRPr="0051509C">
            <w:rPr>
              <w:rStyle w:val="PlaceholderText"/>
            </w:rPr>
            <w:t>Click here to enter standard</w:t>
          </w:r>
        </w:p>
      </w:docPartBody>
    </w:docPart>
    <w:docPart>
      <w:docPartPr>
        <w:name w:val="FDC2A24E7D2549238DA6EE03BD0A6AE0"/>
        <w:category>
          <w:name w:val="General"/>
          <w:gallery w:val="placeholder"/>
        </w:category>
        <w:types>
          <w:type w:val="bbPlcHdr"/>
        </w:types>
        <w:behaviors>
          <w:behavior w:val="content"/>
        </w:behaviors>
        <w:guid w:val="{B8AA2BDC-5672-4815-991F-0CE2DEE74014}"/>
      </w:docPartPr>
      <w:docPartBody>
        <w:p w:rsidR="00D21A9F" w:rsidRDefault="00D21A9F">
          <w:pPr>
            <w:pStyle w:val="FDC2A24E7D2549238DA6EE03BD0A6AE0"/>
          </w:pPr>
          <w:r>
            <w:rPr>
              <w:rStyle w:val="PlaceholderText"/>
            </w:rPr>
            <w:t>Y</w:t>
          </w:r>
          <w:r w:rsidRPr="003365A5">
            <w:rPr>
              <w:rStyle w:val="PlaceholderText"/>
            </w:rPr>
            <w:t>ear</w:t>
          </w:r>
        </w:p>
      </w:docPartBody>
    </w:docPart>
    <w:docPart>
      <w:docPartPr>
        <w:name w:val="9E827C9D0DA949E385F2E9AB4264125E"/>
        <w:category>
          <w:name w:val="General"/>
          <w:gallery w:val="placeholder"/>
        </w:category>
        <w:types>
          <w:type w:val="bbPlcHdr"/>
        </w:types>
        <w:behaviors>
          <w:behavior w:val="content"/>
        </w:behaviors>
        <w:guid w:val="{014BB1BA-B22F-4B62-9CED-7D4A7A141414}"/>
      </w:docPartPr>
      <w:docPartBody>
        <w:p w:rsidR="00D21A9F" w:rsidRDefault="00D21A9F">
          <w:pPr>
            <w:pStyle w:val="9E827C9D0DA949E385F2E9AB4264125E"/>
          </w:pPr>
          <w:r w:rsidRPr="0051509C">
            <w:rPr>
              <w:rStyle w:val="PlaceholderText"/>
            </w:rPr>
            <w:t>Click here to enter standard</w:t>
          </w:r>
        </w:p>
      </w:docPartBody>
    </w:docPart>
    <w:docPart>
      <w:docPartPr>
        <w:name w:val="47E4EC2DB10B4B8E8A66F7A5C13653CB"/>
        <w:category>
          <w:name w:val="General"/>
          <w:gallery w:val="placeholder"/>
        </w:category>
        <w:types>
          <w:type w:val="bbPlcHdr"/>
        </w:types>
        <w:behaviors>
          <w:behavior w:val="content"/>
        </w:behaviors>
        <w:guid w:val="{B5D78905-5FB3-41F1-93DC-9CC4E0026343}"/>
      </w:docPartPr>
      <w:docPartBody>
        <w:p w:rsidR="00D21A9F" w:rsidRDefault="00D21A9F">
          <w:pPr>
            <w:pStyle w:val="47E4EC2DB10B4B8E8A66F7A5C13653CB"/>
          </w:pPr>
          <w:r>
            <w:rPr>
              <w:rStyle w:val="PlaceholderText"/>
            </w:rPr>
            <w:t>Y</w:t>
          </w:r>
          <w:r w:rsidRPr="003365A5">
            <w:rPr>
              <w:rStyle w:val="PlaceholderText"/>
            </w:rPr>
            <w:t>ear</w:t>
          </w:r>
        </w:p>
      </w:docPartBody>
    </w:docPart>
    <w:docPart>
      <w:docPartPr>
        <w:name w:val="5E4DD00C3A334F93BF5CC79754EBC5EA"/>
        <w:category>
          <w:name w:val="General"/>
          <w:gallery w:val="placeholder"/>
        </w:category>
        <w:types>
          <w:type w:val="bbPlcHdr"/>
        </w:types>
        <w:behaviors>
          <w:behavior w:val="content"/>
        </w:behaviors>
        <w:guid w:val="{604CD032-152D-43ED-B301-B773F4E16730}"/>
      </w:docPartPr>
      <w:docPartBody>
        <w:p w:rsidR="00D21A9F" w:rsidRDefault="00D21A9F">
          <w:pPr>
            <w:pStyle w:val="5E4DD00C3A334F93BF5CC79754EBC5EA"/>
          </w:pPr>
          <w:r w:rsidRPr="0051509C">
            <w:rPr>
              <w:rStyle w:val="PlaceholderText"/>
            </w:rPr>
            <w:t>Click here to enter standard</w:t>
          </w:r>
        </w:p>
      </w:docPartBody>
    </w:docPart>
    <w:docPart>
      <w:docPartPr>
        <w:name w:val="EA1708404F1C4A3BB080A0D8EEB67D1D"/>
        <w:category>
          <w:name w:val="General"/>
          <w:gallery w:val="placeholder"/>
        </w:category>
        <w:types>
          <w:type w:val="bbPlcHdr"/>
        </w:types>
        <w:behaviors>
          <w:behavior w:val="content"/>
        </w:behaviors>
        <w:guid w:val="{7EF895B6-0ED1-45DE-89C6-97EC2AC4C0B7}"/>
      </w:docPartPr>
      <w:docPartBody>
        <w:p w:rsidR="00D21A9F" w:rsidRDefault="00D21A9F">
          <w:pPr>
            <w:pStyle w:val="EA1708404F1C4A3BB080A0D8EEB67D1D"/>
          </w:pPr>
          <w:r>
            <w:rPr>
              <w:rStyle w:val="PlaceholderText"/>
            </w:rPr>
            <w:t>Y</w:t>
          </w:r>
          <w:r w:rsidRPr="003365A5">
            <w:rPr>
              <w:rStyle w:val="PlaceholderText"/>
            </w:rPr>
            <w:t>ear</w:t>
          </w:r>
        </w:p>
      </w:docPartBody>
    </w:docPart>
    <w:docPart>
      <w:docPartPr>
        <w:name w:val="F3D4204BA37A4A21A656C76DA4274412"/>
        <w:category>
          <w:name w:val="General"/>
          <w:gallery w:val="placeholder"/>
        </w:category>
        <w:types>
          <w:type w:val="bbPlcHdr"/>
        </w:types>
        <w:behaviors>
          <w:behavior w:val="content"/>
        </w:behaviors>
        <w:guid w:val="{C0DD64BC-C0C9-4379-B1B0-F8982B824A8E}"/>
      </w:docPartPr>
      <w:docPartBody>
        <w:p w:rsidR="00D21A9F" w:rsidRDefault="00D21A9F">
          <w:pPr>
            <w:pStyle w:val="F3D4204BA37A4A21A656C76DA4274412"/>
          </w:pPr>
          <w:r w:rsidRPr="0051509C">
            <w:rPr>
              <w:rStyle w:val="PlaceholderText"/>
            </w:rPr>
            <w:t>Click here to enter standard</w:t>
          </w:r>
        </w:p>
      </w:docPartBody>
    </w:docPart>
    <w:docPart>
      <w:docPartPr>
        <w:name w:val="C2B44F29000D47BD8588D2D5E8DFA6C8"/>
        <w:category>
          <w:name w:val="General"/>
          <w:gallery w:val="placeholder"/>
        </w:category>
        <w:types>
          <w:type w:val="bbPlcHdr"/>
        </w:types>
        <w:behaviors>
          <w:behavior w:val="content"/>
        </w:behaviors>
        <w:guid w:val="{9D2592D5-75B8-4D64-A901-EB344ED20046}"/>
      </w:docPartPr>
      <w:docPartBody>
        <w:p w:rsidR="00D21A9F" w:rsidRDefault="00D21A9F">
          <w:pPr>
            <w:pStyle w:val="C2B44F29000D47BD8588D2D5E8DFA6C8"/>
          </w:pPr>
          <w:r w:rsidRPr="00724F1C">
            <w:rPr>
              <w:rStyle w:val="PlaceholderText"/>
            </w:rPr>
            <w:t>Choose an item.</w:t>
          </w:r>
        </w:p>
      </w:docPartBody>
    </w:docPart>
    <w:docPart>
      <w:docPartPr>
        <w:name w:val="EA51C8540A4D4F0A9062F5B1698DCBB0"/>
        <w:category>
          <w:name w:val="General"/>
          <w:gallery w:val="placeholder"/>
        </w:category>
        <w:types>
          <w:type w:val="bbPlcHdr"/>
        </w:types>
        <w:behaviors>
          <w:behavior w:val="content"/>
        </w:behaviors>
        <w:guid w:val="{5A1D35A6-51B4-4D9C-B1D2-B881B06F755D}"/>
      </w:docPartPr>
      <w:docPartBody>
        <w:p w:rsidR="00D21A9F" w:rsidRDefault="00D21A9F">
          <w:pPr>
            <w:pStyle w:val="EA51C8540A4D4F0A9062F5B1698DCBB0"/>
          </w:pPr>
          <w:r w:rsidRPr="00724F1C">
            <w:rPr>
              <w:rStyle w:val="PlaceholderText"/>
            </w:rPr>
            <w:t>Choose an item.</w:t>
          </w:r>
        </w:p>
      </w:docPartBody>
    </w:docPart>
    <w:docPart>
      <w:docPartPr>
        <w:name w:val="0168237C60E6479CAFA3D9A1A8409B78"/>
        <w:category>
          <w:name w:val="General"/>
          <w:gallery w:val="placeholder"/>
        </w:category>
        <w:types>
          <w:type w:val="bbPlcHdr"/>
        </w:types>
        <w:behaviors>
          <w:behavior w:val="content"/>
        </w:behaviors>
        <w:guid w:val="{C7BCB098-81C9-4E32-956E-CDD3A6DFECE7}"/>
      </w:docPartPr>
      <w:docPartBody>
        <w:p w:rsidR="00D21A9F" w:rsidRDefault="00D21A9F">
          <w:pPr>
            <w:pStyle w:val="0168237C60E6479CAFA3D9A1A8409B78"/>
          </w:pPr>
          <w:r w:rsidRPr="00F4402E">
            <w:rPr>
              <w:rStyle w:val="PlaceholderText"/>
              <w:color w:val="FFFFFF" w:themeColor="background1"/>
            </w:rPr>
            <w:t>Choose an item.</w:t>
          </w:r>
        </w:p>
      </w:docPartBody>
    </w:docPart>
    <w:docPart>
      <w:docPartPr>
        <w:name w:val="CAD2D506A5824AB88D896BC2795BCEDE"/>
        <w:category>
          <w:name w:val="General"/>
          <w:gallery w:val="placeholder"/>
        </w:category>
        <w:types>
          <w:type w:val="bbPlcHdr"/>
        </w:types>
        <w:behaviors>
          <w:behavior w:val="content"/>
        </w:behaviors>
        <w:guid w:val="{4E99D28C-1B09-4DD0-B83A-09A1AFF622AA}"/>
      </w:docPartPr>
      <w:docPartBody>
        <w:p w:rsidR="00D21A9F" w:rsidRDefault="00D21A9F">
          <w:pPr>
            <w:pStyle w:val="CAD2D506A5824AB88D896BC2795BCEDE"/>
          </w:pPr>
          <w:r w:rsidRPr="001D56F0">
            <w:rPr>
              <w:rStyle w:val="PlaceholderText"/>
            </w:rPr>
            <w:t>Choose an item.</w:t>
          </w:r>
        </w:p>
      </w:docPartBody>
    </w:docPart>
    <w:docPart>
      <w:docPartPr>
        <w:name w:val="F426C563814E402488AC06CC39354A11"/>
        <w:category>
          <w:name w:val="General"/>
          <w:gallery w:val="placeholder"/>
        </w:category>
        <w:types>
          <w:type w:val="bbPlcHdr"/>
        </w:types>
        <w:behaviors>
          <w:behavior w:val="content"/>
        </w:behaviors>
        <w:guid w:val="{F0BA6214-28BA-4138-BF55-E76AD08567C8}"/>
      </w:docPartPr>
      <w:docPartBody>
        <w:p w:rsidR="00D21A9F" w:rsidRDefault="00D21A9F">
          <w:pPr>
            <w:pStyle w:val="F426C563814E402488AC06CC39354A11"/>
          </w:pPr>
          <w:r w:rsidRPr="00EB3D1B">
            <w:rPr>
              <w:rStyle w:val="PlaceholderText"/>
              <w:color w:val="FFFFFF" w:themeColor="background1"/>
            </w:rPr>
            <w:t>Choose an item.</w:t>
          </w:r>
        </w:p>
      </w:docPartBody>
    </w:docPart>
    <w:docPart>
      <w:docPartPr>
        <w:name w:val="0DAD3FB9ACEF4778B961F088737E2361"/>
        <w:category>
          <w:name w:val="General"/>
          <w:gallery w:val="placeholder"/>
        </w:category>
        <w:types>
          <w:type w:val="bbPlcHdr"/>
        </w:types>
        <w:behaviors>
          <w:behavior w:val="content"/>
        </w:behaviors>
        <w:guid w:val="{1818AAEB-C7DB-4A80-88DB-772F73C8E66D}"/>
      </w:docPartPr>
      <w:docPartBody>
        <w:p w:rsidR="00D21A9F" w:rsidRDefault="00D21A9F">
          <w:pPr>
            <w:pStyle w:val="0DAD3FB9ACEF4778B961F088737E2361"/>
          </w:pPr>
          <w:r>
            <w:rPr>
              <w:rStyle w:val="PlaceholderText"/>
            </w:rPr>
            <w:t>Insert molecular weight</w:t>
          </w:r>
        </w:p>
      </w:docPartBody>
    </w:docPart>
    <w:docPart>
      <w:docPartPr>
        <w:name w:val="A7231FB73EFF4B2B92EB3BD21C0CEA01"/>
        <w:category>
          <w:name w:val="General"/>
          <w:gallery w:val="placeholder"/>
        </w:category>
        <w:types>
          <w:type w:val="bbPlcHdr"/>
        </w:types>
        <w:behaviors>
          <w:behavior w:val="content"/>
        </w:behaviors>
        <w:guid w:val="{FF1A3F6B-F6BB-479E-BB6A-087EA1FCFDFA}"/>
      </w:docPartPr>
      <w:docPartBody>
        <w:p w:rsidR="00D21A9F" w:rsidRDefault="00D21A9F">
          <w:pPr>
            <w:pStyle w:val="A7231FB73EFF4B2B92EB3BD21C0CEA01"/>
          </w:pPr>
          <w:r>
            <w:rPr>
              <w:rStyle w:val="PlaceholderText"/>
            </w:rPr>
            <w:t>Number</w:t>
          </w:r>
        </w:p>
      </w:docPartBody>
    </w:docPart>
    <w:docPart>
      <w:docPartPr>
        <w:name w:val="5D98FA8C84704C71B6F1557317AE5303"/>
        <w:category>
          <w:name w:val="General"/>
          <w:gallery w:val="placeholder"/>
        </w:category>
        <w:types>
          <w:type w:val="bbPlcHdr"/>
        </w:types>
        <w:behaviors>
          <w:behavior w:val="content"/>
        </w:behaviors>
        <w:guid w:val="{5F8DFB54-C6B8-4F2D-88BE-C0D2DC34C42D}"/>
      </w:docPartPr>
      <w:docPartBody>
        <w:p w:rsidR="00D21A9F" w:rsidRDefault="00D21A9F">
          <w:pPr>
            <w:pStyle w:val="5D98FA8C84704C71B6F1557317AE5303"/>
          </w:pPr>
          <w:r w:rsidRPr="00DF796F">
            <w:rPr>
              <w:rStyle w:val="PlaceholderText"/>
            </w:rPr>
            <w:t>Click or tap here to enter text.</w:t>
          </w:r>
        </w:p>
      </w:docPartBody>
    </w:docPart>
    <w:docPart>
      <w:docPartPr>
        <w:name w:val="1CA1CF5C5F7542D6A557314D3E218517"/>
        <w:category>
          <w:name w:val="General"/>
          <w:gallery w:val="placeholder"/>
        </w:category>
        <w:types>
          <w:type w:val="bbPlcHdr"/>
        </w:types>
        <w:behaviors>
          <w:behavior w:val="content"/>
        </w:behaviors>
        <w:guid w:val="{DF3BD9F8-E9D5-4650-AA46-34E367DA7233}"/>
      </w:docPartPr>
      <w:docPartBody>
        <w:p w:rsidR="00225535" w:rsidRDefault="006902E1" w:rsidP="006902E1">
          <w:pPr>
            <w:pStyle w:val="1CA1CF5C5F7542D6A557314D3E218517"/>
          </w:pPr>
          <w:r>
            <w:rPr>
              <w:rStyle w:val="PlaceholderText"/>
            </w:rPr>
            <w:t>Has this value changed?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A9F"/>
    <w:rsid w:val="001B06FA"/>
    <w:rsid w:val="00225535"/>
    <w:rsid w:val="006902E1"/>
    <w:rsid w:val="00791849"/>
    <w:rsid w:val="00807B8A"/>
    <w:rsid w:val="00D066C0"/>
    <w:rsid w:val="00D21A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2E1"/>
    <w:rPr>
      <w:color w:val="808080"/>
    </w:rPr>
  </w:style>
  <w:style w:type="paragraph" w:customStyle="1" w:styleId="CE1736E50B02464986D1BEC8B7ACDE96">
    <w:name w:val="CE1736E50B02464986D1BEC8B7ACDE96"/>
  </w:style>
  <w:style w:type="paragraph" w:customStyle="1" w:styleId="E23B83A762C94EBA8097A4DA3FB4D503">
    <w:name w:val="E23B83A762C94EBA8097A4DA3FB4D503"/>
  </w:style>
  <w:style w:type="paragraph" w:customStyle="1" w:styleId="0A35AF4547E94E219E26BC12DBC33282">
    <w:name w:val="0A35AF4547E94E219E26BC12DBC33282"/>
  </w:style>
  <w:style w:type="paragraph" w:customStyle="1" w:styleId="81CFEC2FDBC5451289F394E66D92D1A0">
    <w:name w:val="81CFEC2FDBC5451289F394E66D92D1A0"/>
  </w:style>
  <w:style w:type="paragraph" w:customStyle="1" w:styleId="C8FBF9621EB94FE084F687C8955AF85F">
    <w:name w:val="C8FBF9621EB94FE084F687C8955AF85F"/>
  </w:style>
  <w:style w:type="paragraph" w:customStyle="1" w:styleId="522022AAE76B4622AC0DF750489702EB">
    <w:name w:val="522022AAE76B4622AC0DF750489702EB"/>
  </w:style>
  <w:style w:type="paragraph" w:customStyle="1" w:styleId="6918C77959FE4E2CB3B6BD78ABC69E19">
    <w:name w:val="6918C77959FE4E2CB3B6BD78ABC69E19"/>
  </w:style>
  <w:style w:type="paragraph" w:customStyle="1" w:styleId="1ED9AEC91FDC4528B51A567B2B19EB9F">
    <w:name w:val="1ED9AEC91FDC4528B51A567B2B19EB9F"/>
  </w:style>
  <w:style w:type="paragraph" w:customStyle="1" w:styleId="FDC2A24E7D2549238DA6EE03BD0A6AE0">
    <w:name w:val="FDC2A24E7D2549238DA6EE03BD0A6AE0"/>
  </w:style>
  <w:style w:type="paragraph" w:customStyle="1" w:styleId="9E827C9D0DA949E385F2E9AB4264125E">
    <w:name w:val="9E827C9D0DA949E385F2E9AB4264125E"/>
  </w:style>
  <w:style w:type="paragraph" w:customStyle="1" w:styleId="47E4EC2DB10B4B8E8A66F7A5C13653CB">
    <w:name w:val="47E4EC2DB10B4B8E8A66F7A5C13653CB"/>
  </w:style>
  <w:style w:type="paragraph" w:customStyle="1" w:styleId="5E4DD00C3A334F93BF5CC79754EBC5EA">
    <w:name w:val="5E4DD00C3A334F93BF5CC79754EBC5EA"/>
  </w:style>
  <w:style w:type="paragraph" w:customStyle="1" w:styleId="EA1708404F1C4A3BB080A0D8EEB67D1D">
    <w:name w:val="EA1708404F1C4A3BB080A0D8EEB67D1D"/>
  </w:style>
  <w:style w:type="paragraph" w:customStyle="1" w:styleId="F3D4204BA37A4A21A656C76DA4274412">
    <w:name w:val="F3D4204BA37A4A21A656C76DA4274412"/>
  </w:style>
  <w:style w:type="paragraph" w:customStyle="1" w:styleId="8DD754E365844A4E82EC69A07E229629">
    <w:name w:val="8DD754E365844A4E82EC69A07E229629"/>
  </w:style>
  <w:style w:type="paragraph" w:customStyle="1" w:styleId="29D96B65566944F4988BAEB665EF7897">
    <w:name w:val="29D96B65566944F4988BAEB665EF7897"/>
  </w:style>
  <w:style w:type="paragraph" w:customStyle="1" w:styleId="C2B44F29000D47BD8588D2D5E8DFA6C8">
    <w:name w:val="C2B44F29000D47BD8588D2D5E8DFA6C8"/>
  </w:style>
  <w:style w:type="paragraph" w:customStyle="1" w:styleId="CC96E8CFB35445F7B98574D62F848316">
    <w:name w:val="CC96E8CFB35445F7B98574D62F848316"/>
  </w:style>
  <w:style w:type="paragraph" w:customStyle="1" w:styleId="20BC8D26515A4C11AC6304FB75A7CBAD">
    <w:name w:val="20BC8D26515A4C11AC6304FB75A7CBAD"/>
  </w:style>
  <w:style w:type="paragraph" w:customStyle="1" w:styleId="0599BE4318CD4CC0836196E577CC2921">
    <w:name w:val="0599BE4318CD4CC0836196E577CC2921"/>
  </w:style>
  <w:style w:type="paragraph" w:customStyle="1" w:styleId="CA68404C5F6B4780904F09DAAE62489A">
    <w:name w:val="CA68404C5F6B4780904F09DAAE62489A"/>
  </w:style>
  <w:style w:type="paragraph" w:customStyle="1" w:styleId="CFFDE270CB50461B826B0194984892C5">
    <w:name w:val="CFFDE270CB50461B826B0194984892C5"/>
  </w:style>
  <w:style w:type="paragraph" w:customStyle="1" w:styleId="EA32968BF93744FAABC5FC124DBE04BD">
    <w:name w:val="EA32968BF93744FAABC5FC124DBE04BD"/>
  </w:style>
  <w:style w:type="paragraph" w:customStyle="1" w:styleId="320A77D155374054996F168A20882C28">
    <w:name w:val="320A77D155374054996F168A20882C28"/>
  </w:style>
  <w:style w:type="paragraph" w:customStyle="1" w:styleId="EA51C8540A4D4F0A9062F5B1698DCBB0">
    <w:name w:val="EA51C8540A4D4F0A9062F5B1698DCBB0"/>
  </w:style>
  <w:style w:type="paragraph" w:customStyle="1" w:styleId="0168237C60E6479CAFA3D9A1A8409B78">
    <w:name w:val="0168237C60E6479CAFA3D9A1A8409B78"/>
  </w:style>
  <w:style w:type="paragraph" w:customStyle="1" w:styleId="5CBFEC560F894890BBD09B93174FFAE0">
    <w:name w:val="5CBFEC560F894890BBD09B93174FFAE0"/>
  </w:style>
  <w:style w:type="paragraph" w:customStyle="1" w:styleId="CAD2D506A5824AB88D896BC2795BCEDE">
    <w:name w:val="CAD2D506A5824AB88D896BC2795BCEDE"/>
  </w:style>
  <w:style w:type="paragraph" w:customStyle="1" w:styleId="047AD93791DC493F8562BB3488160D64">
    <w:name w:val="047AD93791DC493F8562BB3488160D64"/>
  </w:style>
  <w:style w:type="paragraph" w:customStyle="1" w:styleId="7B0BAA2441D5427984E6018FB38900E7">
    <w:name w:val="7B0BAA2441D5427984E6018FB38900E7"/>
  </w:style>
  <w:style w:type="paragraph" w:customStyle="1" w:styleId="5C1D38B030D146B59436754F8399D502">
    <w:name w:val="5C1D38B030D146B59436754F8399D502"/>
  </w:style>
  <w:style w:type="paragraph" w:customStyle="1" w:styleId="F426C563814E402488AC06CC39354A11">
    <w:name w:val="F426C563814E402488AC06CC39354A11"/>
  </w:style>
  <w:style w:type="paragraph" w:customStyle="1" w:styleId="0DAD3FB9ACEF4778B961F088737E2361">
    <w:name w:val="0DAD3FB9ACEF4778B961F088737E2361"/>
  </w:style>
  <w:style w:type="paragraph" w:customStyle="1" w:styleId="A7231FB73EFF4B2B92EB3BD21C0CEA01">
    <w:name w:val="A7231FB73EFF4B2B92EB3BD21C0CEA01"/>
  </w:style>
  <w:style w:type="paragraph" w:customStyle="1" w:styleId="5D98FA8C84704C71B6F1557317AE5303">
    <w:name w:val="5D98FA8C84704C71B6F1557317AE5303"/>
  </w:style>
  <w:style w:type="paragraph" w:customStyle="1" w:styleId="2BF891C0AB704CDAB9BC6E80D556473F">
    <w:name w:val="2BF891C0AB704CDAB9BC6E80D556473F"/>
  </w:style>
  <w:style w:type="paragraph" w:customStyle="1" w:styleId="623C335D7D8A48BD968C1B932E8DD57D">
    <w:name w:val="623C335D7D8A48BD968C1B932E8DD57D"/>
    <w:rsid w:val="001B06FA"/>
    <w:rPr>
      <w:lang w:val="en-US" w:eastAsia="en-US"/>
    </w:rPr>
  </w:style>
  <w:style w:type="paragraph" w:customStyle="1" w:styleId="21CBE19A239F442A8DCB5FED7086982C">
    <w:name w:val="21CBE19A239F442A8DCB5FED7086982C"/>
    <w:rsid w:val="001B06FA"/>
    <w:rPr>
      <w:lang w:val="en-US" w:eastAsia="en-US"/>
    </w:rPr>
  </w:style>
  <w:style w:type="paragraph" w:customStyle="1" w:styleId="6BFB1972BE044C24A0F36E5E75AFB2B6">
    <w:name w:val="6BFB1972BE044C24A0F36E5E75AFB2B6"/>
    <w:rsid w:val="001B06FA"/>
    <w:rPr>
      <w:lang w:val="en-US" w:eastAsia="en-US"/>
    </w:rPr>
  </w:style>
  <w:style w:type="paragraph" w:customStyle="1" w:styleId="3B6B7A6F49CB424BB53F2B68EB8F5E6F">
    <w:name w:val="3B6B7A6F49CB424BB53F2B68EB8F5E6F"/>
    <w:rsid w:val="001B06FA"/>
    <w:rPr>
      <w:lang w:val="en-US" w:eastAsia="en-US"/>
    </w:rPr>
  </w:style>
  <w:style w:type="paragraph" w:customStyle="1" w:styleId="E515BB7F63784E138AA59062FE21D6B3">
    <w:name w:val="E515BB7F63784E138AA59062FE21D6B3"/>
    <w:rsid w:val="001B06FA"/>
    <w:rPr>
      <w:lang w:val="en-US" w:eastAsia="en-US"/>
    </w:rPr>
  </w:style>
  <w:style w:type="paragraph" w:customStyle="1" w:styleId="5E8311A01E994974AEB6923F9EA3D309">
    <w:name w:val="5E8311A01E994974AEB6923F9EA3D309"/>
    <w:rsid w:val="001B06FA"/>
    <w:rPr>
      <w:lang w:val="en-US" w:eastAsia="en-US"/>
    </w:rPr>
  </w:style>
  <w:style w:type="paragraph" w:customStyle="1" w:styleId="51D6674C20054B5B99E66961F66EB6A6">
    <w:name w:val="51D6674C20054B5B99E66961F66EB6A6"/>
    <w:rsid w:val="001B06FA"/>
    <w:rPr>
      <w:lang w:val="en-US" w:eastAsia="en-US"/>
    </w:rPr>
  </w:style>
  <w:style w:type="paragraph" w:customStyle="1" w:styleId="2F5D2CE73E5D4E0FA22441A81522D9C7">
    <w:name w:val="2F5D2CE73E5D4E0FA22441A81522D9C7"/>
    <w:rsid w:val="001B06FA"/>
    <w:rPr>
      <w:lang w:val="en-US" w:eastAsia="en-US"/>
    </w:rPr>
  </w:style>
  <w:style w:type="paragraph" w:customStyle="1" w:styleId="16E0EBFFE8E34FF084BC05D7501CE0AD">
    <w:name w:val="16E0EBFFE8E34FF084BC05D7501CE0AD"/>
    <w:rsid w:val="001B06FA"/>
    <w:rPr>
      <w:lang w:val="en-US" w:eastAsia="en-US"/>
    </w:rPr>
  </w:style>
  <w:style w:type="paragraph" w:customStyle="1" w:styleId="418297D329C3410A8EE51B70D11A4007">
    <w:name w:val="418297D329C3410A8EE51B70D11A4007"/>
    <w:rsid w:val="001B06FA"/>
    <w:rPr>
      <w:lang w:val="en-US" w:eastAsia="en-US"/>
    </w:rPr>
  </w:style>
  <w:style w:type="paragraph" w:customStyle="1" w:styleId="38D8FDF2D9694266A0D93B5D594E32D7">
    <w:name w:val="38D8FDF2D9694266A0D93B5D594E32D7"/>
    <w:rsid w:val="001B06FA"/>
    <w:rPr>
      <w:lang w:val="en-US" w:eastAsia="en-US"/>
    </w:rPr>
  </w:style>
  <w:style w:type="paragraph" w:customStyle="1" w:styleId="CDCD583A11CA4F13A303A10A2E515FED">
    <w:name w:val="CDCD583A11CA4F13A303A10A2E515FED"/>
    <w:rsid w:val="001B06FA"/>
    <w:rPr>
      <w:lang w:val="en-US" w:eastAsia="en-US"/>
    </w:rPr>
  </w:style>
  <w:style w:type="paragraph" w:customStyle="1" w:styleId="87C2A98022774B879216CA4AAF331A60">
    <w:name w:val="87C2A98022774B879216CA4AAF331A60"/>
    <w:rsid w:val="001B06FA"/>
    <w:rPr>
      <w:lang w:val="en-US" w:eastAsia="en-US"/>
    </w:rPr>
  </w:style>
  <w:style w:type="paragraph" w:customStyle="1" w:styleId="44DF51BAF300483AB39DE4FCED202E09">
    <w:name w:val="44DF51BAF300483AB39DE4FCED202E09"/>
    <w:rsid w:val="001B06FA"/>
    <w:rPr>
      <w:lang w:val="en-US" w:eastAsia="en-US"/>
    </w:rPr>
  </w:style>
  <w:style w:type="paragraph" w:customStyle="1" w:styleId="3C6729D8D63B4824B40F84D0DE5D39C8">
    <w:name w:val="3C6729D8D63B4824B40F84D0DE5D39C8"/>
    <w:rsid w:val="001B06FA"/>
    <w:rPr>
      <w:lang w:val="en-US" w:eastAsia="en-US"/>
    </w:rPr>
  </w:style>
  <w:style w:type="paragraph" w:customStyle="1" w:styleId="004E31C3535045949F0557F581EECB76">
    <w:name w:val="004E31C3535045949F0557F581EECB76"/>
    <w:rsid w:val="001B06FA"/>
    <w:rPr>
      <w:lang w:val="en-US" w:eastAsia="en-US"/>
    </w:rPr>
  </w:style>
  <w:style w:type="paragraph" w:customStyle="1" w:styleId="FC6AF51CC2D14A079262654B26E395C4">
    <w:name w:val="FC6AF51CC2D14A079262654B26E395C4"/>
    <w:rsid w:val="001B06FA"/>
    <w:rPr>
      <w:lang w:val="en-US" w:eastAsia="en-US"/>
    </w:rPr>
  </w:style>
  <w:style w:type="paragraph" w:customStyle="1" w:styleId="AB7B1E3B1054449D970057BB1D0737AC">
    <w:name w:val="AB7B1E3B1054449D970057BB1D0737AC"/>
    <w:rsid w:val="001B06FA"/>
    <w:rPr>
      <w:lang w:val="en-US" w:eastAsia="en-US"/>
    </w:rPr>
  </w:style>
  <w:style w:type="paragraph" w:customStyle="1" w:styleId="4D24847F325F4009A41D06708063480D">
    <w:name w:val="4D24847F325F4009A41D06708063480D"/>
    <w:rsid w:val="001B06FA"/>
    <w:rPr>
      <w:lang w:val="en-US" w:eastAsia="en-US"/>
    </w:rPr>
  </w:style>
  <w:style w:type="paragraph" w:customStyle="1" w:styleId="949B4CC3DDD84E35AED3B426DA25C3C0">
    <w:name w:val="949B4CC3DDD84E35AED3B426DA25C3C0"/>
    <w:rsid w:val="001B06FA"/>
    <w:rPr>
      <w:lang w:val="en-US" w:eastAsia="en-US"/>
    </w:rPr>
  </w:style>
  <w:style w:type="paragraph" w:customStyle="1" w:styleId="1CA1CF5C5F7542D6A557314D3E218517">
    <w:name w:val="1CA1CF5C5F7542D6A557314D3E218517"/>
    <w:rsid w:val="006902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2833B9C0B50D4EB62CF206B9DF4D6F" ma:contentTypeVersion="4" ma:contentTypeDescription="Create a new document." ma:contentTypeScope="" ma:versionID="064d7b978d02efd1e6483567367d0895">
  <xsd:schema xmlns:xsd="http://www.w3.org/2001/XMLSchema" xmlns:xs="http://www.w3.org/2001/XMLSchema" xmlns:p="http://schemas.microsoft.com/office/2006/metadata/properties" xmlns:ns2="bf54d604-3e62-4e70-ba33-9e9084b96a66" targetNamespace="http://schemas.microsoft.com/office/2006/metadata/properties" ma:root="true" ma:fieldsID="d17ff28f510e71dda79b4a1724ec235d" ns2:_="">
    <xsd:import namespace="bf54d604-3e62-4e70-ba33-9e9084b96a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4d604-3e62-4e70-ba33-9e9084b96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CD600-6411-4068-834B-23583BEF8830}">
  <ds:schemaRefs>
    <ds:schemaRef ds:uri="http://schemas.microsoft.com/sharepoint/v3/contenttype/forms"/>
  </ds:schemaRefs>
</ds:datastoreItem>
</file>

<file path=customXml/itemProps2.xml><?xml version="1.0" encoding="utf-8"?>
<ds:datastoreItem xmlns:ds="http://schemas.openxmlformats.org/officeDocument/2006/customXml" ds:itemID="{3239DD63-28F4-449C-B8EB-388D7D504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4d604-3e62-4e70-ba33-9e9084b96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4BF535-31E3-4739-867A-415326C94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7</Pages>
  <Words>2309</Words>
  <Characters>13166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HEARD,Jonathan</dc:creator>
  <cp:lastModifiedBy>HEARD,Jonathan</cp:lastModifiedBy>
  <cp:revision>28</cp:revision>
  <cp:lastPrinted>2018-10-22T22:41:00Z</cp:lastPrinted>
  <dcterms:created xsi:type="dcterms:W3CDTF">2019-12-10T20:17:00Z</dcterms:created>
  <dcterms:modified xsi:type="dcterms:W3CDTF">2020-03-12T23:19:00Z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0x010100EC2833B9C0B50D4EB62CF206B9DF4D6F</vt:lpwstr>
  </property>
</Properties>
</file>