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3345AD5" w14:textId="7DD14DC6" w:rsidR="00BD499F" w:rsidRPr="004C23F4" w:rsidRDefault="007F217F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07562F">
            <w:rPr>
              <w:rFonts w:ascii="Arial" w:hAnsi="Arial" w:cs="Arial"/>
            </w:rPr>
            <w:t>itromethane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4C5EE51B" w14:textId="77777777" w:rsidTr="00B76A41">
        <w:trPr>
          <w:cantSplit/>
          <w:tblHeader/>
        </w:trPr>
        <w:tc>
          <w:tcPr>
            <w:tcW w:w="4077" w:type="dxa"/>
          </w:tcPr>
          <w:p w14:paraId="1A8D6F8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FB5E56" w14:textId="77777777" w:rsidR="00F43AD5" w:rsidRPr="00717D45" w:rsidRDefault="0007562F" w:rsidP="00B76A41">
            <w:pPr>
              <w:pStyle w:val="Tablefont"/>
            </w:pPr>
            <w:r>
              <w:t>75-52-5</w:t>
            </w:r>
          </w:p>
        </w:tc>
      </w:tr>
      <w:tr w:rsidR="00F43AD5" w:rsidRPr="004C23F4" w14:paraId="74CB887B" w14:textId="77777777" w:rsidTr="00B76A41">
        <w:trPr>
          <w:cantSplit/>
        </w:trPr>
        <w:tc>
          <w:tcPr>
            <w:tcW w:w="4077" w:type="dxa"/>
          </w:tcPr>
          <w:p w14:paraId="6F880AC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1138469" w14:textId="77777777" w:rsidR="00F43AD5" w:rsidRPr="00717D45" w:rsidRDefault="0007562F" w:rsidP="00B76A41">
            <w:pPr>
              <w:pStyle w:val="Tablefont"/>
            </w:pPr>
            <w:proofErr w:type="spellStart"/>
            <w:r>
              <w:t>Nitrocarbol</w:t>
            </w:r>
            <w:proofErr w:type="spellEnd"/>
            <w:r w:rsidR="006F61C5">
              <w:t xml:space="preserve">, </w:t>
            </w:r>
            <w:proofErr w:type="spellStart"/>
            <w:r w:rsidR="006F61C5" w:rsidRPr="006F61C5">
              <w:t>mononitromethane</w:t>
            </w:r>
            <w:proofErr w:type="spellEnd"/>
          </w:p>
        </w:tc>
      </w:tr>
      <w:tr w:rsidR="00F43AD5" w:rsidRPr="004C23F4" w14:paraId="6AB74935" w14:textId="77777777" w:rsidTr="00B76A41">
        <w:trPr>
          <w:cantSplit/>
        </w:trPr>
        <w:tc>
          <w:tcPr>
            <w:tcW w:w="4077" w:type="dxa"/>
          </w:tcPr>
          <w:p w14:paraId="3F3FDCCE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006AA13" w14:textId="77777777" w:rsidR="00F43AD5" w:rsidRPr="00717D45" w:rsidRDefault="0007562F" w:rsidP="00B76A41">
            <w:pPr>
              <w:pStyle w:val="Tablefont"/>
            </w:pPr>
            <w:r>
              <w:t>CH</w:t>
            </w:r>
            <w:r w:rsidRPr="0007562F">
              <w:rPr>
                <w:vertAlign w:val="subscript"/>
              </w:rPr>
              <w:t>3</w:t>
            </w:r>
            <w:r>
              <w:t>NO</w:t>
            </w:r>
            <w:r w:rsidRPr="0007562F">
              <w:rPr>
                <w:vertAlign w:val="subscript"/>
              </w:rPr>
              <w:t>2</w:t>
            </w:r>
          </w:p>
        </w:tc>
      </w:tr>
      <w:tr w:rsidR="00F43AD5" w:rsidRPr="004C23F4" w14:paraId="635EED81" w14:textId="77777777" w:rsidTr="00B76A41">
        <w:trPr>
          <w:cantSplit/>
        </w:trPr>
        <w:tc>
          <w:tcPr>
            <w:tcW w:w="4077" w:type="dxa"/>
          </w:tcPr>
          <w:p w14:paraId="148059D6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B032995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4BCA466E" w14:textId="2CA2018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754AB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2A6FEEAC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29FCB84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5F35B50F" w14:textId="53809646" w:rsidR="002C7AFE" w:rsidRPr="004754AB" w:rsidRDefault="004754AB" w:rsidP="00017C82">
            <w:pPr>
              <w:pStyle w:val="Tablefont"/>
              <w:rPr>
                <w:b/>
              </w:rPr>
            </w:pPr>
            <w:r w:rsidRPr="004754AB">
              <w:rPr>
                <w:b/>
              </w:rPr>
              <w:t>20 ppm (50 mg/m</w:t>
            </w:r>
            <w:r w:rsidRPr="004754AB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70F98632" w14:textId="77777777" w:rsidTr="00037E52">
        <w:trPr>
          <w:cantSplit/>
        </w:trPr>
        <w:tc>
          <w:tcPr>
            <w:tcW w:w="4010" w:type="dxa"/>
            <w:vAlign w:val="center"/>
          </w:tcPr>
          <w:p w14:paraId="2323F761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35D6153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89C835B" w14:textId="77777777" w:rsidTr="00037E52">
        <w:trPr>
          <w:cantSplit/>
        </w:trPr>
        <w:tc>
          <w:tcPr>
            <w:tcW w:w="4010" w:type="dxa"/>
            <w:vAlign w:val="center"/>
          </w:tcPr>
          <w:p w14:paraId="2F9E1F7B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602A7A23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32FF37E" w14:textId="77777777" w:rsidTr="00037E52">
        <w:trPr>
          <w:cantSplit/>
        </w:trPr>
        <w:tc>
          <w:tcPr>
            <w:tcW w:w="4010" w:type="dxa"/>
          </w:tcPr>
          <w:p w14:paraId="07681074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E4BF62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1475A3F" w14:textId="77777777" w:rsidTr="00037E52">
        <w:trPr>
          <w:cantSplit/>
        </w:trPr>
        <w:tc>
          <w:tcPr>
            <w:tcW w:w="4010" w:type="dxa"/>
            <w:vAlign w:val="center"/>
          </w:tcPr>
          <w:p w14:paraId="619CE5C3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5B276480" w14:textId="77777777" w:rsidR="00037E52" w:rsidRPr="00EB3D1B" w:rsidRDefault="008C1F8A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750 ppm</w:t>
            </w:r>
          </w:p>
        </w:tc>
      </w:tr>
      <w:tr w:rsidR="004754AB" w:rsidRPr="004C23F4" w14:paraId="40123BB2" w14:textId="77777777" w:rsidTr="00F837B3">
        <w:trPr>
          <w:cantSplit/>
        </w:trPr>
        <w:tc>
          <w:tcPr>
            <w:tcW w:w="9026" w:type="dxa"/>
            <w:gridSpan w:val="2"/>
            <w:vAlign w:val="center"/>
          </w:tcPr>
          <w:p w14:paraId="1E3DB33F" w14:textId="6E420EB8" w:rsidR="004754AB" w:rsidRPr="004754AB" w:rsidRDefault="004754AB" w:rsidP="00037E52">
            <w:pPr>
              <w:pStyle w:val="Tablefont"/>
            </w:pPr>
            <w:r w:rsidRPr="004754AB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CED23376993147BAA74556BDEA2A8032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DD46E8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689044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1756E0F" w14:textId="39057ED5" w:rsidR="006639B4" w:rsidRPr="004754AB" w:rsidRDefault="004754AB" w:rsidP="000C139A">
      <w:pPr>
        <w:rPr>
          <w:rFonts w:cs="Arial"/>
        </w:rPr>
      </w:pPr>
      <w:r w:rsidRPr="004754AB">
        <w:rPr>
          <w:rFonts w:eastAsia="Calibri" w:cs="Times New Roman"/>
        </w:rPr>
        <w:t xml:space="preserve">A TWA of </w:t>
      </w:r>
      <w:r>
        <w:rPr>
          <w:rFonts w:eastAsia="Calibri" w:cs="Times New Roman"/>
        </w:rPr>
        <w:t>20</w:t>
      </w:r>
      <w:r w:rsidRPr="004754AB">
        <w:rPr>
          <w:rFonts w:eastAsia="Calibri" w:cs="Times New Roman"/>
        </w:rPr>
        <w:t xml:space="preserve"> ppm (</w:t>
      </w:r>
      <w:r>
        <w:rPr>
          <w:rFonts w:eastAsia="Calibri" w:cs="Times New Roman"/>
        </w:rPr>
        <w:t>50</w:t>
      </w:r>
      <w:r w:rsidRPr="004754AB">
        <w:rPr>
          <w:rFonts w:eastAsia="Calibri" w:cs="Times New Roman"/>
        </w:rPr>
        <w:t xml:space="preserve"> mg/m</w:t>
      </w:r>
      <w:r w:rsidRPr="004754AB">
        <w:rPr>
          <w:rFonts w:eastAsia="Calibri" w:cs="Times New Roman"/>
          <w:vertAlign w:val="superscript"/>
        </w:rPr>
        <w:t>3</w:t>
      </w:r>
      <w:r w:rsidRPr="004754AB">
        <w:rPr>
          <w:rFonts w:eastAsia="Calibri" w:cs="Times New Roman"/>
        </w:rPr>
        <w:t xml:space="preserve">) is recommended to protect for </w:t>
      </w:r>
      <w:r w:rsidR="0071014F">
        <w:t xml:space="preserve">red blood cell </w:t>
      </w:r>
      <w:r w:rsidR="009E59AE">
        <w:t xml:space="preserve">(RBC) </w:t>
      </w:r>
      <w:r w:rsidR="004509A2">
        <w:t>effects</w:t>
      </w:r>
      <w:r w:rsidR="0071014F">
        <w:t>,</w:t>
      </w:r>
      <w:r w:rsidR="004509A2">
        <w:t xml:space="preserve"> </w:t>
      </w:r>
      <w:r w:rsidR="002078C3">
        <w:t xml:space="preserve">respiratory </w:t>
      </w:r>
      <w:r w:rsidR="0071014F">
        <w:t xml:space="preserve">tract </w:t>
      </w:r>
      <w:r w:rsidR="00DB62D6">
        <w:t>irritat</w:t>
      </w:r>
      <w:r w:rsidR="0071014F">
        <w:t>ion</w:t>
      </w:r>
      <w:r w:rsidR="002078C3">
        <w:t xml:space="preserve"> and adverse effects in </w:t>
      </w:r>
      <w:r w:rsidR="000E0374">
        <w:t xml:space="preserve">the </w:t>
      </w:r>
      <w:r w:rsidR="002078C3">
        <w:t>nasal cavity</w:t>
      </w:r>
      <w:r w:rsidRPr="004754AB">
        <w:rPr>
          <w:rFonts w:eastAsia="Calibri" w:cs="Times New Roman"/>
        </w:rPr>
        <w:t xml:space="preserve"> in exposed workers</w:t>
      </w:r>
      <w:r w:rsidR="00996294">
        <w:rPr>
          <w:rFonts w:eastAsia="Calibri" w:cs="Times New Roman"/>
        </w:rPr>
        <w:t>.</w:t>
      </w:r>
    </w:p>
    <w:p w14:paraId="310C089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9DC988A" w14:textId="77777777" w:rsidR="006D2D7E" w:rsidRDefault="00996294" w:rsidP="006639B4">
      <w:r>
        <w:rPr>
          <w:rFonts w:cs="Arial"/>
        </w:rPr>
        <w:t xml:space="preserve">Nitromethane is used </w:t>
      </w:r>
      <w:r>
        <w:t>as a chemical stabiliser for halogenated hydrocarbon solvents and aerosol propellants. It is also used as a chemical intermediate, rocket propellant and an explosive when mixed with ammonium nitrate.</w:t>
      </w:r>
      <w:r w:rsidR="003F2D19">
        <w:t xml:space="preserve"> </w:t>
      </w:r>
    </w:p>
    <w:p w14:paraId="3A5F5226" w14:textId="4F6C092C" w:rsidR="00DD46E8" w:rsidRDefault="00DD46E8" w:rsidP="006639B4">
      <w:pPr>
        <w:rPr>
          <w:rStyle w:val="checkbox"/>
          <w:rFonts w:ascii="Arial" w:hAnsi="Arial" w:cs="Arial"/>
        </w:rPr>
      </w:pPr>
      <w:r>
        <w:t xml:space="preserve">Critical effects </w:t>
      </w:r>
      <w:r w:rsidR="006D2D7E">
        <w:t xml:space="preserve">of </w:t>
      </w:r>
      <w:r>
        <w:t xml:space="preserve">exposure </w:t>
      </w:r>
      <w:r w:rsidR="00DB62D6">
        <w:t>are</w:t>
      </w:r>
      <w:r>
        <w:t xml:space="preserve"> </w:t>
      </w:r>
      <w:r w:rsidR="009E59AE">
        <w:t>RBC</w:t>
      </w:r>
      <w:r w:rsidR="005A152B">
        <w:t xml:space="preserve"> effects, </w:t>
      </w:r>
      <w:r>
        <w:t>respiratory tract irritation</w:t>
      </w:r>
      <w:r w:rsidR="00DB62D6">
        <w:t xml:space="preserve"> and </w:t>
      </w:r>
      <w:r w:rsidR="00882E1D">
        <w:t>adverse</w:t>
      </w:r>
      <w:r w:rsidR="00DB62D6" w:rsidRPr="00DB62D6">
        <w:t xml:space="preserve"> </w:t>
      </w:r>
      <w:r w:rsidR="00882E1D">
        <w:t xml:space="preserve">effects </w:t>
      </w:r>
      <w:r w:rsidR="00830772">
        <w:t xml:space="preserve">in nasal cavity </w:t>
      </w:r>
      <w:r w:rsidR="00882E1D">
        <w:t>as observed in animals</w:t>
      </w:r>
      <w:r>
        <w:t xml:space="preserve">. </w:t>
      </w:r>
      <w:r w:rsidR="002265A3">
        <w:t>Limited human toxicological data are available. N</w:t>
      </w:r>
      <w:r w:rsidR="00676F82">
        <w:t xml:space="preserve">itromethane </w:t>
      </w:r>
      <w:r w:rsidR="002265A3">
        <w:t xml:space="preserve">is considered to </w:t>
      </w:r>
      <w:r w:rsidR="00676F82">
        <w:t>act as a w</w:t>
      </w:r>
      <w:r w:rsidR="003F2D19">
        <w:t>eak narcotic and respiratory irritant</w:t>
      </w:r>
      <w:r w:rsidR="00CE01EB">
        <w:t xml:space="preserve"> </w:t>
      </w:r>
      <w:r w:rsidR="002265A3">
        <w:t xml:space="preserve">in humans </w:t>
      </w:r>
      <w:r w:rsidR="00CE01EB">
        <w:rPr>
          <w:rStyle w:val="checkbox"/>
          <w:rFonts w:ascii="Arial" w:hAnsi="Arial" w:cs="Arial"/>
        </w:rPr>
        <w:t>(ACGIH, 2018)</w:t>
      </w:r>
      <w:r w:rsidR="002265A3">
        <w:rPr>
          <w:rStyle w:val="checkbox"/>
          <w:rFonts w:ascii="Arial" w:hAnsi="Arial" w:cs="Arial"/>
        </w:rPr>
        <w:t>.</w:t>
      </w:r>
      <w:r w:rsidR="002078C3">
        <w:rPr>
          <w:rStyle w:val="checkbox"/>
          <w:rFonts w:ascii="Arial" w:hAnsi="Arial" w:cs="Arial"/>
        </w:rPr>
        <w:t xml:space="preserve"> </w:t>
      </w:r>
      <w:r w:rsidR="002265A3">
        <w:t>T</w:t>
      </w:r>
      <w:r w:rsidR="00676F82">
        <w:t xml:space="preserve">here is a </w:t>
      </w:r>
      <w:r w:rsidR="002265A3">
        <w:t xml:space="preserve">case report indicating </w:t>
      </w:r>
      <w:r w:rsidR="00676F82">
        <w:t xml:space="preserve">two workers </w:t>
      </w:r>
      <w:r w:rsidR="002265A3">
        <w:t xml:space="preserve">developed </w:t>
      </w:r>
      <w:r w:rsidR="00676F82">
        <w:t xml:space="preserve">severe </w:t>
      </w:r>
      <w:r w:rsidR="00676F82">
        <w:rPr>
          <w:rStyle w:val="checkbox"/>
          <w:rFonts w:ascii="Arial" w:hAnsi="Arial" w:cs="Arial"/>
        </w:rPr>
        <w:t>peripheral neuropathy following brief exposure</w:t>
      </w:r>
      <w:r w:rsidR="00CE01EB">
        <w:rPr>
          <w:rStyle w:val="checkbox"/>
          <w:rFonts w:ascii="Arial" w:hAnsi="Arial" w:cs="Arial"/>
        </w:rPr>
        <w:t xml:space="preserve"> (one to two months) but concentration </w:t>
      </w:r>
      <w:r w:rsidR="0046775B">
        <w:rPr>
          <w:rStyle w:val="checkbox"/>
          <w:rFonts w:ascii="Arial" w:hAnsi="Arial" w:cs="Arial"/>
        </w:rPr>
        <w:t xml:space="preserve">was </w:t>
      </w:r>
      <w:r w:rsidR="00CE01EB">
        <w:rPr>
          <w:rStyle w:val="checkbox"/>
          <w:rFonts w:ascii="Arial" w:hAnsi="Arial" w:cs="Arial"/>
        </w:rPr>
        <w:t>not reported</w:t>
      </w:r>
      <w:r w:rsidR="00676F82">
        <w:rPr>
          <w:rStyle w:val="checkbox"/>
          <w:rFonts w:ascii="Arial" w:hAnsi="Arial" w:cs="Arial"/>
        </w:rPr>
        <w:t xml:space="preserve"> </w:t>
      </w:r>
      <w:r w:rsidR="00CE01EB">
        <w:rPr>
          <w:rStyle w:val="checkbox"/>
          <w:rFonts w:ascii="Arial" w:hAnsi="Arial" w:cs="Arial"/>
        </w:rPr>
        <w:t>(</w:t>
      </w:r>
      <w:r w:rsidR="00676F82">
        <w:rPr>
          <w:rStyle w:val="checkbox"/>
          <w:rFonts w:ascii="Arial" w:hAnsi="Arial" w:cs="Arial"/>
        </w:rPr>
        <w:t>ECHA</w:t>
      </w:r>
      <w:r w:rsidR="00393F62">
        <w:rPr>
          <w:rStyle w:val="checkbox"/>
          <w:rFonts w:ascii="Arial" w:hAnsi="Arial" w:cs="Arial"/>
        </w:rPr>
        <w:t xml:space="preserve">, 2019). </w:t>
      </w:r>
      <w:r w:rsidR="00784410">
        <w:rPr>
          <w:rStyle w:val="checkbox"/>
          <w:rFonts w:ascii="Arial" w:hAnsi="Arial" w:cs="Arial"/>
        </w:rPr>
        <w:t xml:space="preserve">A NOAEC </w:t>
      </w:r>
      <w:r w:rsidR="008E04F1">
        <w:rPr>
          <w:rStyle w:val="checkbox"/>
          <w:rFonts w:ascii="Arial" w:hAnsi="Arial" w:cs="Arial"/>
        </w:rPr>
        <w:t>of 94 ppm (235</w:t>
      </w:r>
      <w:r w:rsidR="00200BE8">
        <w:rPr>
          <w:rStyle w:val="checkbox"/>
          <w:rFonts w:ascii="Arial" w:hAnsi="Arial" w:cs="Arial"/>
        </w:rPr>
        <w:t> </w:t>
      </w:r>
      <w:r w:rsidR="008E04F1">
        <w:rPr>
          <w:rStyle w:val="checkbox"/>
          <w:rFonts w:ascii="Arial" w:hAnsi="Arial" w:cs="Arial"/>
        </w:rPr>
        <w:t>mg/m</w:t>
      </w:r>
      <w:r w:rsidR="008E04F1" w:rsidRPr="00111550">
        <w:rPr>
          <w:rStyle w:val="checkbox"/>
          <w:rFonts w:ascii="Arial" w:hAnsi="Arial" w:cs="Arial"/>
          <w:vertAlign w:val="superscript"/>
        </w:rPr>
        <w:t>3</w:t>
      </w:r>
      <w:r w:rsidR="008E04F1">
        <w:rPr>
          <w:rStyle w:val="checkbox"/>
          <w:rFonts w:ascii="Arial" w:hAnsi="Arial" w:cs="Arial"/>
        </w:rPr>
        <w:t>)</w:t>
      </w:r>
      <w:r w:rsidR="00B9317F">
        <w:rPr>
          <w:rStyle w:val="checkbox"/>
          <w:rFonts w:ascii="Arial" w:hAnsi="Arial" w:cs="Arial"/>
        </w:rPr>
        <w:t xml:space="preserve"> is </w:t>
      </w:r>
      <w:r w:rsidR="00784410">
        <w:rPr>
          <w:rStyle w:val="checkbox"/>
          <w:rFonts w:ascii="Arial" w:hAnsi="Arial" w:cs="Arial"/>
        </w:rPr>
        <w:t xml:space="preserve">identified </w:t>
      </w:r>
      <w:r w:rsidR="00E646DB">
        <w:rPr>
          <w:rStyle w:val="checkbox"/>
          <w:rFonts w:ascii="Arial" w:hAnsi="Arial" w:cs="Arial"/>
        </w:rPr>
        <w:t>for</w:t>
      </w:r>
      <w:r w:rsidR="00C60B39">
        <w:rPr>
          <w:rStyle w:val="checkbox"/>
          <w:rFonts w:ascii="Arial" w:hAnsi="Arial" w:cs="Arial"/>
        </w:rPr>
        <w:t xml:space="preserve"> microcytic anaemia</w:t>
      </w:r>
      <w:r w:rsidR="00BD6966">
        <w:rPr>
          <w:rStyle w:val="checkbox"/>
          <w:rFonts w:ascii="Arial" w:hAnsi="Arial" w:cs="Arial"/>
        </w:rPr>
        <w:t>,</w:t>
      </w:r>
      <w:r w:rsidR="00E646DB">
        <w:rPr>
          <w:rStyle w:val="checkbox"/>
          <w:rFonts w:ascii="Arial" w:hAnsi="Arial" w:cs="Arial"/>
        </w:rPr>
        <w:t xml:space="preserve"> hyperplasia of the bone marrow </w:t>
      </w:r>
      <w:r w:rsidR="00BD6966">
        <w:rPr>
          <w:rStyle w:val="checkbox"/>
          <w:rFonts w:ascii="Arial" w:hAnsi="Arial" w:cs="Arial"/>
        </w:rPr>
        <w:t xml:space="preserve">and respiratory hyaline droplets </w:t>
      </w:r>
      <w:r w:rsidR="00784410">
        <w:rPr>
          <w:rStyle w:val="checkbox"/>
          <w:rFonts w:ascii="Arial" w:hAnsi="Arial" w:cs="Arial"/>
        </w:rPr>
        <w:t xml:space="preserve">in </w:t>
      </w:r>
      <w:r w:rsidR="00B9317F">
        <w:rPr>
          <w:rStyle w:val="checkbox"/>
          <w:rFonts w:ascii="Arial" w:hAnsi="Arial" w:cs="Arial"/>
        </w:rPr>
        <w:t xml:space="preserve">a </w:t>
      </w:r>
      <w:r w:rsidR="00784410">
        <w:rPr>
          <w:rStyle w:val="checkbox"/>
          <w:rFonts w:ascii="Arial" w:hAnsi="Arial" w:cs="Arial"/>
        </w:rPr>
        <w:t xml:space="preserve">13-week study in rats and mice </w:t>
      </w:r>
      <w:r w:rsidR="000C36F4">
        <w:rPr>
          <w:rStyle w:val="checkbox"/>
          <w:rFonts w:ascii="Arial" w:hAnsi="Arial" w:cs="Arial"/>
        </w:rPr>
        <w:t>(</w:t>
      </w:r>
      <w:r w:rsidR="00BB5A63">
        <w:rPr>
          <w:rStyle w:val="checkbox"/>
          <w:rFonts w:ascii="Arial" w:hAnsi="Arial" w:cs="Arial"/>
        </w:rPr>
        <w:t>ACGIH, 20</w:t>
      </w:r>
      <w:r w:rsidR="00200BE8">
        <w:rPr>
          <w:rStyle w:val="checkbox"/>
          <w:rFonts w:ascii="Arial" w:hAnsi="Arial" w:cs="Arial"/>
        </w:rPr>
        <w:t>18</w:t>
      </w:r>
      <w:r w:rsidR="00BB5A63">
        <w:rPr>
          <w:rStyle w:val="checkbox"/>
          <w:rFonts w:ascii="Arial" w:hAnsi="Arial" w:cs="Arial"/>
        </w:rPr>
        <w:t xml:space="preserve">; </w:t>
      </w:r>
      <w:r w:rsidR="000C36F4">
        <w:rPr>
          <w:rStyle w:val="checkbox"/>
          <w:rFonts w:ascii="Arial" w:hAnsi="Arial" w:cs="Arial"/>
        </w:rPr>
        <w:t xml:space="preserve">ECHA, 2019). </w:t>
      </w:r>
      <w:r w:rsidR="00A76F54">
        <w:t>Liver neoplasms, Harderian gland adenomas and carcinomas and nose lesions</w:t>
      </w:r>
      <w:r w:rsidR="00856F98">
        <w:t>,</w:t>
      </w:r>
      <w:r w:rsidR="00856F98" w:rsidRPr="00856F98">
        <w:t xml:space="preserve"> </w:t>
      </w:r>
      <w:r w:rsidR="00856F98">
        <w:t xml:space="preserve">including effects on nasal cavity and respiratory tract, </w:t>
      </w:r>
      <w:r w:rsidR="000E0374">
        <w:t>a</w:t>
      </w:r>
      <w:r w:rsidR="00A76F54">
        <w:t xml:space="preserve">re reported </w:t>
      </w:r>
      <w:r w:rsidR="00A76F54">
        <w:rPr>
          <w:rStyle w:val="checkbox"/>
          <w:rFonts w:ascii="Arial" w:hAnsi="Arial" w:cs="Arial"/>
        </w:rPr>
        <w:t>i</w:t>
      </w:r>
      <w:r w:rsidR="00922C9C">
        <w:rPr>
          <w:rStyle w:val="checkbox"/>
          <w:rFonts w:ascii="Arial" w:hAnsi="Arial" w:cs="Arial"/>
        </w:rPr>
        <w:t>n</w:t>
      </w:r>
      <w:r w:rsidR="00A76F54">
        <w:rPr>
          <w:rStyle w:val="checkbox"/>
          <w:rFonts w:ascii="Arial" w:hAnsi="Arial" w:cs="Arial"/>
        </w:rPr>
        <w:t xml:space="preserve"> mice </w:t>
      </w:r>
      <w:r w:rsidR="00A76F54">
        <w:t>at do</w:t>
      </w:r>
      <w:r w:rsidR="009778BE">
        <w:t>s</w:t>
      </w:r>
      <w:r w:rsidR="00A76F54">
        <w:t>es as low as 188 ppm</w:t>
      </w:r>
      <w:r w:rsidR="00A76F54" w:rsidRPr="00922C9C">
        <w:t xml:space="preserve"> </w:t>
      </w:r>
      <w:r w:rsidR="00A76F54">
        <w:rPr>
          <w:rStyle w:val="checkbox"/>
          <w:rFonts w:ascii="Arial" w:hAnsi="Arial" w:cs="Arial"/>
        </w:rPr>
        <w:t>in</w:t>
      </w:r>
      <w:r w:rsidR="00BC25AC">
        <w:rPr>
          <w:rStyle w:val="checkbox"/>
          <w:rFonts w:ascii="Arial" w:hAnsi="Arial" w:cs="Arial"/>
        </w:rPr>
        <w:t xml:space="preserve"> </w:t>
      </w:r>
      <w:r w:rsidR="00A76F54">
        <w:rPr>
          <w:rStyle w:val="checkbox"/>
          <w:rFonts w:ascii="Arial" w:hAnsi="Arial" w:cs="Arial"/>
        </w:rPr>
        <w:t xml:space="preserve">a </w:t>
      </w:r>
      <w:r w:rsidR="00784410">
        <w:rPr>
          <w:rStyle w:val="checkbox"/>
          <w:rFonts w:ascii="Arial" w:hAnsi="Arial" w:cs="Arial"/>
        </w:rPr>
        <w:t>two-</w:t>
      </w:r>
      <w:r w:rsidR="00BC25AC">
        <w:rPr>
          <w:rStyle w:val="checkbox"/>
          <w:rFonts w:ascii="Arial" w:hAnsi="Arial" w:cs="Arial"/>
        </w:rPr>
        <w:t xml:space="preserve">year inhalation study </w:t>
      </w:r>
      <w:r w:rsidR="000E0374">
        <w:rPr>
          <w:rStyle w:val="checkbox"/>
          <w:rFonts w:ascii="Arial" w:hAnsi="Arial" w:cs="Arial"/>
        </w:rPr>
        <w:t>in</w:t>
      </w:r>
      <w:r w:rsidR="00A76F54">
        <w:rPr>
          <w:rStyle w:val="checkbox"/>
          <w:rFonts w:ascii="Arial" w:hAnsi="Arial" w:cs="Arial"/>
        </w:rPr>
        <w:t xml:space="preserve"> </w:t>
      </w:r>
      <w:r w:rsidR="00BC25AC">
        <w:rPr>
          <w:rStyle w:val="checkbox"/>
          <w:rFonts w:ascii="Arial" w:hAnsi="Arial" w:cs="Arial"/>
        </w:rPr>
        <w:t xml:space="preserve">rats </w:t>
      </w:r>
      <w:r w:rsidR="00C60B39">
        <w:rPr>
          <w:rStyle w:val="checkbox"/>
          <w:rFonts w:ascii="Arial" w:hAnsi="Arial" w:cs="Arial"/>
        </w:rPr>
        <w:t>and mice</w:t>
      </w:r>
      <w:r w:rsidR="00A76F54">
        <w:rPr>
          <w:rStyle w:val="checkbox"/>
          <w:rFonts w:ascii="Arial" w:hAnsi="Arial" w:cs="Arial"/>
        </w:rPr>
        <w:t>. However,</w:t>
      </w:r>
      <w:r w:rsidR="00C60B39">
        <w:rPr>
          <w:rStyle w:val="checkbox"/>
          <w:rFonts w:ascii="Arial" w:hAnsi="Arial" w:cs="Arial"/>
        </w:rPr>
        <w:t xml:space="preserve"> </w:t>
      </w:r>
      <w:r w:rsidR="00922C9C">
        <w:rPr>
          <w:rStyle w:val="checkbox"/>
          <w:rFonts w:ascii="Arial" w:hAnsi="Arial" w:cs="Arial"/>
        </w:rPr>
        <w:t>no</w:t>
      </w:r>
      <w:r w:rsidR="008E4ED7">
        <w:rPr>
          <w:rStyle w:val="checkbox"/>
          <w:rFonts w:ascii="Arial" w:hAnsi="Arial" w:cs="Arial"/>
        </w:rPr>
        <w:t xml:space="preserve"> effects </w:t>
      </w:r>
      <w:r w:rsidR="00FD5874">
        <w:rPr>
          <w:rStyle w:val="checkbox"/>
          <w:rFonts w:ascii="Arial" w:hAnsi="Arial" w:cs="Arial"/>
        </w:rPr>
        <w:t xml:space="preserve">were </w:t>
      </w:r>
      <w:r w:rsidR="00A76F54">
        <w:rPr>
          <w:rStyle w:val="checkbox"/>
          <w:rFonts w:ascii="Arial" w:hAnsi="Arial" w:cs="Arial"/>
        </w:rPr>
        <w:t xml:space="preserve">reported </w:t>
      </w:r>
      <w:r w:rsidR="008E4ED7">
        <w:rPr>
          <w:rStyle w:val="checkbox"/>
          <w:rFonts w:ascii="Arial" w:hAnsi="Arial" w:cs="Arial"/>
        </w:rPr>
        <w:t xml:space="preserve">in rats </w:t>
      </w:r>
      <w:r w:rsidR="00922C9C">
        <w:rPr>
          <w:rStyle w:val="checkbox"/>
          <w:rFonts w:ascii="Arial" w:hAnsi="Arial" w:cs="Arial"/>
        </w:rPr>
        <w:t>at 94 ppm</w:t>
      </w:r>
      <w:r w:rsidR="00A76F54">
        <w:rPr>
          <w:rStyle w:val="checkbox"/>
          <w:rFonts w:ascii="Arial" w:hAnsi="Arial" w:cs="Arial"/>
        </w:rPr>
        <w:t xml:space="preserve"> in this study </w:t>
      </w:r>
      <w:r w:rsidR="00A76F54">
        <w:t>(ACGIH, 2018)</w:t>
      </w:r>
      <w:r w:rsidR="00322525">
        <w:rPr>
          <w:rStyle w:val="checkbox"/>
          <w:rFonts w:ascii="Arial" w:hAnsi="Arial" w:cs="Arial"/>
        </w:rPr>
        <w:t>.</w:t>
      </w:r>
      <w:r w:rsidR="00922C9C">
        <w:t xml:space="preserve"> </w:t>
      </w:r>
    </w:p>
    <w:p w14:paraId="7DEC9916" w14:textId="2740BC76" w:rsidR="00996294" w:rsidRPr="004C23F4" w:rsidRDefault="00FD38C2" w:rsidP="006639B4">
      <w:pPr>
        <w:rPr>
          <w:rFonts w:cs="Arial"/>
        </w:rPr>
      </w:pPr>
      <w:r>
        <w:rPr>
          <w:rStyle w:val="checkbox"/>
          <w:rFonts w:ascii="Arial" w:hAnsi="Arial" w:cs="Arial"/>
        </w:rPr>
        <w:t>Based on the NOAEC of 94 ppm, t</w:t>
      </w:r>
      <w:r w:rsidR="000E37D5">
        <w:rPr>
          <w:rStyle w:val="checkbox"/>
          <w:rFonts w:ascii="Arial" w:hAnsi="Arial" w:cs="Arial"/>
        </w:rPr>
        <w:t xml:space="preserve">he </w:t>
      </w:r>
      <w:r w:rsidR="00BE7407">
        <w:rPr>
          <w:rStyle w:val="checkbox"/>
          <w:rFonts w:ascii="Arial" w:hAnsi="Arial" w:cs="Arial"/>
        </w:rPr>
        <w:t xml:space="preserve">SWA </w:t>
      </w:r>
      <w:r w:rsidR="000E37D5">
        <w:rPr>
          <w:rStyle w:val="checkbox"/>
          <w:rFonts w:ascii="Arial" w:hAnsi="Arial" w:cs="Arial"/>
        </w:rPr>
        <w:t xml:space="preserve">TWA </w:t>
      </w:r>
      <w:r w:rsidR="009E4C60">
        <w:rPr>
          <w:rStyle w:val="checkbox"/>
          <w:rFonts w:ascii="Arial" w:hAnsi="Arial" w:cs="Arial"/>
        </w:rPr>
        <w:t>of 20 ppm</w:t>
      </w:r>
      <w:r w:rsidR="00DD46E8">
        <w:rPr>
          <w:rStyle w:val="checkbox"/>
          <w:rFonts w:ascii="Arial" w:hAnsi="Arial" w:cs="Arial"/>
        </w:rPr>
        <w:t xml:space="preserve"> </w:t>
      </w:r>
      <w:r w:rsidR="00DD46E8" w:rsidRPr="004754AB">
        <w:rPr>
          <w:rFonts w:eastAsia="Calibri" w:cs="Times New Roman"/>
        </w:rPr>
        <w:t>(</w:t>
      </w:r>
      <w:r w:rsidR="00DD46E8">
        <w:rPr>
          <w:rFonts w:eastAsia="Calibri" w:cs="Times New Roman"/>
        </w:rPr>
        <w:t>50</w:t>
      </w:r>
      <w:r w:rsidR="00DD46E8" w:rsidRPr="004754AB">
        <w:rPr>
          <w:rFonts w:eastAsia="Calibri" w:cs="Times New Roman"/>
        </w:rPr>
        <w:t xml:space="preserve"> mg/m</w:t>
      </w:r>
      <w:r w:rsidR="00DD46E8" w:rsidRPr="004754AB">
        <w:rPr>
          <w:rFonts w:eastAsia="Calibri" w:cs="Times New Roman"/>
          <w:vertAlign w:val="superscript"/>
        </w:rPr>
        <w:t>3</w:t>
      </w:r>
      <w:r w:rsidR="00DD46E8" w:rsidRPr="004754AB">
        <w:rPr>
          <w:rFonts w:eastAsia="Calibri" w:cs="Times New Roman"/>
        </w:rPr>
        <w:t xml:space="preserve">) </w:t>
      </w:r>
      <w:r w:rsidR="00BE7407">
        <w:rPr>
          <w:rFonts w:eastAsia="Calibri" w:cs="Times New Roman"/>
        </w:rPr>
        <w:t xml:space="preserve">derived </w:t>
      </w:r>
      <w:r w:rsidR="000E37D5">
        <w:rPr>
          <w:rStyle w:val="checkbox"/>
          <w:rFonts w:ascii="Arial" w:hAnsi="Arial" w:cs="Arial"/>
        </w:rPr>
        <w:t>by ACGIH is recommended</w:t>
      </w:r>
      <w:r w:rsidR="00B35678">
        <w:rPr>
          <w:rStyle w:val="checkbox"/>
          <w:rFonts w:ascii="Arial" w:hAnsi="Arial" w:cs="Arial"/>
        </w:rPr>
        <w:t xml:space="preserve"> </w:t>
      </w:r>
      <w:r w:rsidR="00BE7407">
        <w:rPr>
          <w:rStyle w:val="checkbox"/>
          <w:rFonts w:ascii="Arial" w:hAnsi="Arial" w:cs="Arial"/>
        </w:rPr>
        <w:t xml:space="preserve">to </w:t>
      </w:r>
      <w:r w:rsidR="00B35678">
        <w:rPr>
          <w:rStyle w:val="checkbox"/>
          <w:rFonts w:ascii="Arial" w:hAnsi="Arial" w:cs="Arial"/>
        </w:rPr>
        <w:t>be retained</w:t>
      </w:r>
      <w:r>
        <w:rPr>
          <w:rStyle w:val="checkbox"/>
          <w:rFonts w:ascii="Arial" w:hAnsi="Arial" w:cs="Arial"/>
        </w:rPr>
        <w:t>.</w:t>
      </w:r>
      <w:r w:rsidR="000E37D5">
        <w:rPr>
          <w:rStyle w:val="checkbox"/>
          <w:rFonts w:ascii="Arial" w:hAnsi="Arial" w:cs="Arial"/>
        </w:rPr>
        <w:t xml:space="preserve"> </w:t>
      </w:r>
      <w:r w:rsidR="00B35678">
        <w:rPr>
          <w:rStyle w:val="checkbox"/>
          <w:rFonts w:ascii="Arial" w:hAnsi="Arial" w:cs="Arial"/>
        </w:rPr>
        <w:t>B</w:t>
      </w:r>
      <w:r w:rsidR="00883C74">
        <w:t>ased on the weight of evidence</w:t>
      </w:r>
      <w:r w:rsidR="00B35678">
        <w:t>,</w:t>
      </w:r>
      <w:r w:rsidR="00883C74">
        <w:t xml:space="preserve"> </w:t>
      </w:r>
      <w:r w:rsidR="00BE7407">
        <w:t>the recommended TWA</w:t>
      </w:r>
      <w:r w:rsidR="00B35678">
        <w:t xml:space="preserve"> </w:t>
      </w:r>
      <w:r w:rsidR="00883C74">
        <w:t xml:space="preserve">is considered protective for </w:t>
      </w:r>
      <w:r w:rsidR="009E59AE">
        <w:t>RBC</w:t>
      </w:r>
      <w:r w:rsidR="00856F98">
        <w:t xml:space="preserve"> effects, </w:t>
      </w:r>
      <w:r w:rsidR="00830772">
        <w:t xml:space="preserve">respiratory tract irritation and </w:t>
      </w:r>
      <w:r w:rsidR="00883C74">
        <w:t>nasal cavity changes.</w:t>
      </w:r>
    </w:p>
    <w:p w14:paraId="43515FB5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3D17600" w14:textId="5EC238D8" w:rsidR="008E4F1F" w:rsidRPr="00996294" w:rsidRDefault="008E4F1F" w:rsidP="008E4F1F">
      <w:pPr>
        <w:rPr>
          <w:rFonts w:cs="Arial"/>
        </w:rPr>
      </w:pPr>
      <w:r w:rsidRPr="00996294">
        <w:rPr>
          <w:rFonts w:cs="Arial"/>
        </w:rPr>
        <w:t>Not classified as a carcinogen according to the Globally Harmonized System of Classification and Labelling o</w:t>
      </w:r>
      <w:r w:rsidR="00996294">
        <w:rPr>
          <w:rFonts w:cs="Arial"/>
        </w:rPr>
        <w:t>f</w:t>
      </w:r>
      <w:r w:rsidRPr="00996294">
        <w:rPr>
          <w:rFonts w:cs="Arial"/>
        </w:rPr>
        <w:t xml:space="preserve"> Chemicals (GHS). </w:t>
      </w:r>
    </w:p>
    <w:p w14:paraId="35A8B046" w14:textId="0BA84E39" w:rsidR="008E4F1F" w:rsidRPr="00996294" w:rsidRDefault="008E4F1F" w:rsidP="008E4F1F">
      <w:pPr>
        <w:rPr>
          <w:rFonts w:cs="Arial"/>
        </w:rPr>
      </w:pPr>
      <w:r w:rsidRPr="00996294">
        <w:rPr>
          <w:rFonts w:cs="Arial"/>
        </w:rPr>
        <w:lastRenderedPageBreak/>
        <w:t>Not classified as a skin</w:t>
      </w:r>
      <w:r w:rsidR="00996294">
        <w:rPr>
          <w:rFonts w:cs="Arial"/>
        </w:rPr>
        <w:t xml:space="preserve"> </w:t>
      </w:r>
      <w:r w:rsidR="00996294" w:rsidRPr="00996294">
        <w:rPr>
          <w:rFonts w:cs="Arial"/>
        </w:rPr>
        <w:t>sensitiser</w:t>
      </w:r>
      <w:r w:rsidRPr="00996294">
        <w:rPr>
          <w:rFonts w:cs="Arial"/>
        </w:rPr>
        <w:t xml:space="preserve"> or respiratory sensitiser according to the GHS.</w:t>
      </w:r>
    </w:p>
    <w:p w14:paraId="237F31D7" w14:textId="77EC6F00" w:rsidR="004529F0" w:rsidRPr="004C23F4" w:rsidRDefault="00E90A41" w:rsidP="008E4F1F">
      <w:pPr>
        <w:rPr>
          <w:rFonts w:cs="Arial"/>
        </w:rPr>
      </w:pPr>
      <w:r>
        <w:rPr>
          <w:rFonts w:cs="Arial"/>
        </w:rPr>
        <w:t xml:space="preserve">There are insufficient data to </w:t>
      </w:r>
      <w:r w:rsidR="00A96E24">
        <w:rPr>
          <w:rFonts w:cs="Arial"/>
        </w:rPr>
        <w:t xml:space="preserve">recommend </w:t>
      </w:r>
      <w:r>
        <w:rPr>
          <w:rFonts w:cs="Arial"/>
        </w:rPr>
        <w:t>a skin notation</w:t>
      </w:r>
      <w:r w:rsidR="008E4F1F" w:rsidRPr="00996294">
        <w:rPr>
          <w:rFonts w:cs="Arial"/>
        </w:rPr>
        <w:t>.</w:t>
      </w:r>
    </w:p>
    <w:p w14:paraId="61A7D8B9" w14:textId="77777777" w:rsidR="0025734A" w:rsidRPr="004C23F4" w:rsidRDefault="0025734A">
      <w:pPr>
        <w:rPr>
          <w:rFonts w:cs="Arial"/>
        </w:rPr>
      </w:pPr>
    </w:p>
    <w:p w14:paraId="7F32265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1F4EDF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C59A5A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9837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8919"/>
        <w:gridCol w:w="8799"/>
      </w:tblGrid>
      <w:tr w:rsidR="00C978F0" w:rsidRPr="008446C1" w14:paraId="6B6035BD" w14:textId="77777777" w:rsidTr="008446C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83" w:type="pct"/>
          <w:trHeight w:val="393"/>
          <w:tblHeader/>
        </w:trPr>
        <w:tc>
          <w:tcPr>
            <w:tcW w:w="2517" w:type="pct"/>
            <w:shd w:val="clear" w:color="auto" w:fill="BFBFBF" w:themeFill="background1" w:themeFillShade="BF"/>
            <w:vAlign w:val="center"/>
          </w:tcPr>
          <w:p w14:paraId="46349C62" w14:textId="77777777" w:rsidR="00C978F0" w:rsidRPr="008446C1" w:rsidRDefault="00C978F0" w:rsidP="007F217F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8446C1">
              <w:rPr>
                <w:b/>
              </w:rPr>
              <w:t>Source</w:t>
            </w:r>
            <w:r w:rsidR="00DA352E" w:rsidRPr="008446C1">
              <w:rPr>
                <w:b/>
              </w:rPr>
              <w:tab/>
              <w:t>Year set</w:t>
            </w:r>
            <w:r w:rsidR="00DA352E" w:rsidRPr="008446C1">
              <w:rPr>
                <w:b/>
              </w:rPr>
              <w:tab/>
              <w:t>Standard</w:t>
            </w:r>
            <w:r w:rsidR="00974F2D" w:rsidRPr="008446C1">
              <w:rPr>
                <w:b/>
              </w:rPr>
              <w:tab/>
            </w:r>
          </w:p>
        </w:tc>
      </w:tr>
      <w:tr w:rsidR="00DE26E8" w:rsidRPr="003365A5" w14:paraId="793B974E" w14:textId="77777777" w:rsidTr="008446C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4FA8134" w14:textId="77777777" w:rsidR="00DE26E8" w:rsidRPr="003365A5" w:rsidRDefault="00DE26E8" w:rsidP="00DD46E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534F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534F0">
                  <w:t>TWA: 20 ppm (50 mg/m</w:t>
                </w:r>
                <w:r w:rsidR="009534F0" w:rsidRPr="009534F0">
                  <w:rPr>
                    <w:vertAlign w:val="superscript"/>
                  </w:rPr>
                  <w:t>3</w:t>
                </w:r>
                <w:r w:rsidR="009534F0">
                  <w:t>)</w:t>
                </w:r>
              </w:sdtContent>
            </w:sdt>
          </w:p>
        </w:tc>
      </w:tr>
      <w:tr w:rsidR="00C978F0" w:rsidRPr="00DA352E" w14:paraId="7510985B" w14:textId="77777777" w:rsidTr="008446C1">
        <w:trPr>
          <w:gridAfter w:val="1"/>
          <w:wAfter w:w="2483" w:type="pct"/>
        </w:trPr>
        <w:tc>
          <w:tcPr>
            <w:tcW w:w="2517" w:type="pct"/>
          </w:tcPr>
          <w:p w14:paraId="7E288F5B" w14:textId="77777777" w:rsidR="00C978F0" w:rsidRPr="00DA352E" w:rsidRDefault="00C978F0" w:rsidP="007F217F">
            <w:pPr>
              <w:pStyle w:val="Tabletextprimarysource"/>
            </w:pPr>
          </w:p>
        </w:tc>
      </w:tr>
      <w:tr w:rsidR="00C978F0" w:rsidRPr="00DA352E" w14:paraId="797D735C" w14:textId="77777777" w:rsidTr="008446C1">
        <w:trPr>
          <w:gridAfter w:val="1"/>
          <w:wAfter w:w="2483" w:type="pct"/>
        </w:trPr>
        <w:tc>
          <w:tcPr>
            <w:tcW w:w="2517" w:type="pct"/>
            <w:shd w:val="clear" w:color="auto" w:fill="F2F2F2" w:themeFill="background1" w:themeFillShade="F2"/>
          </w:tcPr>
          <w:p w14:paraId="18B1D678" w14:textId="77777777" w:rsidR="00C978F0" w:rsidRPr="00DA352E" w:rsidRDefault="00DA352E" w:rsidP="00DD46E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534F0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9534F0">
                  <w:t>TLV-</w:t>
                </w:r>
                <w:sdt>
                  <w:sdtPr>
                    <w:alias w:val="SWA WES"/>
                    <w:tag w:val="SWA WES"/>
                    <w:id w:val="-668482709"/>
                    <w:placeholder>
                      <w:docPart w:val="0CEFF820CB4F4FFA86AC9168A3C0C12C"/>
                    </w:placeholder>
                  </w:sdtPr>
                  <w:sdtEndPr/>
                  <w:sdtContent>
                    <w:r w:rsidR="009534F0">
                      <w:t>TWA: 20 ppm (50 mg/m</w:t>
                    </w:r>
                    <w:r w:rsidR="009534F0" w:rsidRPr="009534F0">
                      <w:rPr>
                        <w:vertAlign w:val="superscript"/>
                      </w:rPr>
                      <w:t>3</w:t>
                    </w:r>
                    <w:r w:rsidR="009534F0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4D17406B" w14:textId="77777777" w:rsidTr="008446C1">
        <w:trPr>
          <w:gridAfter w:val="1"/>
          <w:wAfter w:w="2483" w:type="pct"/>
        </w:trPr>
        <w:tc>
          <w:tcPr>
            <w:tcW w:w="2517" w:type="pct"/>
          </w:tcPr>
          <w:p w14:paraId="5CBF9259" w14:textId="77322F6A" w:rsidR="00C978F0" w:rsidRDefault="00DD3055" w:rsidP="007F217F">
            <w:pPr>
              <w:pStyle w:val="Tabletextprimarysource"/>
            </w:pPr>
            <w:r w:rsidRPr="00D87DB1">
              <w:t>TLV-</w:t>
            </w:r>
            <w:r>
              <w:t>TWA recommended to minimise the risk of adverse thyroid effects</w:t>
            </w:r>
            <w:r w:rsidR="00D87DB1">
              <w:t>,</w:t>
            </w:r>
            <w:r>
              <w:t xml:space="preserve"> </w:t>
            </w:r>
            <w:r w:rsidR="00D87DB1">
              <w:t>nasal cavity changes and respiratory tract irritation.</w:t>
            </w:r>
          </w:p>
          <w:p w14:paraId="3C5E38F9" w14:textId="2BED4E55" w:rsidR="00016FF7" w:rsidRDefault="00016FF7" w:rsidP="007F217F">
            <w:pPr>
              <w:pStyle w:val="Tabletextprimarysource"/>
            </w:pPr>
            <w:r>
              <w:t>Summary of data:</w:t>
            </w:r>
          </w:p>
          <w:p w14:paraId="49E2E633" w14:textId="21825A36" w:rsidR="007B596F" w:rsidRDefault="007B596F" w:rsidP="007F217F">
            <w:pPr>
              <w:pStyle w:val="Tabletextprimarysource"/>
            </w:pPr>
            <w:r>
              <w:t>No specific derivation provided; based on adverse thyroid effects in rabbits at 98 ppm and non-neoplastic effects (nose lesions) in mice</w:t>
            </w:r>
            <w:r w:rsidR="00B90AFE">
              <w:t xml:space="preserve"> from 188 ppm.</w:t>
            </w:r>
            <w:r>
              <w:t xml:space="preserve"> </w:t>
            </w:r>
          </w:p>
          <w:p w14:paraId="2B30172C" w14:textId="77777777" w:rsidR="00016FF7" w:rsidRDefault="00016FF7" w:rsidP="007F217F">
            <w:pPr>
              <w:pStyle w:val="Tabletextprimarysource"/>
            </w:pPr>
            <w:r>
              <w:t>Human data:</w:t>
            </w:r>
          </w:p>
          <w:p w14:paraId="6EF5BB36" w14:textId="1222130F" w:rsidR="00016FF7" w:rsidRDefault="000F1BD7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Likely human lethal dose 0.5</w:t>
            </w:r>
            <w:r w:rsidR="007F217F">
              <w:t>–</w:t>
            </w:r>
            <w:r>
              <w:t>5.0 g/kg; no further information</w:t>
            </w:r>
          </w:p>
          <w:p w14:paraId="2DEE6DDE" w14:textId="798AB47C" w:rsidR="00470247" w:rsidRDefault="000F1BD7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Weak narcotic and respiratory irritant</w:t>
            </w:r>
            <w:r w:rsidR="00BE7407">
              <w:t>:</w:t>
            </w:r>
          </w:p>
          <w:p w14:paraId="46067F8A" w14:textId="78C8DFAE" w:rsidR="00470247" w:rsidRDefault="000F1BD7" w:rsidP="00470247">
            <w:pPr>
              <w:pStyle w:val="ListBullet2"/>
              <w:numPr>
                <w:ilvl w:val="0"/>
                <w:numId w:val="3"/>
              </w:numPr>
              <w:spacing w:before="60" w:after="60"/>
              <w:ind w:left="1159" w:hanging="425"/>
              <w:contextualSpacing w:val="0"/>
            </w:pPr>
            <w:r>
              <w:t>may cause liver damage with prolonged exposure</w:t>
            </w:r>
          </w:p>
          <w:p w14:paraId="641C0AB7" w14:textId="19269904" w:rsidR="000F1BD7" w:rsidRDefault="000F1BD7" w:rsidP="00470247">
            <w:pPr>
              <w:pStyle w:val="ListBullet2"/>
              <w:numPr>
                <w:ilvl w:val="0"/>
                <w:numId w:val="3"/>
              </w:numPr>
              <w:spacing w:before="60" w:after="60"/>
              <w:ind w:left="1159" w:hanging="425"/>
              <w:contextualSpacing w:val="0"/>
            </w:pPr>
            <w:r>
              <w:t>mildly irritating to skin and mucous membranes</w:t>
            </w:r>
          </w:p>
          <w:p w14:paraId="22D3F150" w14:textId="61A1A7C1" w:rsidR="000F1BD7" w:rsidRDefault="000F1BD7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human case reports of exposure or epidemiological evidence presented in scientific literature</w:t>
            </w:r>
            <w:r w:rsidR="007F217F">
              <w:t>.</w:t>
            </w:r>
          </w:p>
          <w:p w14:paraId="37DD53F1" w14:textId="77777777" w:rsidR="000F1BD7" w:rsidRDefault="000F1BD7" w:rsidP="007F217F">
            <w:pPr>
              <w:pStyle w:val="Tabletextprimarysource"/>
            </w:pPr>
            <w:r>
              <w:t>Animal data:</w:t>
            </w:r>
          </w:p>
          <w:p w14:paraId="40EA2223" w14:textId="77777777" w:rsidR="000F1BD7" w:rsidRDefault="00B76993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B76993">
              <w:rPr>
                <w:vertAlign w:val="subscript"/>
              </w:rPr>
              <w:t>50</w:t>
            </w:r>
            <w:r>
              <w:t>: 1,440 mg/kg (mouse, oral); 1,210 mg/kg (rat, oral)</w:t>
            </w:r>
          </w:p>
          <w:p w14:paraId="712C6D88" w14:textId="742DBA12" w:rsidR="00B76993" w:rsidRDefault="00B76993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LOEL: 750 mg/kg (rabbit</w:t>
            </w:r>
            <w:r w:rsidR="00024B8E">
              <w:t>, oral</w:t>
            </w:r>
            <w:r>
              <w:t>); 125 mg/kg (dogs</w:t>
            </w:r>
            <w:r w:rsidR="00024B8E">
              <w:t>, oral</w:t>
            </w:r>
            <w:r>
              <w:t>)</w:t>
            </w:r>
          </w:p>
          <w:p w14:paraId="5072EBEC" w14:textId="3B717254" w:rsidR="00B76993" w:rsidRDefault="00713ACF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500 ppm tolerated for 140 h (6 h/d) in guinea pigs, rabbits and a monkey</w:t>
            </w:r>
          </w:p>
          <w:p w14:paraId="63D19DC4" w14:textId="734A125D" w:rsidR="00713ACF" w:rsidRDefault="00713ACF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Common symptoms of acute toxicity are CNS depression, slight irritation of respiratory tract and histopathologic changes in liver and kidneys</w:t>
            </w:r>
          </w:p>
          <w:p w14:paraId="49C0EF8C" w14:textId="44A45301" w:rsidR="007C3E1E" w:rsidRPr="00B80318" w:rsidRDefault="007C3E1E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13</w:t>
            </w:r>
            <w:r w:rsidR="00BE7407">
              <w:t>-</w:t>
            </w:r>
            <w:r>
              <w:t xml:space="preserve">wk inhalation study </w:t>
            </w:r>
            <w:r w:rsidR="00470247">
              <w:t>in</w:t>
            </w:r>
            <w:r>
              <w:t xml:space="preserve"> both sexes of rats and mice exposed </w:t>
            </w:r>
            <w:r w:rsidR="00394880">
              <w:t>at</w:t>
            </w:r>
            <w:r>
              <w:t xml:space="preserve"> 0, 94, 187, 373, 748 and 1,500 ppm</w:t>
            </w:r>
            <w:r w:rsidR="00E05FC6">
              <w:t xml:space="preserve">; </w:t>
            </w:r>
            <w:r w:rsidR="007B7ADB">
              <w:t>lowest effect</w:t>
            </w:r>
            <w:r w:rsidR="00E05FC6">
              <w:t xml:space="preserve"> </w:t>
            </w:r>
            <w:r w:rsidR="009F4564">
              <w:t xml:space="preserve">of 187 ppm </w:t>
            </w:r>
            <w:r w:rsidR="007B7ADB">
              <w:t xml:space="preserve">in </w:t>
            </w:r>
            <w:r w:rsidR="00883C74">
              <w:t xml:space="preserve">female </w:t>
            </w:r>
            <w:r w:rsidR="007B7ADB">
              <w:t xml:space="preserve">rats </w:t>
            </w:r>
            <w:r w:rsidR="00B80318">
              <w:t xml:space="preserve">and mice </w:t>
            </w:r>
            <w:r w:rsidR="00D14C94">
              <w:t xml:space="preserve">(both sexes) </w:t>
            </w:r>
            <w:r w:rsidR="00E05FC6">
              <w:t xml:space="preserve">based on </w:t>
            </w:r>
            <w:r w:rsidR="008911DC">
              <w:t xml:space="preserve">decreased </w:t>
            </w:r>
            <w:proofErr w:type="spellStart"/>
            <w:r w:rsidR="000E0374">
              <w:t>Hct</w:t>
            </w:r>
            <w:proofErr w:type="spellEnd"/>
            <w:r w:rsidR="000E0374">
              <w:t xml:space="preserve"> </w:t>
            </w:r>
            <w:r w:rsidR="008911DC">
              <w:t xml:space="preserve">values and </w:t>
            </w:r>
            <w:r w:rsidR="000E0374">
              <w:t xml:space="preserve">Hb </w:t>
            </w:r>
            <w:r w:rsidR="008911DC">
              <w:t>concentration</w:t>
            </w:r>
            <w:r w:rsidR="00D14C94">
              <w:t>,</w:t>
            </w:r>
            <w:r w:rsidR="008911DC">
              <w:t xml:space="preserve"> </w:t>
            </w:r>
            <w:r w:rsidR="00FF1E67">
              <w:t xml:space="preserve">(mild) increased cellularity of bone marrow </w:t>
            </w:r>
            <w:r w:rsidR="00B80318">
              <w:t xml:space="preserve">(rats) and </w:t>
            </w:r>
            <w:r w:rsidR="008911DC" w:rsidRPr="00B80318">
              <w:t xml:space="preserve">respiratory </w:t>
            </w:r>
            <w:r w:rsidR="00E05FC6" w:rsidRPr="00B80318">
              <w:t>hyaline droplets</w:t>
            </w:r>
            <w:r w:rsidR="008911DC" w:rsidRPr="00B80318">
              <w:t xml:space="preserve"> </w:t>
            </w:r>
            <w:r w:rsidR="00B80318" w:rsidRPr="00B80318">
              <w:t xml:space="preserve">(rats and mice) </w:t>
            </w:r>
            <w:r w:rsidR="008911DC" w:rsidRPr="00B80318">
              <w:t>(severity was mild)</w:t>
            </w:r>
          </w:p>
          <w:p w14:paraId="1996D0B3" w14:textId="7D3708CC" w:rsidR="008B3D81" w:rsidRDefault="008B3D81" w:rsidP="00DD46E8">
            <w:pPr>
              <w:pStyle w:val="ListBullet"/>
              <w:spacing w:before="60" w:after="60"/>
              <w:ind w:left="714" w:hanging="357"/>
              <w:contextualSpacing w:val="0"/>
            </w:pPr>
            <w:r w:rsidRPr="00D427BC">
              <w:t>6</w:t>
            </w:r>
            <w:r w:rsidR="00BE7407">
              <w:t>-</w:t>
            </w:r>
            <w:r w:rsidRPr="00D427BC">
              <w:t>mo inhalation study</w:t>
            </w:r>
            <w:r>
              <w:t xml:space="preserve"> </w:t>
            </w:r>
            <w:r w:rsidR="00470247">
              <w:t>in</w:t>
            </w:r>
            <w:r>
              <w:t xml:space="preserve"> male rats and </w:t>
            </w:r>
            <w:r w:rsidR="00B539EB">
              <w:t xml:space="preserve">male </w:t>
            </w:r>
            <w:r>
              <w:t xml:space="preserve">rabbits exposed </w:t>
            </w:r>
            <w:r w:rsidR="00394880">
              <w:t>at</w:t>
            </w:r>
            <w:r>
              <w:t xml:space="preserve"> 98 and 745 ppm</w:t>
            </w:r>
            <w:r w:rsidR="00B539EB">
              <w:t>:</w:t>
            </w:r>
          </w:p>
          <w:p w14:paraId="0FA5FE6D" w14:textId="2FBE4769" w:rsidR="00B539EB" w:rsidRDefault="00DD46E8" w:rsidP="00DD46E8">
            <w:pPr>
              <w:pStyle w:val="ListBullet2"/>
              <w:numPr>
                <w:ilvl w:val="0"/>
                <w:numId w:val="3"/>
              </w:numPr>
              <w:spacing w:before="60" w:after="60"/>
              <w:ind w:left="1159" w:hanging="425"/>
              <w:contextualSpacing w:val="0"/>
            </w:pPr>
            <w:r>
              <w:t>s</w:t>
            </w:r>
            <w:r w:rsidR="00B539EB">
              <w:t xml:space="preserve">light depression of </w:t>
            </w:r>
            <w:proofErr w:type="spellStart"/>
            <w:r w:rsidR="000E0374">
              <w:t>Hct</w:t>
            </w:r>
            <w:proofErr w:type="spellEnd"/>
            <w:r w:rsidR="000E0374">
              <w:t xml:space="preserve"> </w:t>
            </w:r>
            <w:r w:rsidR="00B539EB">
              <w:t xml:space="preserve">and </w:t>
            </w:r>
            <w:r w:rsidR="000E0374">
              <w:t xml:space="preserve">Hb </w:t>
            </w:r>
            <w:r w:rsidR="00B539EB">
              <w:t>concentrations and decreased weight gain in rats at 745 ppm</w:t>
            </w:r>
          </w:p>
          <w:p w14:paraId="4BB2F801" w14:textId="545993AB" w:rsidR="00B539EB" w:rsidRDefault="00DD46E8" w:rsidP="00DD46E8">
            <w:pPr>
              <w:pStyle w:val="ListBullet2"/>
              <w:numPr>
                <w:ilvl w:val="0"/>
                <w:numId w:val="3"/>
              </w:numPr>
              <w:spacing w:before="60" w:after="60"/>
              <w:ind w:left="1159" w:hanging="425"/>
              <w:contextualSpacing w:val="0"/>
            </w:pPr>
            <w:r>
              <w:t>i</w:t>
            </w:r>
            <w:r w:rsidR="00B539EB">
              <w:t>ncreased thyroid weights in rats at 98 and 745 ppm</w:t>
            </w:r>
          </w:p>
          <w:p w14:paraId="728A99EB" w14:textId="65DCDA9A" w:rsidR="00B539EB" w:rsidRDefault="00DD46E8" w:rsidP="00DD46E8">
            <w:pPr>
              <w:pStyle w:val="ListBullet2"/>
              <w:numPr>
                <w:ilvl w:val="0"/>
                <w:numId w:val="3"/>
              </w:numPr>
              <w:spacing w:before="60" w:after="60"/>
              <w:ind w:left="1159" w:hanging="425"/>
              <w:contextualSpacing w:val="0"/>
            </w:pPr>
            <w:r>
              <w:t>i</w:t>
            </w:r>
            <w:r w:rsidR="00B539EB">
              <w:t xml:space="preserve">ncreased thyroid weights and decreased </w:t>
            </w:r>
            <w:r w:rsidR="00D427BC">
              <w:t xml:space="preserve">thyroid hormone </w:t>
            </w:r>
            <w:r w:rsidR="00B539EB">
              <w:t>in rabbits at 98 and 745</w:t>
            </w:r>
            <w:r w:rsidR="007F217F">
              <w:t> </w:t>
            </w:r>
            <w:r w:rsidR="00B539EB">
              <w:t>ppm</w:t>
            </w:r>
          </w:p>
          <w:p w14:paraId="24F73891" w14:textId="5B6C5014" w:rsidR="00470247" w:rsidRDefault="00284314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</w:t>
            </w:r>
            <w:r w:rsidR="00BE7407">
              <w:t>-</w:t>
            </w:r>
            <w:r>
              <w:t xml:space="preserve">yr inhalation study </w:t>
            </w:r>
            <w:r w:rsidR="00470247">
              <w:t>in</w:t>
            </w:r>
            <w:r>
              <w:t xml:space="preserve"> male and female rats exposed </w:t>
            </w:r>
            <w:r w:rsidR="00394880">
              <w:t xml:space="preserve">at </w:t>
            </w:r>
            <w:r>
              <w:t>100 ppm and 200 ppm showed no pharmacologic or haematologic effects or effects on organ weight</w:t>
            </w:r>
            <w:r w:rsidR="00BE7407">
              <w:t>:</w:t>
            </w:r>
          </w:p>
          <w:p w14:paraId="42AF1803" w14:textId="76CDE435" w:rsidR="00284314" w:rsidRDefault="00284314" w:rsidP="00470247">
            <w:pPr>
              <w:pStyle w:val="ListBullet2"/>
              <w:numPr>
                <w:ilvl w:val="0"/>
                <w:numId w:val="3"/>
              </w:numPr>
              <w:spacing w:before="60" w:after="60"/>
              <w:ind w:left="1159" w:hanging="425"/>
              <w:contextualSpacing w:val="0"/>
            </w:pPr>
            <w:r>
              <w:t>body weights of female rats slightly less than controls</w:t>
            </w:r>
          </w:p>
          <w:p w14:paraId="34D71253" w14:textId="53491E3D" w:rsidR="00D427BC" w:rsidRDefault="00D427BC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Evidence of carcinogenic activity in male and female mice and female rats</w:t>
            </w:r>
            <w:r w:rsidR="00E05FC6">
              <w:t xml:space="preserve"> (2 </w:t>
            </w:r>
            <w:proofErr w:type="spellStart"/>
            <w:r w:rsidR="00E05FC6">
              <w:t>yr</w:t>
            </w:r>
            <w:proofErr w:type="spellEnd"/>
            <w:r w:rsidR="00E05FC6">
              <w:t>, inhalation)</w:t>
            </w:r>
            <w:r>
              <w:t>:</w:t>
            </w:r>
          </w:p>
          <w:p w14:paraId="46D8DAA3" w14:textId="73819AF1" w:rsidR="00470247" w:rsidRDefault="00DD46E8" w:rsidP="00DD46E8">
            <w:pPr>
              <w:pStyle w:val="ListBullet2"/>
              <w:numPr>
                <w:ilvl w:val="0"/>
                <w:numId w:val="3"/>
              </w:numPr>
              <w:spacing w:before="60" w:after="60"/>
              <w:ind w:left="1159" w:hanging="425"/>
              <w:contextualSpacing w:val="0"/>
            </w:pPr>
            <w:r>
              <w:t>e</w:t>
            </w:r>
            <w:r w:rsidR="00643750">
              <w:t xml:space="preserve">xposure of male and female rats </w:t>
            </w:r>
            <w:r w:rsidR="00470247">
              <w:t>at</w:t>
            </w:r>
            <w:r w:rsidR="00643750">
              <w:t xml:space="preserve"> 0, 94, 188 or 375 ppm</w:t>
            </w:r>
            <w:r w:rsidR="008B3D81">
              <w:t xml:space="preserve"> and </w:t>
            </w:r>
            <w:r w:rsidR="00643750">
              <w:t xml:space="preserve">exposure of male and female mice </w:t>
            </w:r>
            <w:r w:rsidR="00470247">
              <w:t>at</w:t>
            </w:r>
            <w:r w:rsidR="00643750">
              <w:t xml:space="preserve"> 0, 188, 375 or 750 ppm caused increased incidence of mammary gland fibroadenomas and carcinomas in female rats (</w:t>
            </w:r>
            <w:r w:rsidR="00D45392">
              <w:t>188 and 375 ppm</w:t>
            </w:r>
            <w:r w:rsidR="00643750">
              <w:t>)</w:t>
            </w:r>
          </w:p>
          <w:p w14:paraId="733E3262" w14:textId="4E221346" w:rsidR="00470247" w:rsidRDefault="00643750" w:rsidP="00DD46E8">
            <w:pPr>
              <w:pStyle w:val="ListBullet2"/>
              <w:numPr>
                <w:ilvl w:val="0"/>
                <w:numId w:val="3"/>
              </w:numPr>
              <w:spacing w:before="60" w:after="60"/>
              <w:ind w:left="1159" w:hanging="425"/>
              <w:contextualSpacing w:val="0"/>
            </w:pPr>
            <w:r>
              <w:t xml:space="preserve">increased incidence of </w:t>
            </w:r>
            <w:r w:rsidR="00E90A41">
              <w:t>Harderian</w:t>
            </w:r>
            <w:r>
              <w:t xml:space="preserve"> gland adenomas and carcinomas in male mice</w:t>
            </w:r>
            <w:r w:rsidR="00D45392">
              <w:t xml:space="preserve"> (375 and 750</w:t>
            </w:r>
            <w:r w:rsidR="007F217F">
              <w:t> </w:t>
            </w:r>
            <w:r w:rsidR="00D45392">
              <w:t>ppm)</w:t>
            </w:r>
          </w:p>
          <w:p w14:paraId="55AB4B5D" w14:textId="0C4A4ADC" w:rsidR="008B3D81" w:rsidRDefault="00643750" w:rsidP="00DD46E8">
            <w:pPr>
              <w:pStyle w:val="ListBullet2"/>
              <w:numPr>
                <w:ilvl w:val="0"/>
                <w:numId w:val="3"/>
              </w:numPr>
              <w:spacing w:before="60" w:after="60"/>
              <w:ind w:left="1159" w:hanging="425"/>
              <w:contextualSpacing w:val="0"/>
            </w:pPr>
            <w:r>
              <w:t xml:space="preserve">increased incidence of liver neoplasms and </w:t>
            </w:r>
            <w:r w:rsidR="00E90A41">
              <w:t>Harderian</w:t>
            </w:r>
            <w:r>
              <w:t xml:space="preserve"> gland adenomas and carcinomas in female mice</w:t>
            </w:r>
            <w:r w:rsidR="00D45392">
              <w:t xml:space="preserve"> (188 and 750 ppm)</w:t>
            </w:r>
          </w:p>
          <w:p w14:paraId="564A1A3E" w14:textId="2291D493" w:rsidR="00343757" w:rsidRDefault="000E0374" w:rsidP="00DD46E8">
            <w:pPr>
              <w:pStyle w:val="ListBullet2"/>
              <w:numPr>
                <w:ilvl w:val="0"/>
                <w:numId w:val="3"/>
              </w:numPr>
              <w:spacing w:before="60" w:after="60"/>
              <w:ind w:left="1159" w:hanging="425"/>
              <w:contextualSpacing w:val="0"/>
            </w:pPr>
            <w:r>
              <w:lastRenderedPageBreak/>
              <w:t>h</w:t>
            </w:r>
            <w:r w:rsidR="00830772">
              <w:t>igher incidence of non-neoplastic nose lesions, including effects on nasal cavity and respiratory tract, in male and female mice at all dose levels</w:t>
            </w:r>
          </w:p>
          <w:p w14:paraId="428803EE" w14:textId="77777777" w:rsidR="00862542" w:rsidRDefault="00862542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genotoxic assays</w:t>
            </w:r>
          </w:p>
          <w:p w14:paraId="770B90F5" w14:textId="4033904C" w:rsidR="00AF4CCC" w:rsidRDefault="00AF4CCC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Skin notation not assigned based </w:t>
            </w:r>
            <w:r w:rsidR="00F20D41">
              <w:t>on lack of evidence in animals that absorption results in systemic injury</w:t>
            </w:r>
            <w:r w:rsidR="00311014">
              <w:t>.</w:t>
            </w:r>
          </w:p>
          <w:p w14:paraId="482A7CAF" w14:textId="77777777" w:rsidR="000E0374" w:rsidRDefault="000E0374" w:rsidP="007F217F">
            <w:pPr>
              <w:pStyle w:val="Tabletextprimarysource"/>
            </w:pPr>
          </w:p>
          <w:p w14:paraId="0B00F8F8" w14:textId="5401125E" w:rsidR="005E7DAE" w:rsidRDefault="005E7DAE" w:rsidP="007F217F">
            <w:pPr>
              <w:pStyle w:val="Tabletextprimarysource"/>
            </w:pPr>
            <w:r>
              <w:t>Insufficient data to recommend SEN notation or TLV-STEL.</w:t>
            </w:r>
          </w:p>
          <w:p w14:paraId="11C4FC7F" w14:textId="4CB9B27B" w:rsidR="005D7AB2" w:rsidRPr="00DA352E" w:rsidRDefault="005D7AB2" w:rsidP="007F217F">
            <w:pPr>
              <w:pStyle w:val="Tabletextprimarysource"/>
            </w:pPr>
          </w:p>
        </w:tc>
      </w:tr>
      <w:tr w:rsidR="00C978F0" w:rsidRPr="00DA352E" w14:paraId="31B5FAA4" w14:textId="77777777" w:rsidTr="008446C1">
        <w:trPr>
          <w:gridAfter w:val="1"/>
          <w:wAfter w:w="2483" w:type="pct"/>
        </w:trPr>
        <w:tc>
          <w:tcPr>
            <w:tcW w:w="2517" w:type="pct"/>
            <w:shd w:val="clear" w:color="auto" w:fill="F2F2F2" w:themeFill="background1" w:themeFillShade="F2"/>
          </w:tcPr>
          <w:p w14:paraId="100F3020" w14:textId="77777777" w:rsidR="00C978F0" w:rsidRPr="00DA352E" w:rsidRDefault="00DA352E" w:rsidP="00DD46E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E2EE1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E2EE1">
                  <w:t>Not assigned</w:t>
                </w:r>
              </w:sdtContent>
            </w:sdt>
          </w:p>
        </w:tc>
      </w:tr>
      <w:tr w:rsidR="00C978F0" w:rsidRPr="00DA352E" w14:paraId="29976769" w14:textId="77777777" w:rsidTr="008446C1">
        <w:trPr>
          <w:gridAfter w:val="1"/>
          <w:wAfter w:w="2483" w:type="pct"/>
        </w:trPr>
        <w:tc>
          <w:tcPr>
            <w:tcW w:w="2517" w:type="pct"/>
          </w:tcPr>
          <w:p w14:paraId="2D5D3634" w14:textId="77777777" w:rsidR="00C978F0" w:rsidRDefault="00C07CAB" w:rsidP="007F217F">
            <w:pPr>
              <w:pStyle w:val="Tabletextprimarysource"/>
            </w:pPr>
            <w:r>
              <w:t>Summary of additional data:</w:t>
            </w:r>
          </w:p>
          <w:p w14:paraId="51E80195" w14:textId="3C765C33" w:rsidR="000E0374" w:rsidRDefault="00E90A41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Skin notation based on this d</w:t>
            </w:r>
            <w:r w:rsidR="00B7503E">
              <w:t xml:space="preserve">ermal penetration rate calculated </w:t>
            </w:r>
            <w:r>
              <w:t>as</w:t>
            </w:r>
            <w:r w:rsidR="00B7503E">
              <w:t xml:space="preserve"> 0.6 mg/cm</w:t>
            </w:r>
            <w:r w:rsidR="00B7503E" w:rsidRPr="00B7503E">
              <w:rPr>
                <w:vertAlign w:val="superscript"/>
              </w:rPr>
              <w:t>2</w:t>
            </w:r>
            <w:r w:rsidR="00B7503E">
              <w:t>/h</w:t>
            </w:r>
            <w:r w:rsidR="00BE7407">
              <w:t>:</w:t>
            </w:r>
            <w:r>
              <w:t xml:space="preserve"> </w:t>
            </w:r>
          </w:p>
          <w:p w14:paraId="6BF52D73" w14:textId="07DBDBC0" w:rsidR="00C07CAB" w:rsidRDefault="00E90A41" w:rsidP="000E0374">
            <w:pPr>
              <w:pStyle w:val="ListBullet"/>
              <w:numPr>
                <w:ilvl w:val="0"/>
                <w:numId w:val="14"/>
              </w:numPr>
              <w:spacing w:before="60" w:after="60"/>
              <w:contextualSpacing w:val="0"/>
            </w:pPr>
            <w:r>
              <w:t>related animal test results appear limited</w:t>
            </w:r>
          </w:p>
          <w:p w14:paraId="37DD7656" w14:textId="6D4FA662" w:rsidR="00D27B93" w:rsidRDefault="00B7503E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</w:t>
            </w:r>
            <w:r w:rsidR="00470247">
              <w:t>C</w:t>
            </w:r>
            <w:r>
              <w:t xml:space="preserve"> could not be determined </w:t>
            </w:r>
            <w:r w:rsidR="007B7ADB">
              <w:t xml:space="preserve">for rat or mice </w:t>
            </w:r>
            <w:r>
              <w:t>from 13</w:t>
            </w:r>
            <w:r w:rsidR="00B56BEF">
              <w:t>-</w:t>
            </w:r>
            <w:r>
              <w:t>wk inhalation study</w:t>
            </w:r>
            <w:r w:rsidR="00D27B93">
              <w:t xml:space="preserve"> (</w:t>
            </w:r>
            <w:r w:rsidR="007B7ADB">
              <w:t>described in ACGIH, 2001 above</w:t>
            </w:r>
            <w:r w:rsidR="00D27B93">
              <w:t>)</w:t>
            </w:r>
          </w:p>
          <w:p w14:paraId="6C7038F9" w14:textId="46B447D6" w:rsidR="00946991" w:rsidRDefault="00946991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mechanistic explanation for tumour development</w:t>
            </w:r>
          </w:p>
          <w:p w14:paraId="0F184608" w14:textId="77777777" w:rsidR="00B7503E" w:rsidRDefault="00D27B93" w:rsidP="00DD46E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MAK not established </w:t>
            </w:r>
            <w:r w:rsidR="00111550">
              <w:t>since not possible to derive NOEL for inhalation exposure; previous MAK of 100 ppm withdrawn due to effects observed at lowest tested concentration of 94</w:t>
            </w:r>
            <w:r w:rsidR="007F217F">
              <w:t> </w:t>
            </w:r>
            <w:r w:rsidR="00111550">
              <w:t>ppm.</w:t>
            </w:r>
          </w:p>
          <w:p w14:paraId="461187E6" w14:textId="33243529" w:rsidR="005D7AB2" w:rsidRPr="00DA352E" w:rsidRDefault="005D7AB2" w:rsidP="00470247">
            <w:pPr>
              <w:pStyle w:val="ListBullet"/>
              <w:numPr>
                <w:ilvl w:val="0"/>
                <w:numId w:val="0"/>
              </w:numPr>
              <w:spacing w:before="60" w:after="60"/>
              <w:ind w:left="714"/>
              <w:contextualSpacing w:val="0"/>
            </w:pPr>
          </w:p>
        </w:tc>
      </w:tr>
      <w:tr w:rsidR="00C978F0" w:rsidRPr="00DA352E" w14:paraId="77AC7719" w14:textId="77777777" w:rsidTr="008446C1">
        <w:trPr>
          <w:gridAfter w:val="1"/>
          <w:wAfter w:w="2483" w:type="pct"/>
        </w:trPr>
        <w:tc>
          <w:tcPr>
            <w:tcW w:w="2517" w:type="pct"/>
            <w:shd w:val="clear" w:color="auto" w:fill="F2F2F2" w:themeFill="background1" w:themeFillShade="F2"/>
          </w:tcPr>
          <w:p w14:paraId="3066ED5B" w14:textId="77777777" w:rsidR="00C978F0" w:rsidRPr="00DA352E" w:rsidRDefault="00DA352E" w:rsidP="00DD46E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E2EE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5E2EE1">
                  <w:t>NA</w:t>
                </w:r>
                <w:proofErr w:type="spellEnd"/>
              </w:sdtContent>
            </w:sdt>
          </w:p>
        </w:tc>
      </w:tr>
      <w:tr w:rsidR="00C978F0" w:rsidRPr="00DA352E" w14:paraId="008F0B7A" w14:textId="77777777" w:rsidTr="008446C1">
        <w:trPr>
          <w:gridAfter w:val="1"/>
          <w:wAfter w:w="2483" w:type="pct"/>
        </w:trPr>
        <w:tc>
          <w:tcPr>
            <w:tcW w:w="2517" w:type="pct"/>
          </w:tcPr>
          <w:p w14:paraId="2E61FF62" w14:textId="3AB7CB64" w:rsidR="00C978F0" w:rsidRPr="00DA352E" w:rsidRDefault="005E2EE1" w:rsidP="007F217F">
            <w:pPr>
              <w:pStyle w:val="Tabletextprimarysource"/>
            </w:pPr>
            <w:r>
              <w:t>No report</w:t>
            </w:r>
            <w:r w:rsidR="007F217F">
              <w:t>.</w:t>
            </w:r>
          </w:p>
        </w:tc>
      </w:tr>
      <w:tr w:rsidR="00DA352E" w:rsidRPr="00DA352E" w14:paraId="4E56DEB5" w14:textId="77777777" w:rsidTr="008446C1">
        <w:trPr>
          <w:gridAfter w:val="1"/>
          <w:wAfter w:w="2483" w:type="pct"/>
        </w:trPr>
        <w:tc>
          <w:tcPr>
            <w:tcW w:w="2517" w:type="pct"/>
            <w:shd w:val="clear" w:color="auto" w:fill="F2F2F2" w:themeFill="background1" w:themeFillShade="F2"/>
          </w:tcPr>
          <w:p w14:paraId="0AB7F5A1" w14:textId="77777777" w:rsidR="00DA352E" w:rsidRPr="00DA352E" w:rsidRDefault="00DA352E" w:rsidP="00DD46E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4714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47149">
                  <w:t>NA</w:t>
                </w:r>
                <w:proofErr w:type="spellEnd"/>
              </w:sdtContent>
            </w:sdt>
          </w:p>
        </w:tc>
      </w:tr>
      <w:tr w:rsidR="00DA352E" w:rsidRPr="00DA352E" w14:paraId="2C001FB5" w14:textId="77777777" w:rsidTr="008446C1">
        <w:trPr>
          <w:gridAfter w:val="1"/>
          <w:wAfter w:w="2483" w:type="pct"/>
        </w:trPr>
        <w:tc>
          <w:tcPr>
            <w:tcW w:w="2517" w:type="pct"/>
          </w:tcPr>
          <w:p w14:paraId="75AA9417" w14:textId="38029026" w:rsidR="00DA352E" w:rsidRPr="00DA352E" w:rsidRDefault="00A47149" w:rsidP="007F217F">
            <w:pPr>
              <w:pStyle w:val="Tabletextprimarysource"/>
            </w:pPr>
            <w:r>
              <w:t>No report</w:t>
            </w:r>
            <w:r w:rsidR="007F217F">
              <w:t>.</w:t>
            </w:r>
          </w:p>
        </w:tc>
      </w:tr>
      <w:tr w:rsidR="00DA352E" w:rsidRPr="00DA352E" w14:paraId="28198D3E" w14:textId="77777777" w:rsidTr="008446C1">
        <w:trPr>
          <w:gridAfter w:val="1"/>
          <w:wAfter w:w="2483" w:type="pct"/>
        </w:trPr>
        <w:tc>
          <w:tcPr>
            <w:tcW w:w="2517" w:type="pct"/>
            <w:shd w:val="clear" w:color="auto" w:fill="F2F2F2" w:themeFill="background1" w:themeFillShade="F2"/>
          </w:tcPr>
          <w:p w14:paraId="1BCD2538" w14:textId="77777777" w:rsidR="00DA352E" w:rsidRPr="00DA352E" w:rsidRDefault="00DA352E" w:rsidP="00DD46E8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4714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A47149">
                  <w:t>NA</w:t>
                </w:r>
                <w:proofErr w:type="spellEnd"/>
              </w:sdtContent>
            </w:sdt>
          </w:p>
        </w:tc>
      </w:tr>
      <w:tr w:rsidR="00DA352E" w:rsidRPr="00DA352E" w14:paraId="44CC6B4E" w14:textId="77777777" w:rsidTr="008446C1">
        <w:trPr>
          <w:gridAfter w:val="1"/>
          <w:wAfter w:w="2483" w:type="pct"/>
        </w:trPr>
        <w:tc>
          <w:tcPr>
            <w:tcW w:w="2517" w:type="pct"/>
          </w:tcPr>
          <w:p w14:paraId="774C4A54" w14:textId="5560CCF5" w:rsidR="00DA352E" w:rsidRPr="00DA352E" w:rsidRDefault="00A47149" w:rsidP="007F217F">
            <w:pPr>
              <w:pStyle w:val="Tabletextprimarysource"/>
            </w:pPr>
            <w:r>
              <w:t>No report</w:t>
            </w:r>
            <w:r w:rsidR="007F217F">
              <w:t>.</w:t>
            </w:r>
          </w:p>
        </w:tc>
      </w:tr>
    </w:tbl>
    <w:p w14:paraId="713D73AA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3"/>
        <w:gridCol w:w="661"/>
        <w:gridCol w:w="6447"/>
      </w:tblGrid>
      <w:tr w:rsidR="004966BF" w:rsidRPr="008446C1" w14:paraId="548E96F9" w14:textId="77777777" w:rsidTr="00844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5D8B22EA" w14:textId="77777777" w:rsidR="004966BF" w:rsidRPr="008446C1" w:rsidRDefault="004966BF" w:rsidP="00263255">
            <w:pPr>
              <w:pStyle w:val="Tableheader"/>
              <w:rPr>
                <w:b/>
              </w:rPr>
            </w:pPr>
            <w:r w:rsidRPr="008446C1">
              <w:rPr>
                <w:b/>
              </w:rPr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DC7430D" w14:textId="77777777" w:rsidR="004966BF" w:rsidRPr="008446C1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0640D9C" w14:textId="77777777" w:rsidR="004966BF" w:rsidRPr="008446C1" w:rsidRDefault="004966BF" w:rsidP="00263255">
            <w:pPr>
              <w:pStyle w:val="Tableheader"/>
              <w:rPr>
                <w:b/>
              </w:rPr>
            </w:pPr>
            <w:r w:rsidRPr="008446C1">
              <w:rPr>
                <w:b/>
              </w:rP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14:paraId="396AE2E1" w14:textId="77777777" w:rsidR="004966BF" w:rsidRPr="008446C1" w:rsidRDefault="004966BF" w:rsidP="00263255">
            <w:pPr>
              <w:pStyle w:val="Tableheader"/>
              <w:rPr>
                <w:b/>
              </w:rPr>
            </w:pPr>
            <w:r w:rsidRPr="008446C1">
              <w:rPr>
                <w:b/>
              </w:rPr>
              <w:t>Additional information</w:t>
            </w:r>
          </w:p>
        </w:tc>
      </w:tr>
      <w:tr w:rsidR="004966BF" w:rsidRPr="004C23F4" w14:paraId="40C8D4E3" w14:textId="77777777" w:rsidTr="008446C1">
        <w:trPr>
          <w:cantSplit/>
        </w:trPr>
        <w:tc>
          <w:tcPr>
            <w:tcW w:w="1495" w:type="dxa"/>
          </w:tcPr>
          <w:p w14:paraId="43DADE65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E92B02B" w14:textId="77777777" w:rsidR="004966BF" w:rsidRPr="00CE617F" w:rsidRDefault="008446C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8158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C7D358B" w14:textId="77777777" w:rsidR="004966BF" w:rsidRPr="004C23F4" w:rsidRDefault="0048158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7" w:type="dxa"/>
          </w:tcPr>
          <w:p w14:paraId="0A7BD9C2" w14:textId="23BBF1B6" w:rsidR="004966BF" w:rsidRDefault="00862542" w:rsidP="00DD46E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862542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 xml:space="preserve">: &gt;2,000 </w:t>
            </w:r>
            <w:r w:rsidRPr="00DD46E8">
              <w:t>mg</w:t>
            </w:r>
            <w:r>
              <w:rPr>
                <w:rStyle w:val="checkbox"/>
                <w:rFonts w:ascii="Arial" w:hAnsi="Arial" w:cs="Arial"/>
              </w:rPr>
              <w:t>/kg (rabbits)</w:t>
            </w:r>
          </w:p>
          <w:p w14:paraId="4C5DAD29" w14:textId="438532A9" w:rsidR="00862542" w:rsidRPr="004C23F4" w:rsidRDefault="00481583" w:rsidP="00DD46E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DD46E8">
              <w:t>Tumours</w:t>
            </w:r>
            <w:r>
              <w:rPr>
                <w:rStyle w:val="checkbox"/>
                <w:rFonts w:ascii="Arial" w:hAnsi="Arial" w:cs="Arial"/>
              </w:rPr>
              <w:t xml:space="preserve"> observed in long-term inhalation studies in rats and mice appear equivocal</w:t>
            </w:r>
            <w:r w:rsidR="007F217F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08DBBD24" w14:textId="77777777" w:rsidTr="008446C1">
        <w:trPr>
          <w:cantSplit/>
        </w:trPr>
        <w:tc>
          <w:tcPr>
            <w:tcW w:w="1495" w:type="dxa"/>
          </w:tcPr>
          <w:p w14:paraId="519CA3F0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014A101F" w14:textId="77777777" w:rsidR="004966BF" w:rsidRPr="00CE617F" w:rsidRDefault="008446C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F4CC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1593840" w14:textId="77777777" w:rsidR="004966BF" w:rsidRPr="004C23F4" w:rsidRDefault="00AF4CC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2000</w:t>
            </w:r>
          </w:p>
        </w:tc>
        <w:tc>
          <w:tcPr>
            <w:tcW w:w="6447" w:type="dxa"/>
          </w:tcPr>
          <w:p w14:paraId="26CFB191" w14:textId="6682D07D" w:rsidR="004966BF" w:rsidRPr="004C23F4" w:rsidRDefault="00311014" w:rsidP="00DD46E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proofErr w:type="gramStart"/>
            <w:r w:rsidRPr="00DD46E8">
              <w:t>Sufficient</w:t>
            </w:r>
            <w:proofErr w:type="gramEnd"/>
            <w:r>
              <w:rPr>
                <w:rStyle w:val="checkbox"/>
                <w:rFonts w:ascii="Arial" w:hAnsi="Arial" w:cs="Arial"/>
              </w:rPr>
              <w:t xml:space="preserve"> evidence for carcinogenicity in experimental animals</w:t>
            </w:r>
            <w:r w:rsidR="007F217F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3F73FE14" w14:textId="77777777" w:rsidTr="008446C1">
        <w:trPr>
          <w:cantSplit/>
        </w:trPr>
        <w:tc>
          <w:tcPr>
            <w:tcW w:w="1495" w:type="dxa"/>
          </w:tcPr>
          <w:p w14:paraId="70F3C569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52E93F99" w14:textId="77777777" w:rsidR="004966BF" w:rsidRPr="00CE617F" w:rsidRDefault="008446C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4081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939A8C5" w14:textId="77777777" w:rsidR="004966BF" w:rsidRPr="004C23F4" w:rsidRDefault="0094081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1997</w:t>
            </w:r>
          </w:p>
        </w:tc>
        <w:tc>
          <w:tcPr>
            <w:tcW w:w="6447" w:type="dxa"/>
          </w:tcPr>
          <w:p w14:paraId="140C85C1" w14:textId="1A4E12D0" w:rsidR="004966BF" w:rsidRPr="004C23F4" w:rsidRDefault="009F2A78" w:rsidP="00DD46E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t>Discussion of 16</w:t>
            </w:r>
            <w:r w:rsidR="007F217F">
              <w:t xml:space="preserve"> </w:t>
            </w:r>
            <w:r>
              <w:t>d, 13</w:t>
            </w:r>
            <w:r w:rsidR="007F217F">
              <w:t xml:space="preserve"> </w:t>
            </w:r>
            <w:proofErr w:type="spellStart"/>
            <w:r>
              <w:t>wk</w:t>
            </w:r>
            <w:proofErr w:type="spellEnd"/>
            <w:r>
              <w:t xml:space="preserve"> and 2</w:t>
            </w:r>
            <w:r w:rsidR="007F217F">
              <w:t xml:space="preserve"> </w:t>
            </w:r>
            <w:proofErr w:type="spellStart"/>
            <w:r>
              <w:t>y</w:t>
            </w:r>
            <w:r w:rsidR="00470247">
              <w:t>r</w:t>
            </w:r>
            <w:proofErr w:type="spellEnd"/>
            <w:r>
              <w:t xml:space="preserve"> studies in rats and mice (whole-body inhalation exposures)</w:t>
            </w:r>
            <w:r w:rsidR="00C62143">
              <w:t xml:space="preserve">; </w:t>
            </w:r>
            <w:r w:rsidR="00B80318">
              <w:t>from 13</w:t>
            </w:r>
            <w:r w:rsidR="001834CA">
              <w:t>-</w:t>
            </w:r>
            <w:r w:rsidR="00B80318">
              <w:t xml:space="preserve">wk study, lowest effect in </w:t>
            </w:r>
            <w:r w:rsidR="00883C74">
              <w:t xml:space="preserve">(female) </w:t>
            </w:r>
            <w:r w:rsidR="00B80318">
              <w:t>mice of 94 ppm based on respiratory hyaline droplets (severity was mild)</w:t>
            </w:r>
            <w:r w:rsidR="007F217F">
              <w:t>.</w:t>
            </w:r>
          </w:p>
        </w:tc>
      </w:tr>
      <w:tr w:rsidR="004966BF" w:rsidRPr="004C23F4" w14:paraId="7754567C" w14:textId="77777777" w:rsidTr="008446C1">
        <w:trPr>
          <w:cantSplit/>
        </w:trPr>
        <w:tc>
          <w:tcPr>
            <w:tcW w:w="1495" w:type="dxa"/>
          </w:tcPr>
          <w:p w14:paraId="45D68B48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52AA362D" w14:textId="77777777" w:rsidR="004966BF" w:rsidRPr="00CE617F" w:rsidRDefault="008446C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1155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6ED4133" w14:textId="6EA4124E" w:rsidR="004966BF" w:rsidRPr="004C23F4" w:rsidRDefault="00393F6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7" w:type="dxa"/>
          </w:tcPr>
          <w:p w14:paraId="3F044A00" w14:textId="2DE5F34A" w:rsidR="004966BF" w:rsidRDefault="008B12A0" w:rsidP="00DD46E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NOAEC = 235 mg/m</w:t>
            </w:r>
            <w:r w:rsidRPr="00111550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(94 ppm) </w:t>
            </w:r>
            <w:r w:rsidR="00E646DB">
              <w:rPr>
                <w:rStyle w:val="checkbox"/>
                <w:rFonts w:ascii="Arial" w:hAnsi="Arial" w:cs="Arial"/>
              </w:rPr>
              <w:t>for microcytic anaemia and hyperplasia of the bone marrow</w:t>
            </w:r>
            <w:r w:rsidR="00C501EC">
              <w:rPr>
                <w:rStyle w:val="checkbox"/>
                <w:rFonts w:ascii="Arial" w:hAnsi="Arial" w:cs="Arial"/>
              </w:rPr>
              <w:t>,</w:t>
            </w:r>
            <w:r w:rsidR="00E646DB">
              <w:rPr>
                <w:rStyle w:val="checkbox"/>
                <w:rFonts w:ascii="Arial" w:hAnsi="Arial" w:cs="Arial"/>
              </w:rPr>
              <w:t xml:space="preserve"> </w:t>
            </w:r>
            <w:r w:rsidR="00D27B93">
              <w:rPr>
                <w:rStyle w:val="checkbox"/>
                <w:rFonts w:ascii="Arial" w:hAnsi="Arial" w:cs="Arial"/>
              </w:rPr>
              <w:t>citing 13</w:t>
            </w:r>
            <w:r w:rsidR="001834CA">
              <w:rPr>
                <w:rStyle w:val="checkbox"/>
                <w:rFonts w:ascii="Arial" w:hAnsi="Arial" w:cs="Arial"/>
              </w:rPr>
              <w:t>-</w:t>
            </w:r>
            <w:r w:rsidR="00D27B93">
              <w:rPr>
                <w:rStyle w:val="checkbox"/>
                <w:rFonts w:ascii="Arial" w:hAnsi="Arial" w:cs="Arial"/>
              </w:rPr>
              <w:t>wk</w:t>
            </w:r>
            <w:r>
              <w:rPr>
                <w:rStyle w:val="checkbox"/>
                <w:rFonts w:ascii="Arial" w:hAnsi="Arial" w:cs="Arial"/>
              </w:rPr>
              <w:t xml:space="preserve"> inhalation study (</w:t>
            </w:r>
            <w:r w:rsidR="00862542">
              <w:rPr>
                <w:rStyle w:val="checkbox"/>
                <w:rFonts w:ascii="Arial" w:hAnsi="Arial" w:cs="Arial"/>
              </w:rPr>
              <w:t>rat</w:t>
            </w:r>
            <w:r w:rsidR="00D14C94">
              <w:rPr>
                <w:rStyle w:val="checkbox"/>
                <w:rFonts w:ascii="Arial" w:hAnsi="Arial" w:cs="Arial"/>
              </w:rPr>
              <w:t xml:space="preserve"> only</w:t>
            </w:r>
            <w:r w:rsidR="00D27B93">
              <w:rPr>
                <w:rStyle w:val="checkbox"/>
                <w:rFonts w:ascii="Arial" w:hAnsi="Arial" w:cs="Arial"/>
              </w:rPr>
              <w:t>)</w:t>
            </w:r>
            <w:r w:rsidR="004754AB">
              <w:rPr>
                <w:rStyle w:val="checkbox"/>
                <w:rFonts w:ascii="Arial" w:hAnsi="Arial" w:cs="Arial"/>
              </w:rPr>
              <w:t xml:space="preserve"> as </w:t>
            </w:r>
            <w:r w:rsidR="004754AB" w:rsidRPr="00DD46E8">
              <w:t>described</w:t>
            </w:r>
            <w:r w:rsidR="004754AB">
              <w:rPr>
                <w:rStyle w:val="checkbox"/>
                <w:rFonts w:ascii="Arial" w:hAnsi="Arial" w:cs="Arial"/>
              </w:rPr>
              <w:t xml:space="preserve"> </w:t>
            </w:r>
            <w:r w:rsidR="006E0AB6">
              <w:rPr>
                <w:rStyle w:val="checkbox"/>
                <w:rFonts w:ascii="Arial" w:hAnsi="Arial" w:cs="Arial"/>
              </w:rPr>
              <w:t>in ACGIH (2001) and DFG (2003)</w:t>
            </w:r>
          </w:p>
          <w:p w14:paraId="78DCF56B" w14:textId="1340EEA8" w:rsidR="004754AB" w:rsidRDefault="004754AB" w:rsidP="00DD46E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2 workers in headlight assembly plant </w:t>
            </w:r>
            <w:r w:rsidR="00996294">
              <w:rPr>
                <w:rStyle w:val="checkbox"/>
                <w:rFonts w:ascii="Arial" w:hAnsi="Arial" w:cs="Arial"/>
              </w:rPr>
              <w:t xml:space="preserve">exposed </w:t>
            </w:r>
            <w:r w:rsidR="00996294" w:rsidRPr="00470247">
              <w:rPr>
                <w:rStyle w:val="checkbox"/>
                <w:rFonts w:ascii="Arial" w:hAnsi="Arial" w:cs="Arial"/>
                <w:i/>
              </w:rPr>
              <w:t>via</w:t>
            </w:r>
            <w:r w:rsidR="00996294">
              <w:rPr>
                <w:rStyle w:val="checkbox"/>
                <w:rFonts w:ascii="Arial" w:hAnsi="Arial" w:cs="Arial"/>
              </w:rPr>
              <w:t xml:space="preserve"> dermal and inhalation routes for</w:t>
            </w:r>
            <w:r>
              <w:rPr>
                <w:rStyle w:val="checkbox"/>
                <w:rFonts w:ascii="Arial" w:hAnsi="Arial" w:cs="Arial"/>
              </w:rPr>
              <w:t xml:space="preserve"> 1</w:t>
            </w:r>
            <w:r w:rsidR="007F217F">
              <w:rPr>
                <w:rStyle w:val="checkbox"/>
                <w:rFonts w:ascii="Arial" w:hAnsi="Arial" w:cs="Arial"/>
              </w:rPr>
              <w:t>–</w:t>
            </w:r>
            <w:r>
              <w:rPr>
                <w:rStyle w:val="checkbox"/>
                <w:rFonts w:ascii="Arial" w:hAnsi="Arial" w:cs="Arial"/>
              </w:rPr>
              <w:t xml:space="preserve">2 </w:t>
            </w:r>
            <w:proofErr w:type="spellStart"/>
            <w:r>
              <w:rPr>
                <w:rStyle w:val="checkbox"/>
                <w:rFonts w:ascii="Arial" w:hAnsi="Arial" w:cs="Arial"/>
              </w:rPr>
              <w:t>mo</w:t>
            </w:r>
            <w:proofErr w:type="spellEnd"/>
            <w:r w:rsidR="00996294">
              <w:rPr>
                <w:rStyle w:val="checkbox"/>
                <w:rFonts w:ascii="Arial" w:hAnsi="Arial" w:cs="Arial"/>
              </w:rPr>
              <w:t>,</w:t>
            </w:r>
            <w:r>
              <w:rPr>
                <w:rStyle w:val="checkbox"/>
                <w:rFonts w:ascii="Arial" w:hAnsi="Arial" w:cs="Arial"/>
              </w:rPr>
              <w:t xml:space="preserve"> developed severe peripheral neuropathy</w:t>
            </w:r>
            <w:r w:rsidR="00996294">
              <w:rPr>
                <w:rStyle w:val="checkbox"/>
                <w:rFonts w:ascii="Arial" w:hAnsi="Arial" w:cs="Arial"/>
              </w:rPr>
              <w:t>; environmental sampling found exposure at the TLV</w:t>
            </w:r>
            <w:r w:rsidR="00E44A68">
              <w:rPr>
                <w:rStyle w:val="checkbox"/>
                <w:rFonts w:ascii="Arial" w:hAnsi="Arial" w:cs="Arial"/>
              </w:rPr>
              <w:t xml:space="preserve"> </w:t>
            </w:r>
            <w:r w:rsidR="000E0374">
              <w:rPr>
                <w:rStyle w:val="checkbox"/>
                <w:rFonts w:ascii="Arial" w:hAnsi="Arial" w:cs="Arial"/>
              </w:rPr>
              <w:t>(</w:t>
            </w:r>
            <w:r w:rsidR="00E44A68">
              <w:rPr>
                <w:rStyle w:val="checkbox"/>
                <w:rFonts w:ascii="Arial" w:hAnsi="Arial" w:cs="Arial"/>
              </w:rPr>
              <w:t>value not provided</w:t>
            </w:r>
            <w:r w:rsidR="000E0374">
              <w:rPr>
                <w:rStyle w:val="checkbox"/>
                <w:rFonts w:ascii="Arial" w:hAnsi="Arial" w:cs="Arial"/>
              </w:rPr>
              <w:t>)</w:t>
            </w:r>
            <w:r w:rsidR="007F217F">
              <w:rPr>
                <w:rStyle w:val="checkbox"/>
                <w:rFonts w:ascii="Arial" w:hAnsi="Arial" w:cs="Arial"/>
              </w:rPr>
              <w:t>.</w:t>
            </w:r>
          </w:p>
          <w:p w14:paraId="36EB2E19" w14:textId="7CE9F304" w:rsidR="006E0AB6" w:rsidRPr="004C23F4" w:rsidRDefault="006E0AB6" w:rsidP="00DD46E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DNEL for long-term exposure 20 mg/m</w:t>
            </w:r>
            <w:r w:rsidRPr="009E59AE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9E59AE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77DD772C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53289DD4" w14:textId="77777777" w:rsidTr="00481583">
        <w:trPr>
          <w:trHeight w:val="454"/>
          <w:tblHeader/>
        </w:trPr>
        <w:tc>
          <w:tcPr>
            <w:tcW w:w="6603" w:type="dxa"/>
            <w:vAlign w:val="center"/>
          </w:tcPr>
          <w:p w14:paraId="0631D9D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17F7E99" w14:textId="77777777" w:rsidR="002E0D61" w:rsidRDefault="0048158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18CF99F" w14:textId="77777777" w:rsidTr="00481583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046E75AF" w14:textId="77777777" w:rsidR="008A36CF" w:rsidRPr="006901A2" w:rsidRDefault="00481583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CA56E81" w14:textId="77777777" w:rsidR="008A36CF" w:rsidRDefault="008A36CF" w:rsidP="00DD46E8">
            <w:pPr>
              <w:pStyle w:val="Tablefont"/>
              <w:keepLines/>
              <w:spacing w:before="40" w:after="40"/>
            </w:pPr>
          </w:p>
        </w:tc>
      </w:tr>
    </w:tbl>
    <w:bookmarkEnd w:id="1"/>
    <w:p w14:paraId="6851096C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8446C1" w14:paraId="2B8FF47B" w14:textId="77777777" w:rsidTr="00844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7E36B13" w14:textId="77777777" w:rsidR="00687890" w:rsidRPr="008446C1" w:rsidRDefault="00687890" w:rsidP="00263255">
            <w:pPr>
              <w:pStyle w:val="Tableheader"/>
              <w:rPr>
                <w:b/>
              </w:rPr>
            </w:pPr>
            <w:bookmarkStart w:id="2" w:name="Notations"/>
            <w:bookmarkStart w:id="3" w:name="_GoBack" w:colFirst="0" w:colLast="2"/>
            <w:r w:rsidRPr="008446C1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A8F6E87" w14:textId="77777777" w:rsidR="00687890" w:rsidRPr="008446C1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8446C1">
              <w:rPr>
                <w:b/>
              </w:rPr>
              <w:t>Notations</w:t>
            </w:r>
            <w:r w:rsidR="003A2B94" w:rsidRPr="008446C1">
              <w:rPr>
                <w:b/>
              </w:rPr>
              <w:tab/>
            </w:r>
          </w:p>
        </w:tc>
      </w:tr>
      <w:bookmarkEnd w:id="3"/>
      <w:tr w:rsidR="00687890" w:rsidRPr="004C23F4" w14:paraId="6EA25562" w14:textId="77777777" w:rsidTr="008446C1">
        <w:trPr>
          <w:cantSplit/>
        </w:trPr>
        <w:tc>
          <w:tcPr>
            <w:tcW w:w="3227" w:type="dxa"/>
          </w:tcPr>
          <w:p w14:paraId="4CA2D871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E564503" w14:textId="77777777" w:rsidR="00687890" w:rsidRPr="00DD2F9B" w:rsidRDefault="005E2EE1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73E94A21" w14:textId="77777777" w:rsidTr="008446C1">
        <w:trPr>
          <w:cantSplit/>
        </w:trPr>
        <w:tc>
          <w:tcPr>
            <w:tcW w:w="3227" w:type="dxa"/>
          </w:tcPr>
          <w:p w14:paraId="64B293E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1DFDB35" w14:textId="77777777" w:rsidR="007925F0" w:rsidRPr="00DD2F9B" w:rsidRDefault="005E2EE1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0B6AE2C1" w14:textId="77777777" w:rsidTr="008446C1">
        <w:trPr>
          <w:cantSplit/>
        </w:trPr>
        <w:tc>
          <w:tcPr>
            <w:tcW w:w="3227" w:type="dxa"/>
          </w:tcPr>
          <w:p w14:paraId="57CDD7F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EE1E716" w14:textId="77777777" w:rsidR="00AF483F" w:rsidRPr="00DD2F9B" w:rsidRDefault="00955DE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3A54B10" w14:textId="77777777" w:rsidTr="008446C1">
        <w:trPr>
          <w:cantSplit/>
        </w:trPr>
        <w:tc>
          <w:tcPr>
            <w:tcW w:w="3227" w:type="dxa"/>
          </w:tcPr>
          <w:p w14:paraId="1E89BC9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514A25B" w14:textId="77777777" w:rsidR="00687890" w:rsidRPr="00DD2F9B" w:rsidRDefault="008C1F8A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2C41E0F" w14:textId="77777777" w:rsidTr="008446C1">
        <w:trPr>
          <w:cantSplit/>
        </w:trPr>
        <w:tc>
          <w:tcPr>
            <w:tcW w:w="3227" w:type="dxa"/>
          </w:tcPr>
          <w:p w14:paraId="173D5BA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7F23ABD" w14:textId="77777777" w:rsidR="00E41A26" w:rsidRPr="00DD2F9B" w:rsidRDefault="008C1F8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442CC4D" w14:textId="77777777" w:rsidTr="008446C1">
        <w:trPr>
          <w:cantSplit/>
        </w:trPr>
        <w:tc>
          <w:tcPr>
            <w:tcW w:w="3227" w:type="dxa"/>
          </w:tcPr>
          <w:p w14:paraId="08C1DE2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07504B8" w14:textId="77777777" w:rsidR="002E0D61" w:rsidRPr="00DD2F9B" w:rsidRDefault="005E2EE1" w:rsidP="00DD2F9B">
            <w:pPr>
              <w:pStyle w:val="Tablefont"/>
            </w:pPr>
            <w:r w:rsidRPr="005E2EE1">
              <w:t>Carcinogenicity – A3</w:t>
            </w:r>
          </w:p>
        </w:tc>
      </w:tr>
      <w:tr w:rsidR="002E0D61" w:rsidRPr="004C23F4" w14:paraId="3E31DF9C" w14:textId="77777777" w:rsidTr="008446C1">
        <w:trPr>
          <w:cantSplit/>
        </w:trPr>
        <w:tc>
          <w:tcPr>
            <w:tcW w:w="3227" w:type="dxa"/>
          </w:tcPr>
          <w:p w14:paraId="41A48E6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0F8A72A" w14:textId="77777777" w:rsidR="002E0D61" w:rsidRPr="00DD2F9B" w:rsidRDefault="005E2EE1" w:rsidP="00DD2F9B">
            <w:pPr>
              <w:pStyle w:val="Tablefont"/>
            </w:pPr>
            <w:r w:rsidRPr="005E2EE1">
              <w:t>Carcinogenicity – 3B</w:t>
            </w:r>
            <w:r>
              <w:t>, H (skin)</w:t>
            </w:r>
          </w:p>
        </w:tc>
      </w:tr>
      <w:tr w:rsidR="002E0D61" w:rsidRPr="004C23F4" w14:paraId="5309AE0F" w14:textId="77777777" w:rsidTr="008446C1">
        <w:trPr>
          <w:cantSplit/>
        </w:trPr>
        <w:tc>
          <w:tcPr>
            <w:tcW w:w="3227" w:type="dxa"/>
          </w:tcPr>
          <w:p w14:paraId="1A5C25F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C2A04DE" w14:textId="77777777" w:rsidR="002E0D61" w:rsidRPr="00DD2F9B" w:rsidRDefault="008C1F8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6890AA9" w14:textId="77777777" w:rsidTr="008446C1">
        <w:trPr>
          <w:cantSplit/>
        </w:trPr>
        <w:tc>
          <w:tcPr>
            <w:tcW w:w="3227" w:type="dxa"/>
          </w:tcPr>
          <w:p w14:paraId="3567677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AFA11C8" w14:textId="77777777" w:rsidR="002E0D61" w:rsidRPr="00DD2F9B" w:rsidRDefault="008C1F8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38D1F4B" w14:textId="77777777" w:rsidTr="008446C1">
        <w:trPr>
          <w:cantSplit/>
        </w:trPr>
        <w:tc>
          <w:tcPr>
            <w:tcW w:w="3227" w:type="dxa"/>
          </w:tcPr>
          <w:p w14:paraId="126AC98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5C28C4D" w14:textId="77777777" w:rsidR="00386093" w:rsidRPr="00DD2F9B" w:rsidRDefault="008C1F8A" w:rsidP="00DD2F9B">
            <w:pPr>
              <w:pStyle w:val="Tablefont"/>
            </w:pPr>
            <w:r w:rsidRPr="008C1F8A">
              <w:t>Carcinogenicity – Group 2B</w:t>
            </w:r>
          </w:p>
        </w:tc>
      </w:tr>
      <w:tr w:rsidR="00386093" w:rsidRPr="004C23F4" w14:paraId="72DA02A9" w14:textId="77777777" w:rsidTr="008446C1">
        <w:trPr>
          <w:cantSplit/>
        </w:trPr>
        <w:tc>
          <w:tcPr>
            <w:tcW w:w="3227" w:type="dxa"/>
          </w:tcPr>
          <w:p w14:paraId="47F6585D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0A8B2A3" w14:textId="77777777" w:rsidR="00386093" w:rsidRPr="00DD2F9B" w:rsidRDefault="008C1F8A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0A4F95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3FF5B3F" w14:textId="5E31B4F9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E5898" w14:paraId="5904612F" w14:textId="77777777" w:rsidTr="006E5898">
        <w:trPr>
          <w:cantSplit/>
          <w:tblHeader/>
        </w:trPr>
        <w:tc>
          <w:tcPr>
            <w:tcW w:w="5000" w:type="pct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85B7E2E" w14:textId="77777777" w:rsidR="006E5898" w:rsidRDefault="006E5898">
            <w:pPr>
              <w:pStyle w:val="Tableheader"/>
              <w:keepNext/>
              <w:tabs>
                <w:tab w:val="right" w:pos="8800"/>
              </w:tabs>
            </w:pPr>
            <w:r>
              <w:t>Calculation</w:t>
            </w:r>
            <w:r>
              <w:tab/>
            </w:r>
          </w:p>
        </w:tc>
      </w:tr>
      <w:tr w:rsidR="006E5898" w14:paraId="649C7C30" w14:textId="77777777" w:rsidTr="006E5898">
        <w:trPr>
          <w:cantSplit/>
          <w:tblHeader/>
        </w:trPr>
        <w:tc>
          <w:tcPr>
            <w:tcW w:w="5000" w:type="pct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vAlign w:val="center"/>
            <w:hideMark/>
          </w:tcPr>
          <w:tbl>
            <w:tblPr>
              <w:tblW w:w="9093" w:type="dxa"/>
              <w:tblLook w:val="04A0" w:firstRow="1" w:lastRow="0" w:firstColumn="1" w:lastColumn="0" w:noHBand="0" w:noVBand="1"/>
            </w:tblPr>
            <w:tblGrid>
              <w:gridCol w:w="3835"/>
              <w:gridCol w:w="484"/>
              <w:gridCol w:w="557"/>
              <w:gridCol w:w="3934"/>
            </w:tblGrid>
            <w:tr w:rsidR="006E5898" w14:paraId="7B05C2EA" w14:textId="77777777" w:rsidTr="006E5898">
              <w:trPr>
                <w:trHeight w:val="356"/>
              </w:trPr>
              <w:tc>
                <w:tcPr>
                  <w:tcW w:w="3964" w:type="dxa"/>
                  <w:shd w:val="clear" w:color="auto" w:fill="C5D9F1"/>
                  <w:noWrap/>
                  <w:vAlign w:val="center"/>
                  <w:hideMark/>
                </w:tcPr>
                <w:p w14:paraId="38DC85D7" w14:textId="77777777" w:rsidR="006E5898" w:rsidRDefault="006E5898" w:rsidP="006E589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494" w:type="dxa"/>
                  <w:shd w:val="clear" w:color="auto" w:fill="C5D9F1"/>
                  <w:noWrap/>
                  <w:vAlign w:val="center"/>
                  <w:hideMark/>
                </w:tcPr>
                <w:p w14:paraId="7F074E8F" w14:textId="77777777" w:rsidR="006E5898" w:rsidRDefault="006E5898" w:rsidP="006E589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C5D9F1"/>
                  <w:noWrap/>
                  <w:vAlign w:val="center"/>
                  <w:hideMark/>
                </w:tcPr>
                <w:p w14:paraId="565DD2C3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66" w:type="dxa"/>
                  <w:shd w:val="clear" w:color="auto" w:fill="C5D9F1"/>
                  <w:noWrap/>
                  <w:vAlign w:val="center"/>
                  <w:hideMark/>
                </w:tcPr>
                <w:p w14:paraId="686B64C5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E5898" w14:paraId="580FD61F" w14:textId="77777777" w:rsidTr="006E5898">
              <w:trPr>
                <w:trHeight w:val="356"/>
              </w:trPr>
              <w:tc>
                <w:tcPr>
                  <w:tcW w:w="3964" w:type="dxa"/>
                  <w:shd w:val="clear" w:color="auto" w:fill="C5D9F1"/>
                  <w:noWrap/>
                  <w:vAlign w:val="center"/>
                  <w:hideMark/>
                </w:tcPr>
                <w:p w14:paraId="271373AF" w14:textId="77777777" w:rsidR="006E5898" w:rsidRDefault="006E5898" w:rsidP="006E589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494" w:type="dxa"/>
                  <w:shd w:val="clear" w:color="auto" w:fill="C5D9F1"/>
                  <w:noWrap/>
                  <w:vAlign w:val="center"/>
                  <w:hideMark/>
                </w:tcPr>
                <w:p w14:paraId="3049D0F9" w14:textId="76F7435E" w:rsidR="006E5898" w:rsidRDefault="006E5898" w:rsidP="006E589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569" w:type="dxa"/>
                  <w:shd w:val="clear" w:color="auto" w:fill="C5D9F1"/>
                  <w:noWrap/>
                  <w:vAlign w:val="center"/>
                  <w:hideMark/>
                </w:tcPr>
                <w:p w14:paraId="1AE2B67A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66" w:type="dxa"/>
                  <w:shd w:val="clear" w:color="auto" w:fill="C5D9F1"/>
                  <w:noWrap/>
                  <w:vAlign w:val="center"/>
                  <w:hideMark/>
                </w:tcPr>
                <w:p w14:paraId="067F2DE1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E5898" w14:paraId="63E7768F" w14:textId="77777777" w:rsidTr="006E5898">
              <w:trPr>
                <w:trHeight w:val="356"/>
              </w:trPr>
              <w:tc>
                <w:tcPr>
                  <w:tcW w:w="3964" w:type="dxa"/>
                  <w:shd w:val="clear" w:color="auto" w:fill="C5D9F1"/>
                  <w:noWrap/>
                  <w:vAlign w:val="center"/>
                  <w:hideMark/>
                </w:tcPr>
                <w:p w14:paraId="729644BE" w14:textId="77777777" w:rsidR="006E5898" w:rsidRDefault="006E5898" w:rsidP="006E589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494" w:type="dxa"/>
                  <w:shd w:val="clear" w:color="auto" w:fill="C5D9F1"/>
                  <w:noWrap/>
                  <w:vAlign w:val="center"/>
                  <w:hideMark/>
                </w:tcPr>
                <w:p w14:paraId="09D812EE" w14:textId="77777777" w:rsidR="006E5898" w:rsidRDefault="006E5898" w:rsidP="006E589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C5D9F1"/>
                  <w:noWrap/>
                  <w:vAlign w:val="center"/>
                  <w:hideMark/>
                </w:tcPr>
                <w:p w14:paraId="415AE923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66" w:type="dxa"/>
                  <w:shd w:val="clear" w:color="auto" w:fill="C5D9F1"/>
                  <w:noWrap/>
                  <w:vAlign w:val="center"/>
                  <w:hideMark/>
                </w:tcPr>
                <w:p w14:paraId="57AEB1CA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E5898" w14:paraId="5CF8D29A" w14:textId="77777777" w:rsidTr="006E5898">
              <w:trPr>
                <w:trHeight w:val="356"/>
              </w:trPr>
              <w:tc>
                <w:tcPr>
                  <w:tcW w:w="3964" w:type="dxa"/>
                  <w:shd w:val="clear" w:color="auto" w:fill="C5D9F1"/>
                  <w:noWrap/>
                  <w:vAlign w:val="center"/>
                  <w:hideMark/>
                </w:tcPr>
                <w:p w14:paraId="41BC4688" w14:textId="77777777" w:rsidR="006E5898" w:rsidRDefault="006E5898" w:rsidP="006E589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494" w:type="dxa"/>
                  <w:shd w:val="clear" w:color="auto" w:fill="C5D9F1"/>
                  <w:noWrap/>
                  <w:vAlign w:val="center"/>
                  <w:hideMark/>
                </w:tcPr>
                <w:p w14:paraId="6EEAAF89" w14:textId="77777777" w:rsidR="006E5898" w:rsidRDefault="006E5898" w:rsidP="006E589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C5D9F1"/>
                  <w:noWrap/>
                  <w:vAlign w:val="center"/>
                  <w:hideMark/>
                </w:tcPr>
                <w:p w14:paraId="3C5D1CB2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66" w:type="dxa"/>
                  <w:shd w:val="clear" w:color="auto" w:fill="C5D9F1"/>
                  <w:noWrap/>
                  <w:vAlign w:val="center"/>
                  <w:hideMark/>
                </w:tcPr>
                <w:p w14:paraId="5B22B14E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E5898" w14:paraId="1AF84460" w14:textId="77777777" w:rsidTr="006E5898">
              <w:trPr>
                <w:trHeight w:val="356"/>
              </w:trPr>
              <w:tc>
                <w:tcPr>
                  <w:tcW w:w="3964" w:type="dxa"/>
                  <w:shd w:val="clear" w:color="auto" w:fill="C5D9F1"/>
                  <w:noWrap/>
                  <w:vAlign w:val="center"/>
                  <w:hideMark/>
                </w:tcPr>
                <w:p w14:paraId="50B452E8" w14:textId="77777777" w:rsidR="006E5898" w:rsidRDefault="006E5898" w:rsidP="006E589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494" w:type="dxa"/>
                  <w:shd w:val="clear" w:color="auto" w:fill="C5D9F1"/>
                  <w:noWrap/>
                  <w:vAlign w:val="center"/>
                  <w:hideMark/>
                </w:tcPr>
                <w:p w14:paraId="30DD7CE0" w14:textId="77777777" w:rsidR="006E5898" w:rsidRDefault="006E5898" w:rsidP="006E589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C5D9F1"/>
                  <w:noWrap/>
                  <w:vAlign w:val="center"/>
                  <w:hideMark/>
                </w:tcPr>
                <w:p w14:paraId="3C0C7B1C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66" w:type="dxa"/>
                  <w:shd w:val="clear" w:color="auto" w:fill="C5D9F1"/>
                  <w:noWrap/>
                  <w:vAlign w:val="center"/>
                  <w:hideMark/>
                </w:tcPr>
                <w:p w14:paraId="45DBC3ED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E5898" w14:paraId="496F0DEB" w14:textId="77777777" w:rsidTr="006E5898">
              <w:trPr>
                <w:trHeight w:val="356"/>
              </w:trPr>
              <w:tc>
                <w:tcPr>
                  <w:tcW w:w="3964" w:type="dxa"/>
                  <w:shd w:val="clear" w:color="auto" w:fill="C5D9F1"/>
                  <w:noWrap/>
                  <w:vAlign w:val="center"/>
                  <w:hideMark/>
                </w:tcPr>
                <w:p w14:paraId="4163D238" w14:textId="77777777" w:rsidR="006E5898" w:rsidRDefault="006E5898" w:rsidP="006E589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494" w:type="dxa"/>
                  <w:shd w:val="clear" w:color="auto" w:fill="FFEB9C"/>
                  <w:noWrap/>
                  <w:vAlign w:val="center"/>
                  <w:hideMark/>
                </w:tcPr>
                <w:p w14:paraId="2D8482CA" w14:textId="77777777" w:rsidR="006E5898" w:rsidRDefault="006E5898" w:rsidP="006E589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69" w:type="dxa"/>
                  <w:shd w:val="clear" w:color="auto" w:fill="C5D9F1"/>
                  <w:noWrap/>
                  <w:vAlign w:val="center"/>
                  <w:hideMark/>
                </w:tcPr>
                <w:p w14:paraId="4F9A4E0F" w14:textId="77777777" w:rsidR="006E5898" w:rsidRDefault="006E5898" w:rsidP="006E589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4066" w:type="dxa"/>
                  <w:shd w:val="clear" w:color="auto" w:fill="C5D9F1"/>
                  <w:noWrap/>
                  <w:vAlign w:val="center"/>
                  <w:hideMark/>
                </w:tcPr>
                <w:p w14:paraId="6DB164A5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E5898" w14:paraId="1085506A" w14:textId="77777777" w:rsidTr="006E5898">
              <w:trPr>
                <w:trHeight w:val="356"/>
              </w:trPr>
              <w:tc>
                <w:tcPr>
                  <w:tcW w:w="3964" w:type="dxa"/>
                  <w:shd w:val="clear" w:color="auto" w:fill="C5D9F1"/>
                  <w:noWrap/>
                  <w:vAlign w:val="center"/>
                  <w:hideMark/>
                </w:tcPr>
                <w:p w14:paraId="4475D380" w14:textId="77777777" w:rsidR="006E5898" w:rsidRDefault="006E5898" w:rsidP="006E589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4" w:type="dxa"/>
                  <w:shd w:val="clear" w:color="auto" w:fill="C5D9F1"/>
                  <w:noWrap/>
                  <w:vAlign w:val="center"/>
                  <w:hideMark/>
                </w:tcPr>
                <w:p w14:paraId="773FBB40" w14:textId="77777777" w:rsidR="006E5898" w:rsidRDefault="006E5898" w:rsidP="006E589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C5D9F1"/>
                  <w:noWrap/>
                  <w:vAlign w:val="center"/>
                  <w:hideMark/>
                </w:tcPr>
                <w:p w14:paraId="62FF79B6" w14:textId="77777777" w:rsidR="006E5898" w:rsidRDefault="006E5898" w:rsidP="006E589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4066" w:type="dxa"/>
                  <w:shd w:val="clear" w:color="auto" w:fill="C5D9F1"/>
                  <w:noWrap/>
                  <w:vAlign w:val="center"/>
                  <w:hideMark/>
                </w:tcPr>
                <w:p w14:paraId="7DED37DF" w14:textId="77777777" w:rsidR="006E5898" w:rsidRDefault="006E5898" w:rsidP="006E589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insufficient data to assign a skin notation</w:t>
                  </w:r>
                </w:p>
              </w:tc>
            </w:tr>
          </w:tbl>
          <w:p w14:paraId="181123F0" w14:textId="77AA94D8" w:rsidR="006E5898" w:rsidRDefault="006E5898">
            <w:pPr>
              <w:rPr>
                <w:rFonts w:cs="Arial"/>
              </w:rPr>
            </w:pPr>
          </w:p>
        </w:tc>
      </w:tr>
    </w:tbl>
    <w:p w14:paraId="33F8A4B3" w14:textId="4228E0DD" w:rsidR="006E5898" w:rsidRPr="006E5898" w:rsidRDefault="006E5898" w:rsidP="006E5898">
      <w:pPr>
        <w:pStyle w:val="CommentText"/>
        <w:rPr>
          <w:lang w:eastAsia="en-AU"/>
        </w:rPr>
      </w:pPr>
    </w:p>
    <w:p w14:paraId="69987423" w14:textId="202D114F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92530A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8AC449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3CF776C" w14:textId="77777777" w:rsidR="00EB3D1B" w:rsidRDefault="008C1F8A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52C8E012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54AA2B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F48E51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A8A4375" w14:textId="77777777" w:rsidR="001B79E5" w:rsidRDefault="005E2EE1" w:rsidP="001B79E5">
                <w:pPr>
                  <w:pStyle w:val="Tablefont"/>
                </w:pPr>
                <w:r>
                  <w:t>61.04</w:t>
                </w:r>
              </w:p>
            </w:tc>
          </w:sdtContent>
        </w:sdt>
      </w:tr>
      <w:tr w:rsidR="00A31D99" w:rsidRPr="004C23F4" w14:paraId="20F0FD2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B511DB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1ED1FFD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240436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82CD5F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B19A79E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0389D3A" w14:textId="77777777" w:rsidTr="00EA6243">
        <w:trPr>
          <w:cantSplit/>
        </w:trPr>
        <w:tc>
          <w:tcPr>
            <w:tcW w:w="4077" w:type="dxa"/>
            <w:vAlign w:val="center"/>
          </w:tcPr>
          <w:p w14:paraId="6666623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0D2C0B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DE39FBA" w14:textId="77777777" w:rsidTr="00EA6243">
        <w:trPr>
          <w:cantSplit/>
        </w:trPr>
        <w:tc>
          <w:tcPr>
            <w:tcW w:w="4077" w:type="dxa"/>
            <w:vAlign w:val="center"/>
          </w:tcPr>
          <w:p w14:paraId="06F4850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D9F288D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4DC5592" w14:textId="77777777" w:rsidTr="00EA6243">
        <w:trPr>
          <w:cantSplit/>
        </w:trPr>
        <w:tc>
          <w:tcPr>
            <w:tcW w:w="4077" w:type="dxa"/>
            <w:vAlign w:val="center"/>
          </w:tcPr>
          <w:p w14:paraId="70734D0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25FEB8E" w14:textId="77777777" w:rsidR="00E06F40" w:rsidRPr="00A006A0" w:rsidRDefault="008446C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3CB713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CC3CB9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EC441F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A24B1BF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027B92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E67676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FF7CAB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4EF6C04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B3AEC42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E868DF9" w14:textId="77777777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FA4385">
        <w:t>2003</w:t>
      </w:r>
      <w:r>
        <w:t xml:space="preserve">) </w:t>
      </w:r>
      <w:r w:rsidR="00FA4385">
        <w:t>Nitromethane</w:t>
      </w:r>
      <w:r>
        <w:t xml:space="preserve"> – MAK value documentation.</w:t>
      </w:r>
    </w:p>
    <w:p w14:paraId="1B0155D0" w14:textId="77777777" w:rsidR="00111550" w:rsidRDefault="00111550" w:rsidP="008E4F1F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1D45C390" w14:textId="77777777" w:rsidR="008E4F1F" w:rsidRDefault="008E4F1F" w:rsidP="008E4F1F">
      <w:pPr>
        <w:rPr>
          <w:b/>
        </w:rPr>
      </w:pPr>
      <w:r w:rsidRPr="002022B6">
        <w:t>International Agency for Research on Cancer</w:t>
      </w:r>
      <w:r>
        <w:t xml:space="preserve"> (IARC) (</w:t>
      </w:r>
      <w:r w:rsidR="00FA4385">
        <w:t>2000</w:t>
      </w:r>
      <w:r>
        <w:t xml:space="preserve">) </w:t>
      </w:r>
      <w:r w:rsidR="00FA4385">
        <w:t xml:space="preserve">Volume 77, </w:t>
      </w:r>
      <w:r w:rsidR="00FA4385" w:rsidRPr="00FA4385">
        <w:t xml:space="preserve">Some </w:t>
      </w:r>
      <w:r w:rsidR="00FA4385">
        <w:t>i</w:t>
      </w:r>
      <w:r w:rsidR="00FA4385" w:rsidRPr="00FA4385">
        <w:t xml:space="preserve">ndustrial </w:t>
      </w:r>
      <w:r w:rsidR="00FA4385">
        <w:t>c</w:t>
      </w:r>
      <w:r w:rsidR="00FA4385" w:rsidRPr="00FA4385">
        <w:t>hemicals</w:t>
      </w:r>
      <w:r>
        <w:t>. IARC Monographs on the evaluation of the carcinogenic risk to humans.</w:t>
      </w:r>
    </w:p>
    <w:p w14:paraId="186C2B3B" w14:textId="77777777" w:rsidR="00481583" w:rsidRDefault="00481583" w:rsidP="008E4F1F">
      <w:r w:rsidRPr="00DB0A36">
        <w:t xml:space="preserve">National Industrial Chemicals Notification and Assessment Scheme (NICNAS) (2016) </w:t>
      </w:r>
      <w:r>
        <w:t>Methane, nitro-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sdt>
        <w:sdtPr>
          <w:id w:val="-1295753243"/>
          <w:temporary/>
          <w:showingPlcHdr/>
        </w:sdtPr>
        <w:sdtEndPr/>
        <w:sdtContent>
          <w:r w:rsidRPr="005F4305">
            <w:t>tier II</w:t>
          </w:r>
        </w:sdtContent>
      </w:sdt>
      <w:r w:rsidRPr="004633BA">
        <w:t xml:space="preserve"> assessment </w:t>
      </w:r>
      <w:r w:rsidRPr="00DB0A36">
        <w:t>– IMAP report</w:t>
      </w:r>
      <w:r>
        <w:t>.</w:t>
      </w:r>
    </w:p>
    <w:p w14:paraId="08C32797" w14:textId="557175D3" w:rsidR="008E4F1F" w:rsidRDefault="008E4F1F" w:rsidP="008E4F1F">
      <w:r w:rsidRPr="00D86E03">
        <w:t>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0704C8">
            <w:t>1994</w:t>
          </w:r>
        </w:sdtContent>
      </w:sdt>
      <w:r>
        <w:t xml:space="preserve">) Immediately dangerous to life or health concentrations – </w:t>
      </w:r>
      <w:r w:rsidR="000704C8">
        <w:t>nitromethane</w:t>
      </w:r>
      <w:r>
        <w:t>.</w:t>
      </w:r>
    </w:p>
    <w:p w14:paraId="41D28553" w14:textId="27B5F2AD" w:rsidR="008E4F1F" w:rsidRDefault="00690BF5" w:rsidP="00084859">
      <w:r>
        <w:t>National Toxicology Program (NTP) (1997) NTP-TR-461: Nitromethane.</w:t>
      </w:r>
    </w:p>
    <w:p w14:paraId="406D9A50" w14:textId="38017CEC" w:rsidR="00690BF5" w:rsidRDefault="00690BF5" w:rsidP="00690BF5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238703890"/>
          <w:placeholder>
            <w:docPart w:val="50398473E8E54B4CBBF44634C560BE04"/>
          </w:placeholder>
          <w:temporary/>
          <w:showingPlcHdr/>
        </w:sdtPr>
        <w:sdtEndPr/>
        <w:sdtContent>
          <w:r w:rsidRPr="00C32507">
            <w:t>1994</w:t>
          </w:r>
        </w:sdtContent>
      </w:sdt>
      <w:r>
        <w:t>) Immediately dangerous to life or health concentrations – nitromethane.</w:t>
      </w:r>
    </w:p>
    <w:p w14:paraId="0A2B8BD3" w14:textId="77777777" w:rsidR="00690BF5" w:rsidRPr="00351FE0" w:rsidRDefault="00690BF5" w:rsidP="00084859"/>
    <w:sectPr w:rsidR="00690BF5" w:rsidRPr="00351FE0" w:rsidSect="00DD46E8">
      <w:headerReference w:type="even" r:id="rId18"/>
      <w:headerReference w:type="default" r:id="rId19"/>
      <w:headerReference w:type="first" r:id="rId20"/>
      <w:pgSz w:w="11906" w:h="16838"/>
      <w:pgMar w:top="1440" w:right="1440" w:bottom="1276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83D40" w14:textId="77777777" w:rsidR="00884110" w:rsidRDefault="00884110" w:rsidP="00F43AD5">
      <w:pPr>
        <w:spacing w:after="0" w:line="240" w:lineRule="auto"/>
      </w:pPr>
      <w:r>
        <w:separator/>
      </w:r>
    </w:p>
  </w:endnote>
  <w:endnote w:type="continuationSeparator" w:id="0">
    <w:p w14:paraId="634B098A" w14:textId="77777777" w:rsidR="00884110" w:rsidRDefault="0088411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C75F5" w14:textId="77777777" w:rsidR="008446C1" w:rsidRDefault="00844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7E08C36" w14:textId="00F33070" w:rsidR="008A36CF" w:rsidRDefault="001A3B9B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Nitromethane</w:t>
        </w:r>
        <w:r w:rsidR="008A36CF">
          <w:rPr>
            <w:b/>
            <w:sz w:val="18"/>
            <w:szCs w:val="18"/>
          </w:rPr>
          <w:t xml:space="preserve"> (</w:t>
        </w:r>
        <w:r w:rsidRPr="001A3B9B">
          <w:rPr>
            <w:b/>
            <w:sz w:val="18"/>
            <w:szCs w:val="18"/>
          </w:rPr>
          <w:t>75-52-5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DD46E8">
          <w:rPr>
            <w:sz w:val="18"/>
            <w:szCs w:val="18"/>
          </w:rPr>
          <w:t>20</w:t>
        </w:r>
      </w:p>
      <w:p w14:paraId="7C6FE8BA" w14:textId="218AA73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F342F3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7E1F" w14:textId="77777777" w:rsidR="008446C1" w:rsidRDefault="00844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D300F" w14:textId="77777777" w:rsidR="00884110" w:rsidRDefault="00884110" w:rsidP="00F43AD5">
      <w:pPr>
        <w:spacing w:after="0" w:line="240" w:lineRule="auto"/>
      </w:pPr>
      <w:r>
        <w:separator/>
      </w:r>
    </w:p>
  </w:footnote>
  <w:footnote w:type="continuationSeparator" w:id="0">
    <w:p w14:paraId="42FC7FEB" w14:textId="77777777" w:rsidR="00884110" w:rsidRDefault="0088411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7AB0" w14:textId="4A04930C" w:rsidR="008446C1" w:rsidRDefault="008446C1">
    <w:pPr>
      <w:pStyle w:val="Header"/>
    </w:pPr>
    <w:r>
      <w:rPr>
        <w:noProof/>
      </w:rPr>
      <w:pict w14:anchorId="052DD3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85922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EC25A" w14:textId="3B825483" w:rsidR="008A36CF" w:rsidRDefault="008446C1" w:rsidP="00F43AD5">
    <w:pPr>
      <w:pStyle w:val="Header"/>
      <w:jc w:val="right"/>
    </w:pPr>
    <w:r>
      <w:rPr>
        <w:noProof/>
      </w:rPr>
      <w:pict w14:anchorId="6A723C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85923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6FE2A999" wp14:editId="65913569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34DD" w14:textId="5D572F28" w:rsidR="008446C1" w:rsidRDefault="008446C1">
    <w:pPr>
      <w:pStyle w:val="Header"/>
    </w:pPr>
    <w:r>
      <w:rPr>
        <w:noProof/>
      </w:rPr>
      <w:pict w14:anchorId="180044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85921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E59F" w14:textId="506A1878" w:rsidR="008446C1" w:rsidRDefault="008446C1">
    <w:pPr>
      <w:pStyle w:val="Header"/>
    </w:pPr>
    <w:r>
      <w:rPr>
        <w:noProof/>
      </w:rPr>
      <w:pict w14:anchorId="6A3363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85925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AEE2" w14:textId="67788A4F" w:rsidR="008A36CF" w:rsidRDefault="008446C1" w:rsidP="00F43AD5">
    <w:pPr>
      <w:pStyle w:val="Header"/>
      <w:jc w:val="right"/>
    </w:pPr>
    <w:r>
      <w:rPr>
        <w:noProof/>
      </w:rPr>
      <w:pict w14:anchorId="431A6A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85926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3E68F853" wp14:editId="5C0B4FEF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E786" w14:textId="2E3D0AC5" w:rsidR="008446C1" w:rsidRDefault="008446C1">
    <w:pPr>
      <w:pStyle w:val="Header"/>
    </w:pPr>
    <w:r>
      <w:rPr>
        <w:noProof/>
      </w:rPr>
      <w:pict w14:anchorId="5EEC67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85924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30202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C9AD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BC2A9B"/>
    <w:multiLevelType w:val="hybridMultilevel"/>
    <w:tmpl w:val="520E41BA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9054EC2"/>
    <w:multiLevelType w:val="hybridMultilevel"/>
    <w:tmpl w:val="37786880"/>
    <w:lvl w:ilvl="0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6FF7"/>
    <w:rsid w:val="00017C82"/>
    <w:rsid w:val="00024B8E"/>
    <w:rsid w:val="0002587E"/>
    <w:rsid w:val="00031F1A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04C8"/>
    <w:rsid w:val="00071807"/>
    <w:rsid w:val="0007562F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36F4"/>
    <w:rsid w:val="000D291C"/>
    <w:rsid w:val="000E0374"/>
    <w:rsid w:val="000E37D5"/>
    <w:rsid w:val="000E5A54"/>
    <w:rsid w:val="000E63D3"/>
    <w:rsid w:val="000E67CF"/>
    <w:rsid w:val="000F0EDB"/>
    <w:rsid w:val="000F1BD7"/>
    <w:rsid w:val="000F406B"/>
    <w:rsid w:val="0010461E"/>
    <w:rsid w:val="00106FAA"/>
    <w:rsid w:val="00111550"/>
    <w:rsid w:val="00113443"/>
    <w:rsid w:val="00126660"/>
    <w:rsid w:val="001269A7"/>
    <w:rsid w:val="00131092"/>
    <w:rsid w:val="00140E6A"/>
    <w:rsid w:val="001447F8"/>
    <w:rsid w:val="00146545"/>
    <w:rsid w:val="00146B75"/>
    <w:rsid w:val="0015266D"/>
    <w:rsid w:val="0015288A"/>
    <w:rsid w:val="00160F47"/>
    <w:rsid w:val="00177CA1"/>
    <w:rsid w:val="001834CA"/>
    <w:rsid w:val="00183823"/>
    <w:rsid w:val="00183942"/>
    <w:rsid w:val="001915F6"/>
    <w:rsid w:val="001A009E"/>
    <w:rsid w:val="001A1287"/>
    <w:rsid w:val="001A3859"/>
    <w:rsid w:val="001A3B9B"/>
    <w:rsid w:val="001A3C9D"/>
    <w:rsid w:val="001A43F8"/>
    <w:rsid w:val="001A4DEA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0626"/>
    <w:rsid w:val="00200BE8"/>
    <w:rsid w:val="002046A6"/>
    <w:rsid w:val="00204956"/>
    <w:rsid w:val="0020552D"/>
    <w:rsid w:val="002078C3"/>
    <w:rsid w:val="00213640"/>
    <w:rsid w:val="00221547"/>
    <w:rsid w:val="002216FC"/>
    <w:rsid w:val="00222533"/>
    <w:rsid w:val="00222F30"/>
    <w:rsid w:val="00224EE2"/>
    <w:rsid w:val="002265A3"/>
    <w:rsid w:val="00227EC7"/>
    <w:rsid w:val="00244AD1"/>
    <w:rsid w:val="002463BC"/>
    <w:rsid w:val="002465CE"/>
    <w:rsid w:val="0025734A"/>
    <w:rsid w:val="00263255"/>
    <w:rsid w:val="00276494"/>
    <w:rsid w:val="00277B0C"/>
    <w:rsid w:val="00284314"/>
    <w:rsid w:val="002B1A2C"/>
    <w:rsid w:val="002C34F2"/>
    <w:rsid w:val="002C58FF"/>
    <w:rsid w:val="002C7AFE"/>
    <w:rsid w:val="002D05D2"/>
    <w:rsid w:val="002E0D61"/>
    <w:rsid w:val="002E4C7B"/>
    <w:rsid w:val="002E75DB"/>
    <w:rsid w:val="0030740C"/>
    <w:rsid w:val="00311014"/>
    <w:rsid w:val="00315833"/>
    <w:rsid w:val="003215EE"/>
    <w:rsid w:val="003224BF"/>
    <w:rsid w:val="00322525"/>
    <w:rsid w:val="003241A8"/>
    <w:rsid w:val="003253F0"/>
    <w:rsid w:val="003337DA"/>
    <w:rsid w:val="00334B90"/>
    <w:rsid w:val="00334EFB"/>
    <w:rsid w:val="00335CDE"/>
    <w:rsid w:val="003365A5"/>
    <w:rsid w:val="00343757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8703E"/>
    <w:rsid w:val="003904A4"/>
    <w:rsid w:val="00391841"/>
    <w:rsid w:val="00391B6D"/>
    <w:rsid w:val="00392696"/>
    <w:rsid w:val="00393F62"/>
    <w:rsid w:val="00394880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2D19"/>
    <w:rsid w:val="004030BC"/>
    <w:rsid w:val="00403F7D"/>
    <w:rsid w:val="00406462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A2"/>
    <w:rsid w:val="004509E2"/>
    <w:rsid w:val="004515EE"/>
    <w:rsid w:val="004529F0"/>
    <w:rsid w:val="00460A03"/>
    <w:rsid w:val="00460E1B"/>
    <w:rsid w:val="0046775B"/>
    <w:rsid w:val="00470247"/>
    <w:rsid w:val="00472A11"/>
    <w:rsid w:val="00472AAD"/>
    <w:rsid w:val="00474E33"/>
    <w:rsid w:val="004754AB"/>
    <w:rsid w:val="00476803"/>
    <w:rsid w:val="0048158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2A1D"/>
    <w:rsid w:val="005446A2"/>
    <w:rsid w:val="00544D2F"/>
    <w:rsid w:val="00551BD8"/>
    <w:rsid w:val="00581055"/>
    <w:rsid w:val="00591E38"/>
    <w:rsid w:val="005A152B"/>
    <w:rsid w:val="005A19C5"/>
    <w:rsid w:val="005A3034"/>
    <w:rsid w:val="005A462D"/>
    <w:rsid w:val="005B253B"/>
    <w:rsid w:val="005B771D"/>
    <w:rsid w:val="005B7CDB"/>
    <w:rsid w:val="005C5D16"/>
    <w:rsid w:val="005D3193"/>
    <w:rsid w:val="005D4A6E"/>
    <w:rsid w:val="005D7AB2"/>
    <w:rsid w:val="005E2EE1"/>
    <w:rsid w:val="005E6979"/>
    <w:rsid w:val="005E75CB"/>
    <w:rsid w:val="005E7DAE"/>
    <w:rsid w:val="006013C1"/>
    <w:rsid w:val="0060669E"/>
    <w:rsid w:val="00610F2E"/>
    <w:rsid w:val="00611399"/>
    <w:rsid w:val="00624C4E"/>
    <w:rsid w:val="00625200"/>
    <w:rsid w:val="006363A8"/>
    <w:rsid w:val="00636DB7"/>
    <w:rsid w:val="00643750"/>
    <w:rsid w:val="00650905"/>
    <w:rsid w:val="006532ED"/>
    <w:rsid w:val="006549F2"/>
    <w:rsid w:val="006567B7"/>
    <w:rsid w:val="00657BFB"/>
    <w:rsid w:val="0066333C"/>
    <w:rsid w:val="006639B4"/>
    <w:rsid w:val="006650FE"/>
    <w:rsid w:val="0066643E"/>
    <w:rsid w:val="0067305D"/>
    <w:rsid w:val="00676F82"/>
    <w:rsid w:val="00677D9B"/>
    <w:rsid w:val="006867F3"/>
    <w:rsid w:val="00687890"/>
    <w:rsid w:val="006901A2"/>
    <w:rsid w:val="00690368"/>
    <w:rsid w:val="0069079C"/>
    <w:rsid w:val="00690B53"/>
    <w:rsid w:val="00690BF5"/>
    <w:rsid w:val="00695B72"/>
    <w:rsid w:val="006B160A"/>
    <w:rsid w:val="006B1988"/>
    <w:rsid w:val="006B4E6C"/>
    <w:rsid w:val="006B50B6"/>
    <w:rsid w:val="006D2D7E"/>
    <w:rsid w:val="006D79EA"/>
    <w:rsid w:val="006E0AB6"/>
    <w:rsid w:val="006E5898"/>
    <w:rsid w:val="006E5D05"/>
    <w:rsid w:val="006F61C5"/>
    <w:rsid w:val="00701053"/>
    <w:rsid w:val="00701507"/>
    <w:rsid w:val="0071014F"/>
    <w:rsid w:val="00713ACF"/>
    <w:rsid w:val="00714021"/>
    <w:rsid w:val="00716A0F"/>
    <w:rsid w:val="00717D45"/>
    <w:rsid w:val="007208F7"/>
    <w:rsid w:val="007218AF"/>
    <w:rsid w:val="00722A35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4410"/>
    <w:rsid w:val="00785CDD"/>
    <w:rsid w:val="00791847"/>
    <w:rsid w:val="007925F0"/>
    <w:rsid w:val="007939B3"/>
    <w:rsid w:val="0079509C"/>
    <w:rsid w:val="00796708"/>
    <w:rsid w:val="007B1B42"/>
    <w:rsid w:val="007B3AC8"/>
    <w:rsid w:val="007B596F"/>
    <w:rsid w:val="007B7ADB"/>
    <w:rsid w:val="007C30EB"/>
    <w:rsid w:val="007C3E1E"/>
    <w:rsid w:val="007E063C"/>
    <w:rsid w:val="007E2A4B"/>
    <w:rsid w:val="007E307D"/>
    <w:rsid w:val="007E6A4E"/>
    <w:rsid w:val="007E6C94"/>
    <w:rsid w:val="007F1005"/>
    <w:rsid w:val="007F217F"/>
    <w:rsid w:val="007F25E0"/>
    <w:rsid w:val="007F5328"/>
    <w:rsid w:val="00804F5A"/>
    <w:rsid w:val="00810C6D"/>
    <w:rsid w:val="00812887"/>
    <w:rsid w:val="00826F21"/>
    <w:rsid w:val="00830772"/>
    <w:rsid w:val="00834CC8"/>
    <w:rsid w:val="00835E00"/>
    <w:rsid w:val="00837113"/>
    <w:rsid w:val="008414E4"/>
    <w:rsid w:val="00843E21"/>
    <w:rsid w:val="008446C1"/>
    <w:rsid w:val="0084508E"/>
    <w:rsid w:val="00856F98"/>
    <w:rsid w:val="00857A8A"/>
    <w:rsid w:val="00862542"/>
    <w:rsid w:val="008630EE"/>
    <w:rsid w:val="00864D13"/>
    <w:rsid w:val="00871CD5"/>
    <w:rsid w:val="008745A2"/>
    <w:rsid w:val="008768A8"/>
    <w:rsid w:val="00882E1D"/>
    <w:rsid w:val="00883C74"/>
    <w:rsid w:val="00884110"/>
    <w:rsid w:val="0088798F"/>
    <w:rsid w:val="00887E4B"/>
    <w:rsid w:val="008911DC"/>
    <w:rsid w:val="008915C8"/>
    <w:rsid w:val="008A36CF"/>
    <w:rsid w:val="008A3BC4"/>
    <w:rsid w:val="008B12A0"/>
    <w:rsid w:val="008B3D81"/>
    <w:rsid w:val="008B403C"/>
    <w:rsid w:val="008B7983"/>
    <w:rsid w:val="008C1F8A"/>
    <w:rsid w:val="008C2511"/>
    <w:rsid w:val="008D026D"/>
    <w:rsid w:val="008D23AB"/>
    <w:rsid w:val="008D4B8B"/>
    <w:rsid w:val="008D5A78"/>
    <w:rsid w:val="008E04F1"/>
    <w:rsid w:val="008E4ED7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22C9C"/>
    <w:rsid w:val="009231A7"/>
    <w:rsid w:val="0093041A"/>
    <w:rsid w:val="00930714"/>
    <w:rsid w:val="00931B03"/>
    <w:rsid w:val="009323B9"/>
    <w:rsid w:val="00932DCE"/>
    <w:rsid w:val="0093327E"/>
    <w:rsid w:val="00934028"/>
    <w:rsid w:val="0093760E"/>
    <w:rsid w:val="00940812"/>
    <w:rsid w:val="00946044"/>
    <w:rsid w:val="0094660B"/>
    <w:rsid w:val="00946991"/>
    <w:rsid w:val="00946A33"/>
    <w:rsid w:val="0095260E"/>
    <w:rsid w:val="009534F0"/>
    <w:rsid w:val="00955DE8"/>
    <w:rsid w:val="009578DD"/>
    <w:rsid w:val="00961124"/>
    <w:rsid w:val="009621B6"/>
    <w:rsid w:val="00974F2D"/>
    <w:rsid w:val="00977524"/>
    <w:rsid w:val="009778BE"/>
    <w:rsid w:val="00977E88"/>
    <w:rsid w:val="00984920"/>
    <w:rsid w:val="0099303A"/>
    <w:rsid w:val="00996294"/>
    <w:rsid w:val="009971C2"/>
    <w:rsid w:val="009A1254"/>
    <w:rsid w:val="009B2FF2"/>
    <w:rsid w:val="009B380C"/>
    <w:rsid w:val="009B4843"/>
    <w:rsid w:val="009B6543"/>
    <w:rsid w:val="009C10F0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4C60"/>
    <w:rsid w:val="009E59AE"/>
    <w:rsid w:val="009E63E2"/>
    <w:rsid w:val="009F04D2"/>
    <w:rsid w:val="009F05CF"/>
    <w:rsid w:val="009F0F3A"/>
    <w:rsid w:val="009F2A78"/>
    <w:rsid w:val="009F4564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7149"/>
    <w:rsid w:val="00A53681"/>
    <w:rsid w:val="00A633D4"/>
    <w:rsid w:val="00A6461A"/>
    <w:rsid w:val="00A65CD0"/>
    <w:rsid w:val="00A76F54"/>
    <w:rsid w:val="00A84504"/>
    <w:rsid w:val="00A8672F"/>
    <w:rsid w:val="00A93057"/>
    <w:rsid w:val="00A960B8"/>
    <w:rsid w:val="00A968B0"/>
    <w:rsid w:val="00A96E24"/>
    <w:rsid w:val="00AB2672"/>
    <w:rsid w:val="00AB2817"/>
    <w:rsid w:val="00AB43C4"/>
    <w:rsid w:val="00AC32E7"/>
    <w:rsid w:val="00AC3A9F"/>
    <w:rsid w:val="00AC6D2F"/>
    <w:rsid w:val="00AE2745"/>
    <w:rsid w:val="00AE2F64"/>
    <w:rsid w:val="00AF2C68"/>
    <w:rsid w:val="00AF42CB"/>
    <w:rsid w:val="00AF483F"/>
    <w:rsid w:val="00AF4CCC"/>
    <w:rsid w:val="00AF5E07"/>
    <w:rsid w:val="00AF5F06"/>
    <w:rsid w:val="00B00A25"/>
    <w:rsid w:val="00B1422A"/>
    <w:rsid w:val="00B1765C"/>
    <w:rsid w:val="00B213C4"/>
    <w:rsid w:val="00B35678"/>
    <w:rsid w:val="00B40C60"/>
    <w:rsid w:val="00B479A9"/>
    <w:rsid w:val="00B52EDF"/>
    <w:rsid w:val="00B539EB"/>
    <w:rsid w:val="00B56BEF"/>
    <w:rsid w:val="00B71188"/>
    <w:rsid w:val="00B7503E"/>
    <w:rsid w:val="00B76993"/>
    <w:rsid w:val="00B76A41"/>
    <w:rsid w:val="00B80318"/>
    <w:rsid w:val="00B87D4C"/>
    <w:rsid w:val="00B90AFE"/>
    <w:rsid w:val="00B9317F"/>
    <w:rsid w:val="00B93646"/>
    <w:rsid w:val="00B937A9"/>
    <w:rsid w:val="00BA0B38"/>
    <w:rsid w:val="00BA1DBB"/>
    <w:rsid w:val="00BA4510"/>
    <w:rsid w:val="00BA529A"/>
    <w:rsid w:val="00BB5A63"/>
    <w:rsid w:val="00BB612A"/>
    <w:rsid w:val="00BC25AC"/>
    <w:rsid w:val="00BD499F"/>
    <w:rsid w:val="00BD56DE"/>
    <w:rsid w:val="00BD6966"/>
    <w:rsid w:val="00BE7407"/>
    <w:rsid w:val="00BF2406"/>
    <w:rsid w:val="00C06E43"/>
    <w:rsid w:val="00C07CAB"/>
    <w:rsid w:val="00C16315"/>
    <w:rsid w:val="00C3091E"/>
    <w:rsid w:val="00C40FF1"/>
    <w:rsid w:val="00C419E2"/>
    <w:rsid w:val="00C501EC"/>
    <w:rsid w:val="00C5020E"/>
    <w:rsid w:val="00C57452"/>
    <w:rsid w:val="00C60B39"/>
    <w:rsid w:val="00C61EDF"/>
    <w:rsid w:val="00C62143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07E2"/>
    <w:rsid w:val="00CA58FE"/>
    <w:rsid w:val="00CB1CB1"/>
    <w:rsid w:val="00CB3162"/>
    <w:rsid w:val="00CB6BC1"/>
    <w:rsid w:val="00CB6CB8"/>
    <w:rsid w:val="00CC1A68"/>
    <w:rsid w:val="00CC2123"/>
    <w:rsid w:val="00CC2C94"/>
    <w:rsid w:val="00CD2BFD"/>
    <w:rsid w:val="00CE01EB"/>
    <w:rsid w:val="00CE5AD6"/>
    <w:rsid w:val="00CE617F"/>
    <w:rsid w:val="00CE78EF"/>
    <w:rsid w:val="00D048F7"/>
    <w:rsid w:val="00D0517E"/>
    <w:rsid w:val="00D140FC"/>
    <w:rsid w:val="00D14C94"/>
    <w:rsid w:val="00D21D8C"/>
    <w:rsid w:val="00D27B93"/>
    <w:rsid w:val="00D31357"/>
    <w:rsid w:val="00D33220"/>
    <w:rsid w:val="00D334D1"/>
    <w:rsid w:val="00D427BC"/>
    <w:rsid w:val="00D44C89"/>
    <w:rsid w:val="00D45392"/>
    <w:rsid w:val="00D516CD"/>
    <w:rsid w:val="00D54FCF"/>
    <w:rsid w:val="00D668E6"/>
    <w:rsid w:val="00D70670"/>
    <w:rsid w:val="00D74D80"/>
    <w:rsid w:val="00D76624"/>
    <w:rsid w:val="00D87570"/>
    <w:rsid w:val="00D87DB1"/>
    <w:rsid w:val="00D91CB9"/>
    <w:rsid w:val="00D97989"/>
    <w:rsid w:val="00D97D8D"/>
    <w:rsid w:val="00DA352E"/>
    <w:rsid w:val="00DB62D6"/>
    <w:rsid w:val="00DC7694"/>
    <w:rsid w:val="00DD1BF6"/>
    <w:rsid w:val="00DD1CB0"/>
    <w:rsid w:val="00DD2F9B"/>
    <w:rsid w:val="00DD3055"/>
    <w:rsid w:val="00DD46E8"/>
    <w:rsid w:val="00DE221C"/>
    <w:rsid w:val="00DE2513"/>
    <w:rsid w:val="00DE26E8"/>
    <w:rsid w:val="00DE3763"/>
    <w:rsid w:val="00DF6F36"/>
    <w:rsid w:val="00E0084C"/>
    <w:rsid w:val="00E025AB"/>
    <w:rsid w:val="00E02B23"/>
    <w:rsid w:val="00E05FC6"/>
    <w:rsid w:val="00E06F40"/>
    <w:rsid w:val="00E07CE8"/>
    <w:rsid w:val="00E26A07"/>
    <w:rsid w:val="00E32595"/>
    <w:rsid w:val="00E37CFD"/>
    <w:rsid w:val="00E41A26"/>
    <w:rsid w:val="00E44A68"/>
    <w:rsid w:val="00E46BCB"/>
    <w:rsid w:val="00E51CAF"/>
    <w:rsid w:val="00E60F04"/>
    <w:rsid w:val="00E62AAC"/>
    <w:rsid w:val="00E646DB"/>
    <w:rsid w:val="00E67C2F"/>
    <w:rsid w:val="00E67EF5"/>
    <w:rsid w:val="00E804EA"/>
    <w:rsid w:val="00E80A71"/>
    <w:rsid w:val="00E82337"/>
    <w:rsid w:val="00E90A41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D41"/>
    <w:rsid w:val="00F20E68"/>
    <w:rsid w:val="00F22093"/>
    <w:rsid w:val="00F236DF"/>
    <w:rsid w:val="00F342F3"/>
    <w:rsid w:val="00F43AD5"/>
    <w:rsid w:val="00F4402E"/>
    <w:rsid w:val="00F56DD0"/>
    <w:rsid w:val="00F6491C"/>
    <w:rsid w:val="00F67BBB"/>
    <w:rsid w:val="00F76102"/>
    <w:rsid w:val="00F87D92"/>
    <w:rsid w:val="00F90AA7"/>
    <w:rsid w:val="00F92498"/>
    <w:rsid w:val="00F9263D"/>
    <w:rsid w:val="00F9496B"/>
    <w:rsid w:val="00F970C9"/>
    <w:rsid w:val="00FA06A8"/>
    <w:rsid w:val="00FA3DF5"/>
    <w:rsid w:val="00FA4385"/>
    <w:rsid w:val="00FA741F"/>
    <w:rsid w:val="00FB4E07"/>
    <w:rsid w:val="00FB755A"/>
    <w:rsid w:val="00FC60A2"/>
    <w:rsid w:val="00FD1871"/>
    <w:rsid w:val="00FD3110"/>
    <w:rsid w:val="00FD38C2"/>
    <w:rsid w:val="00FD5874"/>
    <w:rsid w:val="00FF1E67"/>
    <w:rsid w:val="00FF46A9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76EA4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016FF7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4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3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3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314"/>
    <w:rPr>
      <w:b/>
      <w:bCs/>
      <w:szCs w:val="20"/>
    </w:rPr>
  </w:style>
  <w:style w:type="paragraph" w:styleId="ListBullet2">
    <w:name w:val="List Bullet 2"/>
    <w:basedOn w:val="Normal"/>
    <w:uiPriority w:val="99"/>
    <w:unhideWhenUsed/>
    <w:rsid w:val="00B539EB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6E5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522CE5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0CEFF820CB4F4FFA86AC9168A3C0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608B-ABA0-458F-A3E7-D0AA7D120E3E}"/>
      </w:docPartPr>
      <w:docPartBody>
        <w:p w:rsidR="0069648B" w:rsidRDefault="00522CE5" w:rsidP="00522CE5">
          <w:pPr>
            <w:pStyle w:val="0CEFF820CB4F4FFA86AC9168A3C0C12C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ED23376993147BAA74556BDEA2A8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0B45B-DDAE-4C1B-8525-231B1AFA46BB}"/>
      </w:docPartPr>
      <w:docPartBody>
        <w:p w:rsidR="00414DCB" w:rsidRDefault="002B4BAA" w:rsidP="002B4BAA">
          <w:pPr>
            <w:pStyle w:val="CED23376993147BAA74556BDEA2A8032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50398473E8E54B4CBBF44634C560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1330-25A6-402A-A043-8E5C0E58B560}"/>
      </w:docPartPr>
      <w:docPartBody>
        <w:p w:rsidR="00CA6500" w:rsidRDefault="001A4ACA" w:rsidP="001A4ACA">
          <w:pPr>
            <w:pStyle w:val="50398473E8E54B4CBBF44634C560BE04"/>
          </w:pPr>
          <w:r w:rsidRPr="00262278">
            <w:rPr>
              <w:color w:val="00B050"/>
            </w:rPr>
            <w:t>1994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A4ACA"/>
    <w:rsid w:val="002B4BAA"/>
    <w:rsid w:val="00347D16"/>
    <w:rsid w:val="003E0149"/>
    <w:rsid w:val="00414DCB"/>
    <w:rsid w:val="00522CE5"/>
    <w:rsid w:val="005B79CB"/>
    <w:rsid w:val="0069648B"/>
    <w:rsid w:val="00B9032C"/>
    <w:rsid w:val="00CA6500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BA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0CEFF820CB4F4FFA86AC9168A3C0C12C">
    <w:name w:val="0CEFF820CB4F4FFA86AC9168A3C0C12C"/>
    <w:rsid w:val="00522CE5"/>
    <w:rPr>
      <w:lang w:val="en-US" w:eastAsia="en-US"/>
    </w:rPr>
  </w:style>
  <w:style w:type="paragraph" w:customStyle="1" w:styleId="CED23376993147BAA74556BDEA2A8032">
    <w:name w:val="CED23376993147BAA74556BDEA2A8032"/>
    <w:rsid w:val="002B4BAA"/>
  </w:style>
  <w:style w:type="paragraph" w:customStyle="1" w:styleId="50398473E8E54B4CBBF44634C560BE04">
    <w:name w:val="50398473E8E54B4CBBF44634C560BE04"/>
    <w:rsid w:val="001A4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DBA9-39BD-4266-93C7-D062D70DB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35F87-B250-4D2F-B662-17D96D9CA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1CE1F-99D4-411B-9221-B85AB462061E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bf54d604-3e62-4e70-ba33-9e9084b96a66"/>
  </ds:schemaRefs>
</ds:datastoreItem>
</file>

<file path=customXml/itemProps4.xml><?xml version="1.0" encoding="utf-8"?>
<ds:datastoreItem xmlns:ds="http://schemas.openxmlformats.org/officeDocument/2006/customXml" ds:itemID="{9FF4DBEE-5347-4F89-B63E-3E42C719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2020-02-19T07:27:00Z</dcterms:created>
  <dcterms:modified xsi:type="dcterms:W3CDTF">2020-03-12T23:20:00Z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