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10BF0100" w:rsidR="00BD499F" w:rsidRPr="004C23F4" w:rsidRDefault="009F4205" w:rsidP="00B40C60">
          <w:pPr>
            <w:pStyle w:val="Heading1"/>
            <w:jc w:val="center"/>
            <w:rPr>
              <w:rFonts w:ascii="Arial" w:hAnsi="Arial" w:cs="Arial"/>
            </w:rPr>
          </w:pPr>
          <w:r w:rsidRPr="009F4205">
            <w:rPr>
              <w:rFonts w:ascii="Arial" w:hAnsi="Arial" w:cs="Arial"/>
            </w:rPr>
            <w:t>Petrol (gasoline)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2872F9D4" w:rsidR="00F43AD5" w:rsidRPr="00717D45" w:rsidRDefault="009F4205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0DB210F9" w:rsidR="00F43AD5" w:rsidRPr="00717D45" w:rsidRDefault="009F4205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55493828" w:rsidR="00F43AD5" w:rsidRPr="00717D45" w:rsidRDefault="009F4205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58DB0A7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F5F80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17E8E040" w:rsidR="002C7AFE" w:rsidRPr="00EB3D1B" w:rsidRDefault="00D608DB" w:rsidP="00D608DB">
            <w:pPr>
              <w:pStyle w:val="Tablefont"/>
              <w:rPr>
                <w:b/>
              </w:rPr>
            </w:pPr>
            <w:r>
              <w:rPr>
                <w:b/>
              </w:rPr>
              <w:t>300 ppm (</w:t>
            </w:r>
            <w:r w:rsidR="000F5F80">
              <w:rPr>
                <w:b/>
              </w:rPr>
              <w:t>900 mg/m</w:t>
            </w:r>
            <w:r w:rsidR="000F5F80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1A20F8DB" w:rsidR="00037E52" w:rsidRPr="00EB3D1B" w:rsidRDefault="00D608DB">
            <w:pPr>
              <w:pStyle w:val="Tablefont"/>
              <w:rPr>
                <w:b/>
              </w:rPr>
            </w:pPr>
            <w:r>
              <w:rPr>
                <w:b/>
              </w:rPr>
              <w:t>500 ppm (</w:t>
            </w:r>
            <w:r w:rsidR="000F5F80">
              <w:rPr>
                <w:b/>
              </w:rPr>
              <w:t>1,480 mg/m</w:t>
            </w:r>
            <w:r w:rsidR="000F5F80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4DE7B27A" w:rsidR="00037E52" w:rsidRPr="00EB3D1B" w:rsidRDefault="009F420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F02FA2">
              <w:rPr>
                <w:b/>
              </w:rPr>
              <w:t>,</w:t>
            </w:r>
            <w:r w:rsidRPr="009F4205">
              <w:rPr>
                <w:b/>
              </w:rPr>
              <w:t>100 ppm</w:t>
            </w:r>
            <w:r w:rsidR="00F60C5B">
              <w:rPr>
                <w:b/>
              </w:rPr>
              <w:t xml:space="preserve"> (10% LEL)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22B78AC3" w:rsidR="00155999" w:rsidRPr="00EB3D1B" w:rsidRDefault="00155999" w:rsidP="00037E52">
            <w:pPr>
              <w:pStyle w:val="Tablefont"/>
              <w:rPr>
                <w:b/>
              </w:rPr>
            </w:pPr>
            <w:r w:rsidRPr="00CC49A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F191B" w:rsidRPr="00CC49A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22F3793" w14:textId="44491E99" w:rsidR="000F5F80" w:rsidRDefault="000F5F80" w:rsidP="000F5F80">
      <w:r>
        <w:rPr>
          <w:rFonts w:cs="Arial"/>
        </w:rPr>
        <w:t xml:space="preserve">A TWA of </w:t>
      </w:r>
      <w:r w:rsidR="00D608DB">
        <w:rPr>
          <w:rFonts w:cs="Arial"/>
        </w:rPr>
        <w:t>300 ppm (</w:t>
      </w:r>
      <w:r>
        <w:rPr>
          <w:rFonts w:cs="Arial"/>
        </w:rPr>
        <w:t>900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>eye, mucous membrane and upper respiratory tract irritation in exposed workers.</w:t>
      </w:r>
    </w:p>
    <w:p w14:paraId="6873B08E" w14:textId="4427A794" w:rsidR="000F5F80" w:rsidRPr="004C23F4" w:rsidRDefault="000F5F80" w:rsidP="000F5F80">
      <w:pPr>
        <w:rPr>
          <w:rFonts w:cs="Arial"/>
        </w:rPr>
      </w:pPr>
      <w:r>
        <w:t xml:space="preserve">A peak limitation </w:t>
      </w:r>
      <w:r>
        <w:rPr>
          <w:rFonts w:cs="Arial"/>
        </w:rPr>
        <w:t xml:space="preserve">of </w:t>
      </w:r>
      <w:r w:rsidR="00D608DB">
        <w:rPr>
          <w:rFonts w:cs="Arial"/>
        </w:rPr>
        <w:t>500 ppm (</w:t>
      </w:r>
      <w:r>
        <w:rPr>
          <w:rFonts w:cs="Arial"/>
        </w:rPr>
        <w:t>1,480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for</w:t>
      </w:r>
      <w:r w:rsidR="00D608DB">
        <w:rPr>
          <w:rFonts w:cs="Arial"/>
        </w:rPr>
        <w:t xml:space="preserve"> acute and severe</w:t>
      </w:r>
      <w:r>
        <w:rPr>
          <w:rFonts w:cs="Arial"/>
        </w:rPr>
        <w:t xml:space="preserve"> central nervous system (CNS) effects and irritation in exposed workers.</w:t>
      </w:r>
    </w:p>
    <w:p w14:paraId="317A46B1" w14:textId="69AE91D0" w:rsidR="00C7155E" w:rsidRPr="004C23F4" w:rsidRDefault="00F10C97" w:rsidP="003365A5">
      <w:pPr>
        <w:pStyle w:val="Heading2"/>
      </w:pPr>
      <w:r>
        <w:t>Discussion and conclusions</w:t>
      </w:r>
    </w:p>
    <w:p w14:paraId="3AF6C047" w14:textId="357619B5" w:rsidR="006639B4" w:rsidRDefault="00A25227" w:rsidP="006639B4">
      <w:pPr>
        <w:rPr>
          <w:rFonts w:cs="Arial"/>
          <w:color w:val="222222"/>
          <w:shd w:val="clear" w:color="auto" w:fill="FFFFFF"/>
        </w:rPr>
      </w:pPr>
      <w:r>
        <w:rPr>
          <w:rFonts w:cs="Arial"/>
        </w:rPr>
        <w:t xml:space="preserve">Petrol </w:t>
      </w:r>
      <w:r>
        <w:rPr>
          <w:rFonts w:cs="Arial"/>
          <w:color w:val="222222"/>
          <w:shd w:val="clear" w:color="auto" w:fill="FFFFFF"/>
        </w:rPr>
        <w:t>is used primarily as a</w:t>
      </w:r>
      <w:r w:rsidRPr="00A25227">
        <w:rPr>
          <w:rFonts w:cs="Arial"/>
          <w:color w:val="222222"/>
          <w:shd w:val="clear" w:color="auto" w:fill="FFFFFF"/>
        </w:rPr>
        <w:t> </w:t>
      </w:r>
      <w:r w:rsidRPr="00A25227">
        <w:rPr>
          <w:rFonts w:cs="Arial"/>
          <w:bCs/>
          <w:color w:val="222222"/>
          <w:shd w:val="clear" w:color="auto" w:fill="FFFFFF"/>
        </w:rPr>
        <w:t>fuel</w:t>
      </w:r>
      <w:r>
        <w:rPr>
          <w:rFonts w:cs="Arial"/>
          <w:color w:val="222222"/>
          <w:shd w:val="clear" w:color="auto" w:fill="FFFFFF"/>
        </w:rPr>
        <w:t> in spark-ignited internal combustion engines.</w:t>
      </w:r>
      <w:r w:rsidR="000113DE">
        <w:rPr>
          <w:rFonts w:cs="Arial"/>
          <w:color w:val="222222"/>
          <w:shd w:val="clear" w:color="auto" w:fill="FFFFFF"/>
        </w:rPr>
        <w:t xml:space="preserve"> </w:t>
      </w:r>
    </w:p>
    <w:p w14:paraId="3F93448D" w14:textId="77777777" w:rsidR="00717402" w:rsidRDefault="000113DE" w:rsidP="000F5F80">
      <w:r>
        <w:rPr>
          <w:rFonts w:cs="Arial"/>
          <w:color w:val="222222"/>
          <w:shd w:val="clear" w:color="auto" w:fill="FFFFFF"/>
        </w:rPr>
        <w:t xml:space="preserve">Critical effects </w:t>
      </w:r>
      <w:r w:rsidR="00D608DB">
        <w:rPr>
          <w:rFonts w:cs="Arial"/>
          <w:color w:val="222222"/>
          <w:shd w:val="clear" w:color="auto" w:fill="FFFFFF"/>
        </w:rPr>
        <w:t xml:space="preserve">of </w:t>
      </w:r>
      <w:r>
        <w:rPr>
          <w:rFonts w:cs="Arial"/>
          <w:color w:val="222222"/>
          <w:shd w:val="clear" w:color="auto" w:fill="FFFFFF"/>
        </w:rPr>
        <w:t xml:space="preserve">exposure </w:t>
      </w:r>
      <w:r w:rsidR="00322C0D">
        <w:rPr>
          <w:rFonts w:cs="Arial"/>
          <w:color w:val="222222"/>
          <w:shd w:val="clear" w:color="auto" w:fill="FFFFFF"/>
        </w:rPr>
        <w:t>are</w:t>
      </w:r>
      <w:r w:rsidR="00D608DB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acute depression of the </w:t>
      </w:r>
      <w:r w:rsidR="00135D46">
        <w:rPr>
          <w:rFonts w:cs="Arial"/>
          <w:color w:val="222222"/>
          <w:shd w:val="clear" w:color="auto" w:fill="FFFFFF"/>
        </w:rPr>
        <w:t xml:space="preserve">CNS </w:t>
      </w:r>
      <w:r>
        <w:rPr>
          <w:rFonts w:cs="Arial"/>
          <w:color w:val="222222"/>
          <w:shd w:val="clear" w:color="auto" w:fill="FFFFFF"/>
        </w:rPr>
        <w:t xml:space="preserve">and </w:t>
      </w:r>
      <w:r>
        <w:t xml:space="preserve">eye, mucous membrane and upper respiratory tract irritation. </w:t>
      </w:r>
      <w:r w:rsidR="000F5F80">
        <w:t xml:space="preserve">Limited detailed toxicological data are available. </w:t>
      </w:r>
    </w:p>
    <w:p w14:paraId="2A58B1F5" w14:textId="53456FA5" w:rsidR="000F5F80" w:rsidRDefault="0042566B" w:rsidP="000F5F80">
      <w:r>
        <w:t xml:space="preserve">Responses in humans following acute </w:t>
      </w:r>
      <w:r w:rsidR="000F5F80">
        <w:t>exposure to petrol vap</w:t>
      </w:r>
      <w:r w:rsidR="009C52E3">
        <w:t>ours</w:t>
      </w:r>
      <w:r w:rsidR="00B30D12">
        <w:t xml:space="preserve"> </w:t>
      </w:r>
      <w:r w:rsidR="00F60C5B">
        <w:t>are</w:t>
      </w:r>
      <w:r w:rsidR="00B30D12">
        <w:t xml:space="preserve"> </w:t>
      </w:r>
      <w:r>
        <w:t>noted</w:t>
      </w:r>
      <w:r w:rsidR="00B30D12">
        <w:t xml:space="preserve"> in a</w:t>
      </w:r>
      <w:r>
        <w:t xml:space="preserve"> single report</w:t>
      </w:r>
      <w:r w:rsidR="00B30D12">
        <w:t>.</w:t>
      </w:r>
      <w:r w:rsidR="009C52E3">
        <w:t xml:space="preserve"> </w:t>
      </w:r>
      <w:r>
        <w:t>Humans</w:t>
      </w:r>
      <w:r w:rsidR="00B30D12">
        <w:t xml:space="preserve"> exposed at 160 to 270 ppm for eight hours </w:t>
      </w:r>
      <w:r w:rsidR="00F60C5B">
        <w:t>a</w:t>
      </w:r>
      <w:r w:rsidR="00B30D12">
        <w:t xml:space="preserve">re reported to experience irritation of the eyes. </w:t>
      </w:r>
      <w:r w:rsidR="00BC6CF3">
        <w:t>Eye, n</w:t>
      </w:r>
      <w:r w:rsidR="00BA2EA6">
        <w:t>ose and throat irritation</w:t>
      </w:r>
      <w:r w:rsidR="003C4C7C">
        <w:t xml:space="preserve"> and dizziness </w:t>
      </w:r>
      <w:r w:rsidR="00BA2EA6">
        <w:t>occurs after</w:t>
      </w:r>
      <w:r w:rsidR="00B30D12">
        <w:t xml:space="preserve"> </w:t>
      </w:r>
      <w:r w:rsidR="003C4C7C">
        <w:t>one-hour</w:t>
      </w:r>
      <w:r w:rsidR="00B30D12">
        <w:t xml:space="preserve"> </w:t>
      </w:r>
      <w:r w:rsidR="00BA2EA6">
        <w:t xml:space="preserve">exposure </w:t>
      </w:r>
      <w:r w:rsidR="00B30D12">
        <w:t xml:space="preserve">at 500 to 900 ppm. </w:t>
      </w:r>
      <w:r w:rsidR="00BA2EA6">
        <w:t xml:space="preserve">Mild anaesthesia </w:t>
      </w:r>
      <w:r w:rsidR="003C4C7C">
        <w:t xml:space="preserve">is reported </w:t>
      </w:r>
      <w:r w:rsidR="00BA2EA6">
        <w:t xml:space="preserve">after one </w:t>
      </w:r>
      <w:r w:rsidR="00B30D12">
        <w:t xml:space="preserve">hour at 2,000 ppm. </w:t>
      </w:r>
      <w:r w:rsidR="00B73114">
        <w:t>H</w:t>
      </w:r>
      <w:r w:rsidR="000F5F80">
        <w:t>igher concentr</w:t>
      </w:r>
      <w:r w:rsidR="009C52E3">
        <w:t xml:space="preserve">ations are intoxicating within five to </w:t>
      </w:r>
      <w:r w:rsidR="00B73114">
        <w:t>10</w:t>
      </w:r>
      <w:r w:rsidR="000F5F80">
        <w:t xml:space="preserve"> minutes. A threshold of 1,000 ppm is reported for immediate, mild toxic effect.</w:t>
      </w:r>
      <w:r>
        <w:t xml:space="preserve"> T</w:t>
      </w:r>
      <w:r w:rsidRPr="0042566B">
        <w:t xml:space="preserve">he concentration of aromatics in the petrol vapour </w:t>
      </w:r>
      <w:r w:rsidR="00F60C5B">
        <w:t>i</w:t>
      </w:r>
      <w:r w:rsidRPr="0042566B">
        <w:t xml:space="preserve">s </w:t>
      </w:r>
      <w:r>
        <w:t xml:space="preserve">reported as being </w:t>
      </w:r>
      <w:r w:rsidRPr="0042566B">
        <w:t>much lower than in liquid which, on average, contains 14% aromatic hydrocarbons</w:t>
      </w:r>
      <w:r>
        <w:t xml:space="preserve">. </w:t>
      </w:r>
      <w:r w:rsidR="00BA2EA6">
        <w:t xml:space="preserve">Carcinogenic effects </w:t>
      </w:r>
      <w:r w:rsidR="003C4C7C">
        <w:t xml:space="preserve">observed </w:t>
      </w:r>
      <w:r w:rsidR="00BA2EA6">
        <w:t xml:space="preserve">in male rats in chronic </w:t>
      </w:r>
      <w:r w:rsidR="000F5F80">
        <w:t>inhalation studies</w:t>
      </w:r>
      <w:r w:rsidR="00F60C5B">
        <w:t>;</w:t>
      </w:r>
      <w:r w:rsidR="000F5F80">
        <w:t xml:space="preserve"> but this is not considered relevant to humans (ACGIH, 2018).</w:t>
      </w:r>
    </w:p>
    <w:p w14:paraId="27AFC99D" w14:textId="6679CAA1" w:rsidR="000F5F80" w:rsidRPr="00407825" w:rsidRDefault="0042566B" w:rsidP="000F5F80">
      <w:pPr>
        <w:rPr>
          <w:rFonts w:cs="Arial"/>
        </w:rPr>
      </w:pPr>
      <w:r>
        <w:rPr>
          <w:rFonts w:cs="Arial"/>
        </w:rPr>
        <w:t>Based</w:t>
      </w:r>
      <w:r w:rsidR="00FE70A2">
        <w:rPr>
          <w:rFonts w:cs="Arial"/>
        </w:rPr>
        <w:t xml:space="preserve"> </w:t>
      </w:r>
      <w:r>
        <w:rPr>
          <w:rFonts w:cs="Arial"/>
        </w:rPr>
        <w:t>on</w:t>
      </w:r>
      <w:r w:rsidR="00FE70A2">
        <w:rPr>
          <w:rFonts w:cs="Arial"/>
        </w:rPr>
        <w:t xml:space="preserve"> </w:t>
      </w:r>
      <w:r>
        <w:rPr>
          <w:rFonts w:cs="Arial"/>
        </w:rPr>
        <w:t xml:space="preserve">the data regarding human responses and the recommendation by the ACGIH (2018), a </w:t>
      </w:r>
      <w:r w:rsidR="000F5F80">
        <w:rPr>
          <w:rFonts w:cs="Arial"/>
        </w:rPr>
        <w:t xml:space="preserve">TWA of </w:t>
      </w:r>
      <w:r w:rsidR="00CB1146">
        <w:rPr>
          <w:rFonts w:cs="Arial"/>
        </w:rPr>
        <w:t>300 ppm (</w:t>
      </w:r>
      <w:r w:rsidR="000F5F80">
        <w:rPr>
          <w:rFonts w:cs="Arial"/>
        </w:rPr>
        <w:t>900 mg/m</w:t>
      </w:r>
      <w:r w:rsidR="000F5F80">
        <w:rPr>
          <w:rFonts w:cs="Arial"/>
          <w:vertAlign w:val="superscript"/>
        </w:rPr>
        <w:t>3</w:t>
      </w:r>
      <w:r w:rsidR="000F5F80">
        <w:rPr>
          <w:rFonts w:cs="Arial"/>
        </w:rPr>
        <w:t xml:space="preserve">) is recommended. </w:t>
      </w:r>
      <w:r w:rsidR="003D1FBC">
        <w:rPr>
          <w:rFonts w:cs="Arial"/>
        </w:rPr>
        <w:t>B</w:t>
      </w:r>
      <w:r w:rsidR="000F5F80">
        <w:rPr>
          <w:rFonts w:cs="Arial"/>
        </w:rPr>
        <w:t>ased on potential severe effects on the CNS (</w:t>
      </w:r>
      <w:r w:rsidR="000F5F80">
        <w:t>anaesthesia)</w:t>
      </w:r>
      <w:r w:rsidR="000F5F80">
        <w:rPr>
          <w:rFonts w:cs="Arial"/>
        </w:rPr>
        <w:t xml:space="preserve"> demonstrated at short-term exposures</w:t>
      </w:r>
      <w:r w:rsidR="003C4C7C">
        <w:rPr>
          <w:rFonts w:cs="Arial"/>
        </w:rPr>
        <w:t>,</w:t>
      </w:r>
      <w:r w:rsidR="000F5F80">
        <w:rPr>
          <w:rFonts w:cs="Arial"/>
        </w:rPr>
        <w:t xml:space="preserve"> a peak limitation of </w:t>
      </w:r>
      <w:r w:rsidR="00CB1146">
        <w:rPr>
          <w:rFonts w:cs="Arial"/>
        </w:rPr>
        <w:t>500 ppm (</w:t>
      </w:r>
      <w:r w:rsidR="000F5F80">
        <w:rPr>
          <w:rFonts w:cs="Arial"/>
        </w:rPr>
        <w:t>1,480 mg/m</w:t>
      </w:r>
      <w:r w:rsidR="000F5F80">
        <w:rPr>
          <w:rFonts w:cs="Arial"/>
          <w:vertAlign w:val="superscript"/>
        </w:rPr>
        <w:t>3</w:t>
      </w:r>
      <w:r w:rsidR="000F5F80">
        <w:rPr>
          <w:rFonts w:cs="Arial"/>
        </w:rPr>
        <w:t xml:space="preserve">) is </w:t>
      </w:r>
      <w:r w:rsidR="003D1FBC">
        <w:rPr>
          <w:rFonts w:cs="Arial"/>
        </w:rPr>
        <w:t xml:space="preserve">also </w:t>
      </w:r>
      <w:r w:rsidR="000F5F80">
        <w:rPr>
          <w:rFonts w:cs="Arial"/>
        </w:rPr>
        <w:t>recommended as derived by the ACGIH (2018).</w:t>
      </w:r>
    </w:p>
    <w:p w14:paraId="273B44A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7C6755E" w14:textId="77777777" w:rsidR="008E4F1F" w:rsidRPr="009B277B" w:rsidRDefault="008E4F1F" w:rsidP="008E4F1F">
      <w:pPr>
        <w:rPr>
          <w:rFonts w:cs="Arial"/>
        </w:rPr>
      </w:pPr>
      <w:r w:rsidRPr="009B277B">
        <w:rPr>
          <w:rFonts w:cs="Arial"/>
        </w:rPr>
        <w:t>Not classified as a carcinogen according to the Globally Harmonized System of</w:t>
      </w:r>
      <w:r w:rsidR="00155999" w:rsidRPr="009B277B">
        <w:rPr>
          <w:rFonts w:cs="Arial"/>
        </w:rPr>
        <w:t xml:space="preserve"> Classification and Labelling of</w:t>
      </w:r>
      <w:r w:rsidRPr="009B277B">
        <w:rPr>
          <w:rFonts w:cs="Arial"/>
        </w:rPr>
        <w:t xml:space="preserve"> Chemicals (GHS). </w:t>
      </w:r>
    </w:p>
    <w:p w14:paraId="03916CCC" w14:textId="77777777" w:rsidR="008E4F1F" w:rsidRPr="009B277B" w:rsidRDefault="008E4F1F" w:rsidP="008E4F1F">
      <w:pPr>
        <w:rPr>
          <w:rFonts w:cs="Arial"/>
        </w:rPr>
      </w:pPr>
      <w:r w:rsidRPr="009B277B">
        <w:rPr>
          <w:rFonts w:cs="Arial"/>
        </w:rPr>
        <w:t xml:space="preserve">Not classified as a skin </w:t>
      </w:r>
      <w:r w:rsidR="00155999" w:rsidRPr="009B277B">
        <w:rPr>
          <w:rFonts w:cs="Arial"/>
        </w:rPr>
        <w:t xml:space="preserve">sensitiser </w:t>
      </w:r>
      <w:r w:rsidRPr="009B277B">
        <w:rPr>
          <w:rFonts w:cs="Arial"/>
        </w:rPr>
        <w:t>or respiratory sensitiser according to the GHS.</w:t>
      </w:r>
    </w:p>
    <w:p w14:paraId="7D0772D2" w14:textId="3730F330" w:rsidR="004529F0" w:rsidRPr="004C23F4" w:rsidRDefault="009B277B" w:rsidP="008E4F1F">
      <w:pPr>
        <w:rPr>
          <w:rFonts w:cs="Arial"/>
        </w:rPr>
      </w:pPr>
      <w:r w:rsidRPr="009B277B">
        <w:rPr>
          <w:rFonts w:cs="Arial"/>
        </w:rPr>
        <w:t>A skin notation is not recommended based on evidence in animals.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A32149" w14:paraId="257268B5" w14:textId="77777777" w:rsidTr="00A3214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A32149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A32149">
              <w:rPr>
                <w:b/>
              </w:rPr>
              <w:t>Source</w:t>
            </w:r>
            <w:r w:rsidR="00DA352E" w:rsidRPr="00A32149">
              <w:rPr>
                <w:b/>
              </w:rPr>
              <w:tab/>
              <w:t>Year set</w:t>
            </w:r>
            <w:r w:rsidR="00DA352E" w:rsidRPr="00A32149">
              <w:rPr>
                <w:b/>
              </w:rPr>
              <w:tab/>
              <w:t>Standard</w:t>
            </w:r>
            <w:r w:rsidR="00974F2D" w:rsidRPr="00A32149">
              <w:rPr>
                <w:b/>
              </w:rPr>
              <w:tab/>
            </w:r>
          </w:p>
        </w:tc>
      </w:tr>
      <w:tr w:rsidR="00DE26E8" w:rsidRPr="003365A5" w14:paraId="5B240DF2" w14:textId="77777777" w:rsidTr="00A3214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478E4A0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F420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F4205">
                  <w:t>TWA: 900 mg/m</w:t>
                </w:r>
                <w:r w:rsidR="009F420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A3214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529513F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744FF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221CD">
                  <w:t>TLV-TWA: 300 ppm (890 mg/m</w:t>
                </w:r>
                <w:r w:rsidR="007221CD">
                  <w:rPr>
                    <w:vertAlign w:val="superscript"/>
                  </w:rPr>
                  <w:t>3</w:t>
                </w:r>
                <w:r w:rsidR="007221CD">
                  <w:t>); TLV-STEL: 500 ppm (1480 mg/m</w:t>
                </w:r>
                <w:r w:rsidR="007221CD">
                  <w:rPr>
                    <w:vertAlign w:val="superscript"/>
                  </w:rPr>
                  <w:t>3</w:t>
                </w:r>
                <w:r w:rsidR="007221CD">
                  <w:t>)</w:t>
                </w:r>
              </w:sdtContent>
            </w:sdt>
          </w:p>
        </w:tc>
      </w:tr>
      <w:tr w:rsidR="00C978F0" w:rsidRPr="00DA352E" w14:paraId="418D532D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64B790CF" w14:textId="2821D554" w:rsidR="0077659F" w:rsidRDefault="0077659F" w:rsidP="003365A5">
            <w:pPr>
              <w:pStyle w:val="Tabletextprimarysource"/>
            </w:pPr>
            <w:r>
              <w:t>TLV-TWA recommended to minimise the potential for eye, mucous membrane and upper respiratory tract irritation.</w:t>
            </w:r>
          </w:p>
          <w:p w14:paraId="7B39C496" w14:textId="77777777" w:rsidR="00C978F0" w:rsidRDefault="0077659F" w:rsidP="003365A5">
            <w:pPr>
              <w:pStyle w:val="Tabletextprimarysource"/>
            </w:pPr>
            <w:r>
              <w:t>TLV–STEL is intended to minimise the potential for acute depression of the CNS.</w:t>
            </w:r>
          </w:p>
          <w:p w14:paraId="54D5E761" w14:textId="2F676CEF" w:rsidR="0077659F" w:rsidRDefault="0077659F" w:rsidP="003365A5">
            <w:pPr>
              <w:pStyle w:val="Tabletextprimarysource"/>
            </w:pPr>
            <w:r>
              <w:t>Recommended for occupational exposure during bulk handling of gasoline.</w:t>
            </w:r>
          </w:p>
          <w:p w14:paraId="2703F7EE" w14:textId="41E2ADBF" w:rsidR="0077659F" w:rsidRDefault="0077659F" w:rsidP="003365A5">
            <w:pPr>
              <w:pStyle w:val="Tabletextprimarysource"/>
            </w:pPr>
            <w:r>
              <w:t>Summary of data:</w:t>
            </w:r>
          </w:p>
          <w:p w14:paraId="185EBBBD" w14:textId="3501D1A8" w:rsidR="00917C90" w:rsidRDefault="00917C90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A typical composition of 80% paraffins, 14% aromatics and 6% olefins </w:t>
            </w:r>
          </w:p>
          <w:p w14:paraId="277B5137" w14:textId="21D4E137" w:rsidR="00917C90" w:rsidRDefault="00917C90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Benzene component likely </w:t>
            </w:r>
            <w:r w:rsidR="00135D46">
              <w:t>&lt;</w:t>
            </w:r>
            <w:r>
              <w:t xml:space="preserve">1% and other components such as </w:t>
            </w:r>
            <w:r w:rsidRPr="00135D46">
              <w:rPr>
                <w:i/>
              </w:rPr>
              <w:t>n</w:t>
            </w:r>
            <w:r>
              <w:t>-hexane, aromatics and certain olefins OEL reviewed separately</w:t>
            </w:r>
          </w:p>
          <w:p w14:paraId="7D614FE7" w14:textId="0E202941" w:rsidR="00F60C5B" w:rsidRDefault="00917C90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Concentration of aromatics in the vapour was generally lower than in the liquid which, on the average contains 14% aromatic hydrocarbons</w:t>
            </w:r>
            <w:r w:rsidR="00BC6CF3">
              <w:t>:</w:t>
            </w:r>
            <w:r>
              <w:t xml:space="preserve"> </w:t>
            </w:r>
          </w:p>
          <w:p w14:paraId="30305F44" w14:textId="6D0EDD4F" w:rsidR="00917C90" w:rsidRDefault="00917C90" w:rsidP="00F60C5B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one report of 24%</w:t>
            </w:r>
            <w:r w:rsidR="00110C57">
              <w:t>–</w:t>
            </w:r>
            <w:r>
              <w:t>27% total aromatics in various grades of one brand</w:t>
            </w:r>
          </w:p>
          <w:p w14:paraId="48C83EC5" w14:textId="4475D68B" w:rsidR="00917C90" w:rsidRDefault="00BA2EA6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B</w:t>
            </w:r>
            <w:r w:rsidR="00917C90">
              <w:t>asis for TLV-TWA is calculations on hydrocarbon content of vapours</w:t>
            </w:r>
            <w:r w:rsidR="00F76E27">
              <w:t>; no specific derivation provided</w:t>
            </w:r>
          </w:p>
          <w:p w14:paraId="7EB0D4C0" w14:textId="5D4B8C54" w:rsidR="00342B7D" w:rsidRDefault="00342B7D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Due to wide variation in </w:t>
            </w:r>
            <w:r w:rsidR="00BA2EA6">
              <w:t xml:space="preserve">molecular weights </w:t>
            </w:r>
            <w:r>
              <w:t>of its components, the conversion of ppm to mg/m</w:t>
            </w:r>
            <w:r w:rsidRPr="00342B7D">
              <w:rPr>
                <w:vertAlign w:val="superscript"/>
              </w:rPr>
              <w:t>3</w:t>
            </w:r>
            <w:r>
              <w:t xml:space="preserve"> is approximate.</w:t>
            </w:r>
          </w:p>
          <w:p w14:paraId="5D2B5698" w14:textId="5A62B83E" w:rsidR="0077659F" w:rsidRDefault="0077659F" w:rsidP="003365A5">
            <w:pPr>
              <w:pStyle w:val="Tabletextprimarysource"/>
            </w:pPr>
            <w:r>
              <w:t>Human data:</w:t>
            </w:r>
          </w:p>
          <w:p w14:paraId="18430F52" w14:textId="6DE62A20" w:rsidR="0077659F" w:rsidRDefault="0077659F" w:rsidP="00CC49AE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Hazard to human health related to high volatility and rapid rate at which concentrations develop</w:t>
            </w:r>
          </w:p>
          <w:p w14:paraId="31EAF314" w14:textId="7ED0C3E2" w:rsidR="005662B1" w:rsidRDefault="005662B1" w:rsidP="00CC49AE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Most common symptoms from acute exposure include intoxication, headaches, blurred vision, dizziness and nausea</w:t>
            </w:r>
          </w:p>
          <w:p w14:paraId="35DBDB23" w14:textId="77777777" w:rsidR="005C72D7" w:rsidRDefault="005C72D7" w:rsidP="00CC49AE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Reported responses to petrol vapour exposures are: </w:t>
            </w:r>
          </w:p>
          <w:p w14:paraId="4E0E6755" w14:textId="29F7AB31" w:rsidR="005C72D7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eye irritation in 8 </w:t>
            </w:r>
            <w:r w:rsidR="00135D46">
              <w:t>h</w:t>
            </w:r>
            <w:r>
              <w:t xml:space="preserve"> at 160</w:t>
            </w:r>
            <w:r w:rsidR="00FF71AB">
              <w:t>–</w:t>
            </w:r>
            <w:r>
              <w:t xml:space="preserve">270 ppm </w:t>
            </w:r>
          </w:p>
          <w:p w14:paraId="20A4F162" w14:textId="07B46AC1" w:rsidR="005C72D7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eye, nose and throat irritation and dizziness in 1 </w:t>
            </w:r>
            <w:r w:rsidR="00135D46">
              <w:t>h</w:t>
            </w:r>
            <w:r>
              <w:t xml:space="preserve"> at 500</w:t>
            </w:r>
            <w:r w:rsidR="00FF71AB">
              <w:t>–</w:t>
            </w:r>
            <w:r>
              <w:t xml:space="preserve">900 ppm </w:t>
            </w:r>
          </w:p>
          <w:p w14:paraId="3EADC9AF" w14:textId="1ED0B153" w:rsidR="005C72D7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 xml:space="preserve">mild anaesthesia in 1 </w:t>
            </w:r>
            <w:r w:rsidR="00135D46">
              <w:t>h</w:t>
            </w:r>
            <w:r>
              <w:t xml:space="preserve"> at 2</w:t>
            </w:r>
            <w:r w:rsidR="00B73E4B">
              <w:t>,</w:t>
            </w:r>
            <w:r>
              <w:t xml:space="preserve">000 ppm </w:t>
            </w:r>
          </w:p>
          <w:p w14:paraId="76474481" w14:textId="2F702290" w:rsidR="0077659F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higher concentrations are intoxicating in 5</w:t>
            </w:r>
            <w:r w:rsidR="00FF71AB">
              <w:t>–</w:t>
            </w:r>
            <w:r>
              <w:t xml:space="preserve">10 </w:t>
            </w:r>
            <w:r w:rsidR="00135D46">
              <w:t>min</w:t>
            </w:r>
          </w:p>
          <w:p w14:paraId="405C28C0" w14:textId="00801CF3" w:rsidR="005C72D7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1,000 ppm threshold for immediate, mild toxic effect</w:t>
            </w:r>
          </w:p>
          <w:p w14:paraId="7A7C1517" w14:textId="426C70B4" w:rsidR="0042566B" w:rsidRDefault="0042566B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the concentration of aromatics in the petrol vapour was much lower than in the liquid which, on average, contains 14% aromatic hydrocarbons</w:t>
            </w:r>
          </w:p>
          <w:p w14:paraId="7B003B00" w14:textId="7B800CE8" w:rsidR="005C72D7" w:rsidRDefault="005C72D7" w:rsidP="00CC49AE">
            <w:pPr>
              <w:pStyle w:val="ListBullet"/>
              <w:numPr>
                <w:ilvl w:val="0"/>
                <w:numId w:val="2"/>
              </w:numPr>
              <w:spacing w:before="60" w:after="60"/>
              <w:ind w:hanging="357"/>
              <w:contextualSpacing w:val="0"/>
            </w:pPr>
            <w:r>
              <w:t>no further information</w:t>
            </w:r>
          </w:p>
          <w:p w14:paraId="1D4E8AFB" w14:textId="26E3913C" w:rsidR="005C72D7" w:rsidRDefault="00CE6100" w:rsidP="00CC49AE">
            <w:pPr>
              <w:pStyle w:val="ListBullet"/>
              <w:spacing w:before="60" w:after="60"/>
              <w:ind w:left="1080" w:hanging="357"/>
              <w:contextualSpacing w:val="0"/>
            </w:pPr>
            <w:r>
              <w:t>Inadequate evidence for human cancer attributable to occupational petrol exposure</w:t>
            </w:r>
          </w:p>
          <w:p w14:paraId="03477FC5" w14:textId="1582E1BC" w:rsidR="00CE6100" w:rsidRDefault="00CE6100" w:rsidP="00CC49AE">
            <w:pPr>
              <w:pStyle w:val="ListBullet"/>
              <w:spacing w:before="60" w:after="60"/>
              <w:ind w:left="1080" w:hanging="357"/>
              <w:contextualSpacing w:val="0"/>
            </w:pPr>
            <w:r>
              <w:t xml:space="preserve">Reports of toxic neuritis after exposures to petrol; </w:t>
            </w:r>
            <w:r w:rsidR="00086A5E">
              <w:t xml:space="preserve">role of </w:t>
            </w:r>
            <w:r w:rsidR="00086A5E" w:rsidRPr="00135D46">
              <w:rPr>
                <w:i/>
              </w:rPr>
              <w:t>n</w:t>
            </w:r>
            <w:r w:rsidR="00086A5E">
              <w:t>-hexane in outcome unclear</w:t>
            </w:r>
            <w:r w:rsidR="00CB1146">
              <w:t>.</w:t>
            </w:r>
          </w:p>
          <w:p w14:paraId="59BD6EC6" w14:textId="221673CD" w:rsidR="00086A5E" w:rsidRDefault="00086A5E" w:rsidP="00086A5E">
            <w:pPr>
              <w:pStyle w:val="Tabletextprimarysource"/>
            </w:pPr>
            <w:r>
              <w:t>Animal data:</w:t>
            </w:r>
          </w:p>
          <w:p w14:paraId="61D4765A" w14:textId="193FEBFC" w:rsidR="00BC6CF3" w:rsidRDefault="00B73E4B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Animals </w:t>
            </w:r>
            <w:r w:rsidR="00377D41">
              <w:t xml:space="preserve">dosed </w:t>
            </w:r>
            <w:r>
              <w:t xml:space="preserve">daily </w:t>
            </w:r>
            <w:r w:rsidRPr="00F60C5B">
              <w:rPr>
                <w:i/>
              </w:rPr>
              <w:t>via</w:t>
            </w:r>
            <w:r>
              <w:t xml:space="preserve"> gavage for up to 9 d</w:t>
            </w:r>
            <w:r w:rsidR="00D73463">
              <w:t xml:space="preserve"> </w:t>
            </w:r>
            <w:r w:rsidR="00D73463" w:rsidRPr="00D73463">
              <w:t>(</w:t>
            </w:r>
            <w:r w:rsidR="00D73463">
              <w:t>studied for hyaline droplet decay at day 3, 6 and 9); no further information on exposure or doses reported</w:t>
            </w:r>
            <w:r w:rsidR="00BC6CF3">
              <w:t>:</w:t>
            </w:r>
          </w:p>
          <w:p w14:paraId="52653C2A" w14:textId="6A71EAD9" w:rsidR="00086A5E" w:rsidRDefault="00BA2EA6" w:rsidP="00BC6CF3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 xml:space="preserve">significant </w:t>
            </w:r>
            <w:r w:rsidR="00B73E4B">
              <w:t xml:space="preserve">renal accumulation of a2u-globulin and hyaline droplets </w:t>
            </w:r>
            <w:r w:rsidR="00D73463">
              <w:t xml:space="preserve">accumulation </w:t>
            </w:r>
            <w:r w:rsidR="00B73E4B">
              <w:t>that was reversible and dependent on maintenance of normal constitutive levels of circulating a2u-globulin</w:t>
            </w:r>
          </w:p>
          <w:p w14:paraId="03233108" w14:textId="6CC6C3FA" w:rsidR="00B73E4B" w:rsidRDefault="002D3BA6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lastRenderedPageBreak/>
              <w:t xml:space="preserve">Rats exposed at 0, 67, 292 or 2,056 ppm for lifetime; incidence of renal adenoma and carcinoma </w:t>
            </w:r>
            <w:r w:rsidR="00377D41">
              <w:t xml:space="preserve">(combined) </w:t>
            </w:r>
            <w:r>
              <w:t xml:space="preserve">per group was 0/49, 1/59, 5/56 and 7/45, respectively; </w:t>
            </w:r>
            <w:r w:rsidR="004D4545">
              <w:t xml:space="preserve">0%, 5%, 63% and 91% of the rats (respective to doses) </w:t>
            </w:r>
            <w:r w:rsidR="00377D41">
              <w:t xml:space="preserve">had </w:t>
            </w:r>
            <w:r w:rsidR="004D4545">
              <w:t>mineralisation of the renal papilla</w:t>
            </w:r>
          </w:p>
          <w:p w14:paraId="5F810AF4" w14:textId="1E7FD0B1" w:rsidR="004D4545" w:rsidRDefault="001A7027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Rats exposed at 300 ppm for 48 wk; H-</w:t>
            </w:r>
            <w:r w:rsidR="00A25227">
              <w:t xml:space="preserve">labelled </w:t>
            </w:r>
            <w:r>
              <w:t>thymidine indices in the renal proximal tubule were 4- to 6-fold higher in treated rats than in control rats</w:t>
            </w:r>
            <w:r w:rsidR="00A25227">
              <w:t>; no further information</w:t>
            </w:r>
          </w:p>
          <w:p w14:paraId="2875DE29" w14:textId="74F42B96" w:rsidR="00D40870" w:rsidRDefault="00D40870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Unscheduled DNA synthesis occurred upon addition of unleaded gasoline to rat, mouse and human hepatocytes</w:t>
            </w:r>
          </w:p>
          <w:p w14:paraId="5EAB1319" w14:textId="56390B3B" w:rsidR="00D40870" w:rsidRDefault="00D40870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 xml:space="preserve">No significant responses in </w:t>
            </w:r>
            <w:r w:rsidRPr="00D40870">
              <w:rPr>
                <w:i/>
              </w:rPr>
              <w:t>S</w:t>
            </w:r>
            <w:r>
              <w:rPr>
                <w:i/>
              </w:rPr>
              <w:t>.</w:t>
            </w:r>
            <w:r>
              <w:t xml:space="preserve"> </w:t>
            </w:r>
            <w:r w:rsidRPr="00D40870">
              <w:rPr>
                <w:i/>
              </w:rPr>
              <w:t>typhimurium</w:t>
            </w:r>
            <w:r>
              <w:t>, in L5178Y cells and the mouse dominant lethal and bone marrow cytogenicity assays</w:t>
            </w:r>
          </w:p>
          <w:p w14:paraId="279CF65C" w14:textId="1D1E3C59" w:rsidR="00D40870" w:rsidRDefault="00F60C5B" w:rsidP="00CC49AE">
            <w:pPr>
              <w:pStyle w:val="ListBullet"/>
              <w:spacing w:before="60" w:after="60"/>
              <w:ind w:left="1077" w:hanging="357"/>
              <w:contextualSpacing w:val="0"/>
            </w:pPr>
            <w:r>
              <w:t>I</w:t>
            </w:r>
            <w:r w:rsidR="00D40870">
              <w:t xml:space="preserve">nhalation or gavage in male rats failed to elicit </w:t>
            </w:r>
            <w:r w:rsidR="009B277B">
              <w:t>unscheduled DNA synthesis</w:t>
            </w:r>
            <w:r w:rsidR="00D40870">
              <w:t xml:space="preserve"> in kidney or live</w:t>
            </w:r>
            <w:r w:rsidR="009B277B">
              <w:t>r; elevated in mouse liver after gasoline gavage</w:t>
            </w:r>
            <w:r w:rsidR="006F191B">
              <w:t>.</w:t>
            </w:r>
          </w:p>
          <w:p w14:paraId="61CB9649" w14:textId="77777777" w:rsidR="00CB1146" w:rsidRDefault="00CB1146" w:rsidP="00CC49AE">
            <w:pPr>
              <w:pStyle w:val="ListBullet"/>
              <w:numPr>
                <w:ilvl w:val="0"/>
                <w:numId w:val="0"/>
              </w:numPr>
              <w:spacing w:before="60" w:after="60"/>
              <w:ind w:left="1077"/>
              <w:contextualSpacing w:val="0"/>
            </w:pPr>
          </w:p>
          <w:p w14:paraId="5949CA9E" w14:textId="77777777" w:rsidR="0077659F" w:rsidRDefault="00A25227" w:rsidP="003365A5">
            <w:pPr>
              <w:pStyle w:val="Tabletextprimarysource"/>
            </w:pPr>
            <w:r>
              <w:t>Insufficient data to recommend a skin or sensitiser notation.</w:t>
            </w:r>
          </w:p>
          <w:p w14:paraId="0CE4D35D" w14:textId="65250BFD" w:rsidR="00CB1146" w:rsidRPr="00DA352E" w:rsidRDefault="00CB1146" w:rsidP="003365A5">
            <w:pPr>
              <w:pStyle w:val="Tabletextprimarysource"/>
            </w:pPr>
          </w:p>
        </w:tc>
      </w:tr>
      <w:tr w:rsidR="00C978F0" w:rsidRPr="00DA352E" w14:paraId="174F8B79" w14:textId="77777777" w:rsidTr="00A3214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64FF17A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221C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221CD">
                  <w:t>NA</w:t>
                </w:r>
              </w:sdtContent>
            </w:sdt>
          </w:p>
        </w:tc>
      </w:tr>
      <w:tr w:rsidR="00C978F0" w:rsidRPr="00DA352E" w14:paraId="4433014F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61A64F09" w14:textId="25445EBB" w:rsidR="00C978F0" w:rsidRPr="00DA352E" w:rsidRDefault="007221CD" w:rsidP="003365A5">
            <w:pPr>
              <w:pStyle w:val="Tabletextprimarysource"/>
            </w:pPr>
            <w:r>
              <w:t>No report</w:t>
            </w:r>
            <w:r w:rsidR="006F191B">
              <w:t>.</w:t>
            </w:r>
          </w:p>
        </w:tc>
      </w:tr>
      <w:tr w:rsidR="00C978F0" w:rsidRPr="00DA352E" w14:paraId="0E6A0B2C" w14:textId="77777777" w:rsidTr="00A3214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FF30D5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221C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221CD">
                  <w:t>NA</w:t>
                </w:r>
              </w:sdtContent>
            </w:sdt>
          </w:p>
        </w:tc>
      </w:tr>
      <w:tr w:rsidR="00C978F0" w:rsidRPr="00DA352E" w14:paraId="2008D281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153B53C1" w14:textId="44746137" w:rsidR="00C978F0" w:rsidRPr="00DA352E" w:rsidRDefault="007221CD" w:rsidP="003365A5">
            <w:pPr>
              <w:pStyle w:val="Tabletextprimarysource"/>
            </w:pPr>
            <w:r>
              <w:t>No report</w:t>
            </w:r>
            <w:r w:rsidR="006F191B">
              <w:t>.</w:t>
            </w:r>
          </w:p>
        </w:tc>
      </w:tr>
      <w:tr w:rsidR="00DA352E" w:rsidRPr="00DA352E" w14:paraId="12BAB90D" w14:textId="77777777" w:rsidTr="00A3214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35C2546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221C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221CD">
                  <w:t>NA</w:t>
                </w:r>
              </w:sdtContent>
            </w:sdt>
          </w:p>
        </w:tc>
      </w:tr>
      <w:tr w:rsidR="00DA352E" w:rsidRPr="00DA352E" w14:paraId="33AAF4A6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2059E4CB" w14:textId="17AA19A7" w:rsidR="00DA352E" w:rsidRPr="00DA352E" w:rsidRDefault="007221CD" w:rsidP="003365A5">
            <w:pPr>
              <w:pStyle w:val="Tabletextprimarysource"/>
            </w:pPr>
            <w:r>
              <w:t>No report</w:t>
            </w:r>
            <w:r w:rsidR="006F191B">
              <w:t>.</w:t>
            </w:r>
          </w:p>
        </w:tc>
      </w:tr>
      <w:tr w:rsidR="00DA352E" w:rsidRPr="00DA352E" w14:paraId="605F758C" w14:textId="77777777" w:rsidTr="00A32149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2967CEA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221C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221CD">
                  <w:t>NA</w:t>
                </w:r>
              </w:sdtContent>
            </w:sdt>
          </w:p>
        </w:tc>
      </w:tr>
      <w:tr w:rsidR="00DA352E" w:rsidRPr="00DA352E" w14:paraId="7050CB3E" w14:textId="77777777" w:rsidTr="00A32149">
        <w:trPr>
          <w:gridAfter w:val="1"/>
          <w:wAfter w:w="8" w:type="pct"/>
        </w:trPr>
        <w:tc>
          <w:tcPr>
            <w:tcW w:w="4992" w:type="pct"/>
          </w:tcPr>
          <w:p w14:paraId="492D7791" w14:textId="6C5DBA78" w:rsidR="00DA352E" w:rsidRPr="00DA352E" w:rsidRDefault="007221CD" w:rsidP="003365A5">
            <w:pPr>
              <w:pStyle w:val="Tabletextprimarysource"/>
            </w:pPr>
            <w:r>
              <w:t>No report</w:t>
            </w:r>
            <w:r w:rsidR="006F191B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3"/>
        <w:gridCol w:w="661"/>
        <w:gridCol w:w="6451"/>
      </w:tblGrid>
      <w:tr w:rsidR="004966BF" w:rsidRPr="00A32149" w14:paraId="6AE89AB3" w14:textId="77777777" w:rsidTr="00A32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A32149" w:rsidRDefault="004966BF" w:rsidP="00263255">
            <w:pPr>
              <w:pStyle w:val="Tableheader"/>
              <w:rPr>
                <w:b/>
              </w:rPr>
            </w:pPr>
            <w:r w:rsidRPr="00A32149">
              <w:rPr>
                <w:b/>
              </w:rPr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A32149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A32149" w:rsidRDefault="004966BF" w:rsidP="00263255">
            <w:pPr>
              <w:pStyle w:val="Tableheader"/>
              <w:rPr>
                <w:b/>
              </w:rPr>
            </w:pPr>
            <w:r w:rsidRPr="00A32149">
              <w:rPr>
                <w:b/>
              </w:rP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A32149" w:rsidRDefault="004966BF" w:rsidP="00263255">
            <w:pPr>
              <w:pStyle w:val="Tableheader"/>
              <w:rPr>
                <w:b/>
              </w:rPr>
            </w:pPr>
            <w:r w:rsidRPr="00A32149">
              <w:rPr>
                <w:b/>
              </w:rPr>
              <w:t>Additional information</w:t>
            </w:r>
          </w:p>
        </w:tc>
      </w:tr>
      <w:tr w:rsidR="004966BF" w:rsidRPr="004C23F4" w14:paraId="67214C13" w14:textId="77777777" w:rsidTr="00A32149">
        <w:trPr>
          <w:cantSplit/>
        </w:trPr>
        <w:tc>
          <w:tcPr>
            <w:tcW w:w="1491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083621B9" w:rsidR="004966BF" w:rsidRPr="00CE617F" w:rsidRDefault="00A3214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2522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52D88900" w:rsidR="004966BF" w:rsidRPr="004C23F4" w:rsidRDefault="00A2522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1" w:type="dxa"/>
          </w:tcPr>
          <w:p w14:paraId="0076C2F1" w14:textId="33600E7A" w:rsidR="00D40870" w:rsidRPr="009B277B" w:rsidRDefault="0096605C" w:rsidP="00CC49AE">
            <w:pPr>
              <w:pStyle w:val="ListBullet"/>
              <w:spacing w:before="60" w:after="60"/>
              <w:ind w:left="731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="00D40870"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6F191B">
              <w:rPr>
                <w:rStyle w:val="checkbox"/>
                <w:rFonts w:ascii="Arial" w:hAnsi="Arial" w:cs="Arial"/>
                <w:vertAlign w:val="subscript"/>
              </w:rPr>
              <w:t>:</w:t>
            </w:r>
            <w:r w:rsidR="00D40870">
              <w:rPr>
                <w:rStyle w:val="checkbox"/>
                <w:rFonts w:ascii="Arial" w:hAnsi="Arial" w:cs="Arial"/>
                <w:vertAlign w:val="subscript"/>
              </w:rPr>
              <w:t xml:space="preserve"> </w:t>
            </w:r>
            <w:r w:rsidR="00D40870">
              <w:rPr>
                <w:rStyle w:val="checkbox"/>
                <w:rFonts w:ascii="Arial" w:hAnsi="Arial" w:cs="Arial"/>
              </w:rPr>
              <w:t>&gt;5,000 (petroleum</w:t>
            </w:r>
            <w:r w:rsidR="009B277B">
              <w:rPr>
                <w:rStyle w:val="checkbox"/>
                <w:rFonts w:ascii="Arial" w:hAnsi="Arial" w:cs="Arial"/>
              </w:rPr>
              <w:t>)</w:t>
            </w:r>
            <w:r w:rsidR="00CB1146">
              <w:rPr>
                <w:rStyle w:val="checkbox"/>
                <w:rFonts w:ascii="Arial" w:hAnsi="Arial" w:cs="Arial"/>
              </w:rPr>
              <w:t xml:space="preserve"> </w:t>
            </w:r>
            <w:r w:rsidR="006F191B">
              <w:rPr>
                <w:rStyle w:val="checkbox"/>
                <w:rFonts w:ascii="Arial" w:hAnsi="Arial" w:cs="Arial"/>
              </w:rPr>
              <w:t>(rats, dermal).</w:t>
            </w:r>
          </w:p>
        </w:tc>
      </w:tr>
      <w:tr w:rsidR="004966BF" w:rsidRPr="004C23F4" w14:paraId="04FEEADE" w14:textId="77777777" w:rsidTr="00A32149">
        <w:trPr>
          <w:cantSplit/>
        </w:trPr>
        <w:tc>
          <w:tcPr>
            <w:tcW w:w="1491" w:type="dxa"/>
          </w:tcPr>
          <w:p w14:paraId="0AEF458D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184BEF97" w14:textId="499D5359" w:rsidR="004966BF" w:rsidRPr="00CE617F" w:rsidRDefault="00A32149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B277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43344A1" w14:textId="24CF4A35" w:rsidR="004966BF" w:rsidRPr="004C23F4" w:rsidRDefault="009B277B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</w:tc>
        <w:tc>
          <w:tcPr>
            <w:tcW w:w="6451" w:type="dxa"/>
          </w:tcPr>
          <w:p w14:paraId="27AC67A8" w14:textId="58A9EC70" w:rsidR="009B277B" w:rsidRPr="009B277B" w:rsidRDefault="009B277B" w:rsidP="00CC49A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I</w:t>
            </w:r>
            <w:r w:rsidRPr="009B277B">
              <w:rPr>
                <w:rStyle w:val="checkbox"/>
                <w:rFonts w:ascii="Arial" w:hAnsi="Arial" w:cs="Arial"/>
              </w:rPr>
              <w:t>nadequate evidence for the carcin</w:t>
            </w:r>
            <w:r>
              <w:rPr>
                <w:rStyle w:val="checkbox"/>
                <w:rFonts w:ascii="Arial" w:hAnsi="Arial" w:cs="Arial"/>
              </w:rPr>
              <w:t>ogenicity in humans of gasoline</w:t>
            </w:r>
          </w:p>
          <w:p w14:paraId="2DDCA6FC" w14:textId="001C1BEE" w:rsidR="004966BF" w:rsidRPr="004C23F4" w:rsidRDefault="009B277B" w:rsidP="00CC49AE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</w:t>
            </w:r>
            <w:r w:rsidRPr="009B277B">
              <w:rPr>
                <w:rStyle w:val="checkbox"/>
                <w:rFonts w:ascii="Arial" w:hAnsi="Arial" w:cs="Arial"/>
              </w:rPr>
              <w:t>imited evidence for the carcinogenicity in experimental animals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9B277B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03CB3C21" w:rsidR="002E0D61" w:rsidRDefault="009B277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9B277B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06023682" w:rsidR="008A36CF" w:rsidRDefault="009B277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9B277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0754D8CF" w:rsidR="008A36CF" w:rsidRPr="006901A2" w:rsidRDefault="009B277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A32149" w14:paraId="652E2B21" w14:textId="77777777" w:rsidTr="00A32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A32149" w:rsidRDefault="00687890" w:rsidP="00263255">
            <w:pPr>
              <w:pStyle w:val="Tableheader"/>
              <w:rPr>
                <w:b/>
              </w:rPr>
            </w:pPr>
            <w:bookmarkStart w:id="2" w:name="Notations"/>
            <w:bookmarkStart w:id="3" w:name="_GoBack" w:colFirst="0" w:colLast="2"/>
            <w:r w:rsidRPr="00A32149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A32149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A32149">
              <w:rPr>
                <w:b/>
              </w:rPr>
              <w:t>Notations</w:t>
            </w:r>
            <w:r w:rsidR="003A2B94" w:rsidRPr="00A32149">
              <w:rPr>
                <w:b/>
              </w:rPr>
              <w:tab/>
            </w:r>
          </w:p>
        </w:tc>
      </w:tr>
      <w:bookmarkEnd w:id="3"/>
      <w:tr w:rsidR="00687890" w:rsidRPr="004C23F4" w14:paraId="32D44898" w14:textId="77777777" w:rsidTr="00A32149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0E5C3ADD" w:rsidR="00687890" w:rsidRPr="00DD2F9B" w:rsidRDefault="007221CD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A32149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602712B5" w:rsidR="007925F0" w:rsidRPr="00DD2F9B" w:rsidRDefault="009B277B" w:rsidP="007221CD">
            <w:pPr>
              <w:pStyle w:val="Tablefont"/>
              <w:tabs>
                <w:tab w:val="left" w:pos="1861"/>
              </w:tabs>
            </w:pPr>
            <w:r>
              <w:t>NA</w:t>
            </w:r>
          </w:p>
        </w:tc>
      </w:tr>
      <w:tr w:rsidR="00AF483F" w:rsidRPr="004C23F4" w14:paraId="4C1044B3" w14:textId="77777777" w:rsidTr="00A32149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lastRenderedPageBreak/>
              <w:t>NICNAS</w:t>
            </w:r>
          </w:p>
        </w:tc>
        <w:tc>
          <w:tcPr>
            <w:tcW w:w="6015" w:type="dxa"/>
          </w:tcPr>
          <w:p w14:paraId="4C253FE0" w14:textId="7699FC53" w:rsidR="00AF483F" w:rsidRPr="00DD2F9B" w:rsidRDefault="007221C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A32149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5F7FB848" w:rsidR="00687890" w:rsidRPr="00DD2F9B" w:rsidRDefault="007221C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A32149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411D9C9" w:rsidR="00E41A26" w:rsidRPr="00DD2F9B" w:rsidRDefault="00305F4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A32149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3BEEC72A" w:rsidR="002E0D61" w:rsidRPr="00DD2F9B" w:rsidRDefault="00305F4A" w:rsidP="00DD2F9B">
            <w:pPr>
              <w:pStyle w:val="Tablefont"/>
            </w:pPr>
            <w:r w:rsidRPr="00305F4A">
              <w:t>Carcinogenicity – A3</w:t>
            </w:r>
          </w:p>
        </w:tc>
      </w:tr>
      <w:tr w:rsidR="002E0D61" w:rsidRPr="004C23F4" w14:paraId="43FA3590" w14:textId="77777777" w:rsidTr="00A32149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18C1C4DE" w:rsidR="002E0D61" w:rsidRPr="00DD2F9B" w:rsidRDefault="00305F4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A32149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A33E53B" w:rsidR="002E0D61" w:rsidRPr="00DD2F9B" w:rsidRDefault="00305F4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A32149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15DD785C" w:rsidR="002E0D61" w:rsidRPr="00DD2F9B" w:rsidRDefault="00305F4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A32149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0C3C0A9C" w:rsidR="00386093" w:rsidRPr="00DD2F9B" w:rsidRDefault="00305F4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A32149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2CF8107" w:rsidR="00386093" w:rsidRPr="00DD2F9B" w:rsidRDefault="00305F4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7965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976"/>
              <w:gridCol w:w="2699"/>
            </w:tblGrid>
            <w:tr w:rsidR="009B277B" w:rsidRPr="009B277B" w14:paraId="56E74035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79CC6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F656A2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66649D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2E93C2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489CBA23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971D14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434A5A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88407A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1E6F33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4059CC08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9DBCE9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651B93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DFA394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93420E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09539C7E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F52A8B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6DF5F5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817B38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60C432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7C14CD58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A73795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0C369C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97AC3B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B717B2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08D177CE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16A653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F793A6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80473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FF6BA5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B277B" w:rsidRPr="009B277B" w14:paraId="16419B0C" w14:textId="77777777" w:rsidTr="009B277B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EDCBA9" w14:textId="77777777" w:rsidR="009B277B" w:rsidRPr="009B277B" w:rsidRDefault="009B277B" w:rsidP="009B277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AB0A94" w14:textId="77777777" w:rsidR="009B277B" w:rsidRPr="009B277B" w:rsidRDefault="009B277B" w:rsidP="009B277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C1B717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99D9B3" w14:textId="77777777" w:rsidR="009B277B" w:rsidRPr="009B277B" w:rsidRDefault="009B277B" w:rsidP="009B277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B277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91C8359" w:rsidR="00EB3D1B" w:rsidRDefault="009F4205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3D37AADD" w:rsidR="001B79E5" w:rsidRDefault="006F191B" w:rsidP="001B79E5">
                <w:pPr>
                  <w:pStyle w:val="Tablefont"/>
                </w:pPr>
                <w:r>
                  <w:t>N/A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A3214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6E8AB19" w14:textId="4A0C33C9" w:rsidR="009C52E3" w:rsidRPr="009C52E3" w:rsidRDefault="009C52E3" w:rsidP="009C52E3">
      <w:r w:rsidRPr="00DB0A36">
        <w:t xml:space="preserve">International Agency for Research on Cancer (IARC) </w:t>
      </w:r>
      <w:r w:rsidR="0030118C" w:rsidRPr="0030118C">
        <w:t>Petroleum refining, crude oil and major petroleum fuels</w:t>
      </w:r>
      <w:r w:rsidRPr="0030118C">
        <w:t xml:space="preserve">. IARC Monographs – </w:t>
      </w:r>
      <w:r w:rsidR="0030118C" w:rsidRPr="0030118C">
        <w:t>45</w:t>
      </w:r>
      <w:r w:rsidRPr="0030118C">
        <w:t>.</w:t>
      </w:r>
    </w:p>
    <w:p w14:paraId="77EFB18B" w14:textId="40AF4594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305F4A" w:rsidRPr="00305F4A">
        <w:t>1994</w:t>
      </w:r>
      <w:r>
        <w:t xml:space="preserve">) Immediately dangerous to life or health concentrations – </w:t>
      </w:r>
      <w:r w:rsidR="00305F4A" w:rsidRPr="00305F4A">
        <w:t>Petroleum distillates (naphtha)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5494" w14:textId="77777777" w:rsidR="008A34F7" w:rsidRDefault="008A34F7" w:rsidP="00F43AD5">
      <w:pPr>
        <w:spacing w:after="0" w:line="240" w:lineRule="auto"/>
      </w:pPr>
      <w:r>
        <w:separator/>
      </w:r>
    </w:p>
  </w:endnote>
  <w:endnote w:type="continuationSeparator" w:id="0">
    <w:p w14:paraId="3ABEDFD2" w14:textId="77777777" w:rsidR="008A34F7" w:rsidRDefault="008A34F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62A0E" w14:textId="77777777" w:rsidR="00A32149" w:rsidRDefault="00A32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26A45BF" w:rsidR="008A36CF" w:rsidRDefault="009F4205" w:rsidP="0034744C">
        <w:pPr>
          <w:pStyle w:val="Footer"/>
          <w:rPr>
            <w:sz w:val="18"/>
            <w:szCs w:val="18"/>
          </w:rPr>
        </w:pPr>
        <w:r w:rsidRPr="009F4205">
          <w:rPr>
            <w:b/>
            <w:sz w:val="18"/>
            <w:szCs w:val="18"/>
          </w:rPr>
          <w:t>Petrol (gasoline)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6F191B">
          <w:rPr>
            <w:sz w:val="18"/>
            <w:szCs w:val="18"/>
          </w:rPr>
          <w:t xml:space="preserve"> 2020</w:t>
        </w:r>
      </w:p>
      <w:p w14:paraId="2D517F5E" w14:textId="2CA84E8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60C5B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4A34" w14:textId="77777777" w:rsidR="00A32149" w:rsidRDefault="00A32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62155" w14:textId="77777777" w:rsidR="008A34F7" w:rsidRDefault="008A34F7" w:rsidP="00F43AD5">
      <w:pPr>
        <w:spacing w:after="0" w:line="240" w:lineRule="auto"/>
      </w:pPr>
      <w:r>
        <w:separator/>
      </w:r>
    </w:p>
  </w:footnote>
  <w:footnote w:type="continuationSeparator" w:id="0">
    <w:p w14:paraId="7270FD49" w14:textId="77777777" w:rsidR="008A34F7" w:rsidRDefault="008A34F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34C4" w14:textId="19124FE3" w:rsidR="00A32149" w:rsidRDefault="00A32149">
    <w:pPr>
      <w:pStyle w:val="Header"/>
    </w:pPr>
    <w:r>
      <w:rPr>
        <w:noProof/>
      </w:rPr>
      <w:pict w14:anchorId="0AC094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66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8792" w14:textId="5C227829" w:rsidR="008A36CF" w:rsidRDefault="00A32149" w:rsidP="00F43AD5">
    <w:pPr>
      <w:pStyle w:val="Header"/>
      <w:jc w:val="right"/>
    </w:pPr>
    <w:r>
      <w:rPr>
        <w:noProof/>
      </w:rPr>
      <w:pict w14:anchorId="2594E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67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32D08995" wp14:editId="053AF405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23ED" w14:textId="31D99D44" w:rsidR="00A32149" w:rsidRDefault="00A32149">
    <w:pPr>
      <w:pStyle w:val="Header"/>
    </w:pPr>
    <w:r>
      <w:rPr>
        <w:noProof/>
      </w:rPr>
      <w:pict w14:anchorId="4F635C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65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0655D" w14:textId="39F4879D" w:rsidR="00A32149" w:rsidRDefault="00A32149">
    <w:pPr>
      <w:pStyle w:val="Header"/>
    </w:pPr>
    <w:r>
      <w:rPr>
        <w:noProof/>
      </w:rPr>
      <w:pict w14:anchorId="564897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69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9FB4" w14:textId="352E16C7" w:rsidR="008A36CF" w:rsidRDefault="00A32149" w:rsidP="00F43AD5">
    <w:pPr>
      <w:pStyle w:val="Header"/>
      <w:jc w:val="right"/>
    </w:pPr>
    <w:r>
      <w:rPr>
        <w:noProof/>
      </w:rPr>
      <w:pict w14:anchorId="6B36E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70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4483094A" wp14:editId="720847B4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6FCA" w14:textId="020B0877" w:rsidR="00A32149" w:rsidRDefault="00A32149">
    <w:pPr>
      <w:pStyle w:val="Header"/>
    </w:pPr>
    <w:r>
      <w:rPr>
        <w:noProof/>
      </w:rPr>
      <w:pict w14:anchorId="4DA9B1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576268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DC4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537C8B"/>
    <w:multiLevelType w:val="hybridMultilevel"/>
    <w:tmpl w:val="4C8060F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170483"/>
    <w:multiLevelType w:val="hybridMultilevel"/>
    <w:tmpl w:val="A8A44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3DE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6A5E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0F5F80"/>
    <w:rsid w:val="0010461E"/>
    <w:rsid w:val="00106FAA"/>
    <w:rsid w:val="00110C57"/>
    <w:rsid w:val="00113443"/>
    <w:rsid w:val="001269A7"/>
    <w:rsid w:val="00131092"/>
    <w:rsid w:val="00135D46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7027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3BA6"/>
    <w:rsid w:val="002E0D61"/>
    <w:rsid w:val="002E4C7B"/>
    <w:rsid w:val="0030118C"/>
    <w:rsid w:val="00305F4A"/>
    <w:rsid w:val="0030740C"/>
    <w:rsid w:val="00315833"/>
    <w:rsid w:val="003215EE"/>
    <w:rsid w:val="003224BF"/>
    <w:rsid w:val="00322C0D"/>
    <w:rsid w:val="003241A8"/>
    <w:rsid w:val="003253F0"/>
    <w:rsid w:val="003337DA"/>
    <w:rsid w:val="00334EFB"/>
    <w:rsid w:val="00335CDE"/>
    <w:rsid w:val="003365A5"/>
    <w:rsid w:val="00342B7D"/>
    <w:rsid w:val="00347192"/>
    <w:rsid w:val="0034744C"/>
    <w:rsid w:val="00351FE0"/>
    <w:rsid w:val="00352615"/>
    <w:rsid w:val="0035412B"/>
    <w:rsid w:val="003567A8"/>
    <w:rsid w:val="00362895"/>
    <w:rsid w:val="00370DBF"/>
    <w:rsid w:val="00377D41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4C7C"/>
    <w:rsid w:val="003D1FBC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50F7"/>
    <w:rsid w:val="00417A56"/>
    <w:rsid w:val="00420957"/>
    <w:rsid w:val="00422A10"/>
    <w:rsid w:val="0042566B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C3E"/>
    <w:rsid w:val="004C1E3F"/>
    <w:rsid w:val="004C23F4"/>
    <w:rsid w:val="004C3475"/>
    <w:rsid w:val="004C58B6"/>
    <w:rsid w:val="004D16A3"/>
    <w:rsid w:val="004D4545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62B1"/>
    <w:rsid w:val="00581055"/>
    <w:rsid w:val="00591E38"/>
    <w:rsid w:val="005A19C5"/>
    <w:rsid w:val="005A3034"/>
    <w:rsid w:val="005A462D"/>
    <w:rsid w:val="005B253B"/>
    <w:rsid w:val="005B771D"/>
    <w:rsid w:val="005C5D16"/>
    <w:rsid w:val="005C72D7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57DF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191B"/>
    <w:rsid w:val="00701053"/>
    <w:rsid w:val="00701507"/>
    <w:rsid w:val="00714021"/>
    <w:rsid w:val="00716A0F"/>
    <w:rsid w:val="00717402"/>
    <w:rsid w:val="00717D45"/>
    <w:rsid w:val="007208F7"/>
    <w:rsid w:val="007218AF"/>
    <w:rsid w:val="007221CD"/>
    <w:rsid w:val="007365D1"/>
    <w:rsid w:val="00740E0E"/>
    <w:rsid w:val="007419DC"/>
    <w:rsid w:val="00750212"/>
    <w:rsid w:val="00754779"/>
    <w:rsid w:val="007558DE"/>
    <w:rsid w:val="0075716D"/>
    <w:rsid w:val="00765F14"/>
    <w:rsid w:val="00770E31"/>
    <w:rsid w:val="0077659F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4F7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17C9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09E"/>
    <w:rsid w:val="009578DD"/>
    <w:rsid w:val="00961124"/>
    <w:rsid w:val="009621B6"/>
    <w:rsid w:val="0096605C"/>
    <w:rsid w:val="00974F2D"/>
    <w:rsid w:val="00977524"/>
    <w:rsid w:val="00977E88"/>
    <w:rsid w:val="00984920"/>
    <w:rsid w:val="0099303A"/>
    <w:rsid w:val="009971C2"/>
    <w:rsid w:val="009A1254"/>
    <w:rsid w:val="009B277B"/>
    <w:rsid w:val="009B2FF2"/>
    <w:rsid w:val="009B380C"/>
    <w:rsid w:val="009B4843"/>
    <w:rsid w:val="009B6543"/>
    <w:rsid w:val="009C199D"/>
    <w:rsid w:val="009C278F"/>
    <w:rsid w:val="009C2B94"/>
    <w:rsid w:val="009C52E3"/>
    <w:rsid w:val="009C5874"/>
    <w:rsid w:val="009D3B5A"/>
    <w:rsid w:val="009E0C05"/>
    <w:rsid w:val="009E0D1C"/>
    <w:rsid w:val="009E2214"/>
    <w:rsid w:val="009E355A"/>
    <w:rsid w:val="009E3958"/>
    <w:rsid w:val="009E63E2"/>
    <w:rsid w:val="009F04D2"/>
    <w:rsid w:val="009F05CF"/>
    <w:rsid w:val="009F0F3A"/>
    <w:rsid w:val="009F4205"/>
    <w:rsid w:val="00A01D0C"/>
    <w:rsid w:val="00A0643F"/>
    <w:rsid w:val="00A067EE"/>
    <w:rsid w:val="00A10FCE"/>
    <w:rsid w:val="00A16D91"/>
    <w:rsid w:val="00A174CC"/>
    <w:rsid w:val="00A2073D"/>
    <w:rsid w:val="00A20751"/>
    <w:rsid w:val="00A25227"/>
    <w:rsid w:val="00A27E2D"/>
    <w:rsid w:val="00A31D99"/>
    <w:rsid w:val="00A32149"/>
    <w:rsid w:val="00A357BA"/>
    <w:rsid w:val="00A35ADC"/>
    <w:rsid w:val="00A402A3"/>
    <w:rsid w:val="00A53681"/>
    <w:rsid w:val="00A633D4"/>
    <w:rsid w:val="00A6461A"/>
    <w:rsid w:val="00A80550"/>
    <w:rsid w:val="00A84504"/>
    <w:rsid w:val="00A8672F"/>
    <w:rsid w:val="00A90FDD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0D12"/>
    <w:rsid w:val="00B40C60"/>
    <w:rsid w:val="00B479A9"/>
    <w:rsid w:val="00B52EDF"/>
    <w:rsid w:val="00B71188"/>
    <w:rsid w:val="00B73114"/>
    <w:rsid w:val="00B73E4B"/>
    <w:rsid w:val="00B76A41"/>
    <w:rsid w:val="00B87D4C"/>
    <w:rsid w:val="00B93646"/>
    <w:rsid w:val="00BA0B38"/>
    <w:rsid w:val="00BA1DBB"/>
    <w:rsid w:val="00BA2EA6"/>
    <w:rsid w:val="00BA4510"/>
    <w:rsid w:val="00BA529A"/>
    <w:rsid w:val="00BB612A"/>
    <w:rsid w:val="00BC6CF3"/>
    <w:rsid w:val="00BD499F"/>
    <w:rsid w:val="00BD56DE"/>
    <w:rsid w:val="00BF2406"/>
    <w:rsid w:val="00BF790B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146"/>
    <w:rsid w:val="00CB1CB1"/>
    <w:rsid w:val="00CB6BC1"/>
    <w:rsid w:val="00CB6CB8"/>
    <w:rsid w:val="00CC1A68"/>
    <w:rsid w:val="00CC2123"/>
    <w:rsid w:val="00CC49AE"/>
    <w:rsid w:val="00CD2BFD"/>
    <w:rsid w:val="00CE5AD6"/>
    <w:rsid w:val="00CE6100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7869"/>
    <w:rsid w:val="00D40870"/>
    <w:rsid w:val="00D44C89"/>
    <w:rsid w:val="00D516CD"/>
    <w:rsid w:val="00D608DB"/>
    <w:rsid w:val="00D668E6"/>
    <w:rsid w:val="00D70670"/>
    <w:rsid w:val="00D73463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44FF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2FA2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0C5B"/>
    <w:rsid w:val="00F6452E"/>
    <w:rsid w:val="00F6491C"/>
    <w:rsid w:val="00F67BBB"/>
    <w:rsid w:val="00F76E27"/>
    <w:rsid w:val="00F87D92"/>
    <w:rsid w:val="00F90AA7"/>
    <w:rsid w:val="00F92498"/>
    <w:rsid w:val="00F9496B"/>
    <w:rsid w:val="00F970C9"/>
    <w:rsid w:val="00F9797E"/>
    <w:rsid w:val="00FA06A8"/>
    <w:rsid w:val="00FA3DF5"/>
    <w:rsid w:val="00FA741F"/>
    <w:rsid w:val="00FB4E07"/>
    <w:rsid w:val="00FB755A"/>
    <w:rsid w:val="00FC60A2"/>
    <w:rsid w:val="00FD1871"/>
    <w:rsid w:val="00FD3110"/>
    <w:rsid w:val="00FD71BB"/>
    <w:rsid w:val="00FE70A2"/>
    <w:rsid w:val="00FF5C3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77659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5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55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55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8686E"/>
    <w:rsid w:val="00110D93"/>
    <w:rsid w:val="00347D16"/>
    <w:rsid w:val="003E0149"/>
    <w:rsid w:val="00755FBF"/>
    <w:rsid w:val="00BD7CE9"/>
    <w:rsid w:val="00C3493A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BE5D-EA03-467C-A1BB-AF2EB517BE1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bf54d604-3e62-4e70-ba33-9e9084b96a6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6F3E28-962D-425A-BFAD-0A79B6170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5A0E4-8E49-45A2-8512-EA6E90636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88AB9-8943-43C4-823B-3F3E8029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2020-02-21T07:24:00Z</dcterms:created>
  <dcterms:modified xsi:type="dcterms:W3CDTF">2020-03-12T23:25:00Z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