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4626B43" w14:textId="77777777" w:rsidR="00BD499F" w:rsidRPr="004C23F4" w:rsidRDefault="007E443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Pentachlor</w:t>
          </w:r>
          <w:r w:rsidR="008B3C67">
            <w:rPr>
              <w:rFonts w:ascii="Arial" w:hAnsi="Arial" w:cs="Arial"/>
            </w:rPr>
            <w:t>onaphthalene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0DF1E84E" w14:textId="77777777" w:rsidTr="00B76A41">
        <w:trPr>
          <w:cantSplit/>
          <w:tblHeader/>
        </w:trPr>
        <w:tc>
          <w:tcPr>
            <w:tcW w:w="4077" w:type="dxa"/>
          </w:tcPr>
          <w:p w14:paraId="2EB9DE6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B94FE70" w14:textId="77777777" w:rsidR="00F43AD5" w:rsidRPr="00717D45" w:rsidRDefault="008B3C67" w:rsidP="00B76A41">
            <w:pPr>
              <w:pStyle w:val="Tablefont"/>
            </w:pPr>
            <w:r w:rsidRPr="008B3C67">
              <w:t>1321-64-8</w:t>
            </w:r>
          </w:p>
        </w:tc>
      </w:tr>
      <w:tr w:rsidR="00F43AD5" w:rsidRPr="004C23F4" w14:paraId="0AF04DA2" w14:textId="77777777" w:rsidTr="00B76A41">
        <w:trPr>
          <w:cantSplit/>
        </w:trPr>
        <w:tc>
          <w:tcPr>
            <w:tcW w:w="4077" w:type="dxa"/>
          </w:tcPr>
          <w:p w14:paraId="1469B51B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6558C33" w14:textId="77777777" w:rsidR="00F43AD5" w:rsidRPr="00717D45" w:rsidRDefault="008B3C67" w:rsidP="00B76A41">
            <w:pPr>
              <w:pStyle w:val="Tablefont"/>
            </w:pPr>
            <w:proofErr w:type="spellStart"/>
            <w:r>
              <w:t>Halowax</w:t>
            </w:r>
            <w:proofErr w:type="spellEnd"/>
            <w:r>
              <w:t xml:space="preserve"> 1013</w:t>
            </w:r>
          </w:p>
        </w:tc>
      </w:tr>
      <w:tr w:rsidR="00F43AD5" w:rsidRPr="004C23F4" w14:paraId="06452CF8" w14:textId="77777777" w:rsidTr="00B76A41">
        <w:trPr>
          <w:cantSplit/>
        </w:trPr>
        <w:tc>
          <w:tcPr>
            <w:tcW w:w="4077" w:type="dxa"/>
          </w:tcPr>
          <w:p w14:paraId="3FDEEFC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6A29544" w14:textId="77777777" w:rsidR="00F43AD5" w:rsidRPr="00717D45" w:rsidRDefault="0070348F" w:rsidP="00B76A41">
            <w:pPr>
              <w:pStyle w:val="Tablefont"/>
            </w:pPr>
            <w:r>
              <w:t>C</w:t>
            </w:r>
            <w:r w:rsidRPr="0070348F">
              <w:rPr>
                <w:vertAlign w:val="subscript"/>
              </w:rPr>
              <w:t>10</w:t>
            </w:r>
            <w:r>
              <w:t>H</w:t>
            </w:r>
            <w:r w:rsidRPr="0070348F">
              <w:rPr>
                <w:vertAlign w:val="subscript"/>
              </w:rPr>
              <w:t>3</w:t>
            </w:r>
            <w:r>
              <w:t>Cl</w:t>
            </w:r>
            <w:r w:rsidRPr="0070348F">
              <w:rPr>
                <w:vertAlign w:val="subscript"/>
              </w:rPr>
              <w:t>5</w:t>
            </w:r>
          </w:p>
        </w:tc>
      </w:tr>
      <w:tr w:rsidR="00F43AD5" w:rsidRPr="004C23F4" w14:paraId="25C6A12B" w14:textId="77777777" w:rsidTr="00B76A41">
        <w:trPr>
          <w:cantSplit/>
        </w:trPr>
        <w:tc>
          <w:tcPr>
            <w:tcW w:w="4077" w:type="dxa"/>
          </w:tcPr>
          <w:p w14:paraId="26DAE2B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63837EF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5021C430" w14:textId="1459A6CE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C1592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50B67A59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3A704FE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01B67BC2" w14:textId="19C6180D" w:rsidR="002C7AFE" w:rsidRPr="005D5F12" w:rsidRDefault="007E34AA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B212B43" w14:textId="77777777" w:rsidTr="00037E52">
        <w:trPr>
          <w:cantSplit/>
        </w:trPr>
        <w:tc>
          <w:tcPr>
            <w:tcW w:w="4010" w:type="dxa"/>
            <w:vAlign w:val="center"/>
          </w:tcPr>
          <w:p w14:paraId="03807D02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348639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7E6D6F5E" w14:textId="77777777" w:rsidTr="00037E52">
        <w:trPr>
          <w:cantSplit/>
        </w:trPr>
        <w:tc>
          <w:tcPr>
            <w:tcW w:w="4010" w:type="dxa"/>
            <w:vAlign w:val="center"/>
          </w:tcPr>
          <w:p w14:paraId="028584FB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74B4A47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E9A50A7" w14:textId="77777777" w:rsidTr="00037E52">
        <w:trPr>
          <w:cantSplit/>
        </w:trPr>
        <w:tc>
          <w:tcPr>
            <w:tcW w:w="4010" w:type="dxa"/>
          </w:tcPr>
          <w:p w14:paraId="4756575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5662927B" w14:textId="77777777" w:rsidR="00037E52" w:rsidRPr="00EB3D1B" w:rsidRDefault="005E4760" w:rsidP="00037E5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 </w:t>
            </w:r>
          </w:p>
        </w:tc>
      </w:tr>
      <w:tr w:rsidR="00037E52" w:rsidRPr="004C23F4" w14:paraId="79A7B325" w14:textId="77777777" w:rsidTr="00037E52">
        <w:trPr>
          <w:cantSplit/>
        </w:trPr>
        <w:tc>
          <w:tcPr>
            <w:tcW w:w="4010" w:type="dxa"/>
            <w:vAlign w:val="center"/>
          </w:tcPr>
          <w:p w14:paraId="2114D396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3705EED2" w14:textId="03A155CB" w:rsidR="00037E52" w:rsidRPr="00EB3D1B" w:rsidRDefault="00CC159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7E443A" w:rsidRPr="004C23F4" w14:paraId="11EC3A8D" w14:textId="77777777" w:rsidTr="00992082">
        <w:trPr>
          <w:cantSplit/>
        </w:trPr>
        <w:tc>
          <w:tcPr>
            <w:tcW w:w="9026" w:type="dxa"/>
            <w:gridSpan w:val="2"/>
            <w:vAlign w:val="center"/>
          </w:tcPr>
          <w:p w14:paraId="31908FDF" w14:textId="5F650371" w:rsidR="007E443A" w:rsidRPr="00EB3D1B" w:rsidRDefault="007E443A" w:rsidP="00037E5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D00C6B94D7341398DC986CA1D03C96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CC1592">
                  <w:rPr>
                    <w:rStyle w:val="WESstatus"/>
                    <w:color w:val="auto"/>
                  </w:rPr>
                  <w:t xml:space="preserve">N/A. </w:t>
                </w:r>
              </w:sdtContent>
            </w:sdt>
          </w:p>
        </w:tc>
      </w:tr>
    </w:tbl>
    <w:p w14:paraId="2E8EF33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D153D1A" w14:textId="38FF8E64" w:rsidR="00145050" w:rsidRDefault="007E34AA" w:rsidP="00145050">
      <w:r w:rsidRPr="007E34AA">
        <w:t xml:space="preserve">This chemical has been nominated for removal from the </w:t>
      </w:r>
      <w:r w:rsidRPr="003C4C0E">
        <w:rPr>
          <w:i/>
        </w:rPr>
        <w:t>Workplace exposure standards for airborne contaminants</w:t>
      </w:r>
      <w:r w:rsidRPr="007E34AA">
        <w:t xml:space="preserve"> due to a lack of evidence that it is used or generated in Australian workplaces or that it presents a potential for legacy exposure. Therefore, a TWA is not recommended.</w:t>
      </w:r>
      <w:r w:rsidRPr="007E34AA" w:rsidDel="007E34AA">
        <w:t xml:space="preserve"> </w:t>
      </w:r>
    </w:p>
    <w:p w14:paraId="1384E6F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F62A14A" w14:textId="3429526D" w:rsidR="003723A1" w:rsidRDefault="00145050" w:rsidP="00145050">
      <w:proofErr w:type="spellStart"/>
      <w:r>
        <w:t>Pentachloronaphthalene</w:t>
      </w:r>
      <w:proofErr w:type="spellEnd"/>
      <w:r w:rsidR="003723A1">
        <w:t xml:space="preserve"> is</w:t>
      </w:r>
      <w:r>
        <w:t xml:space="preserve"> used in electric wire insulation and as an additive to some lubricants.</w:t>
      </w:r>
      <w:r w:rsidR="005E4760">
        <w:t xml:space="preserve"> </w:t>
      </w:r>
      <w:r w:rsidR="00A503B9">
        <w:t>There is lack of evidence that this chemical is used or generated in Australian workplaces or that it presents a potential for legacy exposure.</w:t>
      </w:r>
    </w:p>
    <w:p w14:paraId="0E740C87" w14:textId="77777777" w:rsidR="00E26B8C" w:rsidRDefault="00145050" w:rsidP="00145050">
      <w:r>
        <w:t xml:space="preserve">The critical effect </w:t>
      </w:r>
      <w:r w:rsidR="003723A1">
        <w:t>of</w:t>
      </w:r>
      <w:r>
        <w:t xml:space="preserve"> exposure is liver damage.</w:t>
      </w:r>
      <w:r w:rsidR="003723A1">
        <w:t xml:space="preserve"> </w:t>
      </w:r>
    </w:p>
    <w:p w14:paraId="647581F7" w14:textId="72B1E074" w:rsidR="00145050" w:rsidRDefault="00145050" w:rsidP="00145050">
      <w:r>
        <w:t xml:space="preserve">Limited data exists in humans and animals. Chlorinated </w:t>
      </w:r>
      <w:proofErr w:type="spellStart"/>
      <w:r>
        <w:t>naphthalenes</w:t>
      </w:r>
      <w:proofErr w:type="spellEnd"/>
      <w:r>
        <w:t xml:space="preserve"> produce acne-like lesions </w:t>
      </w:r>
      <w:r w:rsidR="003723A1">
        <w:t xml:space="preserve">(chloracne) </w:t>
      </w:r>
      <w:r>
        <w:t xml:space="preserve">and may be absorbed through the skin. </w:t>
      </w:r>
      <w:r w:rsidR="00930BBC">
        <w:t>Cases of</w:t>
      </w:r>
      <w:r>
        <w:t xml:space="preserve"> toxic hepatitis </w:t>
      </w:r>
      <w:r w:rsidR="00930BBC">
        <w:t xml:space="preserve">were reported following </w:t>
      </w:r>
      <w:r>
        <w:t xml:space="preserve">exposure to </w:t>
      </w:r>
      <w:proofErr w:type="spellStart"/>
      <w:r>
        <w:t>pentachlorinated</w:t>
      </w:r>
      <w:proofErr w:type="spellEnd"/>
      <w:r>
        <w:t xml:space="preserve"> </w:t>
      </w:r>
      <w:proofErr w:type="spellStart"/>
      <w:r>
        <w:t>naphthalenes</w:t>
      </w:r>
      <w:proofErr w:type="spellEnd"/>
      <w:r w:rsidR="00A503B9">
        <w:t>. H</w:t>
      </w:r>
      <w:r>
        <w:t xml:space="preserve">owever, </w:t>
      </w:r>
      <w:r w:rsidR="00930BBC">
        <w:t xml:space="preserve">specific </w:t>
      </w:r>
      <w:r>
        <w:t>exposure information is not provided.</w:t>
      </w:r>
      <w:r w:rsidR="005D5F12">
        <w:t xml:space="preserve"> A</w:t>
      </w:r>
      <w:r w:rsidR="00930BBC">
        <w:t>uthors of a</w:t>
      </w:r>
      <w:r w:rsidR="005D5F12">
        <w:t xml:space="preserve"> study in 59 workers exposed to te</w:t>
      </w:r>
      <w:r w:rsidR="005E4760">
        <w:t xml:space="preserve">tra- and </w:t>
      </w:r>
      <w:proofErr w:type="spellStart"/>
      <w:r w:rsidR="005E4760">
        <w:t>pentachloronaphthalene</w:t>
      </w:r>
      <w:proofErr w:type="spellEnd"/>
      <w:r w:rsidR="00E51A68">
        <w:t xml:space="preserve"> vapour</w:t>
      </w:r>
      <w:r w:rsidR="005D5F12">
        <w:t xml:space="preserve"> reported </w:t>
      </w:r>
      <w:r w:rsidR="00930BBC">
        <w:t>dermatoses consistent</w:t>
      </w:r>
      <w:r w:rsidR="005D5F12">
        <w:t xml:space="preserve"> with chloracne resulting from skin contact</w:t>
      </w:r>
      <w:r w:rsidR="00930BBC">
        <w:t xml:space="preserve"> in all workers examined.</w:t>
      </w:r>
      <w:r w:rsidR="007160D4">
        <w:t xml:space="preserve"> </w:t>
      </w:r>
      <w:r w:rsidR="00930BBC">
        <w:t>S</w:t>
      </w:r>
      <w:r w:rsidR="005D5F12">
        <w:t>ystemic symptoms includ</w:t>
      </w:r>
      <w:r w:rsidR="00BF0FED">
        <w:t xml:space="preserve">ing headache, fatigue, vertigo </w:t>
      </w:r>
      <w:r w:rsidR="005D5F12">
        <w:t>and anorexia</w:t>
      </w:r>
      <w:r w:rsidR="00930BBC">
        <w:t xml:space="preserve"> were also noted</w:t>
      </w:r>
      <w:r w:rsidR="005D5F12">
        <w:t xml:space="preserve">. </w:t>
      </w:r>
      <w:r w:rsidR="00E26B8C">
        <w:t>Effects on the liver following exposure to concentrations of 1.16 to 1.44 mg/</w:t>
      </w:r>
      <w:r w:rsidR="00E26B8C" w:rsidRPr="00E26B8C">
        <w:t>m</w:t>
      </w:r>
      <w:r w:rsidR="00E26B8C" w:rsidRPr="00E26B8C">
        <w:rPr>
          <w:vertAlign w:val="superscript"/>
        </w:rPr>
        <w:t>3</w:t>
      </w:r>
      <w:r w:rsidR="00E26B8C">
        <w:t xml:space="preserve"> were reported in s</w:t>
      </w:r>
      <w:r w:rsidR="005D5F12" w:rsidRPr="00E26B8C">
        <w:t>ub</w:t>
      </w:r>
      <w:r w:rsidR="00E26B8C">
        <w:t>-</w:t>
      </w:r>
      <w:r w:rsidR="005D5F12">
        <w:t>chronic inhalation studies in rats</w:t>
      </w:r>
      <w:r w:rsidR="00157AD6">
        <w:t>; with effects described as definite liver injury and hepatic changes</w:t>
      </w:r>
      <w:r w:rsidR="00E26B8C">
        <w:t>,</w:t>
      </w:r>
      <w:r w:rsidR="00157AD6">
        <w:t xml:space="preserve"> respectively</w:t>
      </w:r>
      <w:r w:rsidR="005023B9">
        <w:t xml:space="preserve"> </w:t>
      </w:r>
      <w:r w:rsidR="005D5F12">
        <w:t>(ACGIH, 2018).</w:t>
      </w:r>
    </w:p>
    <w:p w14:paraId="4BD770B0" w14:textId="5A4B2F96" w:rsidR="00A503B9" w:rsidRDefault="00A503B9" w:rsidP="00145050">
      <w:r>
        <w:t>This chemical has been nominated for removal from the WES list. A TWA is not recommended.</w:t>
      </w:r>
    </w:p>
    <w:p w14:paraId="43E6353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1937662" w14:textId="77777777" w:rsidR="008E4F1F" w:rsidRPr="005D5F12" w:rsidRDefault="008E4F1F" w:rsidP="008E4F1F">
      <w:pPr>
        <w:rPr>
          <w:rFonts w:cs="Arial"/>
        </w:rPr>
      </w:pPr>
      <w:r w:rsidRPr="005D5F12">
        <w:rPr>
          <w:rFonts w:cs="Arial"/>
        </w:rPr>
        <w:t>Not classified as a carcinogen according to the Globally Harmonized System of Classification and Labelling o</w:t>
      </w:r>
      <w:r w:rsidR="007E443A">
        <w:rPr>
          <w:rFonts w:cs="Arial"/>
        </w:rPr>
        <w:t>f</w:t>
      </w:r>
      <w:r w:rsidRPr="005D5F12">
        <w:rPr>
          <w:rFonts w:cs="Arial"/>
        </w:rPr>
        <w:t xml:space="preserve"> Chemicals (GHS). </w:t>
      </w:r>
    </w:p>
    <w:p w14:paraId="413188C9" w14:textId="77777777" w:rsidR="008E4F1F" w:rsidRPr="005D5F12" w:rsidRDefault="008E4F1F" w:rsidP="008E4F1F">
      <w:pPr>
        <w:rPr>
          <w:rFonts w:cs="Arial"/>
        </w:rPr>
      </w:pPr>
      <w:r w:rsidRPr="005D5F12">
        <w:rPr>
          <w:rFonts w:cs="Arial"/>
        </w:rPr>
        <w:t xml:space="preserve">Not classified as a skin </w:t>
      </w:r>
      <w:r w:rsidR="007E443A" w:rsidRPr="005D5F12">
        <w:rPr>
          <w:rFonts w:cs="Arial"/>
        </w:rPr>
        <w:t xml:space="preserve">sensitiser </w:t>
      </w:r>
      <w:r w:rsidRPr="005D5F12">
        <w:rPr>
          <w:rFonts w:cs="Arial"/>
        </w:rPr>
        <w:t>or respiratory sensitiser according to the GHS.</w:t>
      </w:r>
    </w:p>
    <w:p w14:paraId="2459522D" w14:textId="77777777" w:rsidR="00E51A68" w:rsidRPr="004C23F4" w:rsidRDefault="00E51A68" w:rsidP="00E51A68">
      <w:pPr>
        <w:keepNext/>
        <w:rPr>
          <w:rFonts w:cs="Arial"/>
        </w:rPr>
      </w:pPr>
      <w:r>
        <w:rPr>
          <w:rFonts w:cs="Arial"/>
        </w:rPr>
        <w:lastRenderedPageBreak/>
        <w:t xml:space="preserve">A skin notation is recommended due to evidence of dermal absorption through intact skin which can contribute to total body burden and dermatitis in humans. </w:t>
      </w:r>
    </w:p>
    <w:p w14:paraId="11B242F2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EBEF30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E7E982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403799" w14:paraId="6A78F716" w14:textId="77777777" w:rsidTr="0040379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9A001FC" w14:textId="77777777" w:rsidR="00C978F0" w:rsidRPr="00403799" w:rsidRDefault="00C978F0" w:rsidP="007E443A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403799">
              <w:rPr>
                <w:b/>
              </w:rPr>
              <w:t>Source</w:t>
            </w:r>
            <w:r w:rsidR="00DA352E" w:rsidRPr="00403799">
              <w:rPr>
                <w:b/>
              </w:rPr>
              <w:tab/>
              <w:t>Year set</w:t>
            </w:r>
            <w:r w:rsidR="00DA352E" w:rsidRPr="00403799">
              <w:rPr>
                <w:b/>
              </w:rPr>
              <w:tab/>
              <w:t>Standard</w:t>
            </w:r>
            <w:r w:rsidR="00974F2D" w:rsidRPr="00403799">
              <w:rPr>
                <w:b/>
              </w:rPr>
              <w:tab/>
            </w:r>
          </w:p>
        </w:tc>
      </w:tr>
      <w:tr w:rsidR="00DE26E8" w:rsidRPr="003365A5" w14:paraId="0A6F086B" w14:textId="77777777" w:rsidTr="00403799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DABFF54" w14:textId="77777777" w:rsidR="00DE26E8" w:rsidRPr="003365A5" w:rsidRDefault="00DE26E8" w:rsidP="005E47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50C2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50C24">
                  <w:t>TWA: 0.5 mg/m</w:t>
                </w:r>
                <w:r w:rsidR="00550C24" w:rsidRPr="00550C2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C118A49" w14:textId="77777777" w:rsidTr="00403799">
        <w:trPr>
          <w:gridAfter w:val="1"/>
          <w:wAfter w:w="8" w:type="pct"/>
          <w:cantSplit/>
        </w:trPr>
        <w:tc>
          <w:tcPr>
            <w:tcW w:w="4992" w:type="pct"/>
          </w:tcPr>
          <w:p w14:paraId="60A2AE9C" w14:textId="77777777" w:rsidR="00C978F0" w:rsidRPr="00DA352E" w:rsidRDefault="00C978F0" w:rsidP="007E443A">
            <w:pPr>
              <w:pStyle w:val="Tabletextprimarysource"/>
            </w:pPr>
          </w:p>
        </w:tc>
      </w:tr>
      <w:tr w:rsidR="00C978F0" w:rsidRPr="00DA352E" w14:paraId="2EF1E51E" w14:textId="77777777" w:rsidTr="0040379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7F2F6C6" w14:textId="77777777" w:rsidR="00C978F0" w:rsidRPr="00DA352E" w:rsidRDefault="00DA352E" w:rsidP="005E47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50C2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50C24">
                  <w:t>TLV-</w:t>
                </w:r>
                <w:r w:rsidR="00550C24" w:rsidRPr="00550C24">
                  <w:t>TWA: 0.5 mg/m</w:t>
                </w:r>
                <w:r w:rsidR="00550C24" w:rsidRPr="00550C2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567481B1" w14:textId="77777777" w:rsidTr="00403799">
        <w:trPr>
          <w:gridAfter w:val="1"/>
          <w:wAfter w:w="8" w:type="pct"/>
          <w:cantSplit/>
        </w:trPr>
        <w:tc>
          <w:tcPr>
            <w:tcW w:w="4992" w:type="pct"/>
          </w:tcPr>
          <w:p w14:paraId="10EF8BEA" w14:textId="77777777" w:rsidR="00C978F0" w:rsidRDefault="000D381B" w:rsidP="007E443A">
            <w:pPr>
              <w:pStyle w:val="Tabletextprimarysource"/>
            </w:pPr>
            <w:r>
              <w:t>TLV-TWA recommended to minimise the potential for liver damage and for dermatitis in the form of chloracne.</w:t>
            </w:r>
          </w:p>
          <w:p w14:paraId="50D74595" w14:textId="77777777" w:rsidR="000D381B" w:rsidRDefault="000D381B" w:rsidP="007E443A">
            <w:pPr>
              <w:pStyle w:val="Tabletextprimarysource"/>
            </w:pPr>
            <w:r>
              <w:t>Summary of data:</w:t>
            </w:r>
          </w:p>
          <w:p w14:paraId="6D953A18" w14:textId="4AC38AAD" w:rsidR="000D381B" w:rsidRDefault="000D381B" w:rsidP="007E443A">
            <w:pPr>
              <w:pStyle w:val="Tabletextprimarysource"/>
            </w:pPr>
            <w:r>
              <w:t>OEL is based animal inhalation data</w:t>
            </w:r>
            <w:r w:rsidR="00157AD6">
              <w:t xml:space="preserve"> and a recommendation</w:t>
            </w:r>
            <w:r w:rsidR="00152F5B">
              <w:t xml:space="preserve"> of 0.5 mg/m</w:t>
            </w:r>
            <w:r w:rsidR="00152F5B">
              <w:rPr>
                <w:vertAlign w:val="superscript"/>
              </w:rPr>
              <w:t>3</w:t>
            </w:r>
            <w:r w:rsidR="00152F5B">
              <w:t xml:space="preserve"> as a safe limit by the authors of the studies</w:t>
            </w:r>
            <w:r>
              <w:t>; no specific derivation provided.</w:t>
            </w:r>
          </w:p>
          <w:p w14:paraId="10E2AA2D" w14:textId="77777777" w:rsidR="000D381B" w:rsidRDefault="000D381B" w:rsidP="007E443A">
            <w:pPr>
              <w:pStyle w:val="Tabletextprimarysource"/>
            </w:pPr>
            <w:r>
              <w:t>Human data:</w:t>
            </w:r>
          </w:p>
          <w:p w14:paraId="62A732C6" w14:textId="2CFCB0F6" w:rsidR="000D381B" w:rsidRDefault="000D381B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9 case reports of toxic hepatitis due to exposure to </w:t>
            </w:r>
            <w:r w:rsidR="00145050">
              <w:t xml:space="preserve">various </w:t>
            </w:r>
            <w:r>
              <w:t xml:space="preserve">chlorinated </w:t>
            </w:r>
            <w:proofErr w:type="spellStart"/>
            <w:r>
              <w:t>naphthalenes</w:t>
            </w:r>
            <w:proofErr w:type="spellEnd"/>
            <w:r>
              <w:t>; no further information</w:t>
            </w:r>
          </w:p>
          <w:p w14:paraId="4353B923" w14:textId="77777777" w:rsidR="000D381B" w:rsidRDefault="000D381B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7 cases of toxic hepatitis, 2 fatal following exposure to </w:t>
            </w:r>
            <w:proofErr w:type="spellStart"/>
            <w:r>
              <w:t>pentachlorinated</w:t>
            </w:r>
            <w:proofErr w:type="spellEnd"/>
            <w:r>
              <w:t xml:space="preserve"> </w:t>
            </w:r>
            <w:proofErr w:type="spellStart"/>
            <w:r>
              <w:t>naphthalenes</w:t>
            </w:r>
            <w:proofErr w:type="spellEnd"/>
            <w:r>
              <w:t>; no further information</w:t>
            </w:r>
          </w:p>
          <w:p w14:paraId="2068CE32" w14:textId="33A8A575" w:rsidR="003723A1" w:rsidRDefault="000D381B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Study in 59 workers exposed to tetra- and </w:t>
            </w:r>
            <w:proofErr w:type="spellStart"/>
            <w:r>
              <w:t>pentachloronaphthalene</w:t>
            </w:r>
            <w:proofErr w:type="spellEnd"/>
            <w:r>
              <w:t xml:space="preserve"> vapours</w:t>
            </w:r>
            <w:r w:rsidR="00A503B9">
              <w:t>:</w:t>
            </w:r>
            <w:r w:rsidR="008A3664">
              <w:t xml:space="preserve"> </w:t>
            </w:r>
          </w:p>
          <w:p w14:paraId="6E978251" w14:textId="537C9699" w:rsidR="00A503B9" w:rsidRDefault="00A503B9" w:rsidP="003723A1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56 workers showed dermatoses consistent with chloracne resulting from skin contact</w:t>
            </w:r>
          </w:p>
          <w:p w14:paraId="21EA64D6" w14:textId="6B02AD87" w:rsidR="000C5FD7" w:rsidRDefault="000D381B" w:rsidP="003723A1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systemic symptoms include headache, fatigue, vertigo and anorexia </w:t>
            </w:r>
          </w:p>
          <w:p w14:paraId="7DF23A12" w14:textId="7D4D84BE" w:rsidR="000D381B" w:rsidRDefault="000D381B" w:rsidP="003723A1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no further information</w:t>
            </w:r>
            <w:r w:rsidR="007E443A">
              <w:t>.</w:t>
            </w:r>
          </w:p>
          <w:p w14:paraId="50AAB3E2" w14:textId="77777777" w:rsidR="000D381B" w:rsidRDefault="000D381B" w:rsidP="007E443A">
            <w:pPr>
              <w:pStyle w:val="Tabletextprimarysource"/>
            </w:pPr>
            <w:r>
              <w:t>Animal data:</w:t>
            </w:r>
          </w:p>
          <w:p w14:paraId="3FC3BBF2" w14:textId="77777777" w:rsidR="000D381B" w:rsidRDefault="000D381B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Toxicity of chlorinated </w:t>
            </w:r>
            <w:proofErr w:type="spellStart"/>
            <w:r>
              <w:t>naphthalenes</w:t>
            </w:r>
            <w:proofErr w:type="spellEnd"/>
            <w:r>
              <w:t xml:space="preserve"> increased with the degree of chlorination</w:t>
            </w:r>
          </w:p>
          <w:p w14:paraId="530DFA65" w14:textId="77777777" w:rsidR="00D66516" w:rsidRDefault="00D66516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>Hepatic changes in rats following 143</w:t>
            </w:r>
            <w:r w:rsidR="00145050">
              <w:t xml:space="preserve"> x</w:t>
            </w:r>
            <w:r>
              <w:t xml:space="preserve"> 8</w:t>
            </w:r>
            <w:r w:rsidR="007E443A">
              <w:t xml:space="preserve"> </w:t>
            </w:r>
            <w:r>
              <w:t>h</w:t>
            </w:r>
            <w:r w:rsidR="00145050">
              <w:t xml:space="preserve"> </w:t>
            </w:r>
            <w:r>
              <w:t>exposures at 1.44 mg/m</w:t>
            </w:r>
            <w:r w:rsidRPr="00D66516">
              <w:rPr>
                <w:vertAlign w:val="superscript"/>
              </w:rPr>
              <w:t>3</w:t>
            </w:r>
            <w:r w:rsidR="00145050">
              <w:t>;</w:t>
            </w:r>
            <w:r>
              <w:t xml:space="preserve"> mixture of penta- and </w:t>
            </w:r>
            <w:proofErr w:type="spellStart"/>
            <w:r>
              <w:t>hexachloronaphthalenes</w:t>
            </w:r>
            <w:proofErr w:type="spellEnd"/>
            <w:r>
              <w:t>; no further information</w:t>
            </w:r>
          </w:p>
          <w:p w14:paraId="04926455" w14:textId="71212C87" w:rsidR="00157AD6" w:rsidRDefault="00A503B9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>Liver injury in r</w:t>
            </w:r>
            <w:r w:rsidR="00145050">
              <w:t xml:space="preserve">ats exposed to mixture of </w:t>
            </w:r>
            <w:r w:rsidR="00D66516">
              <w:t xml:space="preserve">hexa- and </w:t>
            </w:r>
            <w:proofErr w:type="spellStart"/>
            <w:r w:rsidR="00D66516">
              <w:t>pentachloronaphthalene</w:t>
            </w:r>
            <w:proofErr w:type="spellEnd"/>
            <w:r w:rsidR="00D66516">
              <w:t xml:space="preserve"> vapours at average concentration of 1.16 mg/m</w:t>
            </w:r>
            <w:r w:rsidR="00D66516">
              <w:rPr>
                <w:vertAlign w:val="superscript"/>
              </w:rPr>
              <w:t>3</w:t>
            </w:r>
            <w:r w:rsidR="00D66516">
              <w:t xml:space="preserve"> for 16 h d for up to 4.5 </w:t>
            </w:r>
            <w:proofErr w:type="spellStart"/>
            <w:r w:rsidR="00D66516">
              <w:t>mo</w:t>
            </w:r>
            <w:proofErr w:type="spellEnd"/>
            <w:r w:rsidR="00D66516">
              <w:t xml:space="preserve"> </w:t>
            </w:r>
          </w:p>
          <w:p w14:paraId="5A4BD978" w14:textId="44FD9839" w:rsidR="00D66516" w:rsidRDefault="00152F5B" w:rsidP="005E4760">
            <w:pPr>
              <w:pStyle w:val="ListBullet"/>
              <w:spacing w:before="60" w:after="60"/>
              <w:ind w:left="720"/>
              <w:contextualSpacing w:val="0"/>
            </w:pPr>
            <w:r>
              <w:t>Authors of the studies in rats recommend 0.5 mg/m</w:t>
            </w:r>
            <w:r>
              <w:rPr>
                <w:vertAlign w:val="superscript"/>
              </w:rPr>
              <w:t>3</w:t>
            </w:r>
            <w:r>
              <w:t xml:space="preserve"> as a safe limit for </w:t>
            </w:r>
            <w:proofErr w:type="spellStart"/>
            <w:r>
              <w:t>pentachloronaphthalene</w:t>
            </w:r>
            <w:proofErr w:type="spellEnd"/>
            <w:r w:rsidR="005023B9">
              <w:t>.</w:t>
            </w:r>
          </w:p>
          <w:p w14:paraId="2AE2B633" w14:textId="77777777" w:rsidR="00BF0FED" w:rsidRPr="00DA352E" w:rsidRDefault="00BF0FED" w:rsidP="003723A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750B7799" w14:textId="77777777" w:rsidTr="0040379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A041DC" w14:textId="77777777" w:rsidR="00C978F0" w:rsidRPr="00DA352E" w:rsidRDefault="00DA352E" w:rsidP="005E47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C342D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C342D">
                  <w:t>Not assigned</w:t>
                </w:r>
              </w:sdtContent>
            </w:sdt>
          </w:p>
        </w:tc>
      </w:tr>
      <w:tr w:rsidR="00C978F0" w:rsidRPr="00DA352E" w14:paraId="48FB4A3C" w14:textId="77777777" w:rsidTr="00403799">
        <w:trPr>
          <w:gridAfter w:val="1"/>
          <w:wAfter w:w="8" w:type="pct"/>
          <w:cantSplit/>
        </w:trPr>
        <w:tc>
          <w:tcPr>
            <w:tcW w:w="4992" w:type="pct"/>
          </w:tcPr>
          <w:p w14:paraId="53F83140" w14:textId="77777777" w:rsidR="007C1A56" w:rsidRDefault="007C1A56" w:rsidP="007E443A">
            <w:pPr>
              <w:pStyle w:val="Tabletextprimarysource"/>
            </w:pPr>
            <w:r>
              <w:t>No MAK assigned.</w:t>
            </w:r>
          </w:p>
          <w:p w14:paraId="73864A13" w14:textId="77777777" w:rsidR="007C1A56" w:rsidRDefault="007C1A56" w:rsidP="007E443A">
            <w:pPr>
              <w:pStyle w:val="Tabletextprimarysource"/>
            </w:pPr>
            <w:r>
              <w:t xml:space="preserve">Reviewed as part of chlorinated </w:t>
            </w:r>
            <w:proofErr w:type="spellStart"/>
            <w:r>
              <w:t>naphthalenes</w:t>
            </w:r>
            <w:proofErr w:type="spellEnd"/>
            <w:r>
              <w:t xml:space="preserve"> group.</w:t>
            </w:r>
          </w:p>
          <w:p w14:paraId="01D4B557" w14:textId="77777777" w:rsidR="00C978F0" w:rsidRDefault="007C1A56" w:rsidP="007E443A">
            <w:pPr>
              <w:pStyle w:val="Tabletextprimarysource"/>
            </w:pPr>
            <w:r>
              <w:t>No further data.</w:t>
            </w:r>
          </w:p>
          <w:p w14:paraId="583D7696" w14:textId="77777777" w:rsidR="00BF0FED" w:rsidRPr="00DA352E" w:rsidRDefault="00BF0FED" w:rsidP="007E443A">
            <w:pPr>
              <w:pStyle w:val="Tabletextprimarysource"/>
            </w:pPr>
          </w:p>
        </w:tc>
      </w:tr>
      <w:tr w:rsidR="00C978F0" w:rsidRPr="00DA352E" w14:paraId="3AD33E08" w14:textId="77777777" w:rsidTr="0040379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5BC64C" w14:textId="77777777" w:rsidR="00C978F0" w:rsidRPr="00DA352E" w:rsidRDefault="00DA352E" w:rsidP="005E47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4195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41956">
                  <w:t>NA</w:t>
                </w:r>
                <w:proofErr w:type="spellEnd"/>
              </w:sdtContent>
            </w:sdt>
          </w:p>
        </w:tc>
      </w:tr>
      <w:tr w:rsidR="00C978F0" w:rsidRPr="00DA352E" w14:paraId="6ABC05EB" w14:textId="77777777" w:rsidTr="00403799">
        <w:trPr>
          <w:gridAfter w:val="1"/>
          <w:wAfter w:w="8" w:type="pct"/>
          <w:cantSplit/>
        </w:trPr>
        <w:tc>
          <w:tcPr>
            <w:tcW w:w="4992" w:type="pct"/>
          </w:tcPr>
          <w:p w14:paraId="54FF8C73" w14:textId="77777777" w:rsidR="00C978F0" w:rsidRPr="00DA352E" w:rsidRDefault="00C41956" w:rsidP="007E443A">
            <w:pPr>
              <w:pStyle w:val="Tabletextprimarysource"/>
            </w:pPr>
            <w:r>
              <w:t>No report</w:t>
            </w:r>
            <w:r w:rsidR="007E443A">
              <w:t>.</w:t>
            </w:r>
          </w:p>
        </w:tc>
      </w:tr>
      <w:tr w:rsidR="00DA352E" w:rsidRPr="00DA352E" w14:paraId="7C33004B" w14:textId="77777777" w:rsidTr="0040379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3C0906" w14:textId="77777777" w:rsidR="00DA352E" w:rsidRPr="00DA352E" w:rsidRDefault="00DA352E" w:rsidP="005E47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677D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B677D3">
                  <w:t>NA</w:t>
                </w:r>
                <w:proofErr w:type="spellEnd"/>
              </w:sdtContent>
            </w:sdt>
          </w:p>
        </w:tc>
      </w:tr>
      <w:tr w:rsidR="00DA352E" w:rsidRPr="00DA352E" w14:paraId="38FF1FC3" w14:textId="77777777" w:rsidTr="00403799">
        <w:trPr>
          <w:gridAfter w:val="1"/>
          <w:wAfter w:w="8" w:type="pct"/>
          <w:cantSplit/>
        </w:trPr>
        <w:tc>
          <w:tcPr>
            <w:tcW w:w="4992" w:type="pct"/>
          </w:tcPr>
          <w:p w14:paraId="4B9F4AA3" w14:textId="77777777" w:rsidR="00DA352E" w:rsidRPr="00DA352E" w:rsidRDefault="00B677D3" w:rsidP="007E443A">
            <w:pPr>
              <w:pStyle w:val="Tabletextprimarysource"/>
            </w:pPr>
            <w:r>
              <w:t>No report</w:t>
            </w:r>
            <w:r w:rsidR="007E443A">
              <w:t>.</w:t>
            </w:r>
          </w:p>
        </w:tc>
      </w:tr>
      <w:tr w:rsidR="00DA352E" w:rsidRPr="00DA352E" w14:paraId="74D1D46C" w14:textId="77777777" w:rsidTr="00403799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725FCC" w14:textId="77777777" w:rsidR="00DA352E" w:rsidRPr="00DA352E" w:rsidRDefault="00DA352E" w:rsidP="005E4760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52A3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5E4760">
                  <w:t>TWA</w:t>
                </w:r>
                <w:r w:rsidR="00B677D3">
                  <w:t>: 0.5 mg/m</w:t>
                </w:r>
                <w:r w:rsidR="00B677D3" w:rsidRPr="00B677D3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2DF21B17" w14:textId="77777777" w:rsidTr="00403799">
        <w:trPr>
          <w:gridAfter w:val="1"/>
          <w:wAfter w:w="8" w:type="pct"/>
          <w:cantSplit/>
        </w:trPr>
        <w:tc>
          <w:tcPr>
            <w:tcW w:w="4992" w:type="pct"/>
          </w:tcPr>
          <w:p w14:paraId="30CF1FBB" w14:textId="77777777" w:rsidR="00A459B6" w:rsidRDefault="00A459B6" w:rsidP="007E443A">
            <w:pPr>
              <w:pStyle w:val="Tabletextprimarysource"/>
            </w:pPr>
            <w:r>
              <w:t>Administrative OEL.</w:t>
            </w:r>
          </w:p>
          <w:p w14:paraId="15012360" w14:textId="77777777" w:rsidR="00A459B6" w:rsidRDefault="00A459B6" w:rsidP="007E443A">
            <w:pPr>
              <w:pStyle w:val="Tabletextprimarysource"/>
            </w:pPr>
            <w:r>
              <w:t>Insufficient data to recommend a health-based OEL.</w:t>
            </w:r>
          </w:p>
          <w:p w14:paraId="67B6D691" w14:textId="77777777" w:rsidR="00DA352E" w:rsidRDefault="00A459B6" w:rsidP="007E443A">
            <w:pPr>
              <w:pStyle w:val="Tabletextprimarysource"/>
            </w:pPr>
            <w:r>
              <w:t>No further information.</w:t>
            </w:r>
          </w:p>
          <w:p w14:paraId="6C525775" w14:textId="77777777" w:rsidR="00BF0FED" w:rsidRPr="00DA352E" w:rsidRDefault="00BF0FED" w:rsidP="007E443A">
            <w:pPr>
              <w:pStyle w:val="Tabletextprimarysource"/>
            </w:pPr>
          </w:p>
        </w:tc>
      </w:tr>
    </w:tbl>
    <w:p w14:paraId="3C06174C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50B8A58F" w14:textId="368E874D" w:rsidR="007E2A4B" w:rsidRDefault="007E443A">
      <w:r>
        <w:t>NIL</w:t>
      </w:r>
      <w:r w:rsidR="003723A1">
        <w:t>.</w:t>
      </w:r>
    </w:p>
    <w:bookmarkEnd w:id="0"/>
    <w:p w14:paraId="56B44ED1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4324328" w14:textId="77777777" w:rsidTr="005D5F12">
        <w:trPr>
          <w:trHeight w:val="454"/>
          <w:tblHeader/>
        </w:trPr>
        <w:tc>
          <w:tcPr>
            <w:tcW w:w="6603" w:type="dxa"/>
            <w:vAlign w:val="center"/>
          </w:tcPr>
          <w:p w14:paraId="5E40890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CD5E154" w14:textId="77777777" w:rsidR="002E0D61" w:rsidRDefault="005D5F1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0E43550" w14:textId="77777777" w:rsidTr="005D5F1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747483E" w14:textId="77777777" w:rsidR="008A36CF" w:rsidRPr="006901A2" w:rsidRDefault="005D5F1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4AB764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0DDE2385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03799" w14:paraId="24C9BA8B" w14:textId="77777777" w:rsidTr="0040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E05568C" w14:textId="77777777" w:rsidR="00687890" w:rsidRPr="00403799" w:rsidRDefault="00687890" w:rsidP="00263255">
            <w:pPr>
              <w:pStyle w:val="Tableheader"/>
              <w:rPr>
                <w:b/>
              </w:rPr>
            </w:pPr>
            <w:bookmarkStart w:id="2" w:name="Notations"/>
            <w:r w:rsidRPr="00403799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DD5F94C" w14:textId="77777777" w:rsidR="00687890" w:rsidRPr="00403799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403799">
              <w:rPr>
                <w:b/>
              </w:rPr>
              <w:t>Notations</w:t>
            </w:r>
            <w:r w:rsidR="003A2B94" w:rsidRPr="00403799">
              <w:rPr>
                <w:b/>
              </w:rPr>
              <w:tab/>
            </w:r>
          </w:p>
        </w:tc>
      </w:tr>
      <w:tr w:rsidR="00687890" w:rsidRPr="004C23F4" w14:paraId="7E8265BE" w14:textId="77777777" w:rsidTr="00403799">
        <w:trPr>
          <w:cantSplit/>
        </w:trPr>
        <w:tc>
          <w:tcPr>
            <w:tcW w:w="3227" w:type="dxa"/>
          </w:tcPr>
          <w:p w14:paraId="6A06297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9723C5D" w14:textId="77777777" w:rsidR="00687890" w:rsidRPr="00DD2F9B" w:rsidRDefault="000C342D" w:rsidP="000C342D">
            <w:pPr>
              <w:pStyle w:val="Tablefont"/>
              <w:tabs>
                <w:tab w:val="left" w:pos="952"/>
              </w:tabs>
            </w:pPr>
            <w:r>
              <w:t>NA</w:t>
            </w:r>
          </w:p>
        </w:tc>
      </w:tr>
      <w:tr w:rsidR="007925F0" w:rsidRPr="004C23F4" w14:paraId="6B05D61A" w14:textId="77777777" w:rsidTr="00403799">
        <w:trPr>
          <w:cantSplit/>
        </w:trPr>
        <w:tc>
          <w:tcPr>
            <w:tcW w:w="3227" w:type="dxa"/>
          </w:tcPr>
          <w:p w14:paraId="6B861F6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370D771" w14:textId="77777777" w:rsidR="007925F0" w:rsidRPr="00DD2F9B" w:rsidRDefault="000C342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D6CE97D" w14:textId="77777777" w:rsidTr="00403799">
        <w:trPr>
          <w:cantSplit/>
        </w:trPr>
        <w:tc>
          <w:tcPr>
            <w:tcW w:w="3227" w:type="dxa"/>
          </w:tcPr>
          <w:p w14:paraId="59F38B4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F33B328" w14:textId="77777777" w:rsidR="00AF483F" w:rsidRPr="00DD2F9B" w:rsidRDefault="00252A3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0E7EF9C" w14:textId="77777777" w:rsidTr="00403799">
        <w:trPr>
          <w:cantSplit/>
        </w:trPr>
        <w:tc>
          <w:tcPr>
            <w:tcW w:w="3227" w:type="dxa"/>
          </w:tcPr>
          <w:p w14:paraId="46461FE0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B41A873" w14:textId="77777777" w:rsidR="00687890" w:rsidRPr="00DD2F9B" w:rsidRDefault="00252A3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A0AE330" w14:textId="77777777" w:rsidTr="00403799">
        <w:trPr>
          <w:cantSplit/>
        </w:trPr>
        <w:tc>
          <w:tcPr>
            <w:tcW w:w="3227" w:type="dxa"/>
          </w:tcPr>
          <w:p w14:paraId="0CE0177B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BF17B11" w14:textId="77777777" w:rsidR="00E41A26" w:rsidRPr="00DD2F9B" w:rsidRDefault="00EB06E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1DF6DD6" w14:textId="77777777" w:rsidTr="00403799">
        <w:trPr>
          <w:cantSplit/>
        </w:trPr>
        <w:tc>
          <w:tcPr>
            <w:tcW w:w="3227" w:type="dxa"/>
          </w:tcPr>
          <w:p w14:paraId="1EBA822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41EEFB8" w14:textId="77777777" w:rsidR="002E0D61" w:rsidRPr="00DD2F9B" w:rsidRDefault="000C342D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386E98D0" w14:textId="77777777" w:rsidTr="00403799">
        <w:trPr>
          <w:cantSplit/>
        </w:trPr>
        <w:tc>
          <w:tcPr>
            <w:tcW w:w="3227" w:type="dxa"/>
          </w:tcPr>
          <w:p w14:paraId="53859EA8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8246CCC" w14:textId="77777777" w:rsidR="002E0D61" w:rsidRPr="00DD2F9B" w:rsidRDefault="00C41956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1A9E1264" w14:textId="77777777" w:rsidTr="00403799">
        <w:trPr>
          <w:cantSplit/>
        </w:trPr>
        <w:tc>
          <w:tcPr>
            <w:tcW w:w="3227" w:type="dxa"/>
          </w:tcPr>
          <w:p w14:paraId="05E9411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07243C0" w14:textId="77777777" w:rsidR="002E0D61" w:rsidRPr="00DD2F9B" w:rsidRDefault="00252A39" w:rsidP="00DD2F9B">
            <w:pPr>
              <w:pStyle w:val="Tablefont"/>
            </w:pPr>
            <w:r>
              <w:t>NA</w:t>
            </w:r>
          </w:p>
        </w:tc>
        <w:bookmarkStart w:id="3" w:name="_GoBack"/>
        <w:bookmarkEnd w:id="3"/>
      </w:tr>
      <w:tr w:rsidR="002E0D61" w:rsidRPr="004C23F4" w14:paraId="5DF63FC6" w14:textId="77777777" w:rsidTr="00403799">
        <w:trPr>
          <w:cantSplit/>
        </w:trPr>
        <w:tc>
          <w:tcPr>
            <w:tcW w:w="3227" w:type="dxa"/>
          </w:tcPr>
          <w:p w14:paraId="3D34408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89D19DF" w14:textId="77777777" w:rsidR="002E0D61" w:rsidRPr="00DD2F9B" w:rsidRDefault="00252A3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D20464B" w14:textId="77777777" w:rsidTr="00403799">
        <w:trPr>
          <w:cantSplit/>
        </w:trPr>
        <w:tc>
          <w:tcPr>
            <w:tcW w:w="3227" w:type="dxa"/>
          </w:tcPr>
          <w:p w14:paraId="4AF97ED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0851916" w14:textId="77777777" w:rsidR="00386093" w:rsidRPr="00DD2F9B" w:rsidRDefault="001C147C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7F298A8" w14:textId="77777777" w:rsidTr="00403799">
        <w:trPr>
          <w:cantSplit/>
        </w:trPr>
        <w:tc>
          <w:tcPr>
            <w:tcW w:w="3227" w:type="dxa"/>
          </w:tcPr>
          <w:p w14:paraId="0A359B4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5924875" w14:textId="77777777" w:rsidR="00386093" w:rsidRPr="00DD2F9B" w:rsidRDefault="001C147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0D72AF0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997251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C01580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676860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38B97F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1246"/>
              <w:gridCol w:w="865"/>
              <w:gridCol w:w="2900"/>
              <w:gridCol w:w="865"/>
              <w:gridCol w:w="865"/>
              <w:gridCol w:w="2069"/>
            </w:tblGrid>
            <w:tr w:rsidR="00E51A68" w:rsidRPr="00E51A68" w14:paraId="0E56D26A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9A939B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1D686A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3B92CE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E7BE30A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1C200B9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A2B06B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51A68" w:rsidRPr="00E51A68" w14:paraId="26DCAC63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D2E24F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40B436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4E4859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3A31CE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95A3DF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BC7B8D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51A68" w:rsidRPr="00E51A68" w14:paraId="516B0155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CE1579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1AB60C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C6C433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61AA33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CB3FEB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5FE899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51A68" w:rsidRPr="00E51A68" w14:paraId="623E319C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1F0C39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24A139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4A0296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523080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1B69A8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B10CA0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51A68" w:rsidRPr="00E51A68" w14:paraId="1E48D262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022590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67AA66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C0107E3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985A9F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D9405C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86BE8B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51A68" w:rsidRPr="00E51A68" w14:paraId="4A1B60A0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BBC50D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83808E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E79298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F7DE0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BCDE1B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A18295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E51A68" w:rsidRPr="00E51A68" w14:paraId="61DDAAB0" w14:textId="77777777" w:rsidTr="00E51A68">
              <w:trPr>
                <w:trHeight w:val="342"/>
              </w:trPr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56B371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2EBD4E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214F93" w14:textId="77777777" w:rsidR="00E51A68" w:rsidRPr="00E51A68" w:rsidRDefault="00E51A68" w:rsidP="00E51A6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F68627" w14:textId="77777777" w:rsidR="00E51A68" w:rsidRPr="00E51A68" w:rsidRDefault="00E51A68" w:rsidP="00E51A6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857883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  <w:p w14:paraId="0F6CF41D" w14:textId="77777777" w:rsidR="00E51A68" w:rsidRPr="00E51A68" w:rsidRDefault="00E51A68" w:rsidP="00E51A6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E51A6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0FEA1DF2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3D52C54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C495D9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B667AF3" w14:textId="77777777" w:rsidR="00EB3D1B" w:rsidRPr="005E4760" w:rsidRDefault="00EB3D1B" w:rsidP="00D87570">
            <w:pPr>
              <w:pStyle w:val="Tablefont"/>
            </w:pPr>
            <w:r w:rsidRPr="005E4760">
              <w:t xml:space="preserve">Is there a </w:t>
            </w:r>
            <w:r w:rsidR="006E5D05" w:rsidRPr="005E4760">
              <w:t>suitable</w:t>
            </w:r>
            <w:r w:rsidRPr="005E4760"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15878D6D" w14:textId="4814FDE3" w:rsidR="00EB3D1B" w:rsidRPr="005E4760" w:rsidRDefault="003C4C0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597951C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62DA5A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34042A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34A5862" w14:textId="77777777" w:rsidR="001B79E5" w:rsidRDefault="00E51A68" w:rsidP="001B79E5">
                <w:pPr>
                  <w:pStyle w:val="Tablefont"/>
                </w:pPr>
                <w:r>
                  <w:t>300.4</w:t>
                </w:r>
              </w:p>
            </w:tc>
          </w:sdtContent>
        </w:sdt>
      </w:tr>
      <w:tr w:rsidR="00A31D99" w:rsidRPr="004C23F4" w14:paraId="274F5CB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037FF4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4864C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34C06E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AA5CA2E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54A026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824A59" w14:textId="77777777" w:rsidTr="00EA6243">
        <w:trPr>
          <w:cantSplit/>
        </w:trPr>
        <w:tc>
          <w:tcPr>
            <w:tcW w:w="4077" w:type="dxa"/>
            <w:vAlign w:val="center"/>
          </w:tcPr>
          <w:p w14:paraId="46B0EC8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C6F14EC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C93A842" w14:textId="77777777" w:rsidTr="00EA6243">
        <w:trPr>
          <w:cantSplit/>
        </w:trPr>
        <w:tc>
          <w:tcPr>
            <w:tcW w:w="4077" w:type="dxa"/>
            <w:vAlign w:val="center"/>
          </w:tcPr>
          <w:p w14:paraId="4D6AFD0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C7A582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016641F" w14:textId="77777777" w:rsidTr="00EA6243">
        <w:trPr>
          <w:cantSplit/>
        </w:trPr>
        <w:tc>
          <w:tcPr>
            <w:tcW w:w="4077" w:type="dxa"/>
            <w:vAlign w:val="center"/>
          </w:tcPr>
          <w:p w14:paraId="67AA9D4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7609A91" w14:textId="77777777" w:rsidR="00E06F40" w:rsidRPr="00A006A0" w:rsidRDefault="00403799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60BE2FD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13B7FF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10FC2C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4B00EF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897297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2A9C75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651BB9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A1D786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7A071D6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13C12F5" w14:textId="77777777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69732D">
        <w:t>1999</w:t>
      </w:r>
      <w:r>
        <w:t xml:space="preserve">) </w:t>
      </w:r>
      <w:r w:rsidR="0069732D" w:rsidRPr="0069732D">
        <w:t xml:space="preserve">Chlorinated </w:t>
      </w:r>
      <w:proofErr w:type="spellStart"/>
      <w:r w:rsidR="0069732D" w:rsidRPr="0069732D">
        <w:t>naphthalenes</w:t>
      </w:r>
      <w:proofErr w:type="spellEnd"/>
      <w:r>
        <w:t xml:space="preserve"> – MAK value documentation.</w:t>
      </w:r>
    </w:p>
    <w:p w14:paraId="38B01047" w14:textId="77777777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AF3960">
        <w:t>2001</w:t>
      </w:r>
      <w:r>
        <w:t xml:space="preserve">) </w:t>
      </w:r>
      <w:proofErr w:type="spellStart"/>
      <w:r w:rsidR="00AF3960" w:rsidRPr="00AF3960">
        <w:t>Pentachloronaphthalene</w:t>
      </w:r>
      <w:proofErr w:type="spellEnd"/>
      <w:r w:rsidRPr="005F7416">
        <w:t xml:space="preserve">. </w:t>
      </w:r>
      <w:r w:rsidR="00AF3960" w:rsidRPr="00AF3960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AF3960">
        <w:t>2000/15OSH/025</w:t>
      </w:r>
      <w:r>
        <w:t>.</w:t>
      </w:r>
    </w:p>
    <w:p w14:paraId="556D5460" w14:textId="77777777" w:rsidR="008E4F1F" w:rsidRDefault="008E4F1F" w:rsidP="008E4F1F">
      <w:pPr>
        <w:rPr>
          <w:b/>
        </w:rPr>
      </w:pPr>
      <w:r w:rsidRPr="009E42AA">
        <w:t>US National Institute for Occupational Safety and Health (NIOSH) (</w:t>
      </w:r>
      <w:sdt>
        <w:sdtPr>
          <w:id w:val="-1194999823"/>
          <w:placeholder>
            <w:docPart w:val="FB0307FD2095404C9CFBE1E594ADF091"/>
          </w:placeholder>
          <w:temporary/>
          <w:showingPlcHdr/>
        </w:sdtPr>
        <w:sdtEndPr/>
        <w:sdtContent>
          <w:r w:rsidRPr="009E42AA">
            <w:rPr>
              <w:color w:val="000000" w:themeColor="text1"/>
            </w:rPr>
            <w:t>1994</w:t>
          </w:r>
        </w:sdtContent>
      </w:sdt>
      <w:r w:rsidRPr="009E42AA">
        <w:t xml:space="preserve">) Immediately dangerous to life or health concentrations – </w:t>
      </w:r>
      <w:proofErr w:type="spellStart"/>
      <w:r w:rsidR="006E4B58" w:rsidRPr="009E42AA">
        <w:t>pentachloronaphthalene</w:t>
      </w:r>
      <w:proofErr w:type="spellEnd"/>
      <w:r w:rsidRPr="009E42AA">
        <w:t>.</w:t>
      </w:r>
    </w:p>
    <w:p w14:paraId="5E4AC5E2" w14:textId="77777777" w:rsidR="008E4F1F" w:rsidRPr="00351FE0" w:rsidRDefault="008E4F1F" w:rsidP="00084859"/>
    <w:sectPr w:rsidR="008E4F1F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81737" w14:textId="77777777" w:rsidR="001D5CBA" w:rsidRDefault="001D5CBA" w:rsidP="00F43AD5">
      <w:pPr>
        <w:spacing w:after="0" w:line="240" w:lineRule="auto"/>
      </w:pPr>
      <w:r>
        <w:separator/>
      </w:r>
    </w:p>
  </w:endnote>
  <w:endnote w:type="continuationSeparator" w:id="0">
    <w:p w14:paraId="77D6A579" w14:textId="77777777" w:rsidR="001D5CBA" w:rsidRDefault="001D5CB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FA58" w14:textId="77777777" w:rsidR="00403799" w:rsidRDefault="0040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C401EC" w14:textId="77777777" w:rsidR="008A36CF" w:rsidRDefault="000A18A8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Pentachloronaphthalene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0A18A8">
          <w:rPr>
            <w:b/>
            <w:sz w:val="18"/>
            <w:szCs w:val="18"/>
          </w:rPr>
          <w:t>1321-64-8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5E4760">
          <w:rPr>
            <w:sz w:val="18"/>
            <w:szCs w:val="18"/>
          </w:rPr>
          <w:t xml:space="preserve"> 2020</w:t>
        </w:r>
      </w:p>
      <w:p w14:paraId="438A9BC4" w14:textId="63A57B8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C4C0E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9B84" w14:textId="77777777" w:rsidR="00403799" w:rsidRDefault="0040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C8E8C" w14:textId="77777777" w:rsidR="001D5CBA" w:rsidRDefault="001D5CBA" w:rsidP="00F43AD5">
      <w:pPr>
        <w:spacing w:after="0" w:line="240" w:lineRule="auto"/>
      </w:pPr>
      <w:r>
        <w:separator/>
      </w:r>
    </w:p>
  </w:footnote>
  <w:footnote w:type="continuationSeparator" w:id="0">
    <w:p w14:paraId="2DC80684" w14:textId="77777777" w:rsidR="001D5CBA" w:rsidRDefault="001D5CB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0B2E" w14:textId="277B5AC2" w:rsidR="00403799" w:rsidRDefault="00403799">
    <w:pPr>
      <w:pStyle w:val="Header"/>
    </w:pPr>
    <w:r>
      <w:rPr>
        <w:noProof/>
      </w:rPr>
      <w:pict w14:anchorId="70A290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03454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159A" w14:textId="6E7082E5" w:rsidR="008A36CF" w:rsidRDefault="00403799" w:rsidP="00F43AD5">
    <w:pPr>
      <w:pStyle w:val="Header"/>
      <w:jc w:val="right"/>
    </w:pPr>
    <w:r>
      <w:rPr>
        <w:noProof/>
      </w:rPr>
      <w:pict w14:anchorId="790FCE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03455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8A36CF">
      <w:rPr>
        <w:noProof/>
        <w:lang w:eastAsia="en-AU"/>
      </w:rPr>
      <w:drawing>
        <wp:inline distT="0" distB="0" distL="0" distR="0" wp14:anchorId="1F068C1E" wp14:editId="593A206E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1F61D" w14:textId="1E808327" w:rsidR="00403799" w:rsidRDefault="00403799">
    <w:pPr>
      <w:pStyle w:val="Header"/>
    </w:pPr>
    <w:r>
      <w:rPr>
        <w:noProof/>
      </w:rPr>
      <w:pict w14:anchorId="2445A2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03453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9715" w14:textId="7EDE0606" w:rsidR="00403799" w:rsidRDefault="00403799">
    <w:pPr>
      <w:pStyle w:val="Header"/>
    </w:pPr>
    <w:r>
      <w:rPr>
        <w:noProof/>
      </w:rPr>
      <w:pict w14:anchorId="6056D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03457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70CC" w14:textId="1660C761" w:rsidR="008A36CF" w:rsidRDefault="00403799" w:rsidP="00F43AD5">
    <w:pPr>
      <w:pStyle w:val="Header"/>
      <w:jc w:val="right"/>
    </w:pPr>
    <w:r>
      <w:rPr>
        <w:noProof/>
      </w:rPr>
      <w:pict w14:anchorId="3C3D4A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03458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60F55F51" wp14:editId="405683DD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82CC" w14:textId="7F573309" w:rsidR="00403799" w:rsidRDefault="00403799">
    <w:pPr>
      <w:pStyle w:val="Header"/>
    </w:pPr>
    <w:r>
      <w:rPr>
        <w:noProof/>
      </w:rPr>
      <w:pict w14:anchorId="121D0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03456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3C67C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308A6"/>
    <w:multiLevelType w:val="hybridMultilevel"/>
    <w:tmpl w:val="0D3C3C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6ABD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18A8"/>
    <w:rsid w:val="000B0868"/>
    <w:rsid w:val="000B3E12"/>
    <w:rsid w:val="000B3E78"/>
    <w:rsid w:val="000B7B48"/>
    <w:rsid w:val="000C096D"/>
    <w:rsid w:val="000C139A"/>
    <w:rsid w:val="000C2053"/>
    <w:rsid w:val="000C248C"/>
    <w:rsid w:val="000C342D"/>
    <w:rsid w:val="000C5FD7"/>
    <w:rsid w:val="000D291C"/>
    <w:rsid w:val="000D381B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5050"/>
    <w:rsid w:val="00146545"/>
    <w:rsid w:val="00146B75"/>
    <w:rsid w:val="0015266D"/>
    <w:rsid w:val="0015288A"/>
    <w:rsid w:val="00152F5B"/>
    <w:rsid w:val="00157AD6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5870"/>
    <w:rsid w:val="001B1456"/>
    <w:rsid w:val="001B79E5"/>
    <w:rsid w:val="001C147C"/>
    <w:rsid w:val="001D56F0"/>
    <w:rsid w:val="001D5CBA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2A39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23A1"/>
    <w:rsid w:val="00386093"/>
    <w:rsid w:val="003904A4"/>
    <w:rsid w:val="00391841"/>
    <w:rsid w:val="00391B6D"/>
    <w:rsid w:val="00394922"/>
    <w:rsid w:val="003A0E32"/>
    <w:rsid w:val="003A2B94"/>
    <w:rsid w:val="003B0B3B"/>
    <w:rsid w:val="003B387D"/>
    <w:rsid w:val="003C0D58"/>
    <w:rsid w:val="003C4C0E"/>
    <w:rsid w:val="003D4FA3"/>
    <w:rsid w:val="003E0807"/>
    <w:rsid w:val="003E4785"/>
    <w:rsid w:val="003E51FB"/>
    <w:rsid w:val="003E6B39"/>
    <w:rsid w:val="003F07E1"/>
    <w:rsid w:val="004030BC"/>
    <w:rsid w:val="00403799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487A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3B9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0C24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D5F12"/>
    <w:rsid w:val="005E4760"/>
    <w:rsid w:val="005E6979"/>
    <w:rsid w:val="005E75CB"/>
    <w:rsid w:val="006013C1"/>
    <w:rsid w:val="0060669E"/>
    <w:rsid w:val="00610F2E"/>
    <w:rsid w:val="00611399"/>
    <w:rsid w:val="00624C4E"/>
    <w:rsid w:val="00625200"/>
    <w:rsid w:val="006261BC"/>
    <w:rsid w:val="006363A8"/>
    <w:rsid w:val="00636DB7"/>
    <w:rsid w:val="006436AE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4160"/>
    <w:rsid w:val="00677D9B"/>
    <w:rsid w:val="006867F3"/>
    <w:rsid w:val="00687890"/>
    <w:rsid w:val="006901A2"/>
    <w:rsid w:val="00690368"/>
    <w:rsid w:val="0069079C"/>
    <w:rsid w:val="00690B53"/>
    <w:rsid w:val="00695B72"/>
    <w:rsid w:val="0069732D"/>
    <w:rsid w:val="006B160A"/>
    <w:rsid w:val="006B4E6C"/>
    <w:rsid w:val="006B50B6"/>
    <w:rsid w:val="006D79EA"/>
    <w:rsid w:val="006E4B58"/>
    <w:rsid w:val="006E5D05"/>
    <w:rsid w:val="00701053"/>
    <w:rsid w:val="00701507"/>
    <w:rsid w:val="0070348F"/>
    <w:rsid w:val="00714021"/>
    <w:rsid w:val="007160D4"/>
    <w:rsid w:val="00716A0F"/>
    <w:rsid w:val="00717D45"/>
    <w:rsid w:val="007208F7"/>
    <w:rsid w:val="007218AF"/>
    <w:rsid w:val="007240E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1A56"/>
    <w:rsid w:val="007C30EB"/>
    <w:rsid w:val="007E063C"/>
    <w:rsid w:val="007E2A4B"/>
    <w:rsid w:val="007E307D"/>
    <w:rsid w:val="007E34AA"/>
    <w:rsid w:val="007E443A"/>
    <w:rsid w:val="007E6A4E"/>
    <w:rsid w:val="007E6C94"/>
    <w:rsid w:val="007F1005"/>
    <w:rsid w:val="007F25E0"/>
    <w:rsid w:val="007F5328"/>
    <w:rsid w:val="00804F5A"/>
    <w:rsid w:val="00810C6D"/>
    <w:rsid w:val="00812887"/>
    <w:rsid w:val="00815AA2"/>
    <w:rsid w:val="00826F21"/>
    <w:rsid w:val="00834CC8"/>
    <w:rsid w:val="00835E00"/>
    <w:rsid w:val="00837113"/>
    <w:rsid w:val="008414E4"/>
    <w:rsid w:val="00843E21"/>
    <w:rsid w:val="0084508E"/>
    <w:rsid w:val="00857014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64"/>
    <w:rsid w:val="008A36CF"/>
    <w:rsid w:val="008A3BC4"/>
    <w:rsid w:val="008B3C67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0BBC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5219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42AA"/>
    <w:rsid w:val="009E63E2"/>
    <w:rsid w:val="009F04D2"/>
    <w:rsid w:val="009F05CF"/>
    <w:rsid w:val="009F0F3A"/>
    <w:rsid w:val="00A01D0C"/>
    <w:rsid w:val="00A0399B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59B6"/>
    <w:rsid w:val="00A503B9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3960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4638"/>
    <w:rsid w:val="00B479A9"/>
    <w:rsid w:val="00B52EDF"/>
    <w:rsid w:val="00B677D3"/>
    <w:rsid w:val="00B71188"/>
    <w:rsid w:val="00B76A41"/>
    <w:rsid w:val="00B85538"/>
    <w:rsid w:val="00B87D4C"/>
    <w:rsid w:val="00B93646"/>
    <w:rsid w:val="00BA0B38"/>
    <w:rsid w:val="00BA1DBB"/>
    <w:rsid w:val="00BA4510"/>
    <w:rsid w:val="00BA529A"/>
    <w:rsid w:val="00BB2E9D"/>
    <w:rsid w:val="00BB612A"/>
    <w:rsid w:val="00BD499F"/>
    <w:rsid w:val="00BD56DE"/>
    <w:rsid w:val="00BF0FED"/>
    <w:rsid w:val="00BF2406"/>
    <w:rsid w:val="00C06E43"/>
    <w:rsid w:val="00C16315"/>
    <w:rsid w:val="00C3091E"/>
    <w:rsid w:val="00C30B9F"/>
    <w:rsid w:val="00C40FF1"/>
    <w:rsid w:val="00C41956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592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3DB1"/>
    <w:rsid w:val="00D44C89"/>
    <w:rsid w:val="00D516CD"/>
    <w:rsid w:val="00D66516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4E95"/>
    <w:rsid w:val="00E06F40"/>
    <w:rsid w:val="00E072B6"/>
    <w:rsid w:val="00E07CE8"/>
    <w:rsid w:val="00E26A07"/>
    <w:rsid w:val="00E26B8C"/>
    <w:rsid w:val="00E32595"/>
    <w:rsid w:val="00E37CFD"/>
    <w:rsid w:val="00E41A26"/>
    <w:rsid w:val="00E46BCB"/>
    <w:rsid w:val="00E51A68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06E8"/>
    <w:rsid w:val="00EB3D1B"/>
    <w:rsid w:val="00EB7DC7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3C54"/>
    <w:rsid w:val="00F87D92"/>
    <w:rsid w:val="00F90AA7"/>
    <w:rsid w:val="00F92498"/>
    <w:rsid w:val="00F9496B"/>
    <w:rsid w:val="00F9686C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0DED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D381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0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0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014"/>
    <w:rPr>
      <w:b/>
      <w:bCs/>
      <w:szCs w:val="20"/>
    </w:rPr>
  </w:style>
  <w:style w:type="paragraph" w:styleId="Revision">
    <w:name w:val="Revision"/>
    <w:hidden/>
    <w:uiPriority w:val="99"/>
    <w:semiHidden/>
    <w:rsid w:val="00502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B0307FD2095404C9CFBE1E594AD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C447-0BA0-4090-95C6-CC9FF0695D56}"/>
      </w:docPartPr>
      <w:docPartBody>
        <w:p w:rsidR="00A838F0" w:rsidRDefault="00347D16" w:rsidP="00347D16">
          <w:pPr>
            <w:pStyle w:val="FB0307FD2095404C9CFBE1E594ADF09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0D00C6B94D7341398DC986CA1D03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1CC0-E183-44FC-8A03-AE47FAD41FF4}"/>
      </w:docPartPr>
      <w:docPartBody>
        <w:p w:rsidR="008F3AF8" w:rsidRDefault="004F436A" w:rsidP="004F436A">
          <w:pPr>
            <w:pStyle w:val="0D00C6B94D7341398DC986CA1D03C96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347D16"/>
    <w:rsid w:val="003E0149"/>
    <w:rsid w:val="004F436A"/>
    <w:rsid w:val="008F3AF8"/>
    <w:rsid w:val="00973E87"/>
    <w:rsid w:val="00A838F0"/>
    <w:rsid w:val="00B03DF1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36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0D00C6B94D7341398DC986CA1D03C961">
    <w:name w:val="0D00C6B94D7341398DC986CA1D03C961"/>
    <w:rsid w:val="004F4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5D398-DDB4-45CC-B083-B5EA06E2E062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bf54d604-3e62-4e70-ba33-9e9084b96a66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67A12C-475D-49FB-A725-E8C8A0B5C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9340F-8271-4348-AEFA-0BC82267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97CEC-EB6E-4A7C-9C0F-CA64796B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2020-02-10T02:43:00Z</dcterms:created>
  <dcterms:modified xsi:type="dcterms:W3CDTF">2020-03-12T23:22:00Z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