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6D14C228" w14:textId="77777777" w:rsidR="00BD499F" w:rsidRPr="004C23F4" w:rsidRDefault="00751C41" w:rsidP="00B40C60">
          <w:pPr>
            <w:pStyle w:val="Heading1"/>
            <w:jc w:val="center"/>
            <w:rPr>
              <w:rFonts w:ascii="Arial" w:hAnsi="Arial" w:cs="Arial"/>
            </w:rPr>
          </w:pPr>
          <w:r w:rsidRPr="00751C41">
            <w:rPr>
              <w:rFonts w:ascii="Arial" w:hAnsi="Arial" w:cs="Arial"/>
            </w:rPr>
            <w:t>Propylene oxide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69"/>
        <w:gridCol w:w="5057"/>
      </w:tblGrid>
      <w:tr w:rsidR="00F43AD5" w:rsidRPr="004C23F4" w14:paraId="217966C9" w14:textId="77777777" w:rsidTr="00B76A41">
        <w:trPr>
          <w:cantSplit/>
          <w:tblHeader/>
        </w:trPr>
        <w:tc>
          <w:tcPr>
            <w:tcW w:w="4077" w:type="dxa"/>
          </w:tcPr>
          <w:p w14:paraId="506957B1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7455FA8A" w14:textId="77777777" w:rsidR="00F43AD5" w:rsidRPr="00717D45" w:rsidRDefault="00751C41" w:rsidP="00B76A41">
            <w:pPr>
              <w:pStyle w:val="Tablefont"/>
            </w:pPr>
            <w:r w:rsidRPr="00751C41">
              <w:t>75-56-9</w:t>
            </w:r>
          </w:p>
        </w:tc>
      </w:tr>
      <w:tr w:rsidR="00F43AD5" w:rsidRPr="004C23F4" w14:paraId="3097EBEB" w14:textId="77777777" w:rsidTr="00B76A41">
        <w:trPr>
          <w:cantSplit/>
        </w:trPr>
        <w:tc>
          <w:tcPr>
            <w:tcW w:w="4077" w:type="dxa"/>
          </w:tcPr>
          <w:p w14:paraId="4969012A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5C5E816C" w14:textId="77777777" w:rsidR="00F43AD5" w:rsidRPr="00717D45" w:rsidRDefault="00751C41" w:rsidP="00B76A41">
            <w:pPr>
              <w:pStyle w:val="Tablefont"/>
            </w:pPr>
            <w:r>
              <w:t xml:space="preserve">1,2-Epoxypropane, 2,3-epoxypropane, methyl ethylene oxide, </w:t>
            </w:r>
            <w:proofErr w:type="spellStart"/>
            <w:r>
              <w:t>methyloxacyclopropane</w:t>
            </w:r>
            <w:proofErr w:type="spellEnd"/>
            <w:r>
              <w:t xml:space="preserve">, </w:t>
            </w:r>
            <w:proofErr w:type="spellStart"/>
            <w:r>
              <w:t>methyloxirane</w:t>
            </w:r>
            <w:proofErr w:type="spellEnd"/>
            <w:r>
              <w:t>, propene oxide, 1,2-propylene oxide</w:t>
            </w:r>
          </w:p>
        </w:tc>
      </w:tr>
      <w:tr w:rsidR="00F43AD5" w:rsidRPr="004C23F4" w14:paraId="7BCD01C9" w14:textId="77777777" w:rsidTr="00B76A41">
        <w:trPr>
          <w:cantSplit/>
        </w:trPr>
        <w:tc>
          <w:tcPr>
            <w:tcW w:w="4077" w:type="dxa"/>
          </w:tcPr>
          <w:p w14:paraId="4F426E7C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42957C44" w14:textId="77777777" w:rsidR="00F43AD5" w:rsidRPr="00717D45" w:rsidRDefault="00751C41" w:rsidP="00B76A41">
            <w:pPr>
              <w:pStyle w:val="Tablefont"/>
            </w:pPr>
            <w:r>
              <w:t>C</w:t>
            </w:r>
            <w:r w:rsidRPr="00751C41">
              <w:rPr>
                <w:vertAlign w:val="subscript"/>
              </w:rPr>
              <w:t>3</w:t>
            </w:r>
            <w:r>
              <w:t>H</w:t>
            </w:r>
            <w:r w:rsidRPr="00751C41">
              <w:rPr>
                <w:vertAlign w:val="subscript"/>
              </w:rPr>
              <w:t>6</w:t>
            </w:r>
            <w:r>
              <w:t>O</w:t>
            </w:r>
          </w:p>
        </w:tc>
      </w:tr>
      <w:tr w:rsidR="00F43AD5" w:rsidRPr="004C23F4" w14:paraId="01CC5C07" w14:textId="77777777" w:rsidTr="00B76A41">
        <w:trPr>
          <w:cantSplit/>
        </w:trPr>
        <w:tc>
          <w:tcPr>
            <w:tcW w:w="4077" w:type="dxa"/>
          </w:tcPr>
          <w:p w14:paraId="02CA67FF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2A044B60" w14:textId="77777777" w:rsidR="00F43AD5" w:rsidRPr="00B40C60" w:rsidRDefault="00037E52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17F31ADD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FE5C6C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5C9EB98F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645A4B1B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77002BD6" w14:textId="77777777" w:rsidR="002C7AFE" w:rsidRPr="00FE5C6C" w:rsidRDefault="00FE5C6C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2 ppm (4.8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037E52" w:rsidRPr="004C23F4" w14:paraId="26CE9B6E" w14:textId="77777777" w:rsidTr="00037E52">
        <w:trPr>
          <w:cantSplit/>
        </w:trPr>
        <w:tc>
          <w:tcPr>
            <w:tcW w:w="4010" w:type="dxa"/>
            <w:vAlign w:val="center"/>
          </w:tcPr>
          <w:p w14:paraId="504196DD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7F45760C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36363158" w14:textId="77777777" w:rsidTr="00037E52">
        <w:trPr>
          <w:cantSplit/>
        </w:trPr>
        <w:tc>
          <w:tcPr>
            <w:tcW w:w="4010" w:type="dxa"/>
            <w:vAlign w:val="center"/>
          </w:tcPr>
          <w:p w14:paraId="5F2D822E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6FE819E4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55B3BDE7" w14:textId="77777777" w:rsidTr="00037E52">
        <w:trPr>
          <w:cantSplit/>
        </w:trPr>
        <w:tc>
          <w:tcPr>
            <w:tcW w:w="4010" w:type="dxa"/>
          </w:tcPr>
          <w:p w14:paraId="580FDE00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73C48874" w14:textId="77777777" w:rsidR="00037E52" w:rsidRPr="00EB3D1B" w:rsidRDefault="00AD7E82" w:rsidP="00037E52">
            <w:pPr>
              <w:pStyle w:val="Tablefont"/>
              <w:rPr>
                <w:b/>
              </w:rPr>
            </w:pPr>
            <w:proofErr w:type="spellStart"/>
            <w:r>
              <w:rPr>
                <w:b/>
              </w:rPr>
              <w:t>Carc</w:t>
            </w:r>
            <w:proofErr w:type="spellEnd"/>
            <w:r>
              <w:rPr>
                <w:b/>
              </w:rPr>
              <w:t>. 1B, Sk.</w:t>
            </w:r>
          </w:p>
        </w:tc>
      </w:tr>
      <w:tr w:rsidR="00037E52" w:rsidRPr="004C23F4" w14:paraId="2A17578D" w14:textId="77777777" w:rsidTr="00037E52">
        <w:trPr>
          <w:cantSplit/>
        </w:trPr>
        <w:tc>
          <w:tcPr>
            <w:tcW w:w="4010" w:type="dxa"/>
            <w:vAlign w:val="center"/>
          </w:tcPr>
          <w:p w14:paraId="6B89392E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0A6399FE" w14:textId="77777777" w:rsidR="00037E52" w:rsidRPr="00EB3D1B" w:rsidRDefault="00AE46C9" w:rsidP="00037E52">
            <w:pPr>
              <w:pStyle w:val="Tablefont"/>
              <w:rPr>
                <w:b/>
              </w:rPr>
            </w:pPr>
            <w:r w:rsidRPr="00AE46C9">
              <w:rPr>
                <w:b/>
              </w:rPr>
              <w:t>400 ppm</w:t>
            </w:r>
          </w:p>
        </w:tc>
      </w:tr>
      <w:tr w:rsidR="00155999" w:rsidRPr="004C23F4" w14:paraId="31885D60" w14:textId="77777777" w:rsidTr="004549A3">
        <w:trPr>
          <w:cantSplit/>
        </w:trPr>
        <w:tc>
          <w:tcPr>
            <w:tcW w:w="9026" w:type="dxa"/>
            <w:gridSpan w:val="2"/>
            <w:vAlign w:val="center"/>
          </w:tcPr>
          <w:p w14:paraId="5C86917D" w14:textId="77777777" w:rsidR="00155999" w:rsidRPr="00EB3D1B" w:rsidRDefault="00155999" w:rsidP="00037E52">
            <w:pPr>
              <w:pStyle w:val="Tablefont"/>
              <w:rPr>
                <w:b/>
              </w:rPr>
            </w:pPr>
            <w:r w:rsidRPr="00077921">
              <w:rPr>
                <w:b/>
              </w:rPr>
              <w:t>Sampling and analysis</w:t>
            </w:r>
            <w:r>
              <w:t>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DA2FFE9CEF2D415F9F59B567F352ED2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DD6A81" w:rsidRPr="00077921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5772F41B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700B8D8B" w14:textId="0CDB9FDD" w:rsidR="006639B4" w:rsidRPr="004C23F4" w:rsidRDefault="00FE5C6C" w:rsidP="000C139A">
      <w:pPr>
        <w:rPr>
          <w:rFonts w:cs="Arial"/>
        </w:rPr>
      </w:pPr>
      <w:r>
        <w:t>A TWA of 2 ppm (4.8 mg/m</w:t>
      </w:r>
      <w:r>
        <w:rPr>
          <w:vertAlign w:val="superscript"/>
        </w:rPr>
        <w:t>3</w:t>
      </w:r>
      <w:r>
        <w:t>) is recommended to protect for irritation</w:t>
      </w:r>
      <w:r w:rsidR="00F77502">
        <w:t xml:space="preserve"> of the respiratory tract</w:t>
      </w:r>
      <w:r>
        <w:t xml:space="preserve">, damage of the </w:t>
      </w:r>
      <w:r w:rsidR="00F77502">
        <w:t xml:space="preserve">nasal </w:t>
      </w:r>
      <w:r>
        <w:t>epithelium and nasal cancer in exposed workers.</w:t>
      </w:r>
    </w:p>
    <w:p w14:paraId="0641F041" w14:textId="77777777" w:rsidR="00C7155E" w:rsidRPr="004C23F4" w:rsidRDefault="00F10C97" w:rsidP="003365A5">
      <w:pPr>
        <w:pStyle w:val="Heading2"/>
      </w:pPr>
      <w:r>
        <w:t>Discussion and conclusions</w:t>
      </w:r>
    </w:p>
    <w:p w14:paraId="6B521C9D" w14:textId="45AE7BB2" w:rsidR="00F77502" w:rsidRDefault="009E3424" w:rsidP="006639B4">
      <w:pPr>
        <w:rPr>
          <w:rFonts w:cs="Arial"/>
          <w:color w:val="262626"/>
        </w:rPr>
      </w:pPr>
      <w:r>
        <w:t xml:space="preserve">Propylene oxide is used as an intermediate for polyether polyols, which are used mainly in the manufacture of polyurethanes. It is also used </w:t>
      </w:r>
      <w:r>
        <w:rPr>
          <w:rFonts w:cs="Arial"/>
          <w:color w:val="262626"/>
        </w:rPr>
        <w:t>in paint, lacquer and varnish production</w:t>
      </w:r>
      <w:r w:rsidR="00F77502">
        <w:rPr>
          <w:rFonts w:cs="Arial"/>
          <w:color w:val="262626"/>
        </w:rPr>
        <w:t>,</w:t>
      </w:r>
      <w:r>
        <w:rPr>
          <w:rFonts w:cs="Arial"/>
          <w:color w:val="262626"/>
        </w:rPr>
        <w:t xml:space="preserve"> in process regulators, synthetic lubricants and fuel additives and in cleaning agents. </w:t>
      </w:r>
    </w:p>
    <w:p w14:paraId="00E87FDE" w14:textId="77777777" w:rsidR="007E052F" w:rsidRDefault="009E3424" w:rsidP="0069266E">
      <w:pPr>
        <w:rPr>
          <w:rFonts w:cs="Arial"/>
          <w:color w:val="262626"/>
        </w:rPr>
      </w:pPr>
      <w:r>
        <w:rPr>
          <w:rFonts w:cs="Arial"/>
          <w:color w:val="262626"/>
        </w:rPr>
        <w:t>Critical effects</w:t>
      </w:r>
      <w:r w:rsidR="007112CB">
        <w:rPr>
          <w:rFonts w:cs="Arial"/>
          <w:color w:val="262626"/>
        </w:rPr>
        <w:t xml:space="preserve"> </w:t>
      </w:r>
      <w:r w:rsidR="00F77502">
        <w:rPr>
          <w:rFonts w:cs="Arial"/>
          <w:color w:val="262626"/>
        </w:rPr>
        <w:t>o</w:t>
      </w:r>
      <w:r w:rsidR="007112CB">
        <w:rPr>
          <w:rFonts w:cs="Arial"/>
          <w:color w:val="262626"/>
        </w:rPr>
        <w:t>f exposure are irritation of the upper respiratory tract, mucous membrane and eyes</w:t>
      </w:r>
      <w:r w:rsidR="00F77502">
        <w:rPr>
          <w:rFonts w:cs="Arial"/>
          <w:color w:val="262626"/>
        </w:rPr>
        <w:t>,</w:t>
      </w:r>
      <w:r w:rsidR="007112CB">
        <w:rPr>
          <w:rFonts w:cs="Arial"/>
          <w:color w:val="262626"/>
        </w:rPr>
        <w:t xml:space="preserve"> damage to nasal epithelium and </w:t>
      </w:r>
      <w:r w:rsidR="005465F4">
        <w:rPr>
          <w:rFonts w:cs="Arial"/>
          <w:color w:val="262626"/>
        </w:rPr>
        <w:t>local carcinogenic effects at the site of contact</w:t>
      </w:r>
      <w:r w:rsidR="007112CB">
        <w:rPr>
          <w:rFonts w:cs="Arial"/>
          <w:color w:val="262626"/>
        </w:rPr>
        <w:t>.</w:t>
      </w:r>
      <w:r w:rsidR="00077921">
        <w:rPr>
          <w:rFonts w:cs="Arial"/>
          <w:color w:val="262626"/>
        </w:rPr>
        <w:t xml:space="preserve"> It is corrosive to the eye as a vapour.</w:t>
      </w:r>
      <w:r w:rsidR="00F77502">
        <w:rPr>
          <w:rFonts w:cs="Arial"/>
          <w:color w:val="262626"/>
        </w:rPr>
        <w:t xml:space="preserve"> </w:t>
      </w:r>
    </w:p>
    <w:p w14:paraId="7148A620" w14:textId="13F6B9C0" w:rsidR="007112CB" w:rsidRDefault="00963CF5" w:rsidP="0069266E">
      <w:pPr>
        <w:rPr>
          <w:rFonts w:cs="Arial"/>
          <w:color w:val="262626"/>
        </w:rPr>
      </w:pPr>
      <w:r>
        <w:t xml:space="preserve">Propylene oxide is </w:t>
      </w:r>
      <w:r w:rsidR="00F77502">
        <w:t xml:space="preserve">a </w:t>
      </w:r>
      <w:r>
        <w:t>demonstrated nasal carcinogen in rats and mice at concentrations</w:t>
      </w:r>
      <w:r w:rsidR="00F77502">
        <w:t xml:space="preserve"> that cause</w:t>
      </w:r>
      <w:r>
        <w:t xml:space="preserve"> </w:t>
      </w:r>
      <w:r w:rsidRPr="00963CF5">
        <w:t>regenerative hyperplasia</w:t>
      </w:r>
      <w:r>
        <w:t xml:space="preserve"> of the nasal epithelium</w:t>
      </w:r>
      <w:r w:rsidR="005465F4">
        <w:t xml:space="preserve">. </w:t>
      </w:r>
      <w:r w:rsidR="005465F4">
        <w:rPr>
          <w:color w:val="1C1D1E"/>
          <w:shd w:val="clear" w:color="auto" w:fill="FFFFFF"/>
        </w:rPr>
        <w:t>Avoid</w:t>
      </w:r>
      <w:r w:rsidR="00F77502">
        <w:rPr>
          <w:color w:val="1C1D1E"/>
          <w:shd w:val="clear" w:color="auto" w:fill="FFFFFF"/>
        </w:rPr>
        <w:t>ing</w:t>
      </w:r>
      <w:r w:rsidR="005465F4">
        <w:rPr>
          <w:color w:val="1C1D1E"/>
          <w:shd w:val="clear" w:color="auto" w:fill="FFFFFF"/>
        </w:rPr>
        <w:t xml:space="preserve"> </w:t>
      </w:r>
      <w:r w:rsidR="00F77502">
        <w:rPr>
          <w:color w:val="1C1D1E"/>
          <w:shd w:val="clear" w:color="auto" w:fill="FFFFFF"/>
        </w:rPr>
        <w:t xml:space="preserve">these </w:t>
      </w:r>
      <w:r w:rsidR="005465F4">
        <w:rPr>
          <w:color w:val="1C1D1E"/>
          <w:shd w:val="clear" w:color="auto" w:fill="FFFFFF"/>
        </w:rPr>
        <w:t xml:space="preserve">proliferative changes in </w:t>
      </w:r>
      <w:r w:rsidR="00F77502">
        <w:rPr>
          <w:color w:val="1C1D1E"/>
          <w:shd w:val="clear" w:color="auto" w:fill="FFFFFF"/>
        </w:rPr>
        <w:t xml:space="preserve">the </w:t>
      </w:r>
      <w:r w:rsidR="005465F4">
        <w:rPr>
          <w:color w:val="1C1D1E"/>
          <w:shd w:val="clear" w:color="auto" w:fill="FFFFFF"/>
        </w:rPr>
        <w:t xml:space="preserve">nasal epithelium is expected to prevent </w:t>
      </w:r>
      <w:r w:rsidR="00F77502">
        <w:rPr>
          <w:color w:val="1C1D1E"/>
          <w:shd w:val="clear" w:color="auto" w:fill="FFFFFF"/>
        </w:rPr>
        <w:t xml:space="preserve">the </w:t>
      </w:r>
      <w:r w:rsidR="005465F4">
        <w:rPr>
          <w:color w:val="1C1D1E"/>
          <w:shd w:val="clear" w:color="auto" w:fill="FFFFFF"/>
        </w:rPr>
        <w:t>formation of tumours</w:t>
      </w:r>
      <w:r w:rsidR="00742A56">
        <w:rPr>
          <w:color w:val="1C1D1E"/>
          <w:shd w:val="clear" w:color="auto" w:fill="FFFFFF"/>
        </w:rPr>
        <w:t>, indicating</w:t>
      </w:r>
      <w:r w:rsidR="0069266E">
        <w:rPr>
          <w:color w:val="1C1D1E"/>
          <w:shd w:val="clear" w:color="auto" w:fill="FFFFFF"/>
        </w:rPr>
        <w:t xml:space="preserve"> </w:t>
      </w:r>
      <w:r w:rsidR="00B621E5">
        <w:rPr>
          <w:color w:val="1C1D1E"/>
          <w:shd w:val="clear" w:color="auto" w:fill="FFFFFF"/>
        </w:rPr>
        <w:t xml:space="preserve">that </w:t>
      </w:r>
      <w:r w:rsidR="0069266E">
        <w:rPr>
          <w:color w:val="1C1D1E"/>
          <w:shd w:val="clear" w:color="auto" w:fill="FFFFFF"/>
        </w:rPr>
        <w:t>a practical threshold exists</w:t>
      </w:r>
      <w:r w:rsidR="00FD34BC">
        <w:rPr>
          <w:rFonts w:cs="Arial"/>
          <w:color w:val="262626"/>
        </w:rPr>
        <w:t xml:space="preserve"> (ACGIH, </w:t>
      </w:r>
      <w:r>
        <w:rPr>
          <w:rFonts w:cs="Arial"/>
          <w:color w:val="262626"/>
        </w:rPr>
        <w:t xml:space="preserve">2018; DFG, </w:t>
      </w:r>
      <w:r w:rsidR="0069266E">
        <w:rPr>
          <w:rFonts w:cs="Arial"/>
          <w:color w:val="262626"/>
        </w:rPr>
        <w:t>2012; SCOEL, 2010). A NOAEC</w:t>
      </w:r>
      <w:r w:rsidR="005465F4">
        <w:rPr>
          <w:rFonts w:cs="Arial"/>
          <w:color w:val="262626"/>
        </w:rPr>
        <w:t xml:space="preserve"> of 50 ppm </w:t>
      </w:r>
      <w:r w:rsidR="00BB22F8">
        <w:rPr>
          <w:rFonts w:cs="Arial"/>
          <w:color w:val="262626"/>
        </w:rPr>
        <w:t xml:space="preserve">for </w:t>
      </w:r>
      <w:r w:rsidR="00BB22F8">
        <w:t>cytotoxic and proliferative changes in nasal mucosa</w:t>
      </w:r>
      <w:r w:rsidR="00BB22F8">
        <w:rPr>
          <w:rFonts w:cs="Arial"/>
          <w:color w:val="262626"/>
        </w:rPr>
        <w:t xml:space="preserve"> </w:t>
      </w:r>
      <w:r w:rsidR="00F77502">
        <w:rPr>
          <w:rFonts w:cs="Arial"/>
          <w:color w:val="262626"/>
        </w:rPr>
        <w:t>i</w:t>
      </w:r>
      <w:r w:rsidR="005465F4">
        <w:rPr>
          <w:rFonts w:cs="Arial"/>
          <w:color w:val="262626"/>
        </w:rPr>
        <w:t>s identified in rats</w:t>
      </w:r>
      <w:r w:rsidR="0069266E">
        <w:t>. A different study report</w:t>
      </w:r>
      <w:r w:rsidR="00F77502">
        <w:t>s</w:t>
      </w:r>
      <w:r w:rsidR="0069266E">
        <w:t xml:space="preserve"> non-neoplastic effects on the nasal mucosa of rats after chronic exposures </w:t>
      </w:r>
      <w:r w:rsidR="00F77502">
        <w:t>at</w:t>
      </w:r>
      <w:r w:rsidR="0069266E">
        <w:t xml:space="preserve"> 30 ppm (LOAEC)</w:t>
      </w:r>
      <w:r w:rsidR="00941AFB">
        <w:t xml:space="preserve"> </w:t>
      </w:r>
      <w:r w:rsidR="00941AFB">
        <w:rPr>
          <w:rFonts w:cs="Arial"/>
          <w:color w:val="262626"/>
        </w:rPr>
        <w:t>(ACGIH, 2018; DFG, 2012; SCOEL, 2010)</w:t>
      </w:r>
      <w:r w:rsidR="00742A56">
        <w:t>. A</w:t>
      </w:r>
      <w:r w:rsidR="0069266E">
        <w:t xml:space="preserve"> </w:t>
      </w:r>
      <w:r w:rsidR="007B162C" w:rsidRPr="007B162C">
        <w:t>Benchmark Dose Lower Confidence Limit</w:t>
      </w:r>
      <w:r w:rsidR="007B162C">
        <w:t xml:space="preserve"> (</w:t>
      </w:r>
      <w:r w:rsidR="00EB7FFD">
        <w:t>BMDL</w:t>
      </w:r>
      <w:r w:rsidR="00EB7FFD" w:rsidRPr="00C822FD">
        <w:rPr>
          <w:vertAlign w:val="subscript"/>
        </w:rPr>
        <w:t>05</w:t>
      </w:r>
      <w:r w:rsidR="007B162C">
        <w:t>)</w:t>
      </w:r>
      <w:r w:rsidR="00EB7FFD">
        <w:t xml:space="preserve"> of 11 ppm</w:t>
      </w:r>
      <w:r w:rsidR="00742A56">
        <w:t xml:space="preserve"> </w:t>
      </w:r>
      <w:r w:rsidR="00F77502">
        <w:t>i</w:t>
      </w:r>
      <w:r w:rsidR="00742A56">
        <w:t>s calculated in this study</w:t>
      </w:r>
      <w:r w:rsidR="00941AFB">
        <w:t xml:space="preserve"> (</w:t>
      </w:r>
      <w:r w:rsidR="00941AFB">
        <w:rPr>
          <w:rFonts w:cs="Arial"/>
          <w:color w:val="262626"/>
        </w:rPr>
        <w:t>DFG, 2012</w:t>
      </w:r>
      <w:r w:rsidR="00941AFB">
        <w:t>)</w:t>
      </w:r>
      <w:r w:rsidR="00C822FD">
        <w:t xml:space="preserve">. </w:t>
      </w:r>
      <w:r w:rsidR="0069266E">
        <w:t xml:space="preserve">No evidence of carcinogenicity in humans is available </w:t>
      </w:r>
      <w:r w:rsidR="00FD34BC">
        <w:rPr>
          <w:rFonts w:cs="Arial"/>
          <w:color w:val="262626"/>
        </w:rPr>
        <w:t>(ACGIH, 2018; DFG, </w:t>
      </w:r>
      <w:r w:rsidR="0069266E">
        <w:rPr>
          <w:rFonts w:cs="Arial"/>
          <w:color w:val="262626"/>
        </w:rPr>
        <w:t>2012; SCOEL, 2010).</w:t>
      </w:r>
    </w:p>
    <w:p w14:paraId="0B1A0C32" w14:textId="1C517E1C" w:rsidR="0090253D" w:rsidRPr="0069266E" w:rsidRDefault="0090253D" w:rsidP="0069266E">
      <w:r>
        <w:rPr>
          <w:rFonts w:cs="Arial"/>
          <w:color w:val="262626"/>
        </w:rPr>
        <w:t>Based on the</w:t>
      </w:r>
      <w:r w:rsidR="00F77502">
        <w:rPr>
          <w:rFonts w:cs="Arial"/>
          <w:color w:val="262626"/>
        </w:rPr>
        <w:t xml:space="preserve"> assumption</w:t>
      </w:r>
      <w:r>
        <w:rPr>
          <w:rFonts w:cs="Arial"/>
          <w:color w:val="262626"/>
        </w:rPr>
        <w:t xml:space="preserve"> that prevention of </w:t>
      </w:r>
      <w:r w:rsidR="00F77502">
        <w:t>proliferative changes</w:t>
      </w:r>
      <w:r>
        <w:t xml:space="preserve"> will reduce the cancer risk and</w:t>
      </w:r>
      <w:r w:rsidR="00F77502">
        <w:t xml:space="preserve"> </w:t>
      </w:r>
      <w:r>
        <w:t xml:space="preserve">the </w:t>
      </w:r>
      <w:r w:rsidR="00D06C4D">
        <w:t xml:space="preserve">calculated </w:t>
      </w:r>
      <w:r>
        <w:t>BMDL</w:t>
      </w:r>
      <w:r>
        <w:rPr>
          <w:vertAlign w:val="subscript"/>
        </w:rPr>
        <w:t>05</w:t>
      </w:r>
      <w:r>
        <w:t xml:space="preserve"> of 11 ppm, </w:t>
      </w:r>
      <w:r w:rsidR="00776935">
        <w:t xml:space="preserve">the </w:t>
      </w:r>
      <w:r>
        <w:t xml:space="preserve">TWA of 2 ppm </w:t>
      </w:r>
      <w:r w:rsidR="00776935">
        <w:t xml:space="preserve">derived by ACGIH (2018) and DFG (2012) </w:t>
      </w:r>
      <w:r>
        <w:t>is recommended</w:t>
      </w:r>
      <w:r w:rsidR="00776935">
        <w:t>.</w:t>
      </w:r>
    </w:p>
    <w:p w14:paraId="0152834E" w14:textId="77777777" w:rsidR="004529F0" w:rsidRPr="004C23F4" w:rsidRDefault="004529F0" w:rsidP="004529F0">
      <w:pPr>
        <w:pStyle w:val="Heading2"/>
      </w:pPr>
      <w:r>
        <w:lastRenderedPageBreak/>
        <w:t>Recommendation for notations</w:t>
      </w:r>
    </w:p>
    <w:p w14:paraId="5583F019" w14:textId="77777777" w:rsidR="008E4F1F" w:rsidRPr="00AD7E82" w:rsidRDefault="00AD7E82" w:rsidP="008E4F1F">
      <w:pPr>
        <w:rPr>
          <w:rFonts w:cs="Arial"/>
        </w:rPr>
      </w:pPr>
      <w:r w:rsidRPr="00AD7E82">
        <w:rPr>
          <w:rFonts w:cs="Arial"/>
        </w:rPr>
        <w:t>C</w:t>
      </w:r>
      <w:r w:rsidR="008E4F1F" w:rsidRPr="00AD7E82">
        <w:rPr>
          <w:rFonts w:cs="Arial"/>
        </w:rPr>
        <w:t xml:space="preserve">lassified as a </w:t>
      </w:r>
      <w:r w:rsidR="00DD6A81" w:rsidRPr="00AD7E82">
        <w:rPr>
          <w:rFonts w:cs="Arial"/>
        </w:rPr>
        <w:t xml:space="preserve">category 1B </w:t>
      </w:r>
      <w:r w:rsidR="008E4F1F" w:rsidRPr="00AD7E82">
        <w:rPr>
          <w:rFonts w:cs="Arial"/>
        </w:rPr>
        <w:t>carcinogen according to the Globally Harmonized System of</w:t>
      </w:r>
      <w:r w:rsidR="00155999" w:rsidRPr="00AD7E82">
        <w:rPr>
          <w:rFonts w:cs="Arial"/>
        </w:rPr>
        <w:t xml:space="preserve"> Classification and Labelling of</w:t>
      </w:r>
      <w:r w:rsidR="008E4F1F" w:rsidRPr="00AD7E82">
        <w:rPr>
          <w:rFonts w:cs="Arial"/>
        </w:rPr>
        <w:t xml:space="preserve"> Chemicals (GHS). </w:t>
      </w:r>
    </w:p>
    <w:p w14:paraId="419EC1BB" w14:textId="0932DFDC" w:rsidR="008E4F1F" w:rsidRPr="00AD7E82" w:rsidRDefault="008E4F1F" w:rsidP="008E4F1F">
      <w:pPr>
        <w:rPr>
          <w:rFonts w:cs="Arial"/>
        </w:rPr>
      </w:pPr>
      <w:r w:rsidRPr="00AD7E82">
        <w:rPr>
          <w:rFonts w:cs="Arial"/>
        </w:rPr>
        <w:t xml:space="preserve">Not classified as a skin </w:t>
      </w:r>
      <w:r w:rsidR="00155999" w:rsidRPr="00AD7E82">
        <w:rPr>
          <w:rFonts w:cs="Arial"/>
        </w:rPr>
        <w:t xml:space="preserve">sensitiser </w:t>
      </w:r>
      <w:r w:rsidRPr="00AD7E82">
        <w:rPr>
          <w:rFonts w:cs="Arial"/>
        </w:rPr>
        <w:t>or respiratory sensitiser according to the GHS.</w:t>
      </w:r>
      <w:r w:rsidR="00AD7E82" w:rsidRPr="00AD7E82">
        <w:rPr>
          <w:rFonts w:cs="Arial"/>
        </w:rPr>
        <w:t xml:space="preserve"> The evidence suggests </w:t>
      </w:r>
      <w:r w:rsidR="00F77502">
        <w:rPr>
          <w:rFonts w:cs="Arial"/>
        </w:rPr>
        <w:t xml:space="preserve">propylene oxide has </w:t>
      </w:r>
      <w:r w:rsidR="00AD7E82" w:rsidRPr="00AD7E82">
        <w:rPr>
          <w:rFonts w:cs="Arial"/>
        </w:rPr>
        <w:t>skin sensitising potential</w:t>
      </w:r>
      <w:r w:rsidR="00F77502">
        <w:rPr>
          <w:rFonts w:cs="Arial"/>
        </w:rPr>
        <w:t xml:space="preserve"> and a</w:t>
      </w:r>
      <w:r w:rsidR="00AD7E82" w:rsidRPr="00AD7E82">
        <w:rPr>
          <w:rFonts w:cs="Arial"/>
        </w:rPr>
        <w:t xml:space="preserve"> review of this classification is recommended.</w:t>
      </w:r>
    </w:p>
    <w:p w14:paraId="027AEF4A" w14:textId="77777777" w:rsidR="004529F0" w:rsidRPr="004C23F4" w:rsidRDefault="00FE5C6C" w:rsidP="008E4F1F">
      <w:pPr>
        <w:rPr>
          <w:rFonts w:cs="Arial"/>
        </w:rPr>
      </w:pPr>
      <w:r w:rsidRPr="00AD7E82">
        <w:rPr>
          <w:rFonts w:cs="Arial"/>
        </w:rPr>
        <w:t>A skin notation is recommended based on evidence of systemic effects in humans</w:t>
      </w:r>
      <w:r w:rsidR="00DD6A81">
        <w:rPr>
          <w:rFonts w:cs="Arial"/>
        </w:rPr>
        <w:t>.</w:t>
      </w:r>
    </w:p>
    <w:p w14:paraId="413AA0E1" w14:textId="77777777" w:rsidR="0025734A" w:rsidRPr="004C23F4" w:rsidRDefault="0025734A">
      <w:pPr>
        <w:rPr>
          <w:rFonts w:cs="Arial"/>
        </w:rPr>
      </w:pPr>
    </w:p>
    <w:p w14:paraId="013ABE06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45988DF9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088B603B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2A7842" w14:paraId="5DB9763D" w14:textId="77777777" w:rsidTr="002A784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65F75D0C" w14:textId="77777777" w:rsidR="00C978F0" w:rsidRPr="002A7842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  <w:rPr>
                <w:b/>
              </w:rPr>
            </w:pPr>
            <w:r w:rsidRPr="002A7842">
              <w:rPr>
                <w:b/>
              </w:rPr>
              <w:t>Source</w:t>
            </w:r>
            <w:r w:rsidR="00DA352E" w:rsidRPr="002A7842">
              <w:rPr>
                <w:b/>
              </w:rPr>
              <w:tab/>
              <w:t>Year set</w:t>
            </w:r>
            <w:r w:rsidR="00DA352E" w:rsidRPr="002A7842">
              <w:rPr>
                <w:b/>
              </w:rPr>
              <w:tab/>
              <w:t>Standard</w:t>
            </w:r>
            <w:r w:rsidR="00974F2D" w:rsidRPr="002A7842">
              <w:rPr>
                <w:b/>
              </w:rPr>
              <w:tab/>
            </w:r>
          </w:p>
        </w:tc>
      </w:tr>
      <w:tr w:rsidR="00DE26E8" w:rsidRPr="003365A5" w14:paraId="476D64A4" w14:textId="77777777" w:rsidTr="002A7842">
        <w:tc>
          <w:tcPr>
            <w:tcW w:w="5000" w:type="pct"/>
            <w:gridSpan w:val="2"/>
            <w:shd w:val="clear" w:color="auto" w:fill="F2F2F2" w:themeFill="background1" w:themeFillShade="F2"/>
          </w:tcPr>
          <w:p w14:paraId="2EF9FD0B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AE46C9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AE46C9">
                  <w:t>TWA: 20 ppm (48 mg/m</w:t>
                </w:r>
                <w:r w:rsidR="00AE46C9" w:rsidRPr="00AE46C9">
                  <w:rPr>
                    <w:vertAlign w:val="superscript"/>
                  </w:rPr>
                  <w:t>3</w:t>
                </w:r>
                <w:r w:rsidR="00AE46C9">
                  <w:t>)</w:t>
                </w:r>
              </w:sdtContent>
            </w:sdt>
          </w:p>
        </w:tc>
      </w:tr>
      <w:tr w:rsidR="00C978F0" w:rsidRPr="00DA352E" w14:paraId="7764B104" w14:textId="77777777" w:rsidTr="002A7842">
        <w:trPr>
          <w:gridAfter w:val="1"/>
          <w:wAfter w:w="8" w:type="pct"/>
        </w:trPr>
        <w:tc>
          <w:tcPr>
            <w:tcW w:w="4992" w:type="pct"/>
          </w:tcPr>
          <w:p w14:paraId="4ABAB2A8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1865E2BF" w14:textId="77777777" w:rsidTr="002A7842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6CE7EC6C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AE46C9">
                  <w:t>2014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AE46C9">
                  <w:t>TLV-TWA: 2 ppm (4.8 mg/m</w:t>
                </w:r>
                <w:r w:rsidR="00AE46C9" w:rsidRPr="00AE46C9">
                  <w:rPr>
                    <w:vertAlign w:val="superscript"/>
                  </w:rPr>
                  <w:t>3</w:t>
                </w:r>
                <w:r w:rsidR="00AE46C9">
                  <w:t>)</w:t>
                </w:r>
              </w:sdtContent>
            </w:sdt>
          </w:p>
        </w:tc>
      </w:tr>
      <w:tr w:rsidR="00C978F0" w:rsidRPr="00DA352E" w14:paraId="2FC61B83" w14:textId="77777777" w:rsidTr="002A7842">
        <w:trPr>
          <w:gridAfter w:val="1"/>
          <w:wAfter w:w="8" w:type="pct"/>
        </w:trPr>
        <w:tc>
          <w:tcPr>
            <w:tcW w:w="4992" w:type="pct"/>
          </w:tcPr>
          <w:p w14:paraId="17B88870" w14:textId="54166AF7" w:rsidR="00C978F0" w:rsidRDefault="00D041FB" w:rsidP="003365A5">
            <w:pPr>
              <w:pStyle w:val="Tabletextprimarysource"/>
            </w:pPr>
            <w:r>
              <w:t>TLV-TWA recommended to minimise the potential for skin sensitisation</w:t>
            </w:r>
            <w:r w:rsidR="00F77502">
              <w:t>,</w:t>
            </w:r>
            <w:r>
              <w:t xml:space="preserve"> irritation of the eyes, mucous membranes and skin and increased cell proliferation, thus reducing the cancer risk.</w:t>
            </w:r>
          </w:p>
          <w:p w14:paraId="1D56FC5E" w14:textId="77777777" w:rsidR="00D041FB" w:rsidRDefault="00D041FB" w:rsidP="003365A5">
            <w:pPr>
              <w:pStyle w:val="Tabletextprimarysource"/>
            </w:pPr>
            <w:r>
              <w:t>Summary of data:</w:t>
            </w:r>
          </w:p>
          <w:p w14:paraId="2D1C6729" w14:textId="2918E33A" w:rsidR="00276516" w:rsidRDefault="00F67A3A" w:rsidP="00F77502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>TLV-TWA of 2 ppm</w:t>
            </w:r>
            <w:r w:rsidR="00FE4DD0">
              <w:t xml:space="preserve"> based</w:t>
            </w:r>
            <w:r>
              <w:t xml:space="preserve"> on</w:t>
            </w:r>
            <w:r w:rsidR="001C4B8F">
              <w:t>:</w:t>
            </w:r>
          </w:p>
          <w:p w14:paraId="52A646B8" w14:textId="17EE60B0" w:rsidR="00F77502" w:rsidRDefault="00DD6A81" w:rsidP="00F7750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</w:t>
            </w:r>
            <w:r w:rsidR="007B49B1">
              <w:t>odent nasal carcinogen</w:t>
            </w:r>
            <w:r w:rsidR="00F77502">
              <w:t>icity</w:t>
            </w:r>
            <w:r w:rsidR="007B49B1">
              <w:t xml:space="preserve"> at concentrations associated with irritation and epithelial regenerative hyperplasia</w:t>
            </w:r>
            <w:r w:rsidR="00776935">
              <w:t xml:space="preserve">: </w:t>
            </w:r>
          </w:p>
          <w:p w14:paraId="35AE4E89" w14:textId="4C0ABA9F" w:rsidR="001C4B8F" w:rsidRDefault="007B49B1" w:rsidP="00F77502">
            <w:pPr>
              <w:pStyle w:val="ListBullet"/>
              <w:numPr>
                <w:ilvl w:val="0"/>
                <w:numId w:val="10"/>
              </w:numPr>
              <w:spacing w:before="60" w:after="60"/>
              <w:contextualSpacing w:val="0"/>
            </w:pPr>
            <w:r>
              <w:t>NOAEL of 50 ppm for rats based on cytotoxic and proliferative changes in nasal mucosa which are stages in tumour development</w:t>
            </w:r>
          </w:p>
          <w:p w14:paraId="7B07B1E9" w14:textId="0BFA496E" w:rsidR="007B49B1" w:rsidRDefault="00DD6A81" w:rsidP="00F7750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</w:t>
            </w:r>
            <w:r w:rsidR="007B49B1">
              <w:t xml:space="preserve">on-neoplastic effects on the nasal mucosa </w:t>
            </w:r>
            <w:r w:rsidR="008C48F0">
              <w:t>seen in rats</w:t>
            </w:r>
            <w:r w:rsidR="00FD34BC">
              <w:t xml:space="preserve"> after chronic exposures </w:t>
            </w:r>
            <w:r w:rsidR="00F77502">
              <w:t>at</w:t>
            </w:r>
            <w:r w:rsidR="00FD34BC">
              <w:t xml:space="preserve"> 30 </w:t>
            </w:r>
            <w:r w:rsidR="007B49B1">
              <w:t>ppm</w:t>
            </w:r>
          </w:p>
          <w:p w14:paraId="577B18D5" w14:textId="3874F497" w:rsidR="007B162C" w:rsidRDefault="00DD6A81" w:rsidP="00F7750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c</w:t>
            </w:r>
            <w:r w:rsidR="00FE4DD0">
              <w:t>onsider</w:t>
            </w:r>
            <w:r>
              <w:t>ed</w:t>
            </w:r>
            <w:r w:rsidR="008C48F0">
              <w:t xml:space="preserve"> </w:t>
            </w:r>
            <w:r w:rsidR="00FE4DD0">
              <w:t xml:space="preserve">less potent than </w:t>
            </w:r>
            <w:proofErr w:type="spellStart"/>
            <w:r>
              <w:t>EtO</w:t>
            </w:r>
            <w:proofErr w:type="spellEnd"/>
            <w:r w:rsidR="00FE4DD0">
              <w:t xml:space="preserve"> (TLV-TWA 2018 of 1 ppm; suspected human carcinogen</w:t>
            </w:r>
            <w:r w:rsidR="00776935">
              <w:t>):</w:t>
            </w:r>
          </w:p>
          <w:p w14:paraId="7141372B" w14:textId="733E02E9" w:rsidR="00FE4DD0" w:rsidRDefault="008C48F0" w:rsidP="007B162C">
            <w:pPr>
              <w:pStyle w:val="ListBullet"/>
              <w:numPr>
                <w:ilvl w:val="0"/>
                <w:numId w:val="10"/>
              </w:numPr>
              <w:spacing w:before="60" w:after="60"/>
              <w:contextualSpacing w:val="0"/>
            </w:pPr>
            <w:r>
              <w:t>both contain the three-membered oxirane ring reactive towards nucleophilic centres like DNA and proteins</w:t>
            </w:r>
          </w:p>
          <w:p w14:paraId="6DEE72D1" w14:textId="241DE51F" w:rsidR="00FE4DD0" w:rsidRDefault="00DD6A81" w:rsidP="00F7750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c</w:t>
            </w:r>
            <w:r w:rsidR="00FE4DD0">
              <w:t>onsideration of the preferred values of 1, 2 and 5.</w:t>
            </w:r>
          </w:p>
          <w:p w14:paraId="6FB7A20D" w14:textId="7F243701" w:rsidR="00FE4DD0" w:rsidRDefault="00DD6A81" w:rsidP="00F7750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</w:t>
            </w:r>
            <w:r w:rsidR="00FE4DD0">
              <w:t>o specific derivation presented.</w:t>
            </w:r>
          </w:p>
          <w:p w14:paraId="72D0BCBD" w14:textId="77777777" w:rsidR="00D041FB" w:rsidRDefault="00276516" w:rsidP="00276516">
            <w:pPr>
              <w:pStyle w:val="Tabletextprimarysource"/>
            </w:pPr>
            <w:r>
              <w:t>Human data:</w:t>
            </w:r>
          </w:p>
          <w:p w14:paraId="4CE58DC7" w14:textId="05CA280B" w:rsidR="00AA72B0" w:rsidRDefault="00276516" w:rsidP="00F7750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Corneal burns</w:t>
            </w:r>
            <w:r w:rsidR="00DA5B42">
              <w:t xml:space="preserve"> from exposure to vapour</w:t>
            </w:r>
            <w:r>
              <w:t xml:space="preserve"> and dermatit</w:t>
            </w:r>
            <w:r w:rsidR="00AA72B0">
              <w:t xml:space="preserve">is </w:t>
            </w:r>
            <w:r w:rsidR="00DA5B42">
              <w:t>from contact with liquid reported</w:t>
            </w:r>
          </w:p>
          <w:p w14:paraId="1D7CF385" w14:textId="58613740" w:rsidR="00DA5B42" w:rsidRDefault="007B162C" w:rsidP="00F7750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</w:t>
            </w:r>
            <w:r w:rsidR="00DA5B42">
              <w:t>educed capacity to repair DNA damage associated with TWA 0.6</w:t>
            </w:r>
            <w:r w:rsidR="00693BC0">
              <w:t>–</w:t>
            </w:r>
            <w:r w:rsidR="00DA5B42">
              <w:t>12</w:t>
            </w:r>
            <w:r w:rsidR="00693BC0">
              <w:t> </w:t>
            </w:r>
            <w:r w:rsidR="00DA5B42">
              <w:t>ppm</w:t>
            </w:r>
            <w:r w:rsidR="00776935">
              <w:t>. N</w:t>
            </w:r>
            <w:r w:rsidR="00DA5B42">
              <w:t>o further information</w:t>
            </w:r>
          </w:p>
          <w:p w14:paraId="5D970231" w14:textId="77777777" w:rsidR="00261012" w:rsidRDefault="00261012" w:rsidP="00F77502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Case report of hand eczema after 8 </w:t>
            </w:r>
            <w:proofErr w:type="spellStart"/>
            <w:r>
              <w:t>mo</w:t>
            </w:r>
            <w:proofErr w:type="spellEnd"/>
            <w:r>
              <w:t xml:space="preserve"> work</w:t>
            </w:r>
            <w:r w:rsidR="00DD6A81">
              <w:t>ing with chemical</w:t>
            </w:r>
            <w:r>
              <w:t>; patch test positive</w:t>
            </w:r>
          </w:p>
          <w:p w14:paraId="053BF995" w14:textId="217002EC" w:rsidR="00261012" w:rsidRDefault="00261012" w:rsidP="00F77502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Histopathology laboratory assistant developed dermatitis on both hands after handling </w:t>
            </w:r>
          </w:p>
          <w:p w14:paraId="3523B29F" w14:textId="249186D7" w:rsidR="007B162C" w:rsidRDefault="00AA72B0" w:rsidP="00F7750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Nested case-control study; exposure either ever or never, no concentration</w:t>
            </w:r>
            <w:r w:rsidR="00776935">
              <w:t>:</w:t>
            </w:r>
          </w:p>
          <w:p w14:paraId="68E26C31" w14:textId="29EBA7B6" w:rsidR="00276516" w:rsidRDefault="00AA72B0" w:rsidP="00077921">
            <w:pPr>
              <w:pStyle w:val="ListBullet"/>
              <w:numPr>
                <w:ilvl w:val="0"/>
                <w:numId w:val="10"/>
              </w:numPr>
              <w:spacing w:before="60" w:after="60"/>
              <w:contextualSpacing w:val="0"/>
            </w:pPr>
            <w:r>
              <w:t>Elevated, but not statistically significant, odds ratios for men exposed were found for non</w:t>
            </w:r>
            <w:r w:rsidR="00EA2928">
              <w:t>-</w:t>
            </w:r>
            <w:r>
              <w:t xml:space="preserve">lymphatic leukaemia (OR= 1.3), multiple myeloma (OR= 3.4) and </w:t>
            </w:r>
            <w:r w:rsidR="007B162C">
              <w:t>NHL</w:t>
            </w:r>
            <w:r w:rsidR="00776935">
              <w:t>. N</w:t>
            </w:r>
            <w:r>
              <w:t>o information on possible confound</w:t>
            </w:r>
            <w:r w:rsidR="007B162C">
              <w:t>er</w:t>
            </w:r>
            <w:r>
              <w:t>s</w:t>
            </w:r>
          </w:p>
          <w:p w14:paraId="60CEA38B" w14:textId="0C5A9DDC" w:rsidR="007B162C" w:rsidRDefault="00D009F7" w:rsidP="00F7750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biologically significant increases in chromosomal aberrations of peripheral lymphocytes collected from two different groups of workers employed in propylene oxide manufacture</w:t>
            </w:r>
            <w:r w:rsidR="00776935">
              <w:t xml:space="preserve">: </w:t>
            </w:r>
          </w:p>
          <w:p w14:paraId="515D944D" w14:textId="50C997BA" w:rsidR="00AA72B0" w:rsidRDefault="00FD34BC" w:rsidP="00077921">
            <w:pPr>
              <w:pStyle w:val="ListBullet"/>
              <w:numPr>
                <w:ilvl w:val="0"/>
                <w:numId w:val="10"/>
              </w:numPr>
              <w:spacing w:before="60" w:after="60"/>
              <w:contextualSpacing w:val="0"/>
            </w:pPr>
            <w:r>
              <w:t>ambient TWA &lt;</w:t>
            </w:r>
            <w:r w:rsidR="00D009F7">
              <w:t>50 mg/m</w:t>
            </w:r>
            <w:r w:rsidR="00D009F7" w:rsidRPr="00D009F7">
              <w:rPr>
                <w:vertAlign w:val="superscript"/>
              </w:rPr>
              <w:t>3</w:t>
            </w:r>
            <w:r w:rsidR="00DD6A81">
              <w:t>.</w:t>
            </w:r>
          </w:p>
          <w:p w14:paraId="0E0F3B85" w14:textId="77777777" w:rsidR="00D009F7" w:rsidRDefault="00261012" w:rsidP="00261012">
            <w:pPr>
              <w:pStyle w:val="Tabletextprimarysource"/>
            </w:pPr>
            <w:r>
              <w:t>Animal data:</w:t>
            </w:r>
          </w:p>
          <w:p w14:paraId="796B2638" w14:textId="3566E566" w:rsidR="004648B6" w:rsidRDefault="007510F6" w:rsidP="00077921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Rats exposed </w:t>
            </w:r>
            <w:r w:rsidRPr="00077921">
              <w:rPr>
                <w:i/>
              </w:rPr>
              <w:t>via</w:t>
            </w:r>
            <w:r>
              <w:t xml:space="preserve"> inhalation at 0, 30, 100 or 300 ppm for 6 h/d, 5 d/</w:t>
            </w:r>
            <w:proofErr w:type="spellStart"/>
            <w:r>
              <w:t>wk</w:t>
            </w:r>
            <w:proofErr w:type="spellEnd"/>
            <w:r>
              <w:t xml:space="preserve"> for 28 </w:t>
            </w:r>
            <w:proofErr w:type="spellStart"/>
            <w:r>
              <w:t>mo</w:t>
            </w:r>
            <w:proofErr w:type="spellEnd"/>
            <w:r w:rsidR="00FD34BC">
              <w:t>:</w:t>
            </w:r>
          </w:p>
          <w:p w14:paraId="1EA6286F" w14:textId="41D97BBB" w:rsidR="00EA2928" w:rsidRDefault="00EA2928" w:rsidP="00077921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 xml:space="preserve">significant increase in non-neoplastic degenerative change of the olfactory epithelium </w:t>
            </w:r>
            <w:r w:rsidR="007B162C">
              <w:t xml:space="preserve">at </w:t>
            </w:r>
            <w:r w:rsidR="007B162C">
              <w:rPr>
                <w:rFonts w:cs="Arial"/>
              </w:rPr>
              <w:t>≥</w:t>
            </w:r>
            <w:r w:rsidR="007B162C">
              <w:t>30 ppm</w:t>
            </w:r>
          </w:p>
          <w:p w14:paraId="6769E7FD" w14:textId="4F6C9238" w:rsidR="00EA2928" w:rsidRDefault="0069266E" w:rsidP="00077921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LOAEC</w:t>
            </w:r>
            <w:r w:rsidR="007B162C">
              <w:t>:</w:t>
            </w:r>
            <w:r w:rsidR="00EA2928">
              <w:t xml:space="preserve"> 30 ppm, based on extra-thoracic respiratory tract effects</w:t>
            </w:r>
          </w:p>
          <w:p w14:paraId="64F5C18E" w14:textId="77777777" w:rsidR="00EA2928" w:rsidRDefault="00EA2928" w:rsidP="00077921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 xml:space="preserve">increased mortality at 300 ppm by </w:t>
            </w:r>
            <w:proofErr w:type="spellStart"/>
            <w:r>
              <w:t>wk</w:t>
            </w:r>
            <w:proofErr w:type="spellEnd"/>
            <w:r>
              <w:t xml:space="preserve"> 115</w:t>
            </w:r>
          </w:p>
          <w:p w14:paraId="430F4CF6" w14:textId="77777777" w:rsidR="00EA2928" w:rsidRDefault="00EA2928" w:rsidP="00077921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total number of malignant tumours increased significantly at 300 ppm</w:t>
            </w:r>
          </w:p>
          <w:p w14:paraId="3D08542E" w14:textId="477B5099" w:rsidR="00EA2928" w:rsidRDefault="00EA2928" w:rsidP="00077921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Male rats exposed </w:t>
            </w:r>
            <w:r w:rsidRPr="00077921">
              <w:rPr>
                <w:i/>
              </w:rPr>
              <w:t>via</w:t>
            </w:r>
            <w:r>
              <w:t xml:space="preserve"> inhalation at 0, 10, 20, 50, 150 or 525 ppm for up to 4 </w:t>
            </w:r>
            <w:proofErr w:type="spellStart"/>
            <w:r>
              <w:t>wk</w:t>
            </w:r>
            <w:proofErr w:type="spellEnd"/>
            <w:r>
              <w:t xml:space="preserve">; followed by 4 </w:t>
            </w:r>
            <w:proofErr w:type="spellStart"/>
            <w:r>
              <w:t>wk</w:t>
            </w:r>
            <w:proofErr w:type="spellEnd"/>
            <w:r>
              <w:t xml:space="preserve"> recovery</w:t>
            </w:r>
            <w:r w:rsidR="00FD34BC">
              <w:t>:</w:t>
            </w:r>
          </w:p>
          <w:p w14:paraId="03924840" w14:textId="508DB59A" w:rsidR="00EA2928" w:rsidRDefault="00EA2928" w:rsidP="00077921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>
              <w:t xml:space="preserve">cell proliferation examined end of </w:t>
            </w:r>
            <w:proofErr w:type="spellStart"/>
            <w:r>
              <w:t>wk</w:t>
            </w:r>
            <w:proofErr w:type="spellEnd"/>
            <w:r>
              <w:t xml:space="preserve"> 1, </w:t>
            </w:r>
            <w:proofErr w:type="spellStart"/>
            <w:r>
              <w:t>wk</w:t>
            </w:r>
            <w:proofErr w:type="spellEnd"/>
            <w:r>
              <w:t xml:space="preserve"> 4 and post-exposure </w:t>
            </w:r>
            <w:r w:rsidR="00776935">
              <w:t xml:space="preserve">weeks </w:t>
            </w:r>
            <w:r>
              <w:t>1 and 4</w:t>
            </w:r>
          </w:p>
          <w:p w14:paraId="1DEA6311" w14:textId="3FBF1ECC" w:rsidR="00EA2928" w:rsidRDefault="00EA2928" w:rsidP="00077921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>
              <w:t xml:space="preserve">non-neoplastic changes absent in animals exposed at </w:t>
            </w:r>
            <w:r w:rsidR="007B162C">
              <w:rPr>
                <w:rFonts w:cs="Arial"/>
              </w:rPr>
              <w:t>≤</w:t>
            </w:r>
            <w:r>
              <w:t>50 ppm</w:t>
            </w:r>
          </w:p>
          <w:p w14:paraId="43E75645" w14:textId="70A99001" w:rsidR="00EA2928" w:rsidRDefault="00CD13B1" w:rsidP="00077921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>
              <w:lastRenderedPageBreak/>
              <w:t>NOAEC</w:t>
            </w:r>
            <w:r w:rsidR="007B162C">
              <w:t>:</w:t>
            </w:r>
            <w:r w:rsidR="00EA2928">
              <w:t xml:space="preserve"> 50 ppm </w:t>
            </w:r>
          </w:p>
          <w:p w14:paraId="1CE57FC4" w14:textId="677CAF88" w:rsidR="00EA2928" w:rsidRDefault="00E42A55" w:rsidP="00077921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Mice and rats exposed </w:t>
            </w:r>
            <w:r w:rsidRPr="00077921">
              <w:rPr>
                <w:i/>
              </w:rPr>
              <w:t>via</w:t>
            </w:r>
            <w:r>
              <w:t xml:space="preserve"> inhalation at 0, 200 or 400 ppm for 6 h/d, 5 d/</w:t>
            </w:r>
            <w:proofErr w:type="spellStart"/>
            <w:r>
              <w:t>wk</w:t>
            </w:r>
            <w:proofErr w:type="spellEnd"/>
            <w:r>
              <w:t xml:space="preserve"> for 103 </w:t>
            </w:r>
            <w:proofErr w:type="spellStart"/>
            <w:r>
              <w:t>wk</w:t>
            </w:r>
            <w:proofErr w:type="spellEnd"/>
            <w:r w:rsidR="00FD34BC">
              <w:t>:</w:t>
            </w:r>
          </w:p>
          <w:p w14:paraId="2B634EDB" w14:textId="340660B0" w:rsidR="00E42A55" w:rsidRDefault="00E42A55" w:rsidP="00077921">
            <w:pPr>
              <w:pStyle w:val="ListBullet"/>
              <w:numPr>
                <w:ilvl w:val="0"/>
                <w:numId w:val="5"/>
              </w:numPr>
              <w:spacing w:before="60" w:after="60"/>
              <w:ind w:left="1094" w:hanging="357"/>
              <w:contextualSpacing w:val="0"/>
            </w:pPr>
            <w:r>
              <w:t>some evidence of carcinogenicity in rats at 400 ppm, based on increased incidence of papillary adenomas of the nasal turbinates</w:t>
            </w:r>
          </w:p>
          <w:p w14:paraId="1BD4FA6F" w14:textId="7CEA2CD2" w:rsidR="00E42A55" w:rsidRDefault="00E42A55" w:rsidP="00077921">
            <w:pPr>
              <w:pStyle w:val="ListBullet"/>
              <w:numPr>
                <w:ilvl w:val="0"/>
                <w:numId w:val="5"/>
              </w:numPr>
              <w:spacing w:before="60" w:after="60"/>
              <w:ind w:left="1094" w:hanging="357"/>
              <w:contextualSpacing w:val="0"/>
            </w:pPr>
            <w:r>
              <w:t>clear evidence of carcinogenicity in mice at 400 ppm, based on 10</w:t>
            </w:r>
            <w:r w:rsidR="007B162C">
              <w:t>/</w:t>
            </w:r>
            <w:r>
              <w:t>50 males and 5</w:t>
            </w:r>
            <w:r w:rsidR="007B162C">
              <w:t>/</w:t>
            </w:r>
            <w:r>
              <w:t>50 females developing h</w:t>
            </w:r>
            <w:r w:rsidR="00DD6A81">
              <w:t>a</w:t>
            </w:r>
            <w:r>
              <w:t xml:space="preserve">emangiomas or </w:t>
            </w:r>
            <w:proofErr w:type="spellStart"/>
            <w:r>
              <w:t>h</w:t>
            </w:r>
            <w:r w:rsidR="00DD6A81">
              <w:t>a</w:t>
            </w:r>
            <w:r>
              <w:t>emangiosarcomas</w:t>
            </w:r>
            <w:proofErr w:type="spellEnd"/>
            <w:r>
              <w:t xml:space="preserve"> of the nasal sub</w:t>
            </w:r>
            <w:r w:rsidR="00773EC3">
              <w:t>-</w:t>
            </w:r>
            <w:r>
              <w:t>mucosa</w:t>
            </w:r>
          </w:p>
          <w:p w14:paraId="549823C1" w14:textId="3EC668E1" w:rsidR="00E42A55" w:rsidRDefault="00E42A55" w:rsidP="00077921">
            <w:pPr>
              <w:pStyle w:val="ListBullet"/>
              <w:numPr>
                <w:ilvl w:val="0"/>
                <w:numId w:val="5"/>
              </w:numPr>
              <w:spacing w:before="60" w:after="60"/>
              <w:ind w:left="1094" w:hanging="357"/>
              <w:contextualSpacing w:val="0"/>
            </w:pPr>
            <w:r>
              <w:t>concomitant suppurative inflammation, regenerative hyperplasia and squamous metaplasia of the rat nasal epithelium and provoked inflammation of these tissues in mice</w:t>
            </w:r>
            <w:r w:rsidR="00773EC3">
              <w:t>.</w:t>
            </w:r>
          </w:p>
          <w:p w14:paraId="6BA07C20" w14:textId="5CB24B7D" w:rsidR="00E42A55" w:rsidRDefault="00692F7D" w:rsidP="00692F7D">
            <w:pPr>
              <w:pStyle w:val="Tabletextprimarysource"/>
            </w:pPr>
            <w:r>
              <w:t>Genotoxicity</w:t>
            </w:r>
            <w:r w:rsidR="00773EC3">
              <w:t>:</w:t>
            </w:r>
          </w:p>
          <w:p w14:paraId="06C6CFBD" w14:textId="77777777" w:rsidR="00692F7D" w:rsidRDefault="00CB0584" w:rsidP="0007792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Mutagenic in cultured mouse L5178Y lymphoma cells</w:t>
            </w:r>
          </w:p>
          <w:p w14:paraId="141C3FBC" w14:textId="77777777" w:rsidR="00CB0584" w:rsidRDefault="00CB0584" w:rsidP="00077921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Base-pair substitution in </w:t>
            </w:r>
            <w:r w:rsidRPr="00CB0584">
              <w:rPr>
                <w:i/>
              </w:rPr>
              <w:t>S. typhimurium</w:t>
            </w:r>
            <w:r>
              <w:t xml:space="preserve"> strains TA1535 and TA100; </w:t>
            </w:r>
            <w:r w:rsidRPr="00CB0584">
              <w:rPr>
                <w:i/>
              </w:rPr>
              <w:t>E. coli</w:t>
            </w:r>
            <w:r>
              <w:t xml:space="preserve"> and </w:t>
            </w:r>
            <w:r w:rsidRPr="00CB0584">
              <w:rPr>
                <w:i/>
              </w:rPr>
              <w:t>B. subtilis</w:t>
            </w:r>
          </w:p>
          <w:p w14:paraId="1AC5BA02" w14:textId="7FB98C81" w:rsidR="00CB0584" w:rsidRDefault="00CB0584" w:rsidP="00077921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Depending on the </w:t>
            </w:r>
            <w:r w:rsidRPr="00CB0584">
              <w:rPr>
                <w:i/>
              </w:rPr>
              <w:t>in vitro</w:t>
            </w:r>
            <w:r>
              <w:t xml:space="preserve"> assay, 5</w:t>
            </w:r>
            <w:r w:rsidR="00B31E4B">
              <w:t>–</w:t>
            </w:r>
            <w:r>
              <w:t xml:space="preserve">10 times less potent than </w:t>
            </w:r>
            <w:proofErr w:type="spellStart"/>
            <w:r w:rsidR="00DD6A81">
              <w:t>EtO</w:t>
            </w:r>
            <w:proofErr w:type="spellEnd"/>
          </w:p>
          <w:p w14:paraId="2E7DA6BC" w14:textId="77777777" w:rsidR="00CB0584" w:rsidRDefault="00CB0584" w:rsidP="00077921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9 times less potent an alkylating agent </w:t>
            </w:r>
            <w:r w:rsidRPr="00CB0584">
              <w:rPr>
                <w:i/>
              </w:rPr>
              <w:t>in vivo</w:t>
            </w:r>
            <w:r>
              <w:t xml:space="preserve"> than </w:t>
            </w:r>
            <w:proofErr w:type="spellStart"/>
            <w:r w:rsidR="00DD6A81">
              <w:t>EtO</w:t>
            </w:r>
            <w:proofErr w:type="spellEnd"/>
            <w:r w:rsidR="00FD34BC">
              <w:t>.</w:t>
            </w:r>
          </w:p>
          <w:p w14:paraId="25724321" w14:textId="77777777" w:rsidR="00FD34BC" w:rsidRDefault="00FD34BC" w:rsidP="00CB0584">
            <w:pPr>
              <w:pStyle w:val="Tabletextprimarysource"/>
            </w:pPr>
          </w:p>
          <w:p w14:paraId="2B8611BF" w14:textId="77777777" w:rsidR="00CB0584" w:rsidRDefault="00CB0584" w:rsidP="00CB0584">
            <w:pPr>
              <w:pStyle w:val="Tabletextprimarysource"/>
            </w:pPr>
            <w:r>
              <w:t>DSEN notation warranted based on skin sensitisation evidence in workers</w:t>
            </w:r>
            <w:r w:rsidR="00DD6A81">
              <w:t>.</w:t>
            </w:r>
          </w:p>
          <w:p w14:paraId="51638E2C" w14:textId="77777777" w:rsidR="00EA2928" w:rsidRDefault="00CB0584" w:rsidP="00CB0584">
            <w:pPr>
              <w:pStyle w:val="Tabletextprimarysource"/>
            </w:pPr>
            <w:r>
              <w:t>Insufficient data to recommend a respiratory sensitiser or skin notation or TLV-STEL.</w:t>
            </w:r>
          </w:p>
          <w:p w14:paraId="73521A41" w14:textId="77777777" w:rsidR="00FD34BC" w:rsidRPr="00DA352E" w:rsidRDefault="00FD34BC" w:rsidP="00CB0584">
            <w:pPr>
              <w:pStyle w:val="Tabletextprimarysource"/>
            </w:pPr>
          </w:p>
        </w:tc>
      </w:tr>
      <w:tr w:rsidR="00C978F0" w:rsidRPr="00DA352E" w14:paraId="2F224C9A" w14:textId="77777777" w:rsidTr="002A7842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5E1A39A5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AE46C9">
                  <w:t>2012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AE46C9">
                  <w:t>MAK: 2 ppm (4.8 mg/m</w:t>
                </w:r>
                <w:r w:rsidR="00AE46C9" w:rsidRPr="00AE46C9">
                  <w:rPr>
                    <w:vertAlign w:val="superscript"/>
                  </w:rPr>
                  <w:t>3</w:t>
                </w:r>
                <w:r w:rsidR="00AE46C9">
                  <w:t>)</w:t>
                </w:r>
              </w:sdtContent>
            </w:sdt>
          </w:p>
        </w:tc>
      </w:tr>
      <w:tr w:rsidR="00C978F0" w:rsidRPr="00DA352E" w14:paraId="470B7AAD" w14:textId="77777777" w:rsidTr="002A7842">
        <w:trPr>
          <w:gridAfter w:val="1"/>
          <w:wAfter w:w="8" w:type="pct"/>
        </w:trPr>
        <w:tc>
          <w:tcPr>
            <w:tcW w:w="4992" w:type="pct"/>
          </w:tcPr>
          <w:p w14:paraId="51E18BBB" w14:textId="77777777" w:rsidR="00C978F0" w:rsidRDefault="00CD13B1" w:rsidP="003365A5">
            <w:pPr>
              <w:pStyle w:val="Tabletextprimarysource"/>
              <w:rPr>
                <w:rFonts w:cs="Arial"/>
                <w:color w:val="1C1D1E"/>
                <w:shd w:val="clear" w:color="auto" w:fill="FFFFFF"/>
              </w:rPr>
            </w:pPr>
            <w:r>
              <w:t xml:space="preserve">MAK recommended to protect for </w:t>
            </w:r>
            <w:r>
              <w:rPr>
                <w:rFonts w:cs="Arial"/>
                <w:color w:val="1C1D1E"/>
                <w:shd w:val="clear" w:color="auto" w:fill="FFFFFF"/>
              </w:rPr>
              <w:t>carcinogenic and cytotoxic effects in the nasal epithelium.</w:t>
            </w:r>
          </w:p>
          <w:p w14:paraId="54BA7254" w14:textId="77777777" w:rsidR="00CD13B1" w:rsidRDefault="00CD13B1" w:rsidP="003365A5">
            <w:pPr>
              <w:pStyle w:val="Tabletextprimarysource"/>
              <w:rPr>
                <w:rFonts w:cs="Arial"/>
                <w:color w:val="1C1D1E"/>
                <w:shd w:val="clear" w:color="auto" w:fill="FFFFFF"/>
              </w:rPr>
            </w:pPr>
            <w:r>
              <w:rPr>
                <w:rFonts w:cs="Arial"/>
                <w:color w:val="1C1D1E"/>
                <w:shd w:val="clear" w:color="auto" w:fill="FFFFFF"/>
              </w:rPr>
              <w:t>Summary of additional data:</w:t>
            </w:r>
          </w:p>
          <w:p w14:paraId="0FC0E1DA" w14:textId="77777777" w:rsidR="00CD13B1" w:rsidRPr="00CD13B1" w:rsidRDefault="00CD13B1" w:rsidP="00077921">
            <w:pPr>
              <w:pStyle w:val="ListBullet"/>
              <w:spacing w:before="60" w:after="60"/>
              <w:ind w:left="714" w:hanging="357"/>
              <w:contextualSpacing w:val="0"/>
            </w:pPr>
            <w:r>
              <w:rPr>
                <w:rFonts w:cs="Arial"/>
                <w:color w:val="1C1D1E"/>
                <w:shd w:val="clear" w:color="auto" w:fill="FFFFFF"/>
              </w:rPr>
              <w:t>If cell proliferation is avoided in nasal epithelium, formation of tumours not expected</w:t>
            </w:r>
          </w:p>
          <w:p w14:paraId="75A519CB" w14:textId="77777777" w:rsidR="00CD13B1" w:rsidRPr="00CD13B1" w:rsidRDefault="00CD13B1" w:rsidP="00077921">
            <w:pPr>
              <w:pStyle w:val="ListBullet"/>
              <w:spacing w:before="60" w:after="60"/>
              <w:ind w:left="714" w:hanging="357"/>
              <w:contextualSpacing w:val="0"/>
            </w:pPr>
            <w:r>
              <w:rPr>
                <w:rFonts w:cs="Arial"/>
                <w:color w:val="1C1D1E"/>
                <w:shd w:val="clear" w:color="auto" w:fill="FFFFFF"/>
              </w:rPr>
              <w:t>MAK based on following:</w:t>
            </w:r>
          </w:p>
          <w:p w14:paraId="59DB8A63" w14:textId="77777777" w:rsidR="00CD13B1" w:rsidRDefault="00CD13B1" w:rsidP="00077921">
            <w:pPr>
              <w:pStyle w:val="ListBullet"/>
              <w:numPr>
                <w:ilvl w:val="0"/>
                <w:numId w:val="6"/>
              </w:numPr>
              <w:spacing w:before="60" w:after="60"/>
              <w:ind w:left="1094" w:hanging="357"/>
              <w:contextualSpacing w:val="0"/>
            </w:pPr>
            <w:r>
              <w:t>NOAEC of 50 ppm in rats (cited by ACGIH, 2018)</w:t>
            </w:r>
          </w:p>
          <w:p w14:paraId="5658EBBA" w14:textId="77777777" w:rsidR="00CD13B1" w:rsidRDefault="00CD13B1" w:rsidP="00077921">
            <w:pPr>
              <w:pStyle w:val="ListBullet"/>
              <w:numPr>
                <w:ilvl w:val="0"/>
                <w:numId w:val="6"/>
              </w:numPr>
              <w:spacing w:before="60" w:after="60"/>
              <w:ind w:left="1094" w:hanging="357"/>
              <w:contextualSpacing w:val="0"/>
            </w:pPr>
            <w:r>
              <w:t>LOAEC of 30 ppm in rats (cited by ACGIH, 2018); BMDL</w:t>
            </w:r>
            <w:r w:rsidRPr="0040374E">
              <w:rPr>
                <w:vertAlign w:val="subscript"/>
              </w:rPr>
              <w:t xml:space="preserve">05 </w:t>
            </w:r>
            <w:r>
              <w:t xml:space="preserve">of 11 ppm calculated </w:t>
            </w:r>
            <w:r w:rsidR="00591E9E">
              <w:t>from this study</w:t>
            </w:r>
          </w:p>
          <w:p w14:paraId="2C5830C3" w14:textId="77777777" w:rsidR="00591E9E" w:rsidRDefault="0040374E" w:rsidP="00077921">
            <w:pPr>
              <w:pStyle w:val="ListBullet"/>
              <w:numPr>
                <w:ilvl w:val="0"/>
                <w:numId w:val="6"/>
              </w:numPr>
              <w:spacing w:before="60" w:after="60"/>
              <w:ind w:left="1094" w:hanging="357"/>
              <w:contextualSpacing w:val="0"/>
            </w:pPr>
            <w:r>
              <w:t>s</w:t>
            </w:r>
            <w:r w:rsidR="00ED171D">
              <w:t>tarting with the BMDL</w:t>
            </w:r>
            <w:r w:rsidR="00ED171D" w:rsidRPr="0040374E">
              <w:rPr>
                <w:vertAlign w:val="subscript"/>
              </w:rPr>
              <w:t xml:space="preserve">05 </w:t>
            </w:r>
            <w:r w:rsidR="00ED171D">
              <w:t>of 11 ppm a correction factor of 3 is applied to account respiratory volume difference between rats and humans</w:t>
            </w:r>
          </w:p>
          <w:p w14:paraId="4E537BC9" w14:textId="77777777" w:rsidR="00ED171D" w:rsidRDefault="0040374E" w:rsidP="00077921">
            <w:pPr>
              <w:pStyle w:val="ListBullet"/>
              <w:numPr>
                <w:ilvl w:val="0"/>
                <w:numId w:val="6"/>
              </w:numPr>
              <w:spacing w:before="60" w:after="60"/>
              <w:ind w:left="1094" w:hanging="357"/>
              <w:contextualSpacing w:val="0"/>
            </w:pPr>
            <w:r>
              <w:t>a</w:t>
            </w:r>
            <w:r w:rsidR="00ED171D">
              <w:t>dditional factor of 6/8 to account difference in study exposure duration 6 h to workday 8 h</w:t>
            </w:r>
          </w:p>
          <w:p w14:paraId="73C0AAC7" w14:textId="6E7967AD" w:rsidR="00ED171D" w:rsidRDefault="0040374E" w:rsidP="00077921">
            <w:pPr>
              <w:pStyle w:val="ListBullet"/>
              <w:numPr>
                <w:ilvl w:val="0"/>
                <w:numId w:val="6"/>
              </w:numPr>
              <w:spacing w:before="60" w:after="60"/>
              <w:ind w:left="1094" w:hanging="357"/>
              <w:contextualSpacing w:val="0"/>
            </w:pPr>
            <w:r>
              <w:t>r</w:t>
            </w:r>
            <w:r w:rsidR="00760451">
              <w:t xml:space="preserve">esults in 2.75 ppm; rounded to </w:t>
            </w:r>
            <w:r w:rsidR="00776935">
              <w:t xml:space="preserve">a TWA of </w:t>
            </w:r>
            <w:r w:rsidR="00760451">
              <w:t>2 ppm</w:t>
            </w:r>
          </w:p>
          <w:p w14:paraId="41648F8D" w14:textId="77777777" w:rsidR="00760451" w:rsidRPr="00077921" w:rsidRDefault="00452F9D" w:rsidP="00077921">
            <w:pPr>
              <w:pStyle w:val="ListBullet"/>
              <w:spacing w:before="60" w:after="60"/>
              <w:ind w:left="714" w:hanging="357"/>
              <w:contextualSpacing w:val="0"/>
            </w:pPr>
            <w:r>
              <w:rPr>
                <w:rFonts w:cs="Arial"/>
                <w:color w:val="1C1D1E"/>
                <w:shd w:val="clear" w:color="auto" w:fill="FFFFFF"/>
              </w:rPr>
              <w:t xml:space="preserve">NOAEC for toxic effects on prenatal development </w:t>
            </w:r>
            <w:r w:rsidR="007064C0">
              <w:rPr>
                <w:rFonts w:cs="Arial"/>
                <w:color w:val="1C1D1E"/>
                <w:shd w:val="clear" w:color="auto" w:fill="FFFFFF"/>
              </w:rPr>
              <w:t xml:space="preserve">at </w:t>
            </w:r>
            <w:r>
              <w:rPr>
                <w:rFonts w:cs="Arial"/>
                <w:color w:val="1C1D1E"/>
                <w:shd w:val="clear" w:color="auto" w:fill="FFFFFF"/>
              </w:rPr>
              <w:t>300 ppm for rats and 500 ppm for rabbits; maternally toxic</w:t>
            </w:r>
            <w:r w:rsidR="007064C0">
              <w:rPr>
                <w:rFonts w:cs="Arial"/>
                <w:color w:val="1C1D1E"/>
                <w:shd w:val="clear" w:color="auto" w:fill="FFFFFF"/>
              </w:rPr>
              <w:t xml:space="preserve"> in rats</w:t>
            </w:r>
            <w:r>
              <w:rPr>
                <w:rFonts w:cs="Arial"/>
                <w:color w:val="1C1D1E"/>
                <w:shd w:val="clear" w:color="auto" w:fill="FFFFFF"/>
              </w:rPr>
              <w:t xml:space="preserve"> at 500 ppm</w:t>
            </w:r>
            <w:r w:rsidR="00FD34BC">
              <w:rPr>
                <w:rFonts w:cs="Arial"/>
                <w:color w:val="1C1D1E"/>
                <w:shd w:val="clear" w:color="auto" w:fill="FFFFFF"/>
              </w:rPr>
              <w:t>.</w:t>
            </w:r>
          </w:p>
          <w:p w14:paraId="49E3E66B" w14:textId="77777777" w:rsidR="00FD34BC" w:rsidRPr="00DA352E" w:rsidRDefault="00FD34BC" w:rsidP="00077921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C978F0" w:rsidRPr="00DA352E" w14:paraId="00656D3C" w14:textId="77777777" w:rsidTr="002A7842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1E6E1697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D42AED">
                  <w:t>2010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D42AED" w:rsidRPr="00D42AED">
                  <w:t>TWA:</w:t>
                </w:r>
                <w:r w:rsidR="00D42AED">
                  <w:t xml:space="preserve"> 1 ppm (2.41 mg/m</w:t>
                </w:r>
                <w:r w:rsidR="00D42AED" w:rsidRPr="00D42AED">
                  <w:rPr>
                    <w:vertAlign w:val="superscript"/>
                  </w:rPr>
                  <w:t>3</w:t>
                </w:r>
                <w:r w:rsidR="00D42AED">
                  <w:t>)</w:t>
                </w:r>
              </w:sdtContent>
            </w:sdt>
          </w:p>
        </w:tc>
      </w:tr>
      <w:tr w:rsidR="00C978F0" w:rsidRPr="00DA352E" w14:paraId="1115DAEE" w14:textId="77777777" w:rsidTr="002A7842">
        <w:trPr>
          <w:gridAfter w:val="1"/>
          <w:wAfter w:w="8" w:type="pct"/>
        </w:trPr>
        <w:tc>
          <w:tcPr>
            <w:tcW w:w="4992" w:type="pct"/>
          </w:tcPr>
          <w:p w14:paraId="4E1C4A1F" w14:textId="77777777" w:rsidR="00C978F0" w:rsidRDefault="00586B22" w:rsidP="003365A5">
            <w:pPr>
              <w:pStyle w:val="Tabletextprimarysource"/>
            </w:pPr>
            <w:r>
              <w:t>Primary effect of concern is local carcinogenicity with the nasal epithelium as demonstrated in rats</w:t>
            </w:r>
          </w:p>
          <w:p w14:paraId="2E54715D" w14:textId="77777777" w:rsidR="00586B22" w:rsidRDefault="00586B22" w:rsidP="003365A5">
            <w:pPr>
              <w:pStyle w:val="Tabletextprimarysource"/>
            </w:pPr>
            <w:r>
              <w:t>Summary of additional data:</w:t>
            </w:r>
          </w:p>
          <w:p w14:paraId="788DC670" w14:textId="77777777" w:rsidR="00586B22" w:rsidRDefault="005D1B01" w:rsidP="0007792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evidence of carcinogenicity in humans</w:t>
            </w:r>
          </w:p>
          <w:p w14:paraId="7202A5BA" w14:textId="77777777" w:rsidR="005D1B01" w:rsidRDefault="005D1B01" w:rsidP="00077921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Methyl homologue of </w:t>
            </w:r>
            <w:proofErr w:type="spellStart"/>
            <w:r w:rsidR="0040374E">
              <w:t>EtO</w:t>
            </w:r>
            <w:proofErr w:type="spellEnd"/>
          </w:p>
          <w:p w14:paraId="6A9CD843" w14:textId="3A242D33" w:rsidR="005D1B01" w:rsidRDefault="005D1B01" w:rsidP="0007792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Primary target of both toxicity and carcinogenicity is at the port of entry</w:t>
            </w:r>
            <w:r w:rsidR="00FB7529">
              <w:t>; characterised by a practical threshold</w:t>
            </w:r>
          </w:p>
          <w:p w14:paraId="7E46540A" w14:textId="2DF0BC26" w:rsidR="007B162C" w:rsidRDefault="005D1B01" w:rsidP="0007792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Mode of action of rodent nasal carcinogenesis due to contributions of several factors besides genotoxicity including glutathione depletion in nasal respiratory mucosa</w:t>
            </w:r>
            <w:r w:rsidR="00776935">
              <w:t>:</w:t>
            </w:r>
            <w:r>
              <w:t xml:space="preserve"> </w:t>
            </w:r>
          </w:p>
          <w:p w14:paraId="1E2180BF" w14:textId="18E6D9FE" w:rsidR="00FB7529" w:rsidRDefault="005D1B01" w:rsidP="00077921">
            <w:pPr>
              <w:pStyle w:val="ListBullet"/>
              <w:numPr>
                <w:ilvl w:val="0"/>
                <w:numId w:val="10"/>
              </w:numPr>
              <w:spacing w:before="60" w:after="60"/>
              <w:contextualSpacing w:val="0"/>
            </w:pPr>
            <w:r>
              <w:t xml:space="preserve">glutathione an important scavenging function in detoxification </w:t>
            </w:r>
          </w:p>
          <w:p w14:paraId="0654E347" w14:textId="77777777" w:rsidR="00C61C87" w:rsidRDefault="00C61C87" w:rsidP="0007792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NOAEC of 50 ppm in rats (cited by ACGIH, 2018)</w:t>
            </w:r>
          </w:p>
          <w:p w14:paraId="019FBDA4" w14:textId="71AB64AB" w:rsidR="00C61C87" w:rsidRDefault="00C61C87" w:rsidP="0007792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specific derivation</w:t>
            </w:r>
            <w:r w:rsidR="00776935">
              <w:t xml:space="preserve"> description </w:t>
            </w:r>
            <w:r w:rsidR="00BC28DC">
              <w:t xml:space="preserve">but </w:t>
            </w:r>
            <w:r>
              <w:t>TWA of 1 ppm based on following</w:t>
            </w:r>
            <w:r w:rsidR="0040374E">
              <w:t>:</w:t>
            </w:r>
          </w:p>
          <w:p w14:paraId="683ADB72" w14:textId="77777777" w:rsidR="005D1B01" w:rsidRDefault="0040374E" w:rsidP="00077921">
            <w:pPr>
              <w:pStyle w:val="ListBullet"/>
              <w:numPr>
                <w:ilvl w:val="0"/>
                <w:numId w:val="7"/>
              </w:numPr>
              <w:spacing w:before="60" w:after="60"/>
              <w:ind w:left="1094" w:hanging="357"/>
              <w:contextualSpacing w:val="0"/>
            </w:pPr>
            <w:r>
              <w:lastRenderedPageBreak/>
              <w:t>m</w:t>
            </w:r>
            <w:r w:rsidR="00FB7529">
              <w:t xml:space="preserve">inimal local glutathione depletion in the nasal tissue of the rats at 5 ppm </w:t>
            </w:r>
          </w:p>
          <w:p w14:paraId="35019E53" w14:textId="282E665B" w:rsidR="00C61C87" w:rsidRDefault="00077921" w:rsidP="00077921">
            <w:pPr>
              <w:pStyle w:val="ListBullet"/>
              <w:numPr>
                <w:ilvl w:val="0"/>
                <w:numId w:val="7"/>
              </w:numPr>
              <w:spacing w:before="60" w:after="60"/>
              <w:ind w:left="1094" w:hanging="357"/>
              <w:contextualSpacing w:val="0"/>
            </w:pPr>
            <w:r>
              <w:t>SCE</w:t>
            </w:r>
            <w:r w:rsidR="00C61C87">
              <w:t xml:space="preserve"> not distinguishable in workers </w:t>
            </w:r>
            <w:r>
              <w:t xml:space="preserve">at </w:t>
            </w:r>
            <w:r w:rsidR="0040374E">
              <w:t>&lt;</w:t>
            </w:r>
            <w:r w:rsidR="00C61C87">
              <w:t>2 ppm from those of non-exposed controls</w:t>
            </w:r>
          </w:p>
          <w:p w14:paraId="1A23A966" w14:textId="77777777" w:rsidR="00C61C87" w:rsidRDefault="00FB7529" w:rsidP="00077921">
            <w:pPr>
              <w:pStyle w:val="ListBullet"/>
              <w:numPr>
                <w:ilvl w:val="0"/>
                <w:numId w:val="7"/>
              </w:numPr>
              <w:spacing w:before="60" w:after="60"/>
              <w:ind w:left="1094" w:hanging="357"/>
              <w:contextualSpacing w:val="0"/>
            </w:pPr>
            <w:r>
              <w:t>LOAEC of 30 ppm in rats (cited by ACGIH, 2018)</w:t>
            </w:r>
            <w:r w:rsidR="0040374E">
              <w:t>.</w:t>
            </w:r>
          </w:p>
          <w:p w14:paraId="65268053" w14:textId="77777777" w:rsidR="00FD34BC" w:rsidRPr="00DA352E" w:rsidRDefault="00FD34BC" w:rsidP="00077921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DA352E" w:rsidRPr="00DA352E" w14:paraId="5ABC2698" w14:textId="77777777" w:rsidTr="002A7842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0E7C89B9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D42AED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D42AED">
                  <w:t>NA</w:t>
                </w:r>
              </w:sdtContent>
            </w:sdt>
          </w:p>
        </w:tc>
      </w:tr>
      <w:tr w:rsidR="00DA352E" w:rsidRPr="00DA352E" w14:paraId="40218A75" w14:textId="77777777" w:rsidTr="002A7842">
        <w:trPr>
          <w:gridAfter w:val="1"/>
          <w:wAfter w:w="8" w:type="pct"/>
        </w:trPr>
        <w:tc>
          <w:tcPr>
            <w:tcW w:w="4992" w:type="pct"/>
          </w:tcPr>
          <w:p w14:paraId="7F216B62" w14:textId="77777777" w:rsidR="00DA352E" w:rsidRPr="00DA352E" w:rsidRDefault="00D42AED" w:rsidP="003365A5">
            <w:pPr>
              <w:pStyle w:val="Tabletextprimarysource"/>
            </w:pPr>
            <w:r>
              <w:t>No report</w:t>
            </w:r>
            <w:r w:rsidR="0040374E">
              <w:t>.</w:t>
            </w:r>
          </w:p>
        </w:tc>
      </w:tr>
      <w:tr w:rsidR="00DA352E" w:rsidRPr="00DA352E" w14:paraId="0C5CA4D5" w14:textId="77777777" w:rsidTr="002A7842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61C98E15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D42AED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D42AED">
                  <w:t>NA</w:t>
                </w:r>
              </w:sdtContent>
            </w:sdt>
          </w:p>
        </w:tc>
      </w:tr>
      <w:tr w:rsidR="00DA352E" w:rsidRPr="00DA352E" w14:paraId="0FCA4BAF" w14:textId="77777777" w:rsidTr="002A7842">
        <w:trPr>
          <w:gridAfter w:val="1"/>
          <w:wAfter w:w="8" w:type="pct"/>
        </w:trPr>
        <w:tc>
          <w:tcPr>
            <w:tcW w:w="4992" w:type="pct"/>
          </w:tcPr>
          <w:p w14:paraId="592C33C1" w14:textId="77777777" w:rsidR="00DA352E" w:rsidRPr="00DA352E" w:rsidRDefault="00D42AED" w:rsidP="003365A5">
            <w:pPr>
              <w:pStyle w:val="Tabletextprimarysource"/>
            </w:pPr>
            <w:r>
              <w:t>No report</w:t>
            </w:r>
            <w:r w:rsidR="0040374E">
              <w:t>.</w:t>
            </w:r>
          </w:p>
        </w:tc>
      </w:tr>
    </w:tbl>
    <w:p w14:paraId="5EC62082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88"/>
        <w:gridCol w:w="423"/>
        <w:gridCol w:w="661"/>
        <w:gridCol w:w="6454"/>
      </w:tblGrid>
      <w:tr w:rsidR="004966BF" w:rsidRPr="002A7842" w14:paraId="41C4737D" w14:textId="77777777" w:rsidTr="002A78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88" w:type="dxa"/>
            <w:shd w:val="clear" w:color="auto" w:fill="BFBFBF" w:themeFill="background1" w:themeFillShade="BF"/>
            <w:vAlign w:val="center"/>
          </w:tcPr>
          <w:p w14:paraId="71DA144F" w14:textId="77777777" w:rsidR="004966BF" w:rsidRPr="002A7842" w:rsidRDefault="004966BF" w:rsidP="00263255">
            <w:pPr>
              <w:pStyle w:val="Tableheader"/>
              <w:rPr>
                <w:b/>
              </w:rPr>
            </w:pPr>
            <w:r w:rsidRPr="002A7842">
              <w:rPr>
                <w:b/>
              </w:rPr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564A08EB" w14:textId="77777777" w:rsidR="004966BF" w:rsidRPr="002A7842" w:rsidRDefault="004966BF" w:rsidP="00263255">
            <w:pPr>
              <w:pStyle w:val="Tableheader"/>
              <w:rPr>
                <w:b/>
              </w:rPr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714500B3" w14:textId="77777777" w:rsidR="004966BF" w:rsidRPr="002A7842" w:rsidRDefault="004966BF" w:rsidP="00263255">
            <w:pPr>
              <w:pStyle w:val="Tableheader"/>
              <w:rPr>
                <w:b/>
              </w:rPr>
            </w:pPr>
            <w:r w:rsidRPr="002A7842">
              <w:rPr>
                <w:b/>
              </w:rPr>
              <w:t>Year</w:t>
            </w:r>
          </w:p>
        </w:tc>
        <w:tc>
          <w:tcPr>
            <w:tcW w:w="6454" w:type="dxa"/>
            <w:shd w:val="clear" w:color="auto" w:fill="BFBFBF" w:themeFill="background1" w:themeFillShade="BF"/>
            <w:vAlign w:val="center"/>
          </w:tcPr>
          <w:p w14:paraId="7F38D15A" w14:textId="77777777" w:rsidR="004966BF" w:rsidRPr="002A7842" w:rsidRDefault="004966BF" w:rsidP="00263255">
            <w:pPr>
              <w:pStyle w:val="Tableheader"/>
              <w:rPr>
                <w:b/>
              </w:rPr>
            </w:pPr>
            <w:r w:rsidRPr="002A7842">
              <w:rPr>
                <w:b/>
              </w:rPr>
              <w:t>Additional information</w:t>
            </w:r>
          </w:p>
        </w:tc>
      </w:tr>
      <w:tr w:rsidR="004966BF" w:rsidRPr="004C23F4" w14:paraId="180D3255" w14:textId="77777777" w:rsidTr="002A7842">
        <w:trPr>
          <w:cantSplit/>
        </w:trPr>
        <w:tc>
          <w:tcPr>
            <w:tcW w:w="1488" w:type="dxa"/>
          </w:tcPr>
          <w:p w14:paraId="288F5DC0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1F0C5256" w14:textId="77777777" w:rsidR="004966BF" w:rsidRPr="00CE617F" w:rsidRDefault="002A7842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8B7E0C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6BF80F0" w14:textId="77777777" w:rsidR="004966BF" w:rsidRPr="004C23F4" w:rsidRDefault="008B7E0C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2013</w:t>
            </w:r>
          </w:p>
        </w:tc>
        <w:tc>
          <w:tcPr>
            <w:tcW w:w="6454" w:type="dxa"/>
          </w:tcPr>
          <w:p w14:paraId="6BC24CE7" w14:textId="77777777" w:rsidR="004966BF" w:rsidRPr="004C23F4" w:rsidRDefault="00DF6BB8" w:rsidP="00077921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M</w:t>
            </w:r>
            <w:r w:rsidRPr="00DF6BB8">
              <w:rPr>
                <w:rStyle w:val="checkbox"/>
                <w:rFonts w:ascii="Arial" w:hAnsi="Arial" w:cs="Arial"/>
              </w:rPr>
              <w:t xml:space="preserve">utagenic in spot tests in </w:t>
            </w:r>
            <w:r w:rsidR="0040374E" w:rsidRPr="0040374E">
              <w:rPr>
                <w:rStyle w:val="checkbox"/>
                <w:rFonts w:ascii="Arial" w:hAnsi="Arial" w:cs="Arial"/>
                <w:i/>
                <w:iCs/>
              </w:rPr>
              <w:t>E.</w:t>
            </w:r>
            <w:r w:rsidRPr="0040374E">
              <w:rPr>
                <w:rStyle w:val="checkbox"/>
                <w:rFonts w:ascii="Arial" w:hAnsi="Arial" w:cs="Arial"/>
                <w:i/>
                <w:iCs/>
              </w:rPr>
              <w:t xml:space="preserve"> coli</w:t>
            </w:r>
            <w:r>
              <w:rPr>
                <w:rStyle w:val="checkbox"/>
                <w:rFonts w:ascii="Arial" w:hAnsi="Arial" w:cs="Arial"/>
              </w:rPr>
              <w:t xml:space="preserve"> strains WP2, CM891, CM871</w:t>
            </w:r>
            <w:r w:rsidR="0040374E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6B2C0319" w14:textId="77777777" w:rsidTr="002A7842">
        <w:trPr>
          <w:cantSplit/>
        </w:trPr>
        <w:tc>
          <w:tcPr>
            <w:tcW w:w="1488" w:type="dxa"/>
          </w:tcPr>
          <w:p w14:paraId="4D509675" w14:textId="77777777" w:rsidR="004966BF" w:rsidRPr="004C23F4" w:rsidRDefault="004966BF" w:rsidP="00224EE2">
            <w:pPr>
              <w:pStyle w:val="Tablefont"/>
            </w:pPr>
            <w:r>
              <w:t>IARC</w:t>
            </w:r>
          </w:p>
        </w:tc>
        <w:tc>
          <w:tcPr>
            <w:tcW w:w="423" w:type="dxa"/>
          </w:tcPr>
          <w:p w14:paraId="27A8ED75" w14:textId="77777777" w:rsidR="004966BF" w:rsidRPr="00CE617F" w:rsidRDefault="002A7842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592279139"/>
                <w:placeholder>
                  <w:docPart w:val="20BC8D26515A4C11AC6304FB75A7CBA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9E3424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16AA6B03" w14:textId="77777777" w:rsidR="004966BF" w:rsidRPr="004C23F4" w:rsidRDefault="009E3424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1994</w:t>
            </w:r>
          </w:p>
        </w:tc>
        <w:tc>
          <w:tcPr>
            <w:tcW w:w="6454" w:type="dxa"/>
          </w:tcPr>
          <w:p w14:paraId="2FDEE04A" w14:textId="7AD793D7" w:rsidR="00077921" w:rsidRDefault="009E3424" w:rsidP="00077921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 w:rsidRPr="009E3424">
              <w:rPr>
                <w:rStyle w:val="checkbox"/>
                <w:rFonts w:ascii="Arial" w:hAnsi="Arial" w:cs="Arial"/>
              </w:rPr>
              <w:t>DNA adducts formed in various organs of mice, rats and dogs</w:t>
            </w:r>
            <w:r w:rsidR="00776935">
              <w:rPr>
                <w:rStyle w:val="checkbox"/>
                <w:rFonts w:ascii="Arial" w:hAnsi="Arial" w:cs="Arial"/>
              </w:rPr>
              <w:t xml:space="preserve">: </w:t>
            </w:r>
          </w:p>
          <w:p w14:paraId="22D80CD6" w14:textId="5423EBC2" w:rsidR="004966BF" w:rsidRDefault="00693BC0" w:rsidP="00077921">
            <w:pPr>
              <w:pStyle w:val="ListBullet"/>
              <w:numPr>
                <w:ilvl w:val="0"/>
                <w:numId w:val="10"/>
              </w:numPr>
              <w:spacing w:before="60" w:after="60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b</w:t>
            </w:r>
            <w:r w:rsidR="009E3424" w:rsidRPr="009E3424">
              <w:rPr>
                <w:rStyle w:val="checkbox"/>
                <w:rFonts w:ascii="Arial" w:hAnsi="Arial" w:cs="Arial"/>
              </w:rPr>
              <w:t xml:space="preserve">inding in mouse liver DNA was about </w:t>
            </w:r>
            <w:r w:rsidR="009E3424">
              <w:rPr>
                <w:rStyle w:val="checkbox"/>
                <w:rFonts w:ascii="Arial" w:hAnsi="Arial" w:cs="Arial"/>
              </w:rPr>
              <w:t>1/20</w:t>
            </w:r>
            <w:r w:rsidR="009E3424" w:rsidRPr="009E3424">
              <w:rPr>
                <w:rStyle w:val="checkbox"/>
                <w:rFonts w:ascii="Arial" w:hAnsi="Arial" w:cs="Arial"/>
              </w:rPr>
              <w:t xml:space="preserve"> of </w:t>
            </w:r>
            <w:proofErr w:type="spellStart"/>
            <w:r w:rsidR="0040374E">
              <w:rPr>
                <w:rStyle w:val="checkbox"/>
                <w:rFonts w:ascii="Arial" w:hAnsi="Arial" w:cs="Arial"/>
              </w:rPr>
              <w:t>EtO</w:t>
            </w:r>
            <w:proofErr w:type="spellEnd"/>
          </w:p>
          <w:p w14:paraId="5763DCCE" w14:textId="3B4F902C" w:rsidR="00077921" w:rsidRDefault="009E3424" w:rsidP="00077921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I</w:t>
            </w:r>
            <w:r w:rsidRPr="009E3424">
              <w:rPr>
                <w:rStyle w:val="checkbox"/>
                <w:rFonts w:ascii="Arial" w:hAnsi="Arial" w:cs="Arial"/>
              </w:rPr>
              <w:t>nadequate evidence in humans for carcinogenicity</w:t>
            </w:r>
            <w:r w:rsidR="00776935">
              <w:rPr>
                <w:rStyle w:val="checkbox"/>
                <w:rFonts w:ascii="Arial" w:hAnsi="Arial" w:cs="Arial"/>
              </w:rPr>
              <w:t>:</w:t>
            </w:r>
          </w:p>
          <w:p w14:paraId="557130CD" w14:textId="263B98DB" w:rsidR="009E3424" w:rsidRDefault="009E3424" w:rsidP="00077921">
            <w:pPr>
              <w:pStyle w:val="ListBullet"/>
              <w:numPr>
                <w:ilvl w:val="0"/>
                <w:numId w:val="10"/>
              </w:numPr>
              <w:spacing w:before="60" w:after="60"/>
              <w:contextualSpacing w:val="0"/>
              <w:rPr>
                <w:rStyle w:val="checkbox"/>
                <w:rFonts w:ascii="Arial" w:hAnsi="Arial" w:cs="Arial"/>
              </w:rPr>
            </w:pPr>
            <w:proofErr w:type="gramStart"/>
            <w:r w:rsidRPr="009E3424">
              <w:rPr>
                <w:rStyle w:val="checkbox"/>
                <w:rFonts w:ascii="Arial" w:hAnsi="Arial" w:cs="Arial"/>
              </w:rPr>
              <w:t>sufficient</w:t>
            </w:r>
            <w:proofErr w:type="gramEnd"/>
            <w:r w:rsidRPr="009E3424">
              <w:rPr>
                <w:rStyle w:val="checkbox"/>
                <w:rFonts w:ascii="Arial" w:hAnsi="Arial" w:cs="Arial"/>
              </w:rPr>
              <w:t xml:space="preserve"> evidence in experimental animals </w:t>
            </w:r>
          </w:p>
          <w:p w14:paraId="726A181D" w14:textId="14612C81" w:rsidR="009E3424" w:rsidRPr="004C23F4" w:rsidRDefault="009E3424" w:rsidP="00077921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P</w:t>
            </w:r>
            <w:r w:rsidRPr="009E3424">
              <w:rPr>
                <w:rStyle w:val="checkbox"/>
                <w:rFonts w:ascii="Arial" w:hAnsi="Arial" w:cs="Arial"/>
              </w:rPr>
              <w:t>ossibly carcinogenic to humans</w:t>
            </w:r>
            <w:r w:rsidR="007E052F">
              <w:rPr>
                <w:rStyle w:val="checkbox"/>
                <w:rFonts w:ascii="Arial" w:hAnsi="Arial" w:cs="Arial"/>
              </w:rPr>
              <w:t xml:space="preserve"> - </w:t>
            </w:r>
            <w:r w:rsidR="007E052F" w:rsidRPr="004A1396">
              <w:t>Group 2B</w:t>
            </w:r>
            <w:r w:rsidR="0040374E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478DF2F7" w14:textId="77777777" w:rsidTr="002A7842">
        <w:trPr>
          <w:cantSplit/>
        </w:trPr>
        <w:tc>
          <w:tcPr>
            <w:tcW w:w="1488" w:type="dxa"/>
          </w:tcPr>
          <w:p w14:paraId="127FCBF3" w14:textId="77777777" w:rsidR="004966BF" w:rsidRPr="004C23F4" w:rsidRDefault="004966BF" w:rsidP="00224EE2">
            <w:pPr>
              <w:pStyle w:val="Tablefont"/>
            </w:pPr>
            <w:r>
              <w:t>US EPA</w:t>
            </w:r>
          </w:p>
        </w:tc>
        <w:tc>
          <w:tcPr>
            <w:tcW w:w="423" w:type="dxa"/>
          </w:tcPr>
          <w:p w14:paraId="4BBFD21D" w14:textId="77777777" w:rsidR="004966BF" w:rsidRPr="00CE617F" w:rsidRDefault="002A7842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015498594"/>
                <w:placeholder>
                  <w:docPart w:val="CFFDE270CB50461B826B0194984892C5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8B7E0C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18EC7C27" w14:textId="77777777" w:rsidR="004966BF" w:rsidRPr="004C23F4" w:rsidRDefault="00DF6BB8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1990</w:t>
            </w:r>
          </w:p>
        </w:tc>
        <w:tc>
          <w:tcPr>
            <w:tcW w:w="6454" w:type="dxa"/>
          </w:tcPr>
          <w:p w14:paraId="5E052556" w14:textId="5EF9ABFE" w:rsidR="00077921" w:rsidRPr="00077921" w:rsidRDefault="00DF6BB8" w:rsidP="00077921">
            <w:pPr>
              <w:pStyle w:val="ListBullet"/>
              <w:spacing w:before="60" w:after="60"/>
              <w:ind w:left="714" w:hanging="357"/>
              <w:contextualSpacing w:val="0"/>
              <w:rPr>
                <w:rFonts w:cs="Arial"/>
              </w:rPr>
            </w:pPr>
            <w:r>
              <w:t xml:space="preserve">Retrospective cohort study of 602 employees in 8 production plants, with exposure to propylene oxide and </w:t>
            </w:r>
            <w:proofErr w:type="spellStart"/>
            <w:r w:rsidR="0040374E">
              <w:t>EtO</w:t>
            </w:r>
            <w:proofErr w:type="spellEnd"/>
            <w:r>
              <w:t xml:space="preserve"> and other chemicals, including </w:t>
            </w:r>
            <w:proofErr w:type="spellStart"/>
            <w:r w:rsidR="007D1847">
              <w:t>d</w:t>
            </w:r>
            <w:r w:rsidR="007E052F">
              <w:t>ichloropropane</w:t>
            </w:r>
            <w:proofErr w:type="spellEnd"/>
            <w:r>
              <w:t xml:space="preserve"> and epichlorohydrin</w:t>
            </w:r>
            <w:r w:rsidR="007E052F">
              <w:t>:</w:t>
            </w:r>
            <w:r>
              <w:t xml:space="preserve"> </w:t>
            </w:r>
          </w:p>
          <w:p w14:paraId="4363A0EF" w14:textId="225CD286" w:rsidR="00DF6BB8" w:rsidRPr="00DF6BB8" w:rsidRDefault="00DF6BB8" w:rsidP="00077921">
            <w:pPr>
              <w:pStyle w:val="ListBullet"/>
              <w:numPr>
                <w:ilvl w:val="0"/>
                <w:numId w:val="10"/>
              </w:numPr>
              <w:spacing w:before="60" w:after="60"/>
              <w:contextualSpacing w:val="0"/>
              <w:rPr>
                <w:rFonts w:cs="Arial"/>
              </w:rPr>
            </w:pPr>
            <w:r>
              <w:t>mortality in each cancer category not significantly higher than expected</w:t>
            </w:r>
          </w:p>
          <w:p w14:paraId="6021D693" w14:textId="01185A3B" w:rsidR="004966BF" w:rsidRPr="00DF6BB8" w:rsidRDefault="0040374E" w:rsidP="00077921">
            <w:pPr>
              <w:pStyle w:val="ListBullet"/>
              <w:spacing w:before="60" w:after="60"/>
              <w:ind w:left="714" w:hanging="357"/>
              <w:contextualSpacing w:val="0"/>
              <w:rPr>
                <w:rFonts w:cs="Arial"/>
              </w:rPr>
            </w:pPr>
            <w:r>
              <w:t>I</w:t>
            </w:r>
            <w:r w:rsidR="008B7E0C">
              <w:t>ncreased incidence of benign and malignant tumours at site of exposure in two species of animals, when exposed by subcutaneous injection, by inhalation and by gavage</w:t>
            </w:r>
          </w:p>
          <w:p w14:paraId="0D31B8DF" w14:textId="77777777" w:rsidR="00DF6BB8" w:rsidRPr="004C23F4" w:rsidRDefault="00DF6BB8" w:rsidP="00077921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t>Probable human carcinogen</w:t>
            </w:r>
            <w:r w:rsidR="0040374E">
              <w:t>.</w:t>
            </w:r>
          </w:p>
        </w:tc>
      </w:tr>
    </w:tbl>
    <w:bookmarkEnd w:id="0"/>
    <w:p w14:paraId="6C9AED28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57FF89FE" w14:textId="77777777" w:rsidTr="009E3424">
        <w:trPr>
          <w:trHeight w:val="454"/>
          <w:tblHeader/>
        </w:trPr>
        <w:tc>
          <w:tcPr>
            <w:tcW w:w="6597" w:type="dxa"/>
            <w:vAlign w:val="center"/>
          </w:tcPr>
          <w:p w14:paraId="0E88FA84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37FF4B7B" w14:textId="77777777" w:rsidR="002E0D61" w:rsidRDefault="00DF6BB8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Yes</w:t>
                </w:r>
              </w:p>
            </w:tc>
          </w:sdtContent>
        </w:sdt>
      </w:tr>
      <w:tr w:rsidR="008A36CF" w14:paraId="1853E7EA" w14:textId="77777777" w:rsidTr="009E3424">
        <w:trPr>
          <w:trHeight w:val="454"/>
        </w:trPr>
        <w:tc>
          <w:tcPr>
            <w:tcW w:w="6597" w:type="dxa"/>
            <w:vAlign w:val="center"/>
          </w:tcPr>
          <w:p w14:paraId="015DCD17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0691897B" w14:textId="77777777" w:rsidR="008A36CF" w:rsidRDefault="00DF6BB8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077921" w14:paraId="08832F0B" w14:textId="77777777" w:rsidTr="0040490A">
        <w:trPr>
          <w:trHeight w:val="454"/>
        </w:trPr>
        <w:sdt>
          <w:sdtPr>
            <w:rPr>
              <w:b/>
            </w:rPr>
            <w:id w:val="1830936485"/>
            <w:placeholder>
              <w:docPart w:val="5995332247ED48A185FE7FA18B05717D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766E8221" w14:textId="16D1ABB4" w:rsidR="00077921" w:rsidRDefault="00077921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1"/>
    <w:p w14:paraId="2BB060A2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2A7842" w14:paraId="0FFF61EE" w14:textId="77777777" w:rsidTr="002A78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28780410" w14:textId="77777777" w:rsidR="00687890" w:rsidRPr="002A7842" w:rsidRDefault="00687890" w:rsidP="00263255">
            <w:pPr>
              <w:pStyle w:val="Tableheader"/>
              <w:rPr>
                <w:b/>
              </w:rPr>
            </w:pPr>
            <w:bookmarkStart w:id="2" w:name="Notations"/>
            <w:bookmarkStart w:id="3" w:name="_GoBack" w:colFirst="0" w:colLast="2"/>
            <w:r w:rsidRPr="002A7842">
              <w:rPr>
                <w:b/>
              </w:rPr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1F40B228" w14:textId="77777777" w:rsidR="00687890" w:rsidRPr="002A7842" w:rsidRDefault="00687890" w:rsidP="00F4402E">
            <w:pPr>
              <w:pStyle w:val="Tableheader"/>
              <w:tabs>
                <w:tab w:val="right" w:pos="5272"/>
              </w:tabs>
              <w:rPr>
                <w:b/>
              </w:rPr>
            </w:pPr>
            <w:r w:rsidRPr="002A7842">
              <w:rPr>
                <w:b/>
              </w:rPr>
              <w:t>Notations</w:t>
            </w:r>
            <w:r w:rsidR="003A2B94" w:rsidRPr="002A7842">
              <w:rPr>
                <w:b/>
              </w:rPr>
              <w:tab/>
            </w:r>
          </w:p>
        </w:tc>
      </w:tr>
      <w:bookmarkEnd w:id="3"/>
      <w:tr w:rsidR="00687890" w:rsidRPr="004C23F4" w14:paraId="183E57A9" w14:textId="77777777" w:rsidTr="002A7842">
        <w:trPr>
          <w:cantSplit/>
        </w:trPr>
        <w:tc>
          <w:tcPr>
            <w:tcW w:w="3227" w:type="dxa"/>
          </w:tcPr>
          <w:p w14:paraId="535CA02E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2379F1CF" w14:textId="77777777" w:rsidR="00687890" w:rsidRPr="00DD2F9B" w:rsidRDefault="00D42AED" w:rsidP="00DD2F9B">
            <w:pPr>
              <w:pStyle w:val="Tablefont"/>
            </w:pPr>
            <w:proofErr w:type="spellStart"/>
            <w:r w:rsidRPr="00D42AED">
              <w:t>Carc</w:t>
            </w:r>
            <w:proofErr w:type="spellEnd"/>
            <w:r w:rsidRPr="00D42AED">
              <w:t>. 1B</w:t>
            </w:r>
          </w:p>
        </w:tc>
      </w:tr>
      <w:tr w:rsidR="007925F0" w:rsidRPr="004C23F4" w14:paraId="16F5F0A5" w14:textId="77777777" w:rsidTr="002A7842">
        <w:trPr>
          <w:cantSplit/>
        </w:trPr>
        <w:tc>
          <w:tcPr>
            <w:tcW w:w="3227" w:type="dxa"/>
          </w:tcPr>
          <w:p w14:paraId="2AB5B07C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7404078" w14:textId="77777777" w:rsidR="007925F0" w:rsidRPr="00DD2F9B" w:rsidRDefault="00D42AED" w:rsidP="00DD2F9B">
            <w:pPr>
              <w:pStyle w:val="Tablefont"/>
            </w:pPr>
            <w:r w:rsidRPr="00D42AED">
              <w:t>Carcinogenicity – category 1B</w:t>
            </w:r>
          </w:p>
        </w:tc>
      </w:tr>
      <w:tr w:rsidR="00AF483F" w:rsidRPr="004C23F4" w14:paraId="14D98B5D" w14:textId="77777777" w:rsidTr="002A7842">
        <w:trPr>
          <w:cantSplit/>
        </w:trPr>
        <w:tc>
          <w:tcPr>
            <w:tcW w:w="3227" w:type="dxa"/>
          </w:tcPr>
          <w:p w14:paraId="741DB47E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32A23BB6" w14:textId="77777777" w:rsidR="00AF483F" w:rsidRPr="00DD2F9B" w:rsidRDefault="00FA239D" w:rsidP="00DD2F9B">
            <w:pPr>
              <w:pStyle w:val="Tablefont"/>
            </w:pPr>
            <w:proofErr w:type="spellStart"/>
            <w:r w:rsidRPr="00FA239D">
              <w:t>Carc</w:t>
            </w:r>
            <w:proofErr w:type="spellEnd"/>
            <w:r w:rsidRPr="00FA239D">
              <w:t>. Cat 2</w:t>
            </w:r>
          </w:p>
        </w:tc>
      </w:tr>
      <w:tr w:rsidR="00687890" w:rsidRPr="004C23F4" w14:paraId="67BC64BA" w14:textId="77777777" w:rsidTr="002A7842">
        <w:trPr>
          <w:cantSplit/>
        </w:trPr>
        <w:tc>
          <w:tcPr>
            <w:tcW w:w="3227" w:type="dxa"/>
          </w:tcPr>
          <w:p w14:paraId="78C424E1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17C7D17D" w14:textId="77777777" w:rsidR="00687890" w:rsidRPr="00DD2F9B" w:rsidRDefault="00FA239D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69EA56F5" w14:textId="77777777" w:rsidTr="002A7842">
        <w:trPr>
          <w:cantSplit/>
        </w:trPr>
        <w:tc>
          <w:tcPr>
            <w:tcW w:w="3227" w:type="dxa"/>
          </w:tcPr>
          <w:p w14:paraId="417115E0" w14:textId="77777777" w:rsidR="00E41A26" w:rsidRDefault="00E41A26" w:rsidP="00F4402E">
            <w:pPr>
              <w:pStyle w:val="Tablefont"/>
            </w:pPr>
            <w:r>
              <w:lastRenderedPageBreak/>
              <w:t>ECHA</w:t>
            </w:r>
          </w:p>
        </w:tc>
        <w:tc>
          <w:tcPr>
            <w:tcW w:w="6015" w:type="dxa"/>
          </w:tcPr>
          <w:p w14:paraId="2A611834" w14:textId="77777777" w:rsidR="00E41A26" w:rsidRPr="00DD2F9B" w:rsidRDefault="00FA239D" w:rsidP="00DD2F9B">
            <w:pPr>
              <w:pStyle w:val="Tablefont"/>
            </w:pPr>
            <w:proofErr w:type="spellStart"/>
            <w:r w:rsidRPr="00FA239D">
              <w:t>Carc</w:t>
            </w:r>
            <w:proofErr w:type="spellEnd"/>
            <w:r w:rsidRPr="00FA239D">
              <w:t>. 1B</w:t>
            </w:r>
          </w:p>
        </w:tc>
      </w:tr>
      <w:tr w:rsidR="002E0D61" w:rsidRPr="004C23F4" w14:paraId="346003A4" w14:textId="77777777" w:rsidTr="002A7842">
        <w:trPr>
          <w:cantSplit/>
        </w:trPr>
        <w:tc>
          <w:tcPr>
            <w:tcW w:w="3227" w:type="dxa"/>
          </w:tcPr>
          <w:p w14:paraId="5E16ED90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30A4911E" w14:textId="77777777" w:rsidR="002E0D61" w:rsidRPr="00DD2F9B" w:rsidRDefault="00FA239D" w:rsidP="00DD2F9B">
            <w:pPr>
              <w:pStyle w:val="Tablefont"/>
            </w:pPr>
            <w:r w:rsidRPr="00FA239D">
              <w:t>Carcinogenicity – A3</w:t>
            </w:r>
            <w:r>
              <w:t xml:space="preserve">, </w:t>
            </w:r>
            <w:r w:rsidRPr="00FA239D">
              <w:t>DSEN</w:t>
            </w:r>
          </w:p>
        </w:tc>
      </w:tr>
      <w:tr w:rsidR="002E0D61" w:rsidRPr="004C23F4" w14:paraId="1AF73A9E" w14:textId="77777777" w:rsidTr="002A7842">
        <w:trPr>
          <w:cantSplit/>
        </w:trPr>
        <w:tc>
          <w:tcPr>
            <w:tcW w:w="3227" w:type="dxa"/>
          </w:tcPr>
          <w:p w14:paraId="627878F4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42C50254" w14:textId="77777777" w:rsidR="002E0D61" w:rsidRPr="00DD2F9B" w:rsidRDefault="00FA239D" w:rsidP="00DD2F9B">
            <w:pPr>
              <w:pStyle w:val="Tablefont"/>
            </w:pPr>
            <w:r w:rsidRPr="00FA239D">
              <w:t>Carcinogenicity – 4</w:t>
            </w:r>
            <w:r>
              <w:t xml:space="preserve">, </w:t>
            </w:r>
            <w:proofErr w:type="spellStart"/>
            <w:r w:rsidRPr="00FA239D">
              <w:t>Sh</w:t>
            </w:r>
            <w:proofErr w:type="spellEnd"/>
            <w:r w:rsidRPr="00FA239D">
              <w:t xml:space="preserve"> (dermal sensitiser)</w:t>
            </w:r>
          </w:p>
        </w:tc>
      </w:tr>
      <w:tr w:rsidR="002E0D61" w:rsidRPr="004C23F4" w14:paraId="6EC92360" w14:textId="77777777" w:rsidTr="002A7842">
        <w:trPr>
          <w:cantSplit/>
        </w:trPr>
        <w:tc>
          <w:tcPr>
            <w:tcW w:w="3227" w:type="dxa"/>
          </w:tcPr>
          <w:p w14:paraId="19907AAB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56BEBF99" w14:textId="77777777" w:rsidR="002E0D61" w:rsidRPr="00DD2F9B" w:rsidRDefault="004A1396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7A3DFCA5" w14:textId="77777777" w:rsidTr="002A7842">
        <w:trPr>
          <w:cantSplit/>
        </w:trPr>
        <w:tc>
          <w:tcPr>
            <w:tcW w:w="3227" w:type="dxa"/>
          </w:tcPr>
          <w:p w14:paraId="355F0F10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1AD1B5F3" w14:textId="77777777" w:rsidR="002E0D61" w:rsidRPr="00DD2F9B" w:rsidRDefault="004A1396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8703E25" w14:textId="77777777" w:rsidTr="002A7842">
        <w:trPr>
          <w:cantSplit/>
        </w:trPr>
        <w:tc>
          <w:tcPr>
            <w:tcW w:w="3227" w:type="dxa"/>
          </w:tcPr>
          <w:p w14:paraId="3712502F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549AF9DC" w14:textId="77777777" w:rsidR="00386093" w:rsidRPr="00DD2F9B" w:rsidRDefault="004A1396" w:rsidP="00DD2F9B">
            <w:pPr>
              <w:pStyle w:val="Tablefont"/>
            </w:pPr>
            <w:r w:rsidRPr="004A1396">
              <w:t>Carcinogenicity – Group 2B</w:t>
            </w:r>
          </w:p>
        </w:tc>
      </w:tr>
      <w:tr w:rsidR="00386093" w:rsidRPr="004C23F4" w14:paraId="4317EE17" w14:textId="77777777" w:rsidTr="002A7842">
        <w:trPr>
          <w:cantSplit/>
        </w:trPr>
        <w:tc>
          <w:tcPr>
            <w:tcW w:w="3227" w:type="dxa"/>
          </w:tcPr>
          <w:p w14:paraId="650CE762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3B15818E" w14:textId="77777777" w:rsidR="00386093" w:rsidRPr="00DD2F9B" w:rsidRDefault="004A1396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0815C977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46DE9D4B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25717A3F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65450F86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00294920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987" w:type="dxa"/>
              <w:tblLook w:val="04A0" w:firstRow="1" w:lastRow="0" w:firstColumn="1" w:lastColumn="0" w:noHBand="0" w:noVBand="1"/>
            </w:tblPr>
            <w:tblGrid>
              <w:gridCol w:w="3825"/>
              <w:gridCol w:w="1130"/>
              <w:gridCol w:w="1130"/>
              <w:gridCol w:w="2725"/>
            </w:tblGrid>
            <w:tr w:rsidR="00DF6BB8" w:rsidRPr="00DF6BB8" w14:paraId="2C2EE801" w14:textId="77777777" w:rsidTr="00DF6BB8">
              <w:trPr>
                <w:trHeight w:val="348"/>
              </w:trPr>
              <w:tc>
                <w:tcPr>
                  <w:tcW w:w="3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D6B9250" w14:textId="77777777" w:rsidR="00DF6BB8" w:rsidRPr="00DF6BB8" w:rsidRDefault="00DF6BB8" w:rsidP="00DF6BB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6BB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72D8CF37" w14:textId="77777777" w:rsidR="00DF6BB8" w:rsidRPr="00DF6BB8" w:rsidRDefault="00DF6BB8" w:rsidP="00DF6BB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DF6BB8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2926E1D" w14:textId="77777777" w:rsidR="00DF6BB8" w:rsidRPr="00DF6BB8" w:rsidRDefault="00DF6BB8" w:rsidP="00DF6BB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F6BB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2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6970F33" w14:textId="77777777" w:rsidR="00DF6BB8" w:rsidRPr="00DF6BB8" w:rsidRDefault="00DF6BB8" w:rsidP="00DF6BB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6BB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F6BB8" w:rsidRPr="00DF6BB8" w14:paraId="42EA0C01" w14:textId="77777777" w:rsidTr="00DF6BB8">
              <w:trPr>
                <w:trHeight w:val="348"/>
              </w:trPr>
              <w:tc>
                <w:tcPr>
                  <w:tcW w:w="3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E873BFE" w14:textId="77777777" w:rsidR="00DF6BB8" w:rsidRPr="00DF6BB8" w:rsidRDefault="00DF6BB8" w:rsidP="00DF6BB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6BB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DF6BB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DF6BB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51539A5" w14:textId="77777777" w:rsidR="00DF6BB8" w:rsidRPr="00DF6BB8" w:rsidRDefault="00DF6BB8" w:rsidP="00DF6BB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6BB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A513586" w14:textId="77777777" w:rsidR="00DF6BB8" w:rsidRPr="00DF6BB8" w:rsidRDefault="00DF6BB8" w:rsidP="00DF6BB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F6BB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87F3390" w14:textId="77777777" w:rsidR="00DF6BB8" w:rsidRPr="00DF6BB8" w:rsidRDefault="00DF6BB8" w:rsidP="00DF6BB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6BB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F6BB8" w:rsidRPr="00DF6BB8" w14:paraId="69544493" w14:textId="77777777" w:rsidTr="00DF6BB8">
              <w:trPr>
                <w:trHeight w:val="348"/>
              </w:trPr>
              <w:tc>
                <w:tcPr>
                  <w:tcW w:w="3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7DB6366" w14:textId="77777777" w:rsidR="00DF6BB8" w:rsidRPr="00DF6BB8" w:rsidRDefault="00DF6BB8" w:rsidP="00DF6BB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6BB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680FC26" w14:textId="77777777" w:rsidR="00DF6BB8" w:rsidRPr="00DF6BB8" w:rsidRDefault="00DF6BB8" w:rsidP="00DF6BB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6BB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D560B35" w14:textId="77777777" w:rsidR="00DF6BB8" w:rsidRPr="00DF6BB8" w:rsidRDefault="00DF6BB8" w:rsidP="00DF6BB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F6BB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8F8BC15" w14:textId="77777777" w:rsidR="00DF6BB8" w:rsidRPr="00DF6BB8" w:rsidRDefault="00DF6BB8" w:rsidP="00DF6BB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6BB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F6BB8" w:rsidRPr="00DF6BB8" w14:paraId="06A1E7B6" w14:textId="77777777" w:rsidTr="00DF6BB8">
              <w:trPr>
                <w:trHeight w:val="348"/>
              </w:trPr>
              <w:tc>
                <w:tcPr>
                  <w:tcW w:w="3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0D79829" w14:textId="77777777" w:rsidR="00DF6BB8" w:rsidRPr="00DF6BB8" w:rsidRDefault="00DF6BB8" w:rsidP="00DF6BB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6BB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DF6BB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DF6BB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DF6BB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DF6BB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9F55827" w14:textId="77777777" w:rsidR="00DF6BB8" w:rsidRPr="00DF6BB8" w:rsidRDefault="00DF6BB8" w:rsidP="00DF6BB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6BB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443A24A" w14:textId="77777777" w:rsidR="00DF6BB8" w:rsidRPr="00DF6BB8" w:rsidRDefault="00DF6BB8" w:rsidP="00DF6BB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F6BB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1B5CDB9" w14:textId="77777777" w:rsidR="00DF6BB8" w:rsidRPr="00DF6BB8" w:rsidRDefault="00DF6BB8" w:rsidP="00DF6BB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6BB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F6BB8" w:rsidRPr="00DF6BB8" w14:paraId="14A80A5D" w14:textId="77777777" w:rsidTr="00DF6BB8">
              <w:trPr>
                <w:trHeight w:val="348"/>
              </w:trPr>
              <w:tc>
                <w:tcPr>
                  <w:tcW w:w="3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C42D8C2" w14:textId="77777777" w:rsidR="00DF6BB8" w:rsidRPr="00DF6BB8" w:rsidRDefault="00DF6BB8" w:rsidP="00DF6BB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6BB8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DF6BB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B824152" w14:textId="77777777" w:rsidR="00DF6BB8" w:rsidRPr="00DF6BB8" w:rsidRDefault="00DF6BB8" w:rsidP="00DF6BB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6BB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F10E57E" w14:textId="77777777" w:rsidR="00DF6BB8" w:rsidRPr="00DF6BB8" w:rsidRDefault="00DF6BB8" w:rsidP="00DF6BB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F6BB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640F29B" w14:textId="77777777" w:rsidR="00DF6BB8" w:rsidRPr="00DF6BB8" w:rsidRDefault="00DF6BB8" w:rsidP="00DF6BB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6BB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F6BB8" w:rsidRPr="00DF6BB8" w14:paraId="5876BFEF" w14:textId="77777777" w:rsidTr="00DF6BB8">
              <w:trPr>
                <w:trHeight w:val="348"/>
              </w:trPr>
              <w:tc>
                <w:tcPr>
                  <w:tcW w:w="3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DA25466" w14:textId="77777777" w:rsidR="00DF6BB8" w:rsidRPr="00DF6BB8" w:rsidRDefault="00DF6BB8" w:rsidP="00DF6BB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6BB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78C92E4" w14:textId="77777777" w:rsidR="00DF6BB8" w:rsidRPr="00DF6BB8" w:rsidRDefault="00DF6BB8" w:rsidP="00DF6BB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6BB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6EBF364" w14:textId="77777777" w:rsidR="00DF6BB8" w:rsidRPr="00DF6BB8" w:rsidRDefault="00DF6BB8" w:rsidP="00DF6BB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F6BB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4E536DE" w14:textId="77777777" w:rsidR="00DF6BB8" w:rsidRPr="00DF6BB8" w:rsidRDefault="00DF6BB8" w:rsidP="00DF6BB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6BB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F6BB8" w:rsidRPr="00DF6BB8" w14:paraId="520A466C" w14:textId="77777777" w:rsidTr="00DF6BB8">
              <w:trPr>
                <w:trHeight w:val="348"/>
              </w:trPr>
              <w:tc>
                <w:tcPr>
                  <w:tcW w:w="3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EAE1322" w14:textId="77777777" w:rsidR="00DF6BB8" w:rsidRPr="00DF6BB8" w:rsidRDefault="00DF6BB8" w:rsidP="00DF6BB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6BB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720DAFD" w14:textId="77777777" w:rsidR="00DF6BB8" w:rsidRPr="00DF6BB8" w:rsidRDefault="00DF6BB8" w:rsidP="00DF6BB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6BB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27DFB5F" w14:textId="77777777" w:rsidR="00DF6BB8" w:rsidRPr="00DF6BB8" w:rsidRDefault="00DF6BB8" w:rsidP="00DF6BB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F6BB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6212EB9" w14:textId="77777777" w:rsidR="00DF6BB8" w:rsidRPr="00DF6BB8" w:rsidRDefault="00DF6BB8" w:rsidP="00DF6BB8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6BB8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warranted</w:t>
                  </w:r>
                </w:p>
              </w:tc>
            </w:tr>
          </w:tbl>
          <w:p w14:paraId="6F3C878E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4AE711E3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42542C96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DA61353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0740218F" w14:textId="77777777" w:rsidR="00EB3D1B" w:rsidRDefault="004A1396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323F54D4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401E016D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2A616CB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78C5320C" w14:textId="77777777" w:rsidR="001B79E5" w:rsidRDefault="004A1396" w:rsidP="001B79E5">
                <w:pPr>
                  <w:pStyle w:val="Tablefont"/>
                </w:pPr>
                <w:r w:rsidRPr="004A1396">
                  <w:t>58.07</w:t>
                </w:r>
              </w:p>
            </w:tc>
          </w:sdtContent>
        </w:sdt>
      </w:tr>
      <w:tr w:rsidR="00A31D99" w:rsidRPr="004C23F4" w14:paraId="564CF9D0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A29913B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07B56E16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4A1396">
                  <w:t>2.38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4A1396">
                  <w:t>0.42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56A5F2B4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21886C3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1F6DDC0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2AD409ED" w14:textId="77777777" w:rsidTr="00EA6243">
        <w:trPr>
          <w:cantSplit/>
        </w:trPr>
        <w:tc>
          <w:tcPr>
            <w:tcW w:w="4077" w:type="dxa"/>
            <w:vAlign w:val="center"/>
          </w:tcPr>
          <w:p w14:paraId="375CC912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D9A7DAB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6FAC2DBB" w14:textId="77777777" w:rsidTr="00EA6243">
        <w:trPr>
          <w:cantSplit/>
        </w:trPr>
        <w:tc>
          <w:tcPr>
            <w:tcW w:w="4077" w:type="dxa"/>
            <w:vAlign w:val="center"/>
          </w:tcPr>
          <w:p w14:paraId="238D85DE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755550B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3F46A57E" w14:textId="77777777" w:rsidTr="00EA6243">
        <w:trPr>
          <w:cantSplit/>
        </w:trPr>
        <w:tc>
          <w:tcPr>
            <w:tcW w:w="4077" w:type="dxa"/>
            <w:vAlign w:val="center"/>
          </w:tcPr>
          <w:p w14:paraId="3B635B9D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6DBE7976" w14:textId="77777777" w:rsidR="00E06F40" w:rsidRPr="00A006A0" w:rsidRDefault="002A7842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852AD">
                  <w:rPr>
                    <w:rFonts w:ascii="MS Gothic" w:eastAsia="MS Gothic" w:hAnsi="MS Gothic" w:cs="MS Gothic" w:hint="eastAsia"/>
                  </w:rPr>
                  <w:sym w:font="Wingdings" w:char="F0FC"/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B1040">
                  <w:sym w:font="Wingdings" w:char="F0FC"/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1447B5E8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74CC1BCF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1E1A44AC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70C94795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4AB3669A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5553B7A1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07B876D4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5F73F5A3" w14:textId="77777777" w:rsidR="00F87D92" w:rsidRDefault="00F87D92" w:rsidP="00EF7F78">
      <w:pPr>
        <w:pStyle w:val="Heading2"/>
        <w:tabs>
          <w:tab w:val="right" w:pos="8505"/>
        </w:tabs>
      </w:pPr>
      <w:r>
        <w:lastRenderedPageBreak/>
        <w:t>References</w:t>
      </w:r>
      <w:r w:rsidR="00EF7F78">
        <w:tab/>
      </w:r>
    </w:p>
    <w:p w14:paraId="7EA36A4B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5E31B7A8" w14:textId="77777777" w:rsidR="008E4F1F" w:rsidRDefault="008E4F1F" w:rsidP="008E4F1F">
      <w:pPr>
        <w:rPr>
          <w:b/>
        </w:rPr>
      </w:pPr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="004A1396">
        <w:t>2013</w:t>
      </w:r>
      <w:r>
        <w:t xml:space="preserve">) </w:t>
      </w:r>
      <w:r w:rsidR="004A1396" w:rsidRPr="004A1396">
        <w:t>1,2-Epoxypropane</w:t>
      </w:r>
      <w:r>
        <w:t xml:space="preserve"> – MAK value documentation.</w:t>
      </w:r>
    </w:p>
    <w:p w14:paraId="345F7DFA" w14:textId="77777777" w:rsidR="008E4F1F" w:rsidRDefault="008E4F1F" w:rsidP="008E4F1F">
      <w:pPr>
        <w:rPr>
          <w:b/>
        </w:rPr>
      </w:pPr>
      <w:r w:rsidRPr="002022B6">
        <w:t>EU Scientific Committee on Occupational Exposure Limits (SCOEL)</w:t>
      </w:r>
      <w:r>
        <w:t xml:space="preserve"> (</w:t>
      </w:r>
      <w:r w:rsidR="004A1396" w:rsidRPr="004A1396">
        <w:t>2010</w:t>
      </w:r>
      <w:r>
        <w:t xml:space="preserve">) Recommendation from the Scientific Committee on Occupational Exposure Limits for </w:t>
      </w:r>
      <w:r w:rsidR="004A1396" w:rsidRPr="004A1396">
        <w:t>propylene oxide</w:t>
      </w:r>
      <w:r>
        <w:t>. SCOEL/</w:t>
      </w:r>
      <w:r w:rsidR="00A73A02" w:rsidRPr="00A73A02">
        <w:t>SUM/161</w:t>
      </w:r>
      <w:r>
        <w:t>.</w:t>
      </w:r>
    </w:p>
    <w:p w14:paraId="4E70A068" w14:textId="77777777" w:rsidR="008E4F1F" w:rsidRDefault="008E4F1F" w:rsidP="008E4F1F">
      <w:pPr>
        <w:rPr>
          <w:b/>
        </w:rPr>
      </w:pPr>
      <w:r w:rsidRPr="002022B6">
        <w:t>International Agency for Research on Cancer</w:t>
      </w:r>
      <w:r>
        <w:t xml:space="preserve"> (IARC) (</w:t>
      </w:r>
      <w:r w:rsidR="00A73A02" w:rsidRPr="00A73A02">
        <w:t>1994</w:t>
      </w:r>
      <w:r>
        <w:t xml:space="preserve">) </w:t>
      </w:r>
      <w:r w:rsidR="00A73A02" w:rsidRPr="00A73A02">
        <w:t>Propylene oxide</w:t>
      </w:r>
      <w:r>
        <w:t>. IARC Monographs on the evaluation of the carcinogenic risk to humans.</w:t>
      </w:r>
    </w:p>
    <w:p w14:paraId="51C6A5A6" w14:textId="77777777" w:rsidR="008E4F1F" w:rsidRDefault="008E4F1F" w:rsidP="008E4F1F">
      <w:pPr>
        <w:rPr>
          <w:b/>
        </w:rPr>
      </w:pPr>
      <w:r w:rsidRPr="002022B6">
        <w:t>National Industrial Chemicals Notification and Assessment Scheme (NICNAS)</w:t>
      </w:r>
      <w:r>
        <w:t xml:space="preserve"> (</w:t>
      </w:r>
      <w:r w:rsidR="00A73A02" w:rsidRPr="00A73A02">
        <w:t>2013</w:t>
      </w:r>
      <w:r>
        <w:t xml:space="preserve">) </w:t>
      </w:r>
      <w:proofErr w:type="spellStart"/>
      <w:r w:rsidR="00A73A02" w:rsidRPr="00A73A02">
        <w:t>Methyloxirane</w:t>
      </w:r>
      <w:proofErr w:type="spellEnd"/>
      <w:r w:rsidR="00A73A02" w:rsidRPr="00A73A02">
        <w:t xml:space="preserve"> (R-, S- and (</w:t>
      </w:r>
      <w:proofErr w:type="gramStart"/>
      <w:r w:rsidR="00A73A02" w:rsidRPr="00A73A02">
        <w:t>R,S</w:t>
      </w:r>
      <w:proofErr w:type="gramEnd"/>
      <w:r w:rsidR="00A73A02" w:rsidRPr="00A73A02">
        <w:t>)-)</w:t>
      </w:r>
      <w:r w:rsidRPr="0071660C">
        <w:t xml:space="preserve">: Human health </w:t>
      </w:r>
      <w:r w:rsidR="00A73A02" w:rsidRPr="00A73A02">
        <w:t>tier II</w:t>
      </w:r>
      <w:r>
        <w:t xml:space="preserve"> </w:t>
      </w:r>
      <w:r w:rsidRPr="0071660C">
        <w:t>assessment</w:t>
      </w:r>
      <w:r>
        <w:t xml:space="preserve"> – IMAP report.</w:t>
      </w:r>
    </w:p>
    <w:p w14:paraId="4CCDB269" w14:textId="77777777" w:rsidR="008E4F1F" w:rsidRDefault="008E4F1F" w:rsidP="008E4F1F">
      <w:r w:rsidRPr="00D86E03">
        <w:t>US National Institute for Occupational Safety and Health (NIOSH)</w:t>
      </w:r>
      <w:r>
        <w:t xml:space="preserve"> (</w:t>
      </w:r>
      <w:r w:rsidR="00A73A02" w:rsidRPr="00A73A02">
        <w:t>1994</w:t>
      </w:r>
      <w:r>
        <w:t xml:space="preserve">) Immediately dangerous to life or health concentrations – </w:t>
      </w:r>
      <w:r w:rsidR="00A73A02" w:rsidRPr="00A73A02">
        <w:t>Propylene oxide</w:t>
      </w:r>
      <w:r>
        <w:t>.</w:t>
      </w:r>
    </w:p>
    <w:p w14:paraId="0A424F92" w14:textId="77777777" w:rsidR="008B7E0C" w:rsidRDefault="008B7E0C" w:rsidP="008E4F1F">
      <w:pPr>
        <w:rPr>
          <w:b/>
        </w:rPr>
      </w:pPr>
      <w:r>
        <w:t>US EPA</w:t>
      </w:r>
      <w:r w:rsidR="00DF6BB8">
        <w:t xml:space="preserve"> (1990) - Integrated Risk Information System (IRIS) Propylene oxide; CASRN 75-56-9</w:t>
      </w:r>
    </w:p>
    <w:p w14:paraId="2CF35D52" w14:textId="77777777" w:rsidR="008E4F1F" w:rsidRPr="00351FE0" w:rsidRDefault="008E4F1F" w:rsidP="00084859"/>
    <w:sectPr w:rsidR="008E4F1F" w:rsidRPr="00351FE0" w:rsidSect="00B87D4C">
      <w:headerReference w:type="even" r:id="rId18"/>
      <w:headerReference w:type="default" r:id="rId19"/>
      <w:headerReference w:type="first" r:id="rId20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FBAB2" w14:textId="77777777" w:rsidR="00C11AE2" w:rsidRDefault="00C11AE2" w:rsidP="00F43AD5">
      <w:pPr>
        <w:spacing w:after="0" w:line="240" w:lineRule="auto"/>
      </w:pPr>
      <w:r>
        <w:separator/>
      </w:r>
    </w:p>
  </w:endnote>
  <w:endnote w:type="continuationSeparator" w:id="0">
    <w:p w14:paraId="7FF6FF7C" w14:textId="77777777" w:rsidR="00C11AE2" w:rsidRDefault="00C11AE2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EE4CB" w14:textId="77777777" w:rsidR="002A7842" w:rsidRDefault="002A78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4446A45" w14:textId="77777777" w:rsidR="008A36CF" w:rsidRDefault="00AE46C9" w:rsidP="0034744C">
        <w:pPr>
          <w:pStyle w:val="Footer"/>
          <w:rPr>
            <w:sz w:val="18"/>
            <w:szCs w:val="18"/>
          </w:rPr>
        </w:pPr>
        <w:r w:rsidRPr="00AE46C9">
          <w:rPr>
            <w:b/>
            <w:sz w:val="18"/>
            <w:szCs w:val="18"/>
          </w:rPr>
          <w:t>Propylene oxide</w:t>
        </w:r>
        <w:r w:rsidR="008A36CF">
          <w:rPr>
            <w:b/>
            <w:sz w:val="18"/>
            <w:szCs w:val="18"/>
          </w:rPr>
          <w:t xml:space="preserve"> (</w:t>
        </w:r>
        <w:r w:rsidRPr="00AE46C9">
          <w:rPr>
            <w:b/>
            <w:sz w:val="18"/>
            <w:szCs w:val="18"/>
          </w:rPr>
          <w:t>75-56-9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</w:t>
        </w:r>
        <w:r w:rsidR="00DD6A81">
          <w:rPr>
            <w:sz w:val="18"/>
            <w:szCs w:val="18"/>
          </w:rPr>
          <w:t>20</w:t>
        </w:r>
      </w:p>
      <w:p w14:paraId="6FADAC76" w14:textId="7B7B9E95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077921">
          <w:rPr>
            <w:noProof/>
            <w:sz w:val="18"/>
            <w:szCs w:val="18"/>
          </w:rPr>
          <w:t>7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C20DF" w14:textId="77777777" w:rsidR="002A7842" w:rsidRDefault="002A7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00523" w14:textId="77777777" w:rsidR="00C11AE2" w:rsidRDefault="00C11AE2" w:rsidP="00F43AD5">
      <w:pPr>
        <w:spacing w:after="0" w:line="240" w:lineRule="auto"/>
      </w:pPr>
      <w:r>
        <w:separator/>
      </w:r>
    </w:p>
  </w:footnote>
  <w:footnote w:type="continuationSeparator" w:id="0">
    <w:p w14:paraId="5C13D742" w14:textId="77777777" w:rsidR="00C11AE2" w:rsidRDefault="00C11AE2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82FB9" w14:textId="740F8E9F" w:rsidR="002A7842" w:rsidRDefault="002A7842">
    <w:pPr>
      <w:pStyle w:val="Header"/>
    </w:pPr>
    <w:r>
      <w:rPr>
        <w:noProof/>
      </w:rPr>
      <w:pict w14:anchorId="439988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817422" o:spid="_x0000_s8194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FE19B" w14:textId="658983A3" w:rsidR="008A36CF" w:rsidRDefault="002A7842" w:rsidP="00F43AD5">
    <w:pPr>
      <w:pStyle w:val="Header"/>
      <w:jc w:val="right"/>
    </w:pPr>
    <w:r>
      <w:rPr>
        <w:noProof/>
      </w:rPr>
      <w:pict w14:anchorId="16A57B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817423" o:spid="_x0000_s8195" type="#_x0000_t136" style="position:absolute;left:0;text-align:left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 w:rsidR="008A36CF">
      <w:rPr>
        <w:noProof/>
        <w:lang w:eastAsia="en-AU"/>
      </w:rPr>
      <w:drawing>
        <wp:inline distT="0" distB="0" distL="0" distR="0" wp14:anchorId="6E28E5DF" wp14:editId="32078390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66530" w14:textId="6797734D" w:rsidR="002A7842" w:rsidRDefault="002A7842">
    <w:pPr>
      <w:pStyle w:val="Header"/>
    </w:pPr>
    <w:r>
      <w:rPr>
        <w:noProof/>
      </w:rPr>
      <w:pict w14:anchorId="4E888D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817421" o:spid="_x0000_s8193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A6EBF" w14:textId="021E87D5" w:rsidR="002A7842" w:rsidRDefault="002A7842">
    <w:pPr>
      <w:pStyle w:val="Header"/>
    </w:pPr>
    <w:r>
      <w:rPr>
        <w:noProof/>
      </w:rPr>
      <w:pict w14:anchorId="525781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817425" o:spid="_x0000_s8197" type="#_x0000_t136" style="position:absolute;margin-left:0;margin-top:0;width:454.5pt;height:181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BBA6F" w14:textId="32DECD98" w:rsidR="008A36CF" w:rsidRDefault="002A7842" w:rsidP="00F43AD5">
    <w:pPr>
      <w:pStyle w:val="Header"/>
      <w:jc w:val="right"/>
    </w:pPr>
    <w:r>
      <w:rPr>
        <w:noProof/>
      </w:rPr>
      <w:pict w14:anchorId="2B13D4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817426" o:spid="_x0000_s8198" type="#_x0000_t136" style="position:absolute;left:0;text-align:left;margin-left:0;margin-top:0;width:454.5pt;height:181.8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>
      <w:rPr>
        <w:noProof/>
      </w:rPr>
      <w:drawing>
        <wp:inline distT="0" distB="0" distL="0" distR="0" wp14:anchorId="44A457D0" wp14:editId="6FC9983B">
          <wp:extent cx="2938145" cy="594360"/>
          <wp:effectExtent l="0" t="0" r="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48C1C" w14:textId="6C02D8CC" w:rsidR="002A7842" w:rsidRDefault="002A7842">
    <w:pPr>
      <w:pStyle w:val="Header"/>
    </w:pPr>
    <w:r>
      <w:rPr>
        <w:noProof/>
      </w:rPr>
      <w:pict w14:anchorId="5C3804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817424" o:spid="_x0000_s8196" type="#_x0000_t136" style="position:absolute;margin-left:0;margin-top:0;width:454.5pt;height:181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C0A38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D261E"/>
    <w:multiLevelType w:val="hybridMultilevel"/>
    <w:tmpl w:val="030076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2B4557"/>
    <w:multiLevelType w:val="hybridMultilevel"/>
    <w:tmpl w:val="DA2C5B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F234BF"/>
    <w:multiLevelType w:val="hybridMultilevel"/>
    <w:tmpl w:val="5D7A6C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A17EFE"/>
    <w:multiLevelType w:val="hybridMultilevel"/>
    <w:tmpl w:val="31B8C9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507ABD"/>
    <w:multiLevelType w:val="hybridMultilevel"/>
    <w:tmpl w:val="CB5E92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BB0CDE"/>
    <w:multiLevelType w:val="hybridMultilevel"/>
    <w:tmpl w:val="AB00CD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3D3F08"/>
    <w:multiLevelType w:val="hybridMultilevel"/>
    <w:tmpl w:val="4BCC4350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9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37E52"/>
    <w:rsid w:val="00046DF5"/>
    <w:rsid w:val="00052060"/>
    <w:rsid w:val="0005574A"/>
    <w:rsid w:val="00055FE1"/>
    <w:rsid w:val="00056EC2"/>
    <w:rsid w:val="00060B48"/>
    <w:rsid w:val="00067F32"/>
    <w:rsid w:val="00071807"/>
    <w:rsid w:val="00077921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55999"/>
    <w:rsid w:val="00160F47"/>
    <w:rsid w:val="00177CA1"/>
    <w:rsid w:val="00183823"/>
    <w:rsid w:val="00183942"/>
    <w:rsid w:val="001915F6"/>
    <w:rsid w:val="001A009E"/>
    <w:rsid w:val="001A1287"/>
    <w:rsid w:val="001A3859"/>
    <w:rsid w:val="001A3C9D"/>
    <w:rsid w:val="001A43F8"/>
    <w:rsid w:val="001B79E5"/>
    <w:rsid w:val="001C4B8F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1012"/>
    <w:rsid w:val="00263255"/>
    <w:rsid w:val="00276494"/>
    <w:rsid w:val="00276516"/>
    <w:rsid w:val="00277B0C"/>
    <w:rsid w:val="002852AD"/>
    <w:rsid w:val="002A7842"/>
    <w:rsid w:val="002B1A2C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74E"/>
    <w:rsid w:val="00403F7D"/>
    <w:rsid w:val="00406785"/>
    <w:rsid w:val="004079B4"/>
    <w:rsid w:val="00417A56"/>
    <w:rsid w:val="00420957"/>
    <w:rsid w:val="00422A10"/>
    <w:rsid w:val="00430179"/>
    <w:rsid w:val="004414B5"/>
    <w:rsid w:val="004436D7"/>
    <w:rsid w:val="00444482"/>
    <w:rsid w:val="00444B42"/>
    <w:rsid w:val="00445E44"/>
    <w:rsid w:val="004509E2"/>
    <w:rsid w:val="004515EE"/>
    <w:rsid w:val="004529F0"/>
    <w:rsid w:val="00452F9D"/>
    <w:rsid w:val="00460A03"/>
    <w:rsid w:val="004648B6"/>
    <w:rsid w:val="00472A11"/>
    <w:rsid w:val="00472AAD"/>
    <w:rsid w:val="00474E33"/>
    <w:rsid w:val="00476803"/>
    <w:rsid w:val="00485699"/>
    <w:rsid w:val="00485BFD"/>
    <w:rsid w:val="004867A2"/>
    <w:rsid w:val="004873F2"/>
    <w:rsid w:val="00490D4C"/>
    <w:rsid w:val="00493A35"/>
    <w:rsid w:val="0049527A"/>
    <w:rsid w:val="004966BF"/>
    <w:rsid w:val="00497984"/>
    <w:rsid w:val="004A1396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3609E"/>
    <w:rsid w:val="005446A2"/>
    <w:rsid w:val="00544D2F"/>
    <w:rsid w:val="005465F4"/>
    <w:rsid w:val="00551BD8"/>
    <w:rsid w:val="00581055"/>
    <w:rsid w:val="00586B22"/>
    <w:rsid w:val="00591E38"/>
    <w:rsid w:val="00591E9E"/>
    <w:rsid w:val="005A19C5"/>
    <w:rsid w:val="005A3034"/>
    <w:rsid w:val="005A462D"/>
    <w:rsid w:val="005B253B"/>
    <w:rsid w:val="005B771D"/>
    <w:rsid w:val="005C5D16"/>
    <w:rsid w:val="005D1B01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266E"/>
    <w:rsid w:val="00692F7D"/>
    <w:rsid w:val="00693BC0"/>
    <w:rsid w:val="00695B72"/>
    <w:rsid w:val="006B160A"/>
    <w:rsid w:val="006B4E6C"/>
    <w:rsid w:val="006B50B6"/>
    <w:rsid w:val="006D79EA"/>
    <w:rsid w:val="006E5D05"/>
    <w:rsid w:val="00701053"/>
    <w:rsid w:val="00701507"/>
    <w:rsid w:val="007064C0"/>
    <w:rsid w:val="007112CB"/>
    <w:rsid w:val="00714021"/>
    <w:rsid w:val="00716A0F"/>
    <w:rsid w:val="00717D45"/>
    <w:rsid w:val="007208F7"/>
    <w:rsid w:val="007218AF"/>
    <w:rsid w:val="007365D1"/>
    <w:rsid w:val="00740E0E"/>
    <w:rsid w:val="00742A56"/>
    <w:rsid w:val="00750212"/>
    <w:rsid w:val="007510F6"/>
    <w:rsid w:val="00751C41"/>
    <w:rsid w:val="00754779"/>
    <w:rsid w:val="0075716D"/>
    <w:rsid w:val="00760451"/>
    <w:rsid w:val="00765F14"/>
    <w:rsid w:val="00770E31"/>
    <w:rsid w:val="00773EC3"/>
    <w:rsid w:val="00776935"/>
    <w:rsid w:val="007770F1"/>
    <w:rsid w:val="00783FB1"/>
    <w:rsid w:val="00785CDD"/>
    <w:rsid w:val="00791847"/>
    <w:rsid w:val="007925F0"/>
    <w:rsid w:val="007939B3"/>
    <w:rsid w:val="0079509C"/>
    <w:rsid w:val="00796708"/>
    <w:rsid w:val="007B162C"/>
    <w:rsid w:val="007B1B42"/>
    <w:rsid w:val="007B49B1"/>
    <w:rsid w:val="007C30EB"/>
    <w:rsid w:val="007D1847"/>
    <w:rsid w:val="007E052F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6DF2"/>
    <w:rsid w:val="0088798F"/>
    <w:rsid w:val="00887E4B"/>
    <w:rsid w:val="008915C8"/>
    <w:rsid w:val="008A36CF"/>
    <w:rsid w:val="008A3BC4"/>
    <w:rsid w:val="008B403C"/>
    <w:rsid w:val="008B7983"/>
    <w:rsid w:val="008B7E0C"/>
    <w:rsid w:val="008C2511"/>
    <w:rsid w:val="008C48F0"/>
    <w:rsid w:val="008D026D"/>
    <w:rsid w:val="008D23AB"/>
    <w:rsid w:val="008D4B8B"/>
    <w:rsid w:val="008D5A78"/>
    <w:rsid w:val="008E4F1F"/>
    <w:rsid w:val="008E7B64"/>
    <w:rsid w:val="008F5DCD"/>
    <w:rsid w:val="00900951"/>
    <w:rsid w:val="0090253D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1AFB"/>
    <w:rsid w:val="00946044"/>
    <w:rsid w:val="0094660B"/>
    <w:rsid w:val="00946A33"/>
    <w:rsid w:val="0095260E"/>
    <w:rsid w:val="009578DD"/>
    <w:rsid w:val="00961124"/>
    <w:rsid w:val="009621B6"/>
    <w:rsid w:val="00963CF5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1AF3"/>
    <w:rsid w:val="009D3B5A"/>
    <w:rsid w:val="009E0C05"/>
    <w:rsid w:val="009E0D1C"/>
    <w:rsid w:val="009E2214"/>
    <w:rsid w:val="009E342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73A02"/>
    <w:rsid w:val="00A84504"/>
    <w:rsid w:val="00A8672F"/>
    <w:rsid w:val="00A93057"/>
    <w:rsid w:val="00A968B0"/>
    <w:rsid w:val="00AA72B0"/>
    <w:rsid w:val="00AB2672"/>
    <w:rsid w:val="00AB2817"/>
    <w:rsid w:val="00AB43C4"/>
    <w:rsid w:val="00AC32E7"/>
    <w:rsid w:val="00AC3A9F"/>
    <w:rsid w:val="00AC6D2F"/>
    <w:rsid w:val="00AD7E82"/>
    <w:rsid w:val="00AE2745"/>
    <w:rsid w:val="00AE2F64"/>
    <w:rsid w:val="00AE46C9"/>
    <w:rsid w:val="00AF42CB"/>
    <w:rsid w:val="00AF483F"/>
    <w:rsid w:val="00AF5E07"/>
    <w:rsid w:val="00AF5F06"/>
    <w:rsid w:val="00B00A25"/>
    <w:rsid w:val="00B1422A"/>
    <w:rsid w:val="00B1765C"/>
    <w:rsid w:val="00B213C4"/>
    <w:rsid w:val="00B31E4B"/>
    <w:rsid w:val="00B40C60"/>
    <w:rsid w:val="00B479A9"/>
    <w:rsid w:val="00B52EDF"/>
    <w:rsid w:val="00B621E5"/>
    <w:rsid w:val="00B71188"/>
    <w:rsid w:val="00B76A41"/>
    <w:rsid w:val="00B87D4C"/>
    <w:rsid w:val="00B93646"/>
    <w:rsid w:val="00BA0B38"/>
    <w:rsid w:val="00BA1DBB"/>
    <w:rsid w:val="00BA4510"/>
    <w:rsid w:val="00BA529A"/>
    <w:rsid w:val="00BB22F8"/>
    <w:rsid w:val="00BB612A"/>
    <w:rsid w:val="00BC28DC"/>
    <w:rsid w:val="00BD499F"/>
    <w:rsid w:val="00BD56DE"/>
    <w:rsid w:val="00BF2406"/>
    <w:rsid w:val="00C06E43"/>
    <w:rsid w:val="00C11AE2"/>
    <w:rsid w:val="00C16315"/>
    <w:rsid w:val="00C3091E"/>
    <w:rsid w:val="00C40001"/>
    <w:rsid w:val="00C40FF1"/>
    <w:rsid w:val="00C419E2"/>
    <w:rsid w:val="00C5020E"/>
    <w:rsid w:val="00C57452"/>
    <w:rsid w:val="00C61C87"/>
    <w:rsid w:val="00C61EDF"/>
    <w:rsid w:val="00C6239D"/>
    <w:rsid w:val="00C6594B"/>
    <w:rsid w:val="00C67FFB"/>
    <w:rsid w:val="00C7155E"/>
    <w:rsid w:val="00C71D1E"/>
    <w:rsid w:val="00C71D7D"/>
    <w:rsid w:val="00C74833"/>
    <w:rsid w:val="00C822FD"/>
    <w:rsid w:val="00C850A0"/>
    <w:rsid w:val="00C85A86"/>
    <w:rsid w:val="00C92B9E"/>
    <w:rsid w:val="00C978F0"/>
    <w:rsid w:val="00CA58FE"/>
    <w:rsid w:val="00CB0584"/>
    <w:rsid w:val="00CB1CB1"/>
    <w:rsid w:val="00CB6BC1"/>
    <w:rsid w:val="00CB6CB8"/>
    <w:rsid w:val="00CC1A68"/>
    <w:rsid w:val="00CC2123"/>
    <w:rsid w:val="00CD13B1"/>
    <w:rsid w:val="00CD2BFD"/>
    <w:rsid w:val="00CE5AD6"/>
    <w:rsid w:val="00CE617F"/>
    <w:rsid w:val="00CE78EF"/>
    <w:rsid w:val="00D009F7"/>
    <w:rsid w:val="00D041FB"/>
    <w:rsid w:val="00D048F7"/>
    <w:rsid w:val="00D0517E"/>
    <w:rsid w:val="00D06C4D"/>
    <w:rsid w:val="00D140FC"/>
    <w:rsid w:val="00D21D8C"/>
    <w:rsid w:val="00D31357"/>
    <w:rsid w:val="00D33220"/>
    <w:rsid w:val="00D334D1"/>
    <w:rsid w:val="00D42AED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A5B42"/>
    <w:rsid w:val="00DB1040"/>
    <w:rsid w:val="00DC7694"/>
    <w:rsid w:val="00DD1BF6"/>
    <w:rsid w:val="00DD2F9B"/>
    <w:rsid w:val="00DD6A81"/>
    <w:rsid w:val="00DE2513"/>
    <w:rsid w:val="00DE26E8"/>
    <w:rsid w:val="00DF6BB8"/>
    <w:rsid w:val="00DF6F36"/>
    <w:rsid w:val="00E0084C"/>
    <w:rsid w:val="00E025AB"/>
    <w:rsid w:val="00E02B23"/>
    <w:rsid w:val="00E06F40"/>
    <w:rsid w:val="00E07CE8"/>
    <w:rsid w:val="00E26A07"/>
    <w:rsid w:val="00E32595"/>
    <w:rsid w:val="00E358BD"/>
    <w:rsid w:val="00E37CFD"/>
    <w:rsid w:val="00E41A26"/>
    <w:rsid w:val="00E42A55"/>
    <w:rsid w:val="00E46BCB"/>
    <w:rsid w:val="00E4762C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2928"/>
    <w:rsid w:val="00EA6243"/>
    <w:rsid w:val="00EA74AB"/>
    <w:rsid w:val="00EB3D1B"/>
    <w:rsid w:val="00EB7FFD"/>
    <w:rsid w:val="00ED171D"/>
    <w:rsid w:val="00ED1D89"/>
    <w:rsid w:val="00ED57DA"/>
    <w:rsid w:val="00ED66BC"/>
    <w:rsid w:val="00EF0324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A3A"/>
    <w:rsid w:val="00F67BBB"/>
    <w:rsid w:val="00F77502"/>
    <w:rsid w:val="00F87D92"/>
    <w:rsid w:val="00F90AA7"/>
    <w:rsid w:val="00F92498"/>
    <w:rsid w:val="00F9496B"/>
    <w:rsid w:val="00F970C9"/>
    <w:rsid w:val="00FA06A8"/>
    <w:rsid w:val="00FA239D"/>
    <w:rsid w:val="00FA3DF5"/>
    <w:rsid w:val="00FA741F"/>
    <w:rsid w:val="00FB4E07"/>
    <w:rsid w:val="00FB7529"/>
    <w:rsid w:val="00FB755A"/>
    <w:rsid w:val="00FC60A2"/>
    <w:rsid w:val="00FD1871"/>
    <w:rsid w:val="00FD3110"/>
    <w:rsid w:val="00FD34BC"/>
    <w:rsid w:val="00FE4DD0"/>
    <w:rsid w:val="00FE5C6C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9"/>
    <o:shapelayout v:ext="edit">
      <o:idmap v:ext="edit" data="1"/>
    </o:shapelayout>
  </w:shapeDefaults>
  <w:decimalSymbol w:val="."/>
  <w:listSeparator w:val=","/>
  <w14:docId w14:val="23B378C6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485699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1E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E4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E4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E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E4B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20BC8D26515A4C11AC6304FB75A7C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F72BE-1073-48D1-A613-18F5D94AD94A}"/>
      </w:docPartPr>
      <w:docPartBody>
        <w:p w:rsidR="00D21A9F" w:rsidRDefault="00D21A9F">
          <w:pPr>
            <w:pStyle w:val="20BC8D26515A4C11AC6304FB75A7CBA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CFFDE270CB50461B826B01949848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30F8-F751-45C7-BEFB-A7D3397CEB99}"/>
      </w:docPartPr>
      <w:docPartBody>
        <w:p w:rsidR="00D21A9F" w:rsidRDefault="00D21A9F">
          <w:pPr>
            <w:pStyle w:val="CFFDE270CB50461B826B0194984892C5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DA2FFE9CEF2D415F9F59B567F352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1C5-42A4-4306-B55E-10EEC441C04B}"/>
      </w:docPartPr>
      <w:docPartBody>
        <w:p w:rsidR="00F5056E" w:rsidRDefault="00CA72D3" w:rsidP="00CA72D3">
          <w:pPr>
            <w:pStyle w:val="DA2FFE9CEF2D415F9F59B567F352ED2C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5995332247ED48A185FE7FA18B057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E6B1D-8D80-4A12-9986-26EAA809A5AC}"/>
      </w:docPartPr>
      <w:docPartBody>
        <w:p w:rsidR="002164BD" w:rsidRDefault="005A546D" w:rsidP="005A546D">
          <w:pPr>
            <w:pStyle w:val="5995332247ED48A185FE7FA18B05717D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2164BD"/>
    <w:rsid w:val="00347D16"/>
    <w:rsid w:val="003E0149"/>
    <w:rsid w:val="005A546D"/>
    <w:rsid w:val="00755FBF"/>
    <w:rsid w:val="00B33917"/>
    <w:rsid w:val="00BB1BD7"/>
    <w:rsid w:val="00CA72D3"/>
    <w:rsid w:val="00D21A9F"/>
    <w:rsid w:val="00F5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546D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A2FFE9CEF2D415F9F59B567F352ED2C">
    <w:name w:val="DA2FFE9CEF2D415F9F59B567F352ED2C"/>
    <w:rsid w:val="00CA72D3"/>
  </w:style>
  <w:style w:type="paragraph" w:customStyle="1" w:styleId="5995332247ED48A185FE7FA18B05717D">
    <w:name w:val="5995332247ED48A185FE7FA18B05717D"/>
    <w:rsid w:val="005A54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26AB2-E70E-4AAE-8B3C-62E38A1BA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bf54d604-3e62-4e70-ba33-9e9084b96a66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57A01DF-E2F0-4990-8EA3-49FA7ED5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7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HEARD,Jonathan</cp:lastModifiedBy>
  <cp:revision>40</cp:revision>
  <cp:lastPrinted>2018-10-22T22:41:00Z</cp:lastPrinted>
  <dcterms:created xsi:type="dcterms:W3CDTF">2019-10-04T02:18:00Z</dcterms:created>
  <dcterms:modified xsi:type="dcterms:W3CDTF">2020-03-12T23:29:00Z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