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80" w:rsidRPr="00AA3080" w:rsidRDefault="00AA3080" w:rsidP="00AA3080">
      <w:pPr>
        <w:tabs>
          <w:tab w:val="center" w:pos="8222"/>
        </w:tabs>
        <w:overflowPunct w:val="0"/>
        <w:autoSpaceDE w:val="0"/>
        <w:autoSpaceDN w:val="0"/>
        <w:adjustRightInd w:val="0"/>
        <w:spacing w:before="5000"/>
        <w:textAlignment w:val="baseline"/>
        <w:rPr>
          <w:rFonts w:eastAsia="Times New Roman" w:cs="Arial"/>
          <w:bCs/>
          <w:color w:val="1F497D"/>
          <w:kern w:val="28"/>
          <w:sz w:val="96"/>
          <w:szCs w:val="96"/>
          <w:lang w:val="en-AU" w:eastAsia="en-US"/>
        </w:rPr>
      </w:pPr>
      <w:r w:rsidRPr="00AA3080">
        <w:rPr>
          <w:rFonts w:ascii="Arial Black" w:eastAsia="Times New Roman" w:hAnsi="Arial Black" w:cs="Arial"/>
          <w:bCs/>
          <w:noProof/>
          <w:color w:val="1F497D"/>
          <w:kern w:val="28"/>
          <w:sz w:val="96"/>
          <w:szCs w:val="96"/>
          <w:lang w:val="en-AU"/>
        </w:rPr>
        <w:drawing>
          <wp:inline distT="0" distB="0" distL="0" distR="0" wp14:anchorId="55FAD821" wp14:editId="13425297">
            <wp:extent cx="5145405" cy="464185"/>
            <wp:effectExtent l="0" t="0" r="0" b="0"/>
            <wp:docPr id="15" name="Picture 15" descr="Graphic showing blue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ational Strat Comms\Publications\2017 Design Files\Review sub brand 171208\4. Assests\Review pyramid banner light applic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5405" cy="464185"/>
                    </a:xfrm>
                    <a:prstGeom prst="rect">
                      <a:avLst/>
                    </a:prstGeom>
                    <a:noFill/>
                    <a:ln>
                      <a:noFill/>
                    </a:ln>
                  </pic:spPr>
                </pic:pic>
              </a:graphicData>
            </a:graphic>
          </wp:inline>
        </w:drawing>
      </w:r>
      <w:r w:rsidRPr="005109D9">
        <w:rPr>
          <w:rStyle w:val="SWASectiontitleChar"/>
        </w:rPr>
        <w:t>2018 Review</w:t>
      </w:r>
      <w:r w:rsidRPr="00AA3080">
        <w:rPr>
          <w:rFonts w:eastAsia="Times New Roman" w:cs="Arial"/>
          <w:bCs/>
          <w:color w:val="1F497D"/>
          <w:kern w:val="28"/>
          <w:sz w:val="96"/>
          <w:szCs w:val="96"/>
          <w:lang w:val="en-AU" w:eastAsia="en-US"/>
        </w:rPr>
        <w:t xml:space="preserve"> of the model WHS laws </w:t>
      </w:r>
    </w:p>
    <w:p w:rsidR="00AA3080" w:rsidRPr="00AA3080" w:rsidRDefault="00AA3080" w:rsidP="00C70846">
      <w:pPr>
        <w:autoSpaceDE w:val="0"/>
        <w:autoSpaceDN w:val="0"/>
        <w:adjustRightInd w:val="0"/>
        <w:spacing w:line="288" w:lineRule="auto"/>
        <w:textAlignment w:val="center"/>
        <w:rPr>
          <w:rFonts w:eastAsia="Calibri" w:cs="Arial"/>
          <w:b/>
          <w:bCs/>
          <w:i/>
          <w:iCs/>
          <w:color w:val="FFFFFF"/>
          <w:spacing w:val="9"/>
          <w:sz w:val="43"/>
          <w:szCs w:val="43"/>
          <w:lang w:eastAsia="en-US"/>
        </w:rPr>
      </w:pPr>
      <w:r w:rsidRPr="00AA3080">
        <w:rPr>
          <w:rFonts w:eastAsia="Calibri" w:cs="Arial"/>
          <w:b/>
          <w:bCs/>
          <w:i/>
          <w:iCs/>
          <w:color w:val="FFFFFF"/>
          <w:spacing w:val="9"/>
          <w:sz w:val="43"/>
          <w:szCs w:val="43"/>
          <w:lang w:eastAsia="en-US"/>
        </w:rPr>
        <w:t>2015–2017</w:t>
      </w:r>
    </w:p>
    <w:p w:rsidR="00E32FE6" w:rsidRPr="00E32FE6" w:rsidRDefault="00E32FE6" w:rsidP="00E32FE6">
      <w:pPr>
        <w:autoSpaceDE w:val="0"/>
        <w:autoSpaceDN w:val="0"/>
        <w:adjustRightInd w:val="0"/>
        <w:spacing w:before="600" w:line="288" w:lineRule="auto"/>
        <w:textAlignment w:val="center"/>
        <w:rPr>
          <w:rFonts w:eastAsia="Calibri" w:cs="Arial"/>
          <w:i/>
          <w:iCs/>
          <w:color w:val="44546A" w:themeColor="text2"/>
          <w:spacing w:val="9"/>
          <w:sz w:val="43"/>
          <w:szCs w:val="43"/>
          <w:lang w:eastAsia="en-US"/>
        </w:rPr>
      </w:pPr>
      <w:r w:rsidRPr="00E32FE6">
        <w:rPr>
          <w:rFonts w:eastAsia="Calibri" w:cs="Arial"/>
          <w:i/>
          <w:iCs/>
          <w:color w:val="44546A" w:themeColor="text2"/>
          <w:spacing w:val="9"/>
          <w:sz w:val="43"/>
          <w:szCs w:val="43"/>
          <w:lang w:eastAsia="en-US"/>
        </w:rPr>
        <w:t>Discussion paper</w:t>
      </w:r>
    </w:p>
    <w:p w:rsidR="00AA3080" w:rsidRPr="00AA3080" w:rsidRDefault="00472954" w:rsidP="00AA3080">
      <w:pPr>
        <w:autoSpaceDE w:val="0"/>
        <w:autoSpaceDN w:val="0"/>
        <w:adjustRightInd w:val="0"/>
        <w:spacing w:before="1200" w:line="288" w:lineRule="auto"/>
        <w:textAlignment w:val="center"/>
        <w:rPr>
          <w:rFonts w:eastAsia="Calibri" w:cs="Arial"/>
          <w:i/>
          <w:iCs/>
          <w:color w:val="5E5E5D"/>
          <w:spacing w:val="9"/>
          <w:sz w:val="43"/>
          <w:szCs w:val="43"/>
          <w:lang w:eastAsia="en-US"/>
        </w:rPr>
      </w:pPr>
      <w:r>
        <w:rPr>
          <w:rFonts w:eastAsia="Calibri" w:cs="Arial"/>
          <w:i/>
          <w:iCs/>
          <w:color w:val="5E5E5D"/>
          <w:spacing w:val="9"/>
          <w:sz w:val="43"/>
          <w:szCs w:val="43"/>
          <w:lang w:eastAsia="en-US"/>
        </w:rPr>
        <w:t>Marie Boland</w:t>
      </w:r>
    </w:p>
    <w:p w:rsidR="00AA3080" w:rsidRPr="00AA3080" w:rsidRDefault="00AA3080" w:rsidP="00AA3080">
      <w:pPr>
        <w:suppressAutoHyphens/>
        <w:autoSpaceDE w:val="0"/>
        <w:autoSpaceDN w:val="0"/>
        <w:adjustRightInd w:val="0"/>
        <w:spacing w:line="288" w:lineRule="auto"/>
        <w:textAlignment w:val="center"/>
        <w:rPr>
          <w:rFonts w:eastAsia="Calibri" w:cs="Arial"/>
          <w:color w:val="145B85"/>
          <w:sz w:val="30"/>
          <w:szCs w:val="30"/>
          <w:lang w:eastAsia="en-US"/>
        </w:rPr>
      </w:pPr>
      <w:r w:rsidRPr="00AA3080">
        <w:rPr>
          <w:rFonts w:eastAsia="Calibri" w:cs="Arial"/>
          <w:color w:val="145B85"/>
          <w:sz w:val="30"/>
          <w:szCs w:val="30"/>
          <w:lang w:eastAsia="en-US"/>
        </w:rPr>
        <w:t>February 2018</w:t>
      </w:r>
    </w:p>
    <w:p w:rsidR="00AA3080" w:rsidRPr="00AA3080" w:rsidRDefault="00AA3080" w:rsidP="00AA3080">
      <w:pPr>
        <w:suppressAutoHyphens/>
        <w:autoSpaceDE w:val="0"/>
        <w:autoSpaceDN w:val="0"/>
        <w:adjustRightInd w:val="0"/>
        <w:spacing w:line="288" w:lineRule="auto"/>
        <w:textAlignment w:val="center"/>
        <w:rPr>
          <w:rFonts w:eastAsia="Calibri" w:cs="Arial"/>
          <w:color w:val="145B85"/>
          <w:sz w:val="30"/>
          <w:szCs w:val="30"/>
          <w:lang w:eastAsia="en-US"/>
        </w:rPr>
        <w:sectPr w:rsidR="00AA3080" w:rsidRPr="00AA3080" w:rsidSect="00AA3080">
          <w:footerReference w:type="default" r:id="rId10"/>
          <w:footerReference w:type="first" r:id="rId11"/>
          <w:pgSz w:w="11906" w:h="16838"/>
          <w:pgMar w:top="993" w:right="1800" w:bottom="1440" w:left="1276" w:header="708" w:footer="708" w:gutter="0"/>
          <w:cols w:space="242"/>
          <w:titlePg/>
          <w:docGrid w:linePitch="360"/>
        </w:sectPr>
      </w:pPr>
      <w:r w:rsidRPr="00AA3080">
        <w:rPr>
          <w:rFonts w:eastAsia="Calibri" w:cs="Arial"/>
          <w:noProof/>
          <w:color w:val="145B85"/>
          <w:sz w:val="30"/>
          <w:szCs w:val="30"/>
          <w:lang w:val="en-AU"/>
        </w:rPr>
        <w:drawing>
          <wp:anchor distT="0" distB="0" distL="114300" distR="114300" simplePos="0" relativeHeight="251659264" behindDoc="0" locked="0" layoutInCell="1" allowOverlap="1" wp14:anchorId="72673435" wp14:editId="7C4ACEC9">
            <wp:simplePos x="0" y="0"/>
            <wp:positionH relativeFrom="column">
              <wp:posOffset>-810260</wp:posOffset>
            </wp:positionH>
            <wp:positionV relativeFrom="paragraph">
              <wp:posOffset>1258016</wp:posOffset>
            </wp:positionV>
            <wp:extent cx="7734300" cy="632298"/>
            <wp:effectExtent l="0" t="0" r="0" b="0"/>
            <wp:wrapNone/>
            <wp:docPr id="16" name="Picture 16" descr="White text reading &quot;2018 Review of the model WHS laws&quot; against alternating blue triangle pattern." title="Footer image - 2018 Review of the model WHS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ational Strat Comms\Publications\2017 Design Files\Review sub brand 171208\4. Assests\Review crosshatch block banne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34300" cy="6322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962" w:rsidRDefault="00081962" w:rsidP="00081962">
      <w:pPr>
        <w:pStyle w:val="SWADisclaimerheading"/>
      </w:pPr>
      <w:r>
        <w:lastRenderedPageBreak/>
        <w:t>Authors</w:t>
      </w:r>
    </w:p>
    <w:p w:rsidR="00081962" w:rsidRDefault="00081962" w:rsidP="00081962">
      <w:pPr>
        <w:spacing w:line="276" w:lineRule="auto"/>
        <w:rPr>
          <w:rFonts w:eastAsia="Times New Roman" w:cs="Times New Roman"/>
          <w:sz w:val="14"/>
          <w:szCs w:val="14"/>
        </w:rPr>
      </w:pPr>
      <w:r w:rsidRPr="003D129A">
        <w:rPr>
          <w:rFonts w:eastAsia="Times New Roman" w:cs="Times New Roman"/>
          <w:sz w:val="14"/>
          <w:szCs w:val="14"/>
        </w:rPr>
        <w:t xml:space="preserve">This </w:t>
      </w:r>
      <w:r w:rsidR="00C6416B">
        <w:rPr>
          <w:rFonts w:eastAsia="Times New Roman" w:cs="Times New Roman"/>
          <w:sz w:val="14"/>
          <w:szCs w:val="14"/>
        </w:rPr>
        <w:t>discussion paper</w:t>
      </w:r>
      <w:r w:rsidRPr="003D129A">
        <w:rPr>
          <w:rFonts w:eastAsia="Times New Roman" w:cs="Times New Roman"/>
          <w:sz w:val="14"/>
          <w:szCs w:val="14"/>
        </w:rPr>
        <w:t xml:space="preserve"> has been prepared by the independent reviewer, Ms Marie Boland, and draws on information provided by Safe Work Australia</w:t>
      </w:r>
      <w:r>
        <w:rPr>
          <w:rFonts w:eastAsia="Times New Roman" w:cs="Times New Roman"/>
          <w:sz w:val="14"/>
          <w:szCs w:val="14"/>
        </w:rPr>
        <w:t>.</w:t>
      </w:r>
    </w:p>
    <w:p w:rsidR="00081962" w:rsidRPr="008530EB" w:rsidRDefault="00081962" w:rsidP="00081962">
      <w:pPr>
        <w:pStyle w:val="SWADisclaimerheading"/>
      </w:pPr>
      <w:r w:rsidRPr="008530EB">
        <w:t>Disclaimer</w:t>
      </w:r>
    </w:p>
    <w:p w:rsidR="00081962" w:rsidRPr="00F81B48" w:rsidRDefault="00081962" w:rsidP="00081962">
      <w:pPr>
        <w:pStyle w:val="SWADisclaimerbodytext"/>
      </w:pPr>
      <w:r w:rsidRPr="00F81B48">
        <w:t>Safe Work Australia provides the information in this publication to raise awareness of work health and safety. This information is general guidance only and does not replace any statutory requirement contained in any relevant state, territory or Commonwealth legislation. It is not a substitute for independent professional advice. Users should exercise their own skill and care to evaluate the accuracy, currency, completeness and relevance for their purposes of any information contained in the publication. Users should obtain appropriate advice relevant to th</w:t>
      </w:r>
      <w:r>
        <w:t xml:space="preserve">eir particular circumstances. </w:t>
      </w:r>
    </w:p>
    <w:p w:rsidR="00081962" w:rsidRPr="00F81B48" w:rsidRDefault="00081962" w:rsidP="00081962">
      <w:pPr>
        <w:pStyle w:val="SWADisclaimerbodytext"/>
      </w:pPr>
      <w:r w:rsidRPr="00F81B48">
        <w:t>While Safe Work Australia makes every effort to ensure information is accurate and up-to-date, Safe Work Australia does not provide any warranty regarding the accuracy, currency or completeness of the information contained in this publication and will not be held liable for any loss, damage, cost or expense incurred or arising by reason of any person using or relying on the in</w:t>
      </w:r>
      <w:r>
        <w:t xml:space="preserve">formation in this publication. </w:t>
      </w:r>
    </w:p>
    <w:p w:rsidR="00081962" w:rsidRPr="001D7C48" w:rsidRDefault="00081962" w:rsidP="00081962">
      <w:pPr>
        <w:pStyle w:val="SWADisclaimerbodytext"/>
      </w:pPr>
      <w:r w:rsidRPr="00F81B48">
        <w:t>This publication may incorporate views or information from third parties, which do not necessarily reflect the views of Safe Work Australia. The inclusion of such material does not indicate an endorsement of that material or a commitment to any particular course of action. The views in this publication should not be taken to represent the views of Safe Work Australia unless otherwise expressly stated.</w:t>
      </w:r>
    </w:p>
    <w:p w:rsidR="00081962" w:rsidRPr="001D7C48" w:rsidRDefault="00081962" w:rsidP="00081962">
      <w:pPr>
        <w:pStyle w:val="SWADisclaimerbodytext"/>
      </w:pPr>
      <w:r w:rsidRPr="001D7C48">
        <w:t xml:space="preserve">ISBN </w:t>
      </w:r>
      <w:r w:rsidR="00EF2D5C" w:rsidRPr="00EF2D5C">
        <w:t>978-1-76051-386-3</w:t>
      </w:r>
      <w:r w:rsidR="00EF2D5C" w:rsidRPr="00EF2D5C" w:rsidDel="00EF2D5C">
        <w:t xml:space="preserve"> </w:t>
      </w:r>
      <w:r w:rsidRPr="001D7C48">
        <w:t>(</w:t>
      </w:r>
      <w:r>
        <w:t>DOCX</w:t>
      </w:r>
      <w:r w:rsidRPr="001D7C48">
        <w:t>)</w:t>
      </w:r>
    </w:p>
    <w:p w:rsidR="00081962" w:rsidRPr="001D7C48" w:rsidRDefault="00081962" w:rsidP="00081962">
      <w:pPr>
        <w:pStyle w:val="SWADisclaimerbodytext"/>
      </w:pPr>
      <w:r w:rsidRPr="001D7C48">
        <w:t xml:space="preserve">ISBN </w:t>
      </w:r>
      <w:r w:rsidR="00EF2D5C" w:rsidRPr="00EF2D5C">
        <w:t>978-1-76051-385-6</w:t>
      </w:r>
      <w:r w:rsidR="00EF2D5C" w:rsidRPr="00EF2D5C" w:rsidDel="00EF2D5C">
        <w:t xml:space="preserve"> </w:t>
      </w:r>
      <w:r w:rsidRPr="001D7C48">
        <w:t>(</w:t>
      </w:r>
      <w:r>
        <w:t>PDF</w:t>
      </w:r>
      <w:r w:rsidRPr="001D7C48">
        <w:t>)</w:t>
      </w:r>
    </w:p>
    <w:p w:rsidR="00081962" w:rsidRPr="001D7C48" w:rsidRDefault="00081962" w:rsidP="00081962">
      <w:pPr>
        <w:pStyle w:val="SWADisclaimerbodytext"/>
        <w:rPr>
          <w:vertAlign w:val="subscript"/>
        </w:rPr>
      </w:pPr>
      <w:r w:rsidRPr="001D7C48">
        <w:rPr>
          <w:noProof/>
        </w:rPr>
        <w:drawing>
          <wp:inline distT="0" distB="0" distL="0" distR="0" wp14:anchorId="53F4227A" wp14:editId="57DB7CE8">
            <wp:extent cx="1513205" cy="53594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3205" cy="535940"/>
                    </a:xfrm>
                    <a:prstGeom prst="rect">
                      <a:avLst/>
                    </a:prstGeom>
                    <a:noFill/>
                    <a:ln>
                      <a:noFill/>
                    </a:ln>
                  </pic:spPr>
                </pic:pic>
              </a:graphicData>
            </a:graphic>
          </wp:inline>
        </w:drawing>
      </w:r>
    </w:p>
    <w:p w:rsidR="00081962" w:rsidRPr="001D7C48" w:rsidRDefault="00081962" w:rsidP="00081962">
      <w:pPr>
        <w:pStyle w:val="SWADisclaimerheading"/>
      </w:pPr>
      <w:r w:rsidRPr="001D7C48">
        <w:t>Creative Commons</w:t>
      </w:r>
    </w:p>
    <w:p w:rsidR="006118CD" w:rsidRDefault="006118CD" w:rsidP="006118CD">
      <w:pPr>
        <w:pStyle w:val="SWADisclaimerbodytext"/>
      </w:pPr>
      <w:r>
        <w:t>With the exception of the Safe Work Australia logo, this report is licensed by Safe Work Australia under a Creative Commons 4.0 Australia Licence. To view a copy of this licence, visit</w:t>
      </w:r>
    </w:p>
    <w:p w:rsidR="006118CD" w:rsidRDefault="006118CD" w:rsidP="006118CD">
      <w:pPr>
        <w:pStyle w:val="SWADisclaimerbodytext"/>
      </w:pPr>
      <w:hyperlink r:id="rId14" w:history="1">
        <w:r w:rsidRPr="00BC0DB1">
          <w:rPr>
            <w:rStyle w:val="Hyperlink"/>
          </w:rPr>
          <w:t>https://creativecommons.org/licenses/by/4.0/</w:t>
        </w:r>
      </w:hyperlink>
      <w:r>
        <w:t xml:space="preserve"> </w:t>
      </w:r>
    </w:p>
    <w:p w:rsidR="00081962" w:rsidRPr="00485F65" w:rsidRDefault="00081962" w:rsidP="00081962">
      <w:pPr>
        <w:pStyle w:val="SWADisclaimerbodytext"/>
      </w:pPr>
      <w:r w:rsidRPr="00485F65">
        <w:t>In essence, you are free to copy, communicate and adapt the work, as long as you attribute the work to Safe Work Australia and abide by the other licensing terms. The re</w:t>
      </w:r>
      <w:r>
        <w:t>port should be attributed as the 2018 Review of the mod</w:t>
      </w:r>
      <w:bookmarkStart w:id="0" w:name="_GoBack"/>
      <w:bookmarkEnd w:id="0"/>
      <w:r>
        <w:t xml:space="preserve">el WHS laws </w:t>
      </w:r>
      <w:r w:rsidR="00A237FA">
        <w:t>d</w:t>
      </w:r>
      <w:r>
        <w:t xml:space="preserve">iscussion </w:t>
      </w:r>
      <w:r w:rsidR="00C6416B">
        <w:t>p</w:t>
      </w:r>
      <w:r>
        <w:t>aper</w:t>
      </w:r>
      <w:r w:rsidRPr="00485F65">
        <w:t>.</w:t>
      </w:r>
    </w:p>
    <w:p w:rsidR="00081962" w:rsidRPr="00485F65" w:rsidRDefault="00081962" w:rsidP="00081962">
      <w:pPr>
        <w:pStyle w:val="SWADisclaimerbodytext"/>
      </w:pPr>
      <w:r w:rsidRPr="00485F65">
        <w:t>Enquiries regarding the licence and any use of the report are welcome at:</w:t>
      </w:r>
    </w:p>
    <w:p w:rsidR="00081962" w:rsidRPr="00485F65" w:rsidRDefault="00081962" w:rsidP="00081962">
      <w:pPr>
        <w:pStyle w:val="SWADisclaimerbodytext"/>
      </w:pPr>
      <w:r w:rsidRPr="00485F65">
        <w:t>Copyright Officer</w:t>
      </w:r>
      <w:r w:rsidRPr="00485F65">
        <w:br/>
        <w:t xml:space="preserve">Safe Work Australia </w:t>
      </w:r>
      <w:r w:rsidRPr="00485F65">
        <w:br/>
        <w:t>GPO Box 641 Canberra ACT 2601</w:t>
      </w:r>
    </w:p>
    <w:p w:rsidR="00081962" w:rsidRPr="00485F65" w:rsidRDefault="00081962" w:rsidP="00081962">
      <w:pPr>
        <w:pStyle w:val="SWADisclaimerbodytext"/>
      </w:pPr>
      <w:r w:rsidRPr="00485F65">
        <w:t xml:space="preserve">Email: </w:t>
      </w:r>
      <w:hyperlink r:id="rId15" w:history="1">
        <w:r w:rsidRPr="00757682">
          <w:rPr>
            <w:rStyle w:val="Hyperlink"/>
            <w:rFonts w:eastAsiaTheme="majorEastAsia"/>
          </w:rPr>
          <w:t>info@swa.gov.au</w:t>
        </w:r>
      </w:hyperlink>
    </w:p>
    <w:p w:rsidR="00AA3080" w:rsidRPr="00AA3080" w:rsidRDefault="00AA3080" w:rsidP="00AA3080">
      <w:pPr>
        <w:spacing w:line="276" w:lineRule="auto"/>
        <w:rPr>
          <w:rFonts w:eastAsia="Times New Roman" w:cs="Times New Roman"/>
          <w:sz w:val="14"/>
          <w:szCs w:val="14"/>
          <w:lang w:val="en-AU"/>
        </w:rPr>
        <w:sectPr w:rsidR="00AA3080" w:rsidRPr="00AA3080" w:rsidSect="00F00C9B">
          <w:pgSz w:w="11906" w:h="16838" w:code="9"/>
          <w:pgMar w:top="992" w:right="1797" w:bottom="1440" w:left="1276" w:header="709" w:footer="709" w:gutter="0"/>
          <w:cols w:space="242"/>
          <w:vAlign w:val="bottom"/>
          <w:titlePg/>
          <w:docGrid w:linePitch="360"/>
        </w:sectPr>
      </w:pPr>
    </w:p>
    <w:sdt>
      <w:sdtPr>
        <w:rPr>
          <w:rFonts w:eastAsia="Times New Roman" w:cs="Times New Roman"/>
          <w:lang w:val="en-AU"/>
        </w:rPr>
        <w:id w:val="-2034717502"/>
        <w:docPartObj>
          <w:docPartGallery w:val="Table of Contents"/>
          <w:docPartUnique/>
        </w:docPartObj>
      </w:sdtPr>
      <w:sdtEndPr>
        <w:rPr>
          <w:noProof/>
        </w:rPr>
      </w:sdtEndPr>
      <w:sdtContent>
        <w:p w:rsidR="00AA3080" w:rsidRPr="00AA3080" w:rsidRDefault="00AA3080" w:rsidP="00AA3080">
          <w:pPr>
            <w:keepNext/>
            <w:keepLines/>
            <w:spacing w:before="480" w:after="0" w:line="276" w:lineRule="auto"/>
            <w:rPr>
              <w:rFonts w:eastAsia="Times New Roman" w:cs="Arial"/>
              <w:b/>
              <w:bCs/>
              <w:color w:val="145B85"/>
              <w:sz w:val="28"/>
              <w:szCs w:val="28"/>
              <w:lang w:val="en-US" w:eastAsia="ja-JP"/>
            </w:rPr>
          </w:pPr>
          <w:r w:rsidRPr="00AA3080">
            <w:rPr>
              <w:rFonts w:eastAsia="Times New Roman" w:cs="Arial"/>
              <w:b/>
              <w:bCs/>
              <w:color w:val="145B85"/>
              <w:sz w:val="28"/>
              <w:szCs w:val="28"/>
              <w:lang w:val="en-US" w:eastAsia="ja-JP"/>
            </w:rPr>
            <w:t>Contents</w:t>
          </w:r>
        </w:p>
        <w:p w:rsidR="003750DF" w:rsidRDefault="00AA3080">
          <w:pPr>
            <w:pStyle w:val="TOC1"/>
            <w:tabs>
              <w:tab w:val="right" w:leader="dot" w:pos="9010"/>
            </w:tabs>
            <w:rPr>
              <w:rFonts w:asciiTheme="minorHAnsi" w:eastAsiaTheme="minorEastAsia" w:hAnsiTheme="minorHAnsi"/>
              <w:noProof/>
              <w:sz w:val="22"/>
              <w:szCs w:val="22"/>
              <w:lang w:val="en-AU"/>
            </w:rPr>
          </w:pPr>
          <w:r w:rsidRPr="00AA3080">
            <w:rPr>
              <w:rFonts w:eastAsia="Times New Roman" w:cs="Times New Roman"/>
              <w:lang w:val="en-AU"/>
            </w:rPr>
            <w:fldChar w:fldCharType="begin"/>
          </w:r>
          <w:r w:rsidRPr="00AA3080">
            <w:rPr>
              <w:rFonts w:eastAsia="Times New Roman" w:cs="Times New Roman"/>
              <w:lang w:val="en-AU"/>
            </w:rPr>
            <w:instrText xml:space="preserve"> TOC \o "1-3" \h \z \u </w:instrText>
          </w:r>
          <w:r w:rsidRPr="00AA3080">
            <w:rPr>
              <w:rFonts w:eastAsia="Times New Roman" w:cs="Times New Roman"/>
              <w:lang w:val="en-AU"/>
            </w:rPr>
            <w:fldChar w:fldCharType="separate"/>
          </w:r>
          <w:hyperlink w:anchor="_Toc506794162" w:history="1">
            <w:r w:rsidR="003750DF" w:rsidRPr="00CC0835">
              <w:rPr>
                <w:rStyle w:val="Hyperlink"/>
                <w:noProof/>
              </w:rPr>
              <w:t>Foreword</w:t>
            </w:r>
            <w:r w:rsidR="003750DF">
              <w:rPr>
                <w:noProof/>
                <w:webHidden/>
              </w:rPr>
              <w:tab/>
            </w:r>
            <w:r w:rsidR="003750DF">
              <w:rPr>
                <w:noProof/>
                <w:webHidden/>
              </w:rPr>
              <w:fldChar w:fldCharType="begin"/>
            </w:r>
            <w:r w:rsidR="003750DF">
              <w:rPr>
                <w:noProof/>
                <w:webHidden/>
              </w:rPr>
              <w:instrText xml:space="preserve"> PAGEREF _Toc506794162 \h </w:instrText>
            </w:r>
            <w:r w:rsidR="003750DF">
              <w:rPr>
                <w:noProof/>
                <w:webHidden/>
              </w:rPr>
            </w:r>
            <w:r w:rsidR="003750DF">
              <w:rPr>
                <w:noProof/>
                <w:webHidden/>
              </w:rPr>
              <w:fldChar w:fldCharType="separate"/>
            </w:r>
            <w:r w:rsidR="00B3513F">
              <w:rPr>
                <w:noProof/>
                <w:webHidden/>
              </w:rPr>
              <w:t>5</w:t>
            </w:r>
            <w:r w:rsidR="003750DF">
              <w:rPr>
                <w:noProof/>
                <w:webHidden/>
              </w:rPr>
              <w:fldChar w:fldCharType="end"/>
            </w:r>
          </w:hyperlink>
        </w:p>
        <w:p w:rsidR="003750DF" w:rsidRDefault="00B3513F">
          <w:pPr>
            <w:pStyle w:val="TOC1"/>
            <w:tabs>
              <w:tab w:val="right" w:leader="dot" w:pos="9010"/>
            </w:tabs>
            <w:rPr>
              <w:rFonts w:asciiTheme="minorHAnsi" w:eastAsiaTheme="minorEastAsia" w:hAnsiTheme="minorHAnsi"/>
              <w:noProof/>
              <w:sz w:val="22"/>
              <w:szCs w:val="22"/>
              <w:lang w:val="en-AU"/>
            </w:rPr>
          </w:pPr>
          <w:hyperlink w:anchor="_Toc506794163" w:history="1">
            <w:r w:rsidR="003750DF" w:rsidRPr="00CC0835">
              <w:rPr>
                <w:rStyle w:val="Hyperlink"/>
                <w:noProof/>
              </w:rPr>
              <w:t>The Review process</w:t>
            </w:r>
            <w:r w:rsidR="003750DF">
              <w:rPr>
                <w:noProof/>
                <w:webHidden/>
              </w:rPr>
              <w:tab/>
            </w:r>
            <w:r w:rsidR="003750DF">
              <w:rPr>
                <w:noProof/>
                <w:webHidden/>
              </w:rPr>
              <w:fldChar w:fldCharType="begin"/>
            </w:r>
            <w:r w:rsidR="003750DF">
              <w:rPr>
                <w:noProof/>
                <w:webHidden/>
              </w:rPr>
              <w:instrText xml:space="preserve"> PAGEREF _Toc506794163 \h </w:instrText>
            </w:r>
            <w:r w:rsidR="003750DF">
              <w:rPr>
                <w:noProof/>
                <w:webHidden/>
              </w:rPr>
            </w:r>
            <w:r w:rsidR="003750DF">
              <w:rPr>
                <w:noProof/>
                <w:webHidden/>
              </w:rPr>
              <w:fldChar w:fldCharType="separate"/>
            </w:r>
            <w:r>
              <w:rPr>
                <w:noProof/>
                <w:webHidden/>
              </w:rPr>
              <w:t>7</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164" w:history="1">
            <w:r w:rsidR="003750DF" w:rsidRPr="00CC0835">
              <w:rPr>
                <w:rStyle w:val="Hyperlink"/>
                <w:noProof/>
              </w:rPr>
              <w:t>1</w:t>
            </w:r>
            <w:r w:rsidR="003750DF">
              <w:rPr>
                <w:rFonts w:asciiTheme="minorHAnsi" w:eastAsiaTheme="minorEastAsia" w:hAnsiTheme="minorHAnsi"/>
                <w:noProof/>
                <w:sz w:val="22"/>
                <w:szCs w:val="22"/>
                <w:lang w:val="en-AU"/>
              </w:rPr>
              <w:tab/>
            </w:r>
            <w:r w:rsidR="003750DF" w:rsidRPr="00CC0835">
              <w:rPr>
                <w:rStyle w:val="Hyperlink"/>
                <w:noProof/>
              </w:rPr>
              <w:t>Background</w:t>
            </w:r>
            <w:r w:rsidR="003750DF">
              <w:rPr>
                <w:noProof/>
                <w:webHidden/>
              </w:rPr>
              <w:tab/>
            </w:r>
            <w:r w:rsidR="003750DF">
              <w:rPr>
                <w:noProof/>
                <w:webHidden/>
              </w:rPr>
              <w:fldChar w:fldCharType="begin"/>
            </w:r>
            <w:r w:rsidR="003750DF">
              <w:rPr>
                <w:noProof/>
                <w:webHidden/>
              </w:rPr>
              <w:instrText xml:space="preserve"> PAGEREF _Toc506794164 \h </w:instrText>
            </w:r>
            <w:r w:rsidR="003750DF">
              <w:rPr>
                <w:noProof/>
                <w:webHidden/>
              </w:rPr>
            </w:r>
            <w:r w:rsidR="003750DF">
              <w:rPr>
                <w:noProof/>
                <w:webHidden/>
              </w:rPr>
              <w:fldChar w:fldCharType="separate"/>
            </w:r>
            <w:r>
              <w:rPr>
                <w:noProof/>
                <w:webHidden/>
              </w:rPr>
              <w:t>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65" w:history="1">
            <w:r w:rsidR="003750DF" w:rsidRPr="00CC0835">
              <w:rPr>
                <w:rStyle w:val="Hyperlink"/>
                <w:noProof/>
              </w:rPr>
              <w:t>1.1.</w:t>
            </w:r>
            <w:r w:rsidR="003750DF">
              <w:rPr>
                <w:rFonts w:asciiTheme="minorHAnsi" w:eastAsiaTheme="minorEastAsia" w:hAnsiTheme="minorHAnsi"/>
                <w:noProof/>
                <w:sz w:val="22"/>
                <w:szCs w:val="22"/>
                <w:lang w:val="en-AU"/>
              </w:rPr>
              <w:tab/>
            </w:r>
            <w:r w:rsidR="003750DF" w:rsidRPr="00CC0835">
              <w:rPr>
                <w:rStyle w:val="Hyperlink"/>
                <w:noProof/>
              </w:rPr>
              <w:t>Introduction</w:t>
            </w:r>
            <w:r w:rsidR="003750DF">
              <w:rPr>
                <w:noProof/>
                <w:webHidden/>
              </w:rPr>
              <w:tab/>
            </w:r>
            <w:r w:rsidR="003750DF">
              <w:rPr>
                <w:noProof/>
                <w:webHidden/>
              </w:rPr>
              <w:fldChar w:fldCharType="begin"/>
            </w:r>
            <w:r w:rsidR="003750DF">
              <w:rPr>
                <w:noProof/>
                <w:webHidden/>
              </w:rPr>
              <w:instrText xml:space="preserve"> PAGEREF _Toc506794165 \h </w:instrText>
            </w:r>
            <w:r w:rsidR="003750DF">
              <w:rPr>
                <w:noProof/>
                <w:webHidden/>
              </w:rPr>
            </w:r>
            <w:r w:rsidR="003750DF">
              <w:rPr>
                <w:noProof/>
                <w:webHidden/>
              </w:rPr>
              <w:fldChar w:fldCharType="separate"/>
            </w:r>
            <w:r>
              <w:rPr>
                <w:noProof/>
                <w:webHidden/>
              </w:rPr>
              <w:t>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66" w:history="1">
            <w:r w:rsidR="003750DF" w:rsidRPr="00CC0835">
              <w:rPr>
                <w:rStyle w:val="Hyperlink"/>
                <w:noProof/>
              </w:rPr>
              <w:t>1.2.</w:t>
            </w:r>
            <w:r w:rsidR="003750DF">
              <w:rPr>
                <w:rFonts w:asciiTheme="minorHAnsi" w:eastAsiaTheme="minorEastAsia" w:hAnsiTheme="minorHAnsi"/>
                <w:noProof/>
                <w:sz w:val="22"/>
                <w:szCs w:val="22"/>
                <w:lang w:val="en-AU"/>
              </w:rPr>
              <w:tab/>
            </w:r>
            <w:r w:rsidR="003750DF" w:rsidRPr="00CC0835">
              <w:rPr>
                <w:rStyle w:val="Hyperlink"/>
                <w:noProof/>
              </w:rPr>
              <w:t>Prior to the model WHS laws</w:t>
            </w:r>
            <w:r w:rsidR="003750DF">
              <w:rPr>
                <w:noProof/>
                <w:webHidden/>
              </w:rPr>
              <w:tab/>
            </w:r>
            <w:r w:rsidR="003750DF">
              <w:rPr>
                <w:noProof/>
                <w:webHidden/>
              </w:rPr>
              <w:fldChar w:fldCharType="begin"/>
            </w:r>
            <w:r w:rsidR="003750DF">
              <w:rPr>
                <w:noProof/>
                <w:webHidden/>
              </w:rPr>
              <w:instrText xml:space="preserve"> PAGEREF _Toc506794166 \h </w:instrText>
            </w:r>
            <w:r w:rsidR="003750DF">
              <w:rPr>
                <w:noProof/>
                <w:webHidden/>
              </w:rPr>
            </w:r>
            <w:r w:rsidR="003750DF">
              <w:rPr>
                <w:noProof/>
                <w:webHidden/>
              </w:rPr>
              <w:fldChar w:fldCharType="separate"/>
            </w:r>
            <w:r>
              <w:rPr>
                <w:noProof/>
                <w:webHidden/>
              </w:rPr>
              <w:t>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67" w:history="1">
            <w:r w:rsidR="003750DF" w:rsidRPr="00CC0835">
              <w:rPr>
                <w:rStyle w:val="Hyperlink"/>
                <w:noProof/>
              </w:rPr>
              <w:t>1.3.</w:t>
            </w:r>
            <w:r w:rsidR="003750DF">
              <w:rPr>
                <w:rFonts w:asciiTheme="minorHAnsi" w:eastAsiaTheme="minorEastAsia" w:hAnsiTheme="minorHAnsi"/>
                <w:noProof/>
                <w:sz w:val="22"/>
                <w:szCs w:val="22"/>
                <w:lang w:val="en-AU"/>
              </w:rPr>
              <w:tab/>
            </w:r>
            <w:r w:rsidR="003750DF" w:rsidRPr="00CC0835">
              <w:rPr>
                <w:rStyle w:val="Hyperlink"/>
                <w:noProof/>
              </w:rPr>
              <w:t>Previous reviews of the model WHS laws</w:t>
            </w:r>
            <w:r w:rsidR="003750DF">
              <w:rPr>
                <w:noProof/>
                <w:webHidden/>
              </w:rPr>
              <w:tab/>
            </w:r>
            <w:r w:rsidR="003750DF">
              <w:rPr>
                <w:noProof/>
                <w:webHidden/>
              </w:rPr>
              <w:fldChar w:fldCharType="begin"/>
            </w:r>
            <w:r w:rsidR="003750DF">
              <w:rPr>
                <w:noProof/>
                <w:webHidden/>
              </w:rPr>
              <w:instrText xml:space="preserve"> PAGEREF _Toc506794167 \h </w:instrText>
            </w:r>
            <w:r w:rsidR="003750DF">
              <w:rPr>
                <w:noProof/>
                <w:webHidden/>
              </w:rPr>
            </w:r>
            <w:r w:rsidR="003750DF">
              <w:rPr>
                <w:noProof/>
                <w:webHidden/>
              </w:rPr>
              <w:fldChar w:fldCharType="separate"/>
            </w:r>
            <w:r>
              <w:rPr>
                <w:noProof/>
                <w:webHidden/>
              </w:rPr>
              <w:t>9</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68" w:history="1">
            <w:r w:rsidR="003750DF" w:rsidRPr="00CC0835">
              <w:rPr>
                <w:rStyle w:val="Hyperlink"/>
                <w:noProof/>
              </w:rPr>
              <w:t>1.4.</w:t>
            </w:r>
            <w:r w:rsidR="003750DF">
              <w:rPr>
                <w:rFonts w:asciiTheme="minorHAnsi" w:eastAsiaTheme="minorEastAsia" w:hAnsiTheme="minorHAnsi"/>
                <w:noProof/>
                <w:sz w:val="22"/>
                <w:szCs w:val="22"/>
                <w:lang w:val="en-AU"/>
              </w:rPr>
              <w:tab/>
            </w:r>
            <w:r w:rsidR="003750DF" w:rsidRPr="00CC0835">
              <w:rPr>
                <w:rStyle w:val="Hyperlink"/>
                <w:noProof/>
              </w:rPr>
              <w:t>The Review</w:t>
            </w:r>
            <w:r w:rsidR="003750DF">
              <w:rPr>
                <w:noProof/>
                <w:webHidden/>
              </w:rPr>
              <w:tab/>
            </w:r>
            <w:r w:rsidR="003750DF">
              <w:rPr>
                <w:noProof/>
                <w:webHidden/>
              </w:rPr>
              <w:fldChar w:fldCharType="begin"/>
            </w:r>
            <w:r w:rsidR="003750DF">
              <w:rPr>
                <w:noProof/>
                <w:webHidden/>
              </w:rPr>
              <w:instrText xml:space="preserve"> PAGEREF _Toc506794168 \h </w:instrText>
            </w:r>
            <w:r w:rsidR="003750DF">
              <w:rPr>
                <w:noProof/>
                <w:webHidden/>
              </w:rPr>
            </w:r>
            <w:r w:rsidR="003750DF">
              <w:rPr>
                <w:noProof/>
                <w:webHidden/>
              </w:rPr>
              <w:fldChar w:fldCharType="separate"/>
            </w:r>
            <w:r>
              <w:rPr>
                <w:noProof/>
                <w:webHidden/>
              </w:rPr>
              <w:t>10</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169" w:history="1">
            <w:r w:rsidR="003750DF" w:rsidRPr="00CC0835">
              <w:rPr>
                <w:rStyle w:val="Hyperlink"/>
                <w:noProof/>
              </w:rPr>
              <w:t>2</w:t>
            </w:r>
            <w:r w:rsidR="003750DF">
              <w:rPr>
                <w:rFonts w:asciiTheme="minorHAnsi" w:eastAsiaTheme="minorEastAsia" w:hAnsiTheme="minorHAnsi"/>
                <w:noProof/>
                <w:sz w:val="22"/>
                <w:szCs w:val="22"/>
                <w:lang w:val="en-AU"/>
              </w:rPr>
              <w:tab/>
            </w:r>
            <w:r w:rsidR="003750DF" w:rsidRPr="00CC0835">
              <w:rPr>
                <w:rStyle w:val="Hyperlink"/>
                <w:noProof/>
              </w:rPr>
              <w:t>Setting the scene</w:t>
            </w:r>
            <w:r w:rsidR="003750DF">
              <w:rPr>
                <w:noProof/>
                <w:webHidden/>
              </w:rPr>
              <w:tab/>
            </w:r>
            <w:r w:rsidR="003750DF">
              <w:rPr>
                <w:noProof/>
                <w:webHidden/>
              </w:rPr>
              <w:fldChar w:fldCharType="begin"/>
            </w:r>
            <w:r w:rsidR="003750DF">
              <w:rPr>
                <w:noProof/>
                <w:webHidden/>
              </w:rPr>
              <w:instrText xml:space="preserve"> PAGEREF _Toc506794169 \h </w:instrText>
            </w:r>
            <w:r w:rsidR="003750DF">
              <w:rPr>
                <w:noProof/>
                <w:webHidden/>
              </w:rPr>
            </w:r>
            <w:r w:rsidR="003750DF">
              <w:rPr>
                <w:noProof/>
                <w:webHidden/>
              </w:rPr>
              <w:fldChar w:fldCharType="separate"/>
            </w:r>
            <w:r>
              <w:rPr>
                <w:noProof/>
                <w:webHidden/>
              </w:rPr>
              <w:t>11</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70" w:history="1">
            <w:r w:rsidR="003750DF" w:rsidRPr="00CC0835">
              <w:rPr>
                <w:rStyle w:val="Hyperlink"/>
                <w:noProof/>
              </w:rPr>
              <w:t>2.1.</w:t>
            </w:r>
            <w:r w:rsidR="003750DF">
              <w:rPr>
                <w:rFonts w:asciiTheme="minorHAnsi" w:eastAsiaTheme="minorEastAsia" w:hAnsiTheme="minorHAnsi"/>
                <w:noProof/>
                <w:sz w:val="22"/>
                <w:szCs w:val="22"/>
                <w:lang w:val="en-AU"/>
              </w:rPr>
              <w:tab/>
            </w:r>
            <w:r w:rsidR="003750DF" w:rsidRPr="00CC0835">
              <w:rPr>
                <w:rStyle w:val="Hyperlink"/>
                <w:noProof/>
              </w:rPr>
              <w:t>Serious claims</w:t>
            </w:r>
            <w:r w:rsidR="003750DF">
              <w:rPr>
                <w:noProof/>
                <w:webHidden/>
              </w:rPr>
              <w:tab/>
            </w:r>
            <w:r w:rsidR="003750DF">
              <w:rPr>
                <w:noProof/>
                <w:webHidden/>
              </w:rPr>
              <w:fldChar w:fldCharType="begin"/>
            </w:r>
            <w:r w:rsidR="003750DF">
              <w:rPr>
                <w:noProof/>
                <w:webHidden/>
              </w:rPr>
              <w:instrText xml:space="preserve"> PAGEREF _Toc506794170 \h </w:instrText>
            </w:r>
            <w:r w:rsidR="003750DF">
              <w:rPr>
                <w:noProof/>
                <w:webHidden/>
              </w:rPr>
            </w:r>
            <w:r w:rsidR="003750DF">
              <w:rPr>
                <w:noProof/>
                <w:webHidden/>
              </w:rPr>
              <w:fldChar w:fldCharType="separate"/>
            </w:r>
            <w:r>
              <w:rPr>
                <w:noProof/>
                <w:webHidden/>
              </w:rPr>
              <w:t>11</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71" w:history="1">
            <w:r w:rsidR="003750DF" w:rsidRPr="00CC0835">
              <w:rPr>
                <w:rStyle w:val="Hyperlink"/>
                <w:noProof/>
              </w:rPr>
              <w:t>2.2.</w:t>
            </w:r>
            <w:r w:rsidR="003750DF">
              <w:rPr>
                <w:rFonts w:asciiTheme="minorHAnsi" w:eastAsiaTheme="minorEastAsia" w:hAnsiTheme="minorHAnsi"/>
                <w:noProof/>
                <w:sz w:val="22"/>
                <w:szCs w:val="22"/>
                <w:lang w:val="en-AU"/>
              </w:rPr>
              <w:tab/>
            </w:r>
            <w:r w:rsidR="003750DF" w:rsidRPr="00CC0835">
              <w:rPr>
                <w:rStyle w:val="Hyperlink"/>
                <w:noProof/>
              </w:rPr>
              <w:t>Worker fatalities</w:t>
            </w:r>
            <w:r w:rsidR="003750DF">
              <w:rPr>
                <w:noProof/>
                <w:webHidden/>
              </w:rPr>
              <w:tab/>
            </w:r>
            <w:r w:rsidR="003750DF">
              <w:rPr>
                <w:noProof/>
                <w:webHidden/>
              </w:rPr>
              <w:fldChar w:fldCharType="begin"/>
            </w:r>
            <w:r w:rsidR="003750DF">
              <w:rPr>
                <w:noProof/>
                <w:webHidden/>
              </w:rPr>
              <w:instrText xml:space="preserve"> PAGEREF _Toc506794171 \h </w:instrText>
            </w:r>
            <w:r w:rsidR="003750DF">
              <w:rPr>
                <w:noProof/>
                <w:webHidden/>
              </w:rPr>
            </w:r>
            <w:r w:rsidR="003750DF">
              <w:rPr>
                <w:noProof/>
                <w:webHidden/>
              </w:rPr>
              <w:fldChar w:fldCharType="separate"/>
            </w:r>
            <w:r>
              <w:rPr>
                <w:noProof/>
                <w:webHidden/>
              </w:rPr>
              <w:t>11</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72" w:history="1">
            <w:r w:rsidR="003750DF" w:rsidRPr="00CC0835">
              <w:rPr>
                <w:rStyle w:val="Hyperlink"/>
                <w:noProof/>
              </w:rPr>
              <w:t>2.3.</w:t>
            </w:r>
            <w:r w:rsidR="003750DF">
              <w:rPr>
                <w:rFonts w:asciiTheme="minorHAnsi" w:eastAsiaTheme="minorEastAsia" w:hAnsiTheme="minorHAnsi"/>
                <w:noProof/>
                <w:sz w:val="22"/>
                <w:szCs w:val="22"/>
                <w:lang w:val="en-AU"/>
              </w:rPr>
              <w:tab/>
            </w:r>
            <w:r w:rsidR="003750DF" w:rsidRPr="00CC0835">
              <w:rPr>
                <w:rStyle w:val="Hyperlink"/>
                <w:noProof/>
              </w:rPr>
              <w:t>Areas of risk</w:t>
            </w:r>
            <w:r w:rsidR="003750DF">
              <w:rPr>
                <w:noProof/>
                <w:webHidden/>
              </w:rPr>
              <w:tab/>
            </w:r>
            <w:r w:rsidR="003750DF">
              <w:rPr>
                <w:noProof/>
                <w:webHidden/>
              </w:rPr>
              <w:fldChar w:fldCharType="begin"/>
            </w:r>
            <w:r w:rsidR="003750DF">
              <w:rPr>
                <w:noProof/>
                <w:webHidden/>
              </w:rPr>
              <w:instrText xml:space="preserve"> PAGEREF _Toc506794172 \h </w:instrText>
            </w:r>
            <w:r w:rsidR="003750DF">
              <w:rPr>
                <w:noProof/>
                <w:webHidden/>
              </w:rPr>
            </w:r>
            <w:r w:rsidR="003750DF">
              <w:rPr>
                <w:noProof/>
                <w:webHidden/>
              </w:rPr>
              <w:fldChar w:fldCharType="separate"/>
            </w:r>
            <w:r>
              <w:rPr>
                <w:noProof/>
                <w:webHidden/>
              </w:rPr>
              <w:t>12</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73" w:history="1">
            <w:r w:rsidR="003750DF" w:rsidRPr="00CC0835">
              <w:rPr>
                <w:rStyle w:val="Hyperlink"/>
                <w:noProof/>
              </w:rPr>
              <w:t>2.4.</w:t>
            </w:r>
            <w:r w:rsidR="003750DF">
              <w:rPr>
                <w:rFonts w:asciiTheme="minorHAnsi" w:eastAsiaTheme="minorEastAsia" w:hAnsiTheme="minorHAnsi"/>
                <w:noProof/>
                <w:sz w:val="22"/>
                <w:szCs w:val="22"/>
                <w:lang w:val="en-AU"/>
              </w:rPr>
              <w:tab/>
            </w:r>
            <w:r w:rsidR="003750DF" w:rsidRPr="00CC0835">
              <w:rPr>
                <w:rStyle w:val="Hyperlink"/>
                <w:noProof/>
              </w:rPr>
              <w:t>Impacts for the future</w:t>
            </w:r>
            <w:r w:rsidR="003750DF">
              <w:rPr>
                <w:noProof/>
                <w:webHidden/>
              </w:rPr>
              <w:tab/>
            </w:r>
            <w:r w:rsidR="003750DF">
              <w:rPr>
                <w:noProof/>
                <w:webHidden/>
              </w:rPr>
              <w:fldChar w:fldCharType="begin"/>
            </w:r>
            <w:r w:rsidR="003750DF">
              <w:rPr>
                <w:noProof/>
                <w:webHidden/>
              </w:rPr>
              <w:instrText xml:space="preserve"> PAGEREF _Toc506794173 \h </w:instrText>
            </w:r>
            <w:r w:rsidR="003750DF">
              <w:rPr>
                <w:noProof/>
                <w:webHidden/>
              </w:rPr>
            </w:r>
            <w:r w:rsidR="003750DF">
              <w:rPr>
                <w:noProof/>
                <w:webHidden/>
              </w:rPr>
              <w:fldChar w:fldCharType="separate"/>
            </w:r>
            <w:r>
              <w:rPr>
                <w:noProof/>
                <w:webHidden/>
              </w:rPr>
              <w:t>12</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174" w:history="1">
            <w:r w:rsidR="003750DF" w:rsidRPr="00CC0835">
              <w:rPr>
                <w:rStyle w:val="Hyperlink"/>
                <w:noProof/>
              </w:rPr>
              <w:t>3</w:t>
            </w:r>
            <w:r w:rsidR="003750DF">
              <w:rPr>
                <w:rFonts w:asciiTheme="minorHAnsi" w:eastAsiaTheme="minorEastAsia" w:hAnsiTheme="minorHAnsi"/>
                <w:noProof/>
                <w:sz w:val="22"/>
                <w:szCs w:val="22"/>
                <w:lang w:val="en-AU"/>
              </w:rPr>
              <w:tab/>
            </w:r>
            <w:r w:rsidR="003750DF" w:rsidRPr="00CC0835">
              <w:rPr>
                <w:rStyle w:val="Hyperlink"/>
                <w:noProof/>
              </w:rPr>
              <w:t>Legislative framework</w:t>
            </w:r>
            <w:r w:rsidR="003750DF">
              <w:rPr>
                <w:noProof/>
                <w:webHidden/>
              </w:rPr>
              <w:tab/>
            </w:r>
            <w:r w:rsidR="003750DF">
              <w:rPr>
                <w:noProof/>
                <w:webHidden/>
              </w:rPr>
              <w:fldChar w:fldCharType="begin"/>
            </w:r>
            <w:r w:rsidR="003750DF">
              <w:rPr>
                <w:noProof/>
                <w:webHidden/>
              </w:rPr>
              <w:instrText xml:space="preserve"> PAGEREF _Toc506794174 \h </w:instrText>
            </w:r>
            <w:r w:rsidR="003750DF">
              <w:rPr>
                <w:noProof/>
                <w:webHidden/>
              </w:rPr>
            </w:r>
            <w:r w:rsidR="003750DF">
              <w:rPr>
                <w:noProof/>
                <w:webHidden/>
              </w:rPr>
              <w:fldChar w:fldCharType="separate"/>
            </w:r>
            <w:r>
              <w:rPr>
                <w:noProof/>
                <w:webHidden/>
              </w:rPr>
              <w:t>14</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75" w:history="1">
            <w:r w:rsidR="003750DF" w:rsidRPr="00CC0835">
              <w:rPr>
                <w:rStyle w:val="Hyperlink"/>
                <w:noProof/>
              </w:rPr>
              <w:t>3.1.</w:t>
            </w:r>
            <w:r w:rsidR="003750DF">
              <w:rPr>
                <w:rFonts w:asciiTheme="minorHAnsi" w:eastAsiaTheme="minorEastAsia" w:hAnsiTheme="minorHAnsi"/>
                <w:noProof/>
                <w:sz w:val="22"/>
                <w:szCs w:val="22"/>
                <w:lang w:val="en-AU"/>
              </w:rPr>
              <w:tab/>
            </w:r>
            <w:r w:rsidR="003750DF" w:rsidRPr="00CC0835">
              <w:rPr>
                <w:rStyle w:val="Hyperlink"/>
                <w:noProof/>
              </w:rPr>
              <w:t>The model WHS laws</w:t>
            </w:r>
            <w:r w:rsidR="003750DF">
              <w:rPr>
                <w:noProof/>
                <w:webHidden/>
              </w:rPr>
              <w:tab/>
            </w:r>
            <w:r w:rsidR="003750DF">
              <w:rPr>
                <w:noProof/>
                <w:webHidden/>
              </w:rPr>
              <w:fldChar w:fldCharType="begin"/>
            </w:r>
            <w:r w:rsidR="003750DF">
              <w:rPr>
                <w:noProof/>
                <w:webHidden/>
              </w:rPr>
              <w:instrText xml:space="preserve"> PAGEREF _Toc506794175 \h </w:instrText>
            </w:r>
            <w:r w:rsidR="003750DF">
              <w:rPr>
                <w:noProof/>
                <w:webHidden/>
              </w:rPr>
            </w:r>
            <w:r w:rsidR="003750DF">
              <w:rPr>
                <w:noProof/>
                <w:webHidden/>
              </w:rPr>
              <w:fldChar w:fldCharType="separate"/>
            </w:r>
            <w:r>
              <w:rPr>
                <w:noProof/>
                <w:webHidden/>
              </w:rPr>
              <w:t>14</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76" w:history="1">
            <w:r w:rsidR="003750DF" w:rsidRPr="00CC0835">
              <w:rPr>
                <w:rStyle w:val="Hyperlink"/>
                <w:noProof/>
              </w:rPr>
              <w:t>3.2.</w:t>
            </w:r>
            <w:r w:rsidR="003750DF">
              <w:rPr>
                <w:rFonts w:asciiTheme="minorHAnsi" w:eastAsiaTheme="minorEastAsia" w:hAnsiTheme="minorHAnsi"/>
                <w:noProof/>
                <w:sz w:val="22"/>
                <w:szCs w:val="22"/>
                <w:lang w:val="en-AU"/>
              </w:rPr>
              <w:tab/>
            </w:r>
            <w:r w:rsidR="003750DF" w:rsidRPr="00CC0835">
              <w:rPr>
                <w:rStyle w:val="Hyperlink"/>
                <w:noProof/>
              </w:rPr>
              <w:t>Scope and application</w:t>
            </w:r>
            <w:r w:rsidR="003750DF">
              <w:rPr>
                <w:noProof/>
                <w:webHidden/>
              </w:rPr>
              <w:tab/>
            </w:r>
            <w:r w:rsidR="003750DF">
              <w:rPr>
                <w:noProof/>
                <w:webHidden/>
              </w:rPr>
              <w:fldChar w:fldCharType="begin"/>
            </w:r>
            <w:r w:rsidR="003750DF">
              <w:rPr>
                <w:noProof/>
                <w:webHidden/>
              </w:rPr>
              <w:instrText xml:space="preserve"> PAGEREF _Toc506794176 \h </w:instrText>
            </w:r>
            <w:r w:rsidR="003750DF">
              <w:rPr>
                <w:noProof/>
                <w:webHidden/>
              </w:rPr>
            </w:r>
            <w:r w:rsidR="003750DF">
              <w:rPr>
                <w:noProof/>
                <w:webHidden/>
              </w:rPr>
              <w:fldChar w:fldCharType="separate"/>
            </w:r>
            <w:r>
              <w:rPr>
                <w:noProof/>
                <w:webHidden/>
              </w:rPr>
              <w:t>15</w:t>
            </w:r>
            <w:r w:rsidR="003750DF">
              <w:rPr>
                <w:noProof/>
                <w:webHidden/>
              </w:rPr>
              <w:fldChar w:fldCharType="end"/>
            </w:r>
          </w:hyperlink>
        </w:p>
        <w:p w:rsidR="003750DF" w:rsidRDefault="00B3513F">
          <w:pPr>
            <w:pStyle w:val="TOC2"/>
            <w:tabs>
              <w:tab w:val="right" w:leader="dot" w:pos="9010"/>
            </w:tabs>
            <w:rPr>
              <w:rFonts w:asciiTheme="minorHAnsi" w:eastAsiaTheme="minorEastAsia" w:hAnsiTheme="minorHAnsi"/>
              <w:noProof/>
              <w:sz w:val="22"/>
              <w:szCs w:val="22"/>
              <w:lang w:val="en-AU"/>
            </w:rPr>
          </w:pPr>
          <w:hyperlink w:anchor="_Toc506794177" w:history="1">
            <w:r w:rsidR="003750DF" w:rsidRPr="00CC0835">
              <w:rPr>
                <w:rStyle w:val="Hyperlink"/>
                <w:noProof/>
              </w:rPr>
              <w:t>New safety laws</w:t>
            </w:r>
            <w:r w:rsidR="003750DF">
              <w:rPr>
                <w:noProof/>
                <w:webHidden/>
              </w:rPr>
              <w:tab/>
            </w:r>
            <w:r w:rsidR="003750DF">
              <w:rPr>
                <w:noProof/>
                <w:webHidden/>
              </w:rPr>
              <w:fldChar w:fldCharType="begin"/>
            </w:r>
            <w:r w:rsidR="003750DF">
              <w:rPr>
                <w:noProof/>
                <w:webHidden/>
              </w:rPr>
              <w:instrText xml:space="preserve"> PAGEREF _Toc506794177 \h </w:instrText>
            </w:r>
            <w:r w:rsidR="003750DF">
              <w:rPr>
                <w:noProof/>
                <w:webHidden/>
              </w:rPr>
            </w:r>
            <w:r w:rsidR="003750DF">
              <w:rPr>
                <w:noProof/>
                <w:webHidden/>
              </w:rPr>
              <w:fldChar w:fldCharType="separate"/>
            </w:r>
            <w:r>
              <w:rPr>
                <w:noProof/>
                <w:webHidden/>
              </w:rPr>
              <w:t>15</w:t>
            </w:r>
            <w:r w:rsidR="003750DF">
              <w:rPr>
                <w:noProof/>
                <w:webHidden/>
              </w:rPr>
              <w:fldChar w:fldCharType="end"/>
            </w:r>
          </w:hyperlink>
        </w:p>
        <w:p w:rsidR="003750DF" w:rsidRDefault="00B3513F">
          <w:pPr>
            <w:pStyle w:val="TOC2"/>
            <w:tabs>
              <w:tab w:val="right" w:leader="dot" w:pos="9010"/>
            </w:tabs>
            <w:rPr>
              <w:rFonts w:asciiTheme="minorHAnsi" w:eastAsiaTheme="minorEastAsia" w:hAnsiTheme="minorHAnsi"/>
              <w:noProof/>
              <w:sz w:val="22"/>
              <w:szCs w:val="22"/>
              <w:lang w:val="en-AU"/>
            </w:rPr>
          </w:pPr>
          <w:hyperlink w:anchor="_Toc506794178" w:history="1">
            <w:r w:rsidR="003750DF" w:rsidRPr="00CC0835">
              <w:rPr>
                <w:rStyle w:val="Hyperlink"/>
                <w:noProof/>
              </w:rPr>
              <w:t>Extraterritorial application</w:t>
            </w:r>
            <w:r w:rsidR="003750DF">
              <w:rPr>
                <w:noProof/>
                <w:webHidden/>
              </w:rPr>
              <w:tab/>
            </w:r>
            <w:r w:rsidR="003750DF">
              <w:rPr>
                <w:noProof/>
                <w:webHidden/>
              </w:rPr>
              <w:fldChar w:fldCharType="begin"/>
            </w:r>
            <w:r w:rsidR="003750DF">
              <w:rPr>
                <w:noProof/>
                <w:webHidden/>
              </w:rPr>
              <w:instrText xml:space="preserve"> PAGEREF _Toc506794178 \h </w:instrText>
            </w:r>
            <w:r w:rsidR="003750DF">
              <w:rPr>
                <w:noProof/>
                <w:webHidden/>
              </w:rPr>
            </w:r>
            <w:r w:rsidR="003750DF">
              <w:rPr>
                <w:noProof/>
                <w:webHidden/>
              </w:rPr>
              <w:fldChar w:fldCharType="separate"/>
            </w:r>
            <w:r>
              <w:rPr>
                <w:noProof/>
                <w:webHidden/>
              </w:rPr>
              <w:t>16</w:t>
            </w:r>
            <w:r w:rsidR="003750DF">
              <w:rPr>
                <w:noProof/>
                <w:webHidden/>
              </w:rPr>
              <w:fldChar w:fldCharType="end"/>
            </w:r>
          </w:hyperlink>
        </w:p>
        <w:p w:rsidR="003750DF" w:rsidRDefault="00B3513F">
          <w:pPr>
            <w:pStyle w:val="TOC2"/>
            <w:tabs>
              <w:tab w:val="right" w:leader="dot" w:pos="9010"/>
            </w:tabs>
            <w:rPr>
              <w:rFonts w:asciiTheme="minorHAnsi" w:eastAsiaTheme="minorEastAsia" w:hAnsiTheme="minorHAnsi"/>
              <w:noProof/>
              <w:sz w:val="22"/>
              <w:szCs w:val="22"/>
              <w:lang w:val="en-AU"/>
            </w:rPr>
          </w:pPr>
          <w:hyperlink w:anchor="_Toc506794179" w:history="1">
            <w:r w:rsidR="003750DF" w:rsidRPr="00CC0835">
              <w:rPr>
                <w:rStyle w:val="Hyperlink"/>
                <w:noProof/>
              </w:rPr>
              <w:t>Public safety regulation</w:t>
            </w:r>
            <w:r w:rsidR="003750DF">
              <w:rPr>
                <w:noProof/>
                <w:webHidden/>
              </w:rPr>
              <w:tab/>
            </w:r>
            <w:r w:rsidR="003750DF">
              <w:rPr>
                <w:noProof/>
                <w:webHidden/>
              </w:rPr>
              <w:fldChar w:fldCharType="begin"/>
            </w:r>
            <w:r w:rsidR="003750DF">
              <w:rPr>
                <w:noProof/>
                <w:webHidden/>
              </w:rPr>
              <w:instrText xml:space="preserve"> PAGEREF _Toc506794179 \h </w:instrText>
            </w:r>
            <w:r w:rsidR="003750DF">
              <w:rPr>
                <w:noProof/>
                <w:webHidden/>
              </w:rPr>
            </w:r>
            <w:r w:rsidR="003750DF">
              <w:rPr>
                <w:noProof/>
                <w:webHidden/>
              </w:rPr>
              <w:fldChar w:fldCharType="separate"/>
            </w:r>
            <w:r>
              <w:rPr>
                <w:noProof/>
                <w:webHidden/>
              </w:rPr>
              <w:t>16</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180" w:history="1">
            <w:r w:rsidR="003750DF" w:rsidRPr="00CC0835">
              <w:rPr>
                <w:rStyle w:val="Hyperlink"/>
                <w:noProof/>
              </w:rPr>
              <w:t>4</w:t>
            </w:r>
            <w:r w:rsidR="003750DF">
              <w:rPr>
                <w:rFonts w:asciiTheme="minorHAnsi" w:eastAsiaTheme="minorEastAsia" w:hAnsiTheme="minorHAnsi"/>
                <w:noProof/>
                <w:sz w:val="22"/>
                <w:szCs w:val="22"/>
                <w:lang w:val="en-AU"/>
              </w:rPr>
              <w:tab/>
            </w:r>
            <w:r w:rsidR="003750DF" w:rsidRPr="00CC0835">
              <w:rPr>
                <w:rStyle w:val="Hyperlink"/>
                <w:noProof/>
              </w:rPr>
              <w:t>Duties of care</w:t>
            </w:r>
            <w:r w:rsidR="003750DF">
              <w:rPr>
                <w:noProof/>
                <w:webHidden/>
              </w:rPr>
              <w:tab/>
            </w:r>
            <w:r w:rsidR="003750DF">
              <w:rPr>
                <w:noProof/>
                <w:webHidden/>
              </w:rPr>
              <w:fldChar w:fldCharType="begin"/>
            </w:r>
            <w:r w:rsidR="003750DF">
              <w:rPr>
                <w:noProof/>
                <w:webHidden/>
              </w:rPr>
              <w:instrText xml:space="preserve"> PAGEREF _Toc506794180 \h </w:instrText>
            </w:r>
            <w:r w:rsidR="003750DF">
              <w:rPr>
                <w:noProof/>
                <w:webHidden/>
              </w:rPr>
            </w:r>
            <w:r w:rsidR="003750DF">
              <w:rPr>
                <w:noProof/>
                <w:webHidden/>
              </w:rPr>
              <w:fldChar w:fldCharType="separate"/>
            </w:r>
            <w:r>
              <w:rPr>
                <w:noProof/>
                <w:webHidden/>
              </w:rPr>
              <w:t>18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1" w:history="1">
            <w:r w:rsidR="003750DF" w:rsidRPr="00CC0835">
              <w:rPr>
                <w:rStyle w:val="Hyperlink"/>
                <w:noProof/>
              </w:rPr>
              <w:t>4.1.</w:t>
            </w:r>
            <w:r w:rsidR="003750DF">
              <w:rPr>
                <w:rFonts w:asciiTheme="minorHAnsi" w:eastAsiaTheme="minorEastAsia" w:hAnsiTheme="minorHAnsi"/>
                <w:noProof/>
                <w:sz w:val="22"/>
                <w:szCs w:val="22"/>
                <w:lang w:val="en-AU"/>
              </w:rPr>
              <w:tab/>
            </w:r>
            <w:r w:rsidR="003750DF" w:rsidRPr="00CC0835">
              <w:rPr>
                <w:rStyle w:val="Hyperlink"/>
                <w:noProof/>
              </w:rPr>
              <w:t>Duty of PCBUs</w:t>
            </w:r>
            <w:r w:rsidR="003750DF">
              <w:rPr>
                <w:noProof/>
                <w:webHidden/>
              </w:rPr>
              <w:tab/>
            </w:r>
            <w:r w:rsidR="003750DF">
              <w:rPr>
                <w:noProof/>
                <w:webHidden/>
              </w:rPr>
              <w:fldChar w:fldCharType="begin"/>
            </w:r>
            <w:r w:rsidR="003750DF">
              <w:rPr>
                <w:noProof/>
                <w:webHidden/>
              </w:rPr>
              <w:instrText xml:space="preserve"> PAGEREF _Toc506794181 \h </w:instrText>
            </w:r>
            <w:r w:rsidR="003750DF">
              <w:rPr>
                <w:noProof/>
                <w:webHidden/>
              </w:rPr>
            </w:r>
            <w:r w:rsidR="003750DF">
              <w:rPr>
                <w:noProof/>
                <w:webHidden/>
              </w:rPr>
              <w:fldChar w:fldCharType="separate"/>
            </w:r>
            <w:r>
              <w:rPr>
                <w:noProof/>
                <w:webHidden/>
              </w:rPr>
              <w:t>18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2" w:history="1">
            <w:r w:rsidR="003750DF" w:rsidRPr="00CC0835">
              <w:rPr>
                <w:rStyle w:val="Hyperlink"/>
                <w:noProof/>
              </w:rPr>
              <w:t>4.2.</w:t>
            </w:r>
            <w:r w:rsidR="003750DF">
              <w:rPr>
                <w:rFonts w:asciiTheme="minorHAnsi" w:eastAsiaTheme="minorEastAsia" w:hAnsiTheme="minorHAnsi"/>
                <w:noProof/>
                <w:sz w:val="22"/>
                <w:szCs w:val="22"/>
                <w:lang w:val="en-AU"/>
              </w:rPr>
              <w:tab/>
            </w:r>
            <w:r w:rsidR="003750DF" w:rsidRPr="00CC0835">
              <w:rPr>
                <w:rStyle w:val="Hyperlink"/>
                <w:noProof/>
              </w:rPr>
              <w:t>Duty of officers</w:t>
            </w:r>
            <w:r w:rsidR="003750DF">
              <w:rPr>
                <w:noProof/>
                <w:webHidden/>
              </w:rPr>
              <w:tab/>
            </w:r>
            <w:r w:rsidR="003750DF">
              <w:rPr>
                <w:noProof/>
                <w:webHidden/>
              </w:rPr>
              <w:fldChar w:fldCharType="begin"/>
            </w:r>
            <w:r w:rsidR="003750DF">
              <w:rPr>
                <w:noProof/>
                <w:webHidden/>
              </w:rPr>
              <w:instrText xml:space="preserve"> PAGEREF _Toc506794182 \h </w:instrText>
            </w:r>
            <w:r w:rsidR="003750DF">
              <w:rPr>
                <w:noProof/>
                <w:webHidden/>
              </w:rPr>
            </w:r>
            <w:r w:rsidR="003750DF">
              <w:rPr>
                <w:noProof/>
                <w:webHidden/>
              </w:rPr>
              <w:fldChar w:fldCharType="separate"/>
            </w:r>
            <w:r>
              <w:rPr>
                <w:noProof/>
                <w:webHidden/>
              </w:rPr>
              <w:t>19</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3" w:history="1">
            <w:r w:rsidR="003750DF" w:rsidRPr="00CC0835">
              <w:rPr>
                <w:rStyle w:val="Hyperlink"/>
                <w:noProof/>
              </w:rPr>
              <w:t>4.3.</w:t>
            </w:r>
            <w:r w:rsidR="003750DF">
              <w:rPr>
                <w:rFonts w:asciiTheme="minorHAnsi" w:eastAsiaTheme="minorEastAsia" w:hAnsiTheme="minorHAnsi"/>
                <w:noProof/>
                <w:sz w:val="22"/>
                <w:szCs w:val="22"/>
                <w:lang w:val="en-AU"/>
              </w:rPr>
              <w:tab/>
            </w:r>
            <w:r w:rsidR="003750DF" w:rsidRPr="00CC0835">
              <w:rPr>
                <w:rStyle w:val="Hyperlink"/>
                <w:noProof/>
              </w:rPr>
              <w:t>Duty of workers</w:t>
            </w:r>
            <w:r w:rsidR="003750DF">
              <w:rPr>
                <w:noProof/>
                <w:webHidden/>
              </w:rPr>
              <w:tab/>
            </w:r>
            <w:r w:rsidR="003750DF">
              <w:rPr>
                <w:noProof/>
                <w:webHidden/>
              </w:rPr>
              <w:fldChar w:fldCharType="begin"/>
            </w:r>
            <w:r w:rsidR="003750DF">
              <w:rPr>
                <w:noProof/>
                <w:webHidden/>
              </w:rPr>
              <w:instrText xml:space="preserve"> PAGEREF _Toc506794183 \h </w:instrText>
            </w:r>
            <w:r w:rsidR="003750DF">
              <w:rPr>
                <w:noProof/>
                <w:webHidden/>
              </w:rPr>
            </w:r>
            <w:r w:rsidR="003750DF">
              <w:rPr>
                <w:noProof/>
                <w:webHidden/>
              </w:rPr>
              <w:fldChar w:fldCharType="separate"/>
            </w:r>
            <w:r>
              <w:rPr>
                <w:noProof/>
                <w:webHidden/>
              </w:rPr>
              <w:t>20</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4" w:history="1">
            <w:r w:rsidR="003750DF" w:rsidRPr="00CC0835">
              <w:rPr>
                <w:rStyle w:val="Hyperlink"/>
                <w:noProof/>
              </w:rPr>
              <w:t>4.4.</w:t>
            </w:r>
            <w:r w:rsidR="003750DF">
              <w:rPr>
                <w:rFonts w:asciiTheme="minorHAnsi" w:eastAsiaTheme="minorEastAsia" w:hAnsiTheme="minorHAnsi"/>
                <w:noProof/>
                <w:sz w:val="22"/>
                <w:szCs w:val="22"/>
                <w:lang w:val="en-AU"/>
              </w:rPr>
              <w:tab/>
            </w:r>
            <w:r w:rsidR="003750DF" w:rsidRPr="00CC0835">
              <w:rPr>
                <w:rStyle w:val="Hyperlink"/>
                <w:noProof/>
              </w:rPr>
              <w:t>Duty of other persons at the workplace</w:t>
            </w:r>
            <w:r w:rsidR="003750DF">
              <w:rPr>
                <w:noProof/>
                <w:webHidden/>
              </w:rPr>
              <w:tab/>
            </w:r>
            <w:r w:rsidR="003750DF">
              <w:rPr>
                <w:noProof/>
                <w:webHidden/>
              </w:rPr>
              <w:fldChar w:fldCharType="begin"/>
            </w:r>
            <w:r w:rsidR="003750DF">
              <w:rPr>
                <w:noProof/>
                <w:webHidden/>
              </w:rPr>
              <w:instrText xml:space="preserve"> PAGEREF _Toc506794184 \h </w:instrText>
            </w:r>
            <w:r w:rsidR="003750DF">
              <w:rPr>
                <w:noProof/>
                <w:webHidden/>
              </w:rPr>
            </w:r>
            <w:r w:rsidR="003750DF">
              <w:rPr>
                <w:noProof/>
                <w:webHidden/>
              </w:rPr>
              <w:fldChar w:fldCharType="separate"/>
            </w:r>
            <w:r>
              <w:rPr>
                <w:noProof/>
                <w:webHidden/>
              </w:rPr>
              <w:t>21</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5" w:history="1">
            <w:r w:rsidR="003750DF" w:rsidRPr="00CC0835">
              <w:rPr>
                <w:rStyle w:val="Hyperlink"/>
                <w:noProof/>
              </w:rPr>
              <w:t>4.5.</w:t>
            </w:r>
            <w:r w:rsidR="003750DF">
              <w:rPr>
                <w:rFonts w:asciiTheme="minorHAnsi" w:eastAsiaTheme="minorEastAsia" w:hAnsiTheme="minorHAnsi"/>
                <w:noProof/>
                <w:sz w:val="22"/>
                <w:szCs w:val="22"/>
                <w:lang w:val="en-AU"/>
              </w:rPr>
              <w:tab/>
            </w:r>
            <w:r w:rsidR="003750DF" w:rsidRPr="00CC0835">
              <w:rPr>
                <w:rStyle w:val="Hyperlink"/>
                <w:noProof/>
              </w:rPr>
              <w:t>Principles applying to duties</w:t>
            </w:r>
            <w:r w:rsidR="003750DF">
              <w:rPr>
                <w:noProof/>
                <w:webHidden/>
              </w:rPr>
              <w:tab/>
            </w:r>
            <w:r w:rsidR="003750DF">
              <w:rPr>
                <w:noProof/>
                <w:webHidden/>
              </w:rPr>
              <w:fldChar w:fldCharType="begin"/>
            </w:r>
            <w:r w:rsidR="003750DF">
              <w:rPr>
                <w:noProof/>
                <w:webHidden/>
              </w:rPr>
              <w:instrText xml:space="preserve"> PAGEREF _Toc506794185 \h </w:instrText>
            </w:r>
            <w:r w:rsidR="003750DF">
              <w:rPr>
                <w:noProof/>
                <w:webHidden/>
              </w:rPr>
            </w:r>
            <w:r w:rsidR="003750DF">
              <w:rPr>
                <w:noProof/>
                <w:webHidden/>
              </w:rPr>
              <w:fldChar w:fldCharType="separate"/>
            </w:r>
            <w:r>
              <w:rPr>
                <w:noProof/>
                <w:webHidden/>
              </w:rPr>
              <w:t>21</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186" w:history="1">
            <w:r w:rsidR="003750DF" w:rsidRPr="00CC0835">
              <w:rPr>
                <w:rStyle w:val="Hyperlink"/>
                <w:noProof/>
              </w:rPr>
              <w:t>5</w:t>
            </w:r>
            <w:r w:rsidR="003750DF">
              <w:rPr>
                <w:rFonts w:asciiTheme="minorHAnsi" w:eastAsiaTheme="minorEastAsia" w:hAnsiTheme="minorHAnsi"/>
                <w:noProof/>
                <w:sz w:val="22"/>
                <w:szCs w:val="22"/>
                <w:lang w:val="en-AU"/>
              </w:rPr>
              <w:tab/>
            </w:r>
            <w:r w:rsidR="003750DF" w:rsidRPr="00CC0835">
              <w:rPr>
                <w:rStyle w:val="Hyperlink"/>
                <w:noProof/>
              </w:rPr>
              <w:t>Consultation, representation and participation</w:t>
            </w:r>
            <w:r w:rsidR="003750DF">
              <w:rPr>
                <w:noProof/>
                <w:webHidden/>
              </w:rPr>
              <w:tab/>
            </w:r>
            <w:r w:rsidR="003750DF">
              <w:rPr>
                <w:noProof/>
                <w:webHidden/>
              </w:rPr>
              <w:fldChar w:fldCharType="begin"/>
            </w:r>
            <w:r w:rsidR="003750DF">
              <w:rPr>
                <w:noProof/>
                <w:webHidden/>
              </w:rPr>
              <w:instrText xml:space="preserve"> PAGEREF _Toc506794186 \h </w:instrText>
            </w:r>
            <w:r w:rsidR="003750DF">
              <w:rPr>
                <w:noProof/>
                <w:webHidden/>
              </w:rPr>
            </w:r>
            <w:r w:rsidR="003750DF">
              <w:rPr>
                <w:noProof/>
                <w:webHidden/>
              </w:rPr>
              <w:fldChar w:fldCharType="separate"/>
            </w:r>
            <w:r>
              <w:rPr>
                <w:noProof/>
                <w:webHidden/>
              </w:rPr>
              <w:t>22</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7" w:history="1">
            <w:r w:rsidR="003750DF" w:rsidRPr="00CC0835">
              <w:rPr>
                <w:rStyle w:val="Hyperlink"/>
                <w:noProof/>
              </w:rPr>
              <w:t>5.1.</w:t>
            </w:r>
            <w:r w:rsidR="003750DF">
              <w:rPr>
                <w:rFonts w:asciiTheme="minorHAnsi" w:eastAsiaTheme="minorEastAsia" w:hAnsiTheme="minorHAnsi"/>
                <w:noProof/>
                <w:sz w:val="22"/>
                <w:szCs w:val="22"/>
                <w:lang w:val="en-AU"/>
              </w:rPr>
              <w:tab/>
            </w:r>
            <w:r w:rsidR="003750DF" w:rsidRPr="00CC0835">
              <w:rPr>
                <w:rStyle w:val="Hyperlink"/>
                <w:noProof/>
              </w:rPr>
              <w:t>Consultation with other PCBUs</w:t>
            </w:r>
            <w:r w:rsidR="003750DF">
              <w:rPr>
                <w:noProof/>
                <w:webHidden/>
              </w:rPr>
              <w:tab/>
            </w:r>
            <w:r w:rsidR="003750DF">
              <w:rPr>
                <w:noProof/>
                <w:webHidden/>
              </w:rPr>
              <w:fldChar w:fldCharType="begin"/>
            </w:r>
            <w:r w:rsidR="003750DF">
              <w:rPr>
                <w:noProof/>
                <w:webHidden/>
              </w:rPr>
              <w:instrText xml:space="preserve"> PAGEREF _Toc506794187 \h </w:instrText>
            </w:r>
            <w:r w:rsidR="003750DF">
              <w:rPr>
                <w:noProof/>
                <w:webHidden/>
              </w:rPr>
            </w:r>
            <w:r w:rsidR="003750DF">
              <w:rPr>
                <w:noProof/>
                <w:webHidden/>
              </w:rPr>
              <w:fldChar w:fldCharType="separate"/>
            </w:r>
            <w:r>
              <w:rPr>
                <w:noProof/>
                <w:webHidden/>
              </w:rPr>
              <w:t>22</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8" w:history="1">
            <w:r w:rsidR="003750DF" w:rsidRPr="00CC0835">
              <w:rPr>
                <w:rStyle w:val="Hyperlink"/>
                <w:noProof/>
              </w:rPr>
              <w:t>5.2.</w:t>
            </w:r>
            <w:r w:rsidR="003750DF">
              <w:rPr>
                <w:rFonts w:asciiTheme="minorHAnsi" w:eastAsiaTheme="minorEastAsia" w:hAnsiTheme="minorHAnsi"/>
                <w:noProof/>
                <w:sz w:val="22"/>
                <w:szCs w:val="22"/>
                <w:lang w:val="en-AU"/>
              </w:rPr>
              <w:tab/>
            </w:r>
            <w:r w:rsidR="003750DF" w:rsidRPr="00CC0835">
              <w:rPr>
                <w:rStyle w:val="Hyperlink"/>
                <w:noProof/>
              </w:rPr>
              <w:t>Consultation with workers</w:t>
            </w:r>
            <w:r w:rsidR="003750DF">
              <w:rPr>
                <w:noProof/>
                <w:webHidden/>
              </w:rPr>
              <w:tab/>
            </w:r>
            <w:r w:rsidR="003750DF">
              <w:rPr>
                <w:noProof/>
                <w:webHidden/>
              </w:rPr>
              <w:fldChar w:fldCharType="begin"/>
            </w:r>
            <w:r w:rsidR="003750DF">
              <w:rPr>
                <w:noProof/>
                <w:webHidden/>
              </w:rPr>
              <w:instrText xml:space="preserve"> PAGEREF _Toc506794188 \h </w:instrText>
            </w:r>
            <w:r w:rsidR="003750DF">
              <w:rPr>
                <w:noProof/>
                <w:webHidden/>
              </w:rPr>
            </w:r>
            <w:r w:rsidR="003750DF">
              <w:rPr>
                <w:noProof/>
                <w:webHidden/>
              </w:rPr>
              <w:fldChar w:fldCharType="separate"/>
            </w:r>
            <w:r>
              <w:rPr>
                <w:noProof/>
                <w:webHidden/>
              </w:rPr>
              <w:t>23</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89" w:history="1">
            <w:r w:rsidR="003750DF" w:rsidRPr="00CC0835">
              <w:rPr>
                <w:rStyle w:val="Hyperlink"/>
                <w:noProof/>
              </w:rPr>
              <w:t>5.3.</w:t>
            </w:r>
            <w:r w:rsidR="003750DF">
              <w:rPr>
                <w:rFonts w:asciiTheme="minorHAnsi" w:eastAsiaTheme="minorEastAsia" w:hAnsiTheme="minorHAnsi"/>
                <w:noProof/>
                <w:sz w:val="22"/>
                <w:szCs w:val="22"/>
                <w:lang w:val="en-AU"/>
              </w:rPr>
              <w:tab/>
            </w:r>
            <w:r w:rsidR="003750DF" w:rsidRPr="00CC0835">
              <w:rPr>
                <w:rStyle w:val="Hyperlink"/>
                <w:noProof/>
              </w:rPr>
              <w:t>Issue resolution</w:t>
            </w:r>
            <w:r w:rsidR="003750DF">
              <w:rPr>
                <w:noProof/>
                <w:webHidden/>
              </w:rPr>
              <w:tab/>
            </w:r>
            <w:r w:rsidR="003750DF">
              <w:rPr>
                <w:noProof/>
                <w:webHidden/>
              </w:rPr>
              <w:fldChar w:fldCharType="begin"/>
            </w:r>
            <w:r w:rsidR="003750DF">
              <w:rPr>
                <w:noProof/>
                <w:webHidden/>
              </w:rPr>
              <w:instrText xml:space="preserve"> PAGEREF _Toc506794189 \h </w:instrText>
            </w:r>
            <w:r w:rsidR="003750DF">
              <w:rPr>
                <w:noProof/>
                <w:webHidden/>
              </w:rPr>
            </w:r>
            <w:r w:rsidR="003750DF">
              <w:rPr>
                <w:noProof/>
                <w:webHidden/>
              </w:rPr>
              <w:fldChar w:fldCharType="separate"/>
            </w:r>
            <w:r>
              <w:rPr>
                <w:noProof/>
                <w:webHidden/>
              </w:rPr>
              <w:t>24</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0" w:history="1">
            <w:r w:rsidR="003750DF" w:rsidRPr="00CC0835">
              <w:rPr>
                <w:rStyle w:val="Hyperlink"/>
                <w:noProof/>
              </w:rPr>
              <w:t>5.4.</w:t>
            </w:r>
            <w:r w:rsidR="003750DF">
              <w:rPr>
                <w:rFonts w:asciiTheme="minorHAnsi" w:eastAsiaTheme="minorEastAsia" w:hAnsiTheme="minorHAnsi"/>
                <w:noProof/>
                <w:sz w:val="22"/>
                <w:szCs w:val="22"/>
                <w:lang w:val="en-AU"/>
              </w:rPr>
              <w:tab/>
            </w:r>
            <w:r w:rsidR="003750DF" w:rsidRPr="00CC0835">
              <w:rPr>
                <w:rStyle w:val="Hyperlink"/>
                <w:noProof/>
              </w:rPr>
              <w:t>Discriminatory, coercive and misleading conduct</w:t>
            </w:r>
            <w:r w:rsidR="003750DF">
              <w:rPr>
                <w:noProof/>
                <w:webHidden/>
              </w:rPr>
              <w:tab/>
            </w:r>
            <w:r w:rsidR="003750DF">
              <w:rPr>
                <w:noProof/>
                <w:webHidden/>
              </w:rPr>
              <w:fldChar w:fldCharType="begin"/>
            </w:r>
            <w:r w:rsidR="003750DF">
              <w:rPr>
                <w:noProof/>
                <w:webHidden/>
              </w:rPr>
              <w:instrText xml:space="preserve"> PAGEREF _Toc506794190 \h </w:instrText>
            </w:r>
            <w:r w:rsidR="003750DF">
              <w:rPr>
                <w:noProof/>
                <w:webHidden/>
              </w:rPr>
            </w:r>
            <w:r w:rsidR="003750DF">
              <w:rPr>
                <w:noProof/>
                <w:webHidden/>
              </w:rPr>
              <w:fldChar w:fldCharType="separate"/>
            </w:r>
            <w:r>
              <w:rPr>
                <w:noProof/>
                <w:webHidden/>
              </w:rPr>
              <w:t>25</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1" w:history="1">
            <w:r w:rsidR="003750DF" w:rsidRPr="00CC0835">
              <w:rPr>
                <w:rStyle w:val="Hyperlink"/>
                <w:noProof/>
              </w:rPr>
              <w:t>5.5.</w:t>
            </w:r>
            <w:r w:rsidR="003750DF">
              <w:rPr>
                <w:rFonts w:asciiTheme="minorHAnsi" w:eastAsiaTheme="minorEastAsia" w:hAnsiTheme="minorHAnsi"/>
                <w:noProof/>
                <w:sz w:val="22"/>
                <w:szCs w:val="22"/>
                <w:lang w:val="en-AU"/>
              </w:rPr>
              <w:tab/>
            </w:r>
            <w:r w:rsidR="003750DF" w:rsidRPr="00CC0835">
              <w:rPr>
                <w:rStyle w:val="Hyperlink"/>
                <w:noProof/>
              </w:rPr>
              <w:t>Workplace entry by WHS entry permit holders</w:t>
            </w:r>
            <w:r w:rsidR="003750DF">
              <w:rPr>
                <w:noProof/>
                <w:webHidden/>
              </w:rPr>
              <w:tab/>
            </w:r>
            <w:r w:rsidR="003750DF">
              <w:rPr>
                <w:noProof/>
                <w:webHidden/>
              </w:rPr>
              <w:fldChar w:fldCharType="begin"/>
            </w:r>
            <w:r w:rsidR="003750DF">
              <w:rPr>
                <w:noProof/>
                <w:webHidden/>
              </w:rPr>
              <w:instrText xml:space="preserve"> PAGEREF _Toc506794191 \h </w:instrText>
            </w:r>
            <w:r w:rsidR="003750DF">
              <w:rPr>
                <w:noProof/>
                <w:webHidden/>
              </w:rPr>
            </w:r>
            <w:r w:rsidR="003750DF">
              <w:rPr>
                <w:noProof/>
                <w:webHidden/>
              </w:rPr>
              <w:fldChar w:fldCharType="separate"/>
            </w:r>
            <w:r>
              <w:rPr>
                <w:noProof/>
                <w:webHidden/>
              </w:rPr>
              <w:t>25</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192" w:history="1">
            <w:r w:rsidR="003750DF" w:rsidRPr="00CC0835">
              <w:rPr>
                <w:rStyle w:val="Hyperlink"/>
                <w:noProof/>
              </w:rPr>
              <w:t>6</w:t>
            </w:r>
            <w:r w:rsidR="003750DF">
              <w:rPr>
                <w:rFonts w:asciiTheme="minorHAnsi" w:eastAsiaTheme="minorEastAsia" w:hAnsiTheme="minorHAnsi"/>
                <w:noProof/>
                <w:sz w:val="22"/>
                <w:szCs w:val="22"/>
                <w:lang w:val="en-AU"/>
              </w:rPr>
              <w:tab/>
            </w:r>
            <w:r w:rsidR="003750DF" w:rsidRPr="00CC0835">
              <w:rPr>
                <w:rStyle w:val="Hyperlink"/>
                <w:noProof/>
              </w:rPr>
              <w:t>Compliance and enforcement</w:t>
            </w:r>
            <w:r w:rsidR="003750DF">
              <w:rPr>
                <w:noProof/>
                <w:webHidden/>
              </w:rPr>
              <w:tab/>
            </w:r>
            <w:r w:rsidR="003750DF">
              <w:rPr>
                <w:noProof/>
                <w:webHidden/>
              </w:rPr>
              <w:fldChar w:fldCharType="begin"/>
            </w:r>
            <w:r w:rsidR="003750DF">
              <w:rPr>
                <w:noProof/>
                <w:webHidden/>
              </w:rPr>
              <w:instrText xml:space="preserve"> PAGEREF _Toc506794192 \h </w:instrText>
            </w:r>
            <w:r w:rsidR="003750DF">
              <w:rPr>
                <w:noProof/>
                <w:webHidden/>
              </w:rPr>
            </w:r>
            <w:r w:rsidR="003750DF">
              <w:rPr>
                <w:noProof/>
                <w:webHidden/>
              </w:rPr>
              <w:fldChar w:fldCharType="separate"/>
            </w:r>
            <w:r>
              <w:rPr>
                <w:noProof/>
                <w:webHidden/>
              </w:rPr>
              <w:t>27</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3" w:history="1">
            <w:r w:rsidR="003750DF" w:rsidRPr="00CC0835">
              <w:rPr>
                <w:rStyle w:val="Hyperlink"/>
                <w:noProof/>
              </w:rPr>
              <w:t>6.1.</w:t>
            </w:r>
            <w:r w:rsidR="003750DF">
              <w:rPr>
                <w:rFonts w:asciiTheme="minorHAnsi" w:eastAsiaTheme="minorEastAsia" w:hAnsiTheme="minorHAnsi"/>
                <w:noProof/>
                <w:sz w:val="22"/>
                <w:szCs w:val="22"/>
                <w:lang w:val="en-AU"/>
              </w:rPr>
              <w:tab/>
            </w:r>
            <w:r w:rsidR="003750DF" w:rsidRPr="00CC0835">
              <w:rPr>
                <w:rStyle w:val="Hyperlink"/>
                <w:noProof/>
              </w:rPr>
              <w:t>Regulator functions</w:t>
            </w:r>
            <w:r w:rsidR="003750DF">
              <w:rPr>
                <w:noProof/>
                <w:webHidden/>
              </w:rPr>
              <w:tab/>
            </w:r>
            <w:r w:rsidR="003750DF">
              <w:rPr>
                <w:noProof/>
                <w:webHidden/>
              </w:rPr>
              <w:fldChar w:fldCharType="begin"/>
            </w:r>
            <w:r w:rsidR="003750DF">
              <w:rPr>
                <w:noProof/>
                <w:webHidden/>
              </w:rPr>
              <w:instrText xml:space="preserve"> PAGEREF _Toc506794193 \h </w:instrText>
            </w:r>
            <w:r w:rsidR="003750DF">
              <w:rPr>
                <w:noProof/>
                <w:webHidden/>
              </w:rPr>
            </w:r>
            <w:r w:rsidR="003750DF">
              <w:rPr>
                <w:noProof/>
                <w:webHidden/>
              </w:rPr>
              <w:fldChar w:fldCharType="separate"/>
            </w:r>
            <w:r>
              <w:rPr>
                <w:noProof/>
                <w:webHidden/>
              </w:rPr>
              <w:t>27</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4" w:history="1">
            <w:r w:rsidR="003750DF" w:rsidRPr="00CC0835">
              <w:rPr>
                <w:rStyle w:val="Hyperlink"/>
                <w:noProof/>
              </w:rPr>
              <w:t>6.2.</w:t>
            </w:r>
            <w:r w:rsidR="003750DF">
              <w:rPr>
                <w:rFonts w:asciiTheme="minorHAnsi" w:eastAsiaTheme="minorEastAsia" w:hAnsiTheme="minorHAnsi"/>
                <w:noProof/>
                <w:sz w:val="22"/>
                <w:szCs w:val="22"/>
                <w:lang w:val="en-AU"/>
              </w:rPr>
              <w:tab/>
            </w:r>
            <w:r w:rsidR="003750DF" w:rsidRPr="00CC0835">
              <w:rPr>
                <w:rStyle w:val="Hyperlink"/>
                <w:noProof/>
              </w:rPr>
              <w:t>Inspectors’ powers and functions</w:t>
            </w:r>
            <w:r w:rsidR="003750DF">
              <w:rPr>
                <w:noProof/>
                <w:webHidden/>
              </w:rPr>
              <w:tab/>
            </w:r>
            <w:r w:rsidR="003750DF">
              <w:rPr>
                <w:noProof/>
                <w:webHidden/>
              </w:rPr>
              <w:fldChar w:fldCharType="begin"/>
            </w:r>
            <w:r w:rsidR="003750DF">
              <w:rPr>
                <w:noProof/>
                <w:webHidden/>
              </w:rPr>
              <w:instrText xml:space="preserve"> PAGEREF _Toc506794194 \h </w:instrText>
            </w:r>
            <w:r w:rsidR="003750DF">
              <w:rPr>
                <w:noProof/>
                <w:webHidden/>
              </w:rPr>
            </w:r>
            <w:r w:rsidR="003750DF">
              <w:rPr>
                <w:noProof/>
                <w:webHidden/>
              </w:rPr>
              <w:fldChar w:fldCharType="separate"/>
            </w:r>
            <w:r>
              <w:rPr>
                <w:noProof/>
                <w:webHidden/>
              </w:rPr>
              <w:t>28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5" w:history="1">
            <w:r w:rsidR="003750DF" w:rsidRPr="00CC0835">
              <w:rPr>
                <w:rStyle w:val="Hyperlink"/>
                <w:noProof/>
              </w:rPr>
              <w:t>6.3.</w:t>
            </w:r>
            <w:r w:rsidR="003750DF">
              <w:rPr>
                <w:rFonts w:asciiTheme="minorHAnsi" w:eastAsiaTheme="minorEastAsia" w:hAnsiTheme="minorHAnsi"/>
                <w:noProof/>
                <w:sz w:val="22"/>
                <w:szCs w:val="22"/>
                <w:lang w:val="en-AU"/>
              </w:rPr>
              <w:tab/>
            </w:r>
            <w:r w:rsidR="003750DF" w:rsidRPr="00CC0835">
              <w:rPr>
                <w:rStyle w:val="Hyperlink"/>
                <w:noProof/>
              </w:rPr>
              <w:t>Internal and external review of decisions</w:t>
            </w:r>
            <w:r w:rsidR="003750DF">
              <w:rPr>
                <w:noProof/>
                <w:webHidden/>
              </w:rPr>
              <w:tab/>
            </w:r>
            <w:r w:rsidR="003750DF">
              <w:rPr>
                <w:noProof/>
                <w:webHidden/>
              </w:rPr>
              <w:fldChar w:fldCharType="begin"/>
            </w:r>
            <w:r w:rsidR="003750DF">
              <w:rPr>
                <w:noProof/>
                <w:webHidden/>
              </w:rPr>
              <w:instrText xml:space="preserve"> PAGEREF _Toc506794195 \h </w:instrText>
            </w:r>
            <w:r w:rsidR="003750DF">
              <w:rPr>
                <w:noProof/>
                <w:webHidden/>
              </w:rPr>
            </w:r>
            <w:r w:rsidR="003750DF">
              <w:rPr>
                <w:noProof/>
                <w:webHidden/>
              </w:rPr>
              <w:fldChar w:fldCharType="separate"/>
            </w:r>
            <w:r>
              <w:rPr>
                <w:noProof/>
                <w:webHidden/>
              </w:rPr>
              <w:t>29</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6" w:history="1">
            <w:r w:rsidR="003750DF" w:rsidRPr="00CC0835">
              <w:rPr>
                <w:rStyle w:val="Hyperlink"/>
                <w:noProof/>
              </w:rPr>
              <w:t>6.4.</w:t>
            </w:r>
            <w:r w:rsidR="003750DF">
              <w:rPr>
                <w:rFonts w:asciiTheme="minorHAnsi" w:eastAsiaTheme="minorEastAsia" w:hAnsiTheme="minorHAnsi"/>
                <w:noProof/>
                <w:sz w:val="22"/>
                <w:szCs w:val="22"/>
                <w:lang w:val="en-AU"/>
              </w:rPr>
              <w:tab/>
            </w:r>
            <w:r w:rsidR="003750DF" w:rsidRPr="00CC0835">
              <w:rPr>
                <w:rStyle w:val="Hyperlink"/>
                <w:noProof/>
              </w:rPr>
              <w:t>Exemptions</w:t>
            </w:r>
            <w:r w:rsidR="003750DF">
              <w:rPr>
                <w:noProof/>
                <w:webHidden/>
              </w:rPr>
              <w:tab/>
            </w:r>
            <w:r w:rsidR="003750DF">
              <w:rPr>
                <w:noProof/>
                <w:webHidden/>
              </w:rPr>
              <w:fldChar w:fldCharType="begin"/>
            </w:r>
            <w:r w:rsidR="003750DF">
              <w:rPr>
                <w:noProof/>
                <w:webHidden/>
              </w:rPr>
              <w:instrText xml:space="preserve"> PAGEREF _Toc506794196 \h </w:instrText>
            </w:r>
            <w:r w:rsidR="003750DF">
              <w:rPr>
                <w:noProof/>
                <w:webHidden/>
              </w:rPr>
            </w:r>
            <w:r w:rsidR="003750DF">
              <w:rPr>
                <w:noProof/>
                <w:webHidden/>
              </w:rPr>
              <w:fldChar w:fldCharType="separate"/>
            </w:r>
            <w:r>
              <w:rPr>
                <w:noProof/>
                <w:webHidden/>
              </w:rPr>
              <w:t>29</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7" w:history="1">
            <w:r w:rsidR="003750DF" w:rsidRPr="00CC0835">
              <w:rPr>
                <w:rStyle w:val="Hyperlink"/>
                <w:noProof/>
              </w:rPr>
              <w:t>6.5.</w:t>
            </w:r>
            <w:r w:rsidR="003750DF">
              <w:rPr>
                <w:rFonts w:asciiTheme="minorHAnsi" w:eastAsiaTheme="minorEastAsia" w:hAnsiTheme="minorHAnsi"/>
                <w:noProof/>
                <w:sz w:val="22"/>
                <w:szCs w:val="22"/>
                <w:lang w:val="en-AU"/>
              </w:rPr>
              <w:tab/>
            </w:r>
            <w:r w:rsidR="003750DF" w:rsidRPr="00CC0835">
              <w:rPr>
                <w:rStyle w:val="Hyperlink"/>
                <w:noProof/>
              </w:rPr>
              <w:t>Cross-jurisdictional co-operation</w:t>
            </w:r>
            <w:r w:rsidR="003750DF">
              <w:rPr>
                <w:noProof/>
                <w:webHidden/>
              </w:rPr>
              <w:tab/>
            </w:r>
            <w:r w:rsidR="003750DF">
              <w:rPr>
                <w:noProof/>
                <w:webHidden/>
              </w:rPr>
              <w:fldChar w:fldCharType="begin"/>
            </w:r>
            <w:r w:rsidR="003750DF">
              <w:rPr>
                <w:noProof/>
                <w:webHidden/>
              </w:rPr>
              <w:instrText xml:space="preserve"> PAGEREF _Toc506794197 \h </w:instrText>
            </w:r>
            <w:r w:rsidR="003750DF">
              <w:rPr>
                <w:noProof/>
                <w:webHidden/>
              </w:rPr>
            </w:r>
            <w:r w:rsidR="003750DF">
              <w:rPr>
                <w:noProof/>
                <w:webHidden/>
              </w:rPr>
              <w:fldChar w:fldCharType="separate"/>
            </w:r>
            <w:r>
              <w:rPr>
                <w:noProof/>
                <w:webHidden/>
              </w:rPr>
              <w:t>30</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8" w:history="1">
            <w:r w:rsidR="003750DF" w:rsidRPr="00CC0835">
              <w:rPr>
                <w:rStyle w:val="Hyperlink"/>
                <w:noProof/>
              </w:rPr>
              <w:t>6.6.</w:t>
            </w:r>
            <w:r w:rsidR="003750DF">
              <w:rPr>
                <w:rFonts w:asciiTheme="minorHAnsi" w:eastAsiaTheme="minorEastAsia" w:hAnsiTheme="minorHAnsi"/>
                <w:noProof/>
                <w:sz w:val="22"/>
                <w:szCs w:val="22"/>
                <w:lang w:val="en-AU"/>
              </w:rPr>
              <w:tab/>
            </w:r>
            <w:r w:rsidR="003750DF" w:rsidRPr="00CC0835">
              <w:rPr>
                <w:rStyle w:val="Hyperlink"/>
                <w:noProof/>
              </w:rPr>
              <w:t>Incident notification</w:t>
            </w:r>
            <w:r w:rsidR="003750DF">
              <w:rPr>
                <w:noProof/>
                <w:webHidden/>
              </w:rPr>
              <w:tab/>
            </w:r>
            <w:r w:rsidR="003750DF">
              <w:rPr>
                <w:noProof/>
                <w:webHidden/>
              </w:rPr>
              <w:fldChar w:fldCharType="begin"/>
            </w:r>
            <w:r w:rsidR="003750DF">
              <w:rPr>
                <w:noProof/>
                <w:webHidden/>
              </w:rPr>
              <w:instrText xml:space="preserve"> PAGEREF _Toc506794198 \h </w:instrText>
            </w:r>
            <w:r w:rsidR="003750DF">
              <w:rPr>
                <w:noProof/>
                <w:webHidden/>
              </w:rPr>
            </w:r>
            <w:r w:rsidR="003750DF">
              <w:rPr>
                <w:noProof/>
                <w:webHidden/>
              </w:rPr>
              <w:fldChar w:fldCharType="separate"/>
            </w:r>
            <w:r>
              <w:rPr>
                <w:noProof/>
                <w:webHidden/>
              </w:rPr>
              <w:t>30</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199" w:history="1">
            <w:r w:rsidR="003750DF" w:rsidRPr="00CC0835">
              <w:rPr>
                <w:rStyle w:val="Hyperlink"/>
                <w:noProof/>
              </w:rPr>
              <w:t>6.7.</w:t>
            </w:r>
            <w:r w:rsidR="003750DF">
              <w:rPr>
                <w:rFonts w:asciiTheme="minorHAnsi" w:eastAsiaTheme="minorEastAsia" w:hAnsiTheme="minorHAnsi"/>
                <w:noProof/>
                <w:sz w:val="22"/>
                <w:szCs w:val="22"/>
                <w:lang w:val="en-AU"/>
              </w:rPr>
              <w:tab/>
            </w:r>
            <w:r w:rsidR="003750DF" w:rsidRPr="00CC0835">
              <w:rPr>
                <w:rStyle w:val="Hyperlink"/>
                <w:noProof/>
              </w:rPr>
              <w:t>National compliance and enforcement data</w:t>
            </w:r>
            <w:r w:rsidR="003750DF">
              <w:rPr>
                <w:noProof/>
                <w:webHidden/>
              </w:rPr>
              <w:tab/>
            </w:r>
            <w:r w:rsidR="003750DF">
              <w:rPr>
                <w:noProof/>
                <w:webHidden/>
              </w:rPr>
              <w:fldChar w:fldCharType="begin"/>
            </w:r>
            <w:r w:rsidR="003750DF">
              <w:rPr>
                <w:noProof/>
                <w:webHidden/>
              </w:rPr>
              <w:instrText xml:space="preserve"> PAGEREF _Toc506794199 \h </w:instrText>
            </w:r>
            <w:r w:rsidR="003750DF">
              <w:rPr>
                <w:noProof/>
                <w:webHidden/>
              </w:rPr>
            </w:r>
            <w:r w:rsidR="003750DF">
              <w:rPr>
                <w:noProof/>
                <w:webHidden/>
              </w:rPr>
              <w:fldChar w:fldCharType="separate"/>
            </w:r>
            <w:r>
              <w:rPr>
                <w:noProof/>
                <w:webHidden/>
              </w:rPr>
              <w:t>30</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200" w:history="1">
            <w:r w:rsidR="003750DF" w:rsidRPr="00CC0835">
              <w:rPr>
                <w:rStyle w:val="Hyperlink"/>
                <w:noProof/>
              </w:rPr>
              <w:t>7</w:t>
            </w:r>
            <w:r w:rsidR="003750DF">
              <w:rPr>
                <w:rFonts w:asciiTheme="minorHAnsi" w:eastAsiaTheme="minorEastAsia" w:hAnsiTheme="minorHAnsi"/>
                <w:noProof/>
                <w:sz w:val="22"/>
                <w:szCs w:val="22"/>
                <w:lang w:val="en-AU"/>
              </w:rPr>
              <w:tab/>
            </w:r>
            <w:r w:rsidR="003750DF" w:rsidRPr="00CC0835">
              <w:rPr>
                <w:rStyle w:val="Hyperlink"/>
                <w:noProof/>
              </w:rPr>
              <w:t>National compliance and enforcement policy</w:t>
            </w:r>
            <w:r w:rsidR="003750DF">
              <w:rPr>
                <w:noProof/>
                <w:webHidden/>
              </w:rPr>
              <w:tab/>
            </w:r>
            <w:r w:rsidR="003750DF">
              <w:rPr>
                <w:noProof/>
                <w:webHidden/>
              </w:rPr>
              <w:fldChar w:fldCharType="begin"/>
            </w:r>
            <w:r w:rsidR="003750DF">
              <w:rPr>
                <w:noProof/>
                <w:webHidden/>
              </w:rPr>
              <w:instrText xml:space="preserve"> PAGEREF _Toc506794200 \h </w:instrText>
            </w:r>
            <w:r w:rsidR="003750DF">
              <w:rPr>
                <w:noProof/>
                <w:webHidden/>
              </w:rPr>
            </w:r>
            <w:r w:rsidR="003750DF">
              <w:rPr>
                <w:noProof/>
                <w:webHidden/>
              </w:rPr>
              <w:fldChar w:fldCharType="separate"/>
            </w:r>
            <w:r>
              <w:rPr>
                <w:noProof/>
                <w:webHidden/>
              </w:rPr>
              <w:t>33</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1" w:history="1">
            <w:r w:rsidR="003750DF" w:rsidRPr="00CC0835">
              <w:rPr>
                <w:rStyle w:val="Hyperlink"/>
                <w:noProof/>
              </w:rPr>
              <w:t>7.1.</w:t>
            </w:r>
            <w:r w:rsidR="003750DF">
              <w:rPr>
                <w:rFonts w:asciiTheme="minorHAnsi" w:eastAsiaTheme="minorEastAsia" w:hAnsiTheme="minorHAnsi"/>
                <w:noProof/>
                <w:sz w:val="22"/>
                <w:szCs w:val="22"/>
                <w:lang w:val="en-AU"/>
              </w:rPr>
              <w:tab/>
            </w:r>
            <w:r w:rsidR="003750DF" w:rsidRPr="00CC0835">
              <w:rPr>
                <w:rStyle w:val="Hyperlink"/>
                <w:noProof/>
              </w:rPr>
              <w:t>Adoption of the NCEP</w:t>
            </w:r>
            <w:r w:rsidR="003750DF">
              <w:rPr>
                <w:noProof/>
                <w:webHidden/>
              </w:rPr>
              <w:tab/>
            </w:r>
            <w:r w:rsidR="003750DF">
              <w:rPr>
                <w:noProof/>
                <w:webHidden/>
              </w:rPr>
              <w:fldChar w:fldCharType="begin"/>
            </w:r>
            <w:r w:rsidR="003750DF">
              <w:rPr>
                <w:noProof/>
                <w:webHidden/>
              </w:rPr>
              <w:instrText xml:space="preserve"> PAGEREF _Toc506794201 \h </w:instrText>
            </w:r>
            <w:r w:rsidR="003750DF">
              <w:rPr>
                <w:noProof/>
                <w:webHidden/>
              </w:rPr>
            </w:r>
            <w:r w:rsidR="003750DF">
              <w:rPr>
                <w:noProof/>
                <w:webHidden/>
              </w:rPr>
              <w:fldChar w:fldCharType="separate"/>
            </w:r>
            <w:r>
              <w:rPr>
                <w:noProof/>
                <w:webHidden/>
              </w:rPr>
              <w:t>33</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2" w:history="1">
            <w:r w:rsidR="003750DF" w:rsidRPr="00CC0835">
              <w:rPr>
                <w:rStyle w:val="Hyperlink"/>
                <w:noProof/>
              </w:rPr>
              <w:t>7.2.</w:t>
            </w:r>
            <w:r w:rsidR="003750DF">
              <w:rPr>
                <w:rFonts w:asciiTheme="minorHAnsi" w:eastAsiaTheme="minorEastAsia" w:hAnsiTheme="minorHAnsi"/>
                <w:noProof/>
                <w:sz w:val="22"/>
                <w:szCs w:val="22"/>
                <w:lang w:val="en-AU"/>
              </w:rPr>
              <w:tab/>
            </w:r>
            <w:r w:rsidR="003750DF" w:rsidRPr="00CC0835">
              <w:rPr>
                <w:rStyle w:val="Hyperlink"/>
                <w:noProof/>
              </w:rPr>
              <w:t>The approach to compliance</w:t>
            </w:r>
            <w:r w:rsidR="003750DF">
              <w:rPr>
                <w:noProof/>
                <w:webHidden/>
              </w:rPr>
              <w:tab/>
            </w:r>
            <w:r w:rsidR="003750DF">
              <w:rPr>
                <w:noProof/>
                <w:webHidden/>
              </w:rPr>
              <w:fldChar w:fldCharType="begin"/>
            </w:r>
            <w:r w:rsidR="003750DF">
              <w:rPr>
                <w:noProof/>
                <w:webHidden/>
              </w:rPr>
              <w:instrText xml:space="preserve"> PAGEREF _Toc506794202 \h </w:instrText>
            </w:r>
            <w:r w:rsidR="003750DF">
              <w:rPr>
                <w:noProof/>
                <w:webHidden/>
              </w:rPr>
            </w:r>
            <w:r w:rsidR="003750DF">
              <w:rPr>
                <w:noProof/>
                <w:webHidden/>
              </w:rPr>
              <w:fldChar w:fldCharType="separate"/>
            </w:r>
            <w:r>
              <w:rPr>
                <w:noProof/>
                <w:webHidden/>
              </w:rPr>
              <w:t>33</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203" w:history="1">
            <w:r w:rsidR="003750DF" w:rsidRPr="00CC0835">
              <w:rPr>
                <w:rStyle w:val="Hyperlink"/>
                <w:noProof/>
              </w:rPr>
              <w:t>8</w:t>
            </w:r>
            <w:r w:rsidR="003750DF">
              <w:rPr>
                <w:rFonts w:asciiTheme="minorHAnsi" w:eastAsiaTheme="minorEastAsia" w:hAnsiTheme="minorHAnsi"/>
                <w:noProof/>
                <w:sz w:val="22"/>
                <w:szCs w:val="22"/>
                <w:lang w:val="en-AU"/>
              </w:rPr>
              <w:tab/>
            </w:r>
            <w:r w:rsidR="003750DF" w:rsidRPr="00CC0835">
              <w:rPr>
                <w:rStyle w:val="Hyperlink"/>
                <w:noProof/>
              </w:rPr>
              <w:t>Prosecutions and legal proceedings</w:t>
            </w:r>
            <w:r w:rsidR="003750DF">
              <w:rPr>
                <w:noProof/>
                <w:webHidden/>
              </w:rPr>
              <w:tab/>
            </w:r>
            <w:r w:rsidR="003750DF">
              <w:rPr>
                <w:noProof/>
                <w:webHidden/>
              </w:rPr>
              <w:fldChar w:fldCharType="begin"/>
            </w:r>
            <w:r w:rsidR="003750DF">
              <w:rPr>
                <w:noProof/>
                <w:webHidden/>
              </w:rPr>
              <w:instrText xml:space="preserve"> PAGEREF _Toc506794203 \h </w:instrText>
            </w:r>
            <w:r w:rsidR="003750DF">
              <w:rPr>
                <w:noProof/>
                <w:webHidden/>
              </w:rPr>
            </w:r>
            <w:r w:rsidR="003750DF">
              <w:rPr>
                <w:noProof/>
                <w:webHidden/>
              </w:rPr>
              <w:fldChar w:fldCharType="separate"/>
            </w:r>
            <w:r>
              <w:rPr>
                <w:noProof/>
                <w:webHidden/>
              </w:rPr>
              <w:t>35</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4" w:history="1">
            <w:r w:rsidR="003750DF" w:rsidRPr="00CC0835">
              <w:rPr>
                <w:rStyle w:val="Hyperlink"/>
                <w:noProof/>
              </w:rPr>
              <w:t>8.1.</w:t>
            </w:r>
            <w:r w:rsidR="003750DF">
              <w:rPr>
                <w:rFonts w:asciiTheme="minorHAnsi" w:eastAsiaTheme="minorEastAsia" w:hAnsiTheme="minorHAnsi"/>
                <w:noProof/>
                <w:sz w:val="22"/>
                <w:szCs w:val="22"/>
                <w:lang w:val="en-AU"/>
              </w:rPr>
              <w:tab/>
            </w:r>
            <w:r w:rsidR="003750DF" w:rsidRPr="00CC0835">
              <w:rPr>
                <w:rStyle w:val="Hyperlink"/>
                <w:noProof/>
              </w:rPr>
              <w:t>Offences and penalties</w:t>
            </w:r>
            <w:r w:rsidR="003750DF">
              <w:rPr>
                <w:noProof/>
                <w:webHidden/>
              </w:rPr>
              <w:tab/>
            </w:r>
            <w:r w:rsidR="003750DF">
              <w:rPr>
                <w:noProof/>
                <w:webHidden/>
              </w:rPr>
              <w:fldChar w:fldCharType="begin"/>
            </w:r>
            <w:r w:rsidR="003750DF">
              <w:rPr>
                <w:noProof/>
                <w:webHidden/>
              </w:rPr>
              <w:instrText xml:space="preserve"> PAGEREF _Toc506794204 \h </w:instrText>
            </w:r>
            <w:r w:rsidR="003750DF">
              <w:rPr>
                <w:noProof/>
                <w:webHidden/>
              </w:rPr>
            </w:r>
            <w:r w:rsidR="003750DF">
              <w:rPr>
                <w:noProof/>
                <w:webHidden/>
              </w:rPr>
              <w:fldChar w:fldCharType="separate"/>
            </w:r>
            <w:r>
              <w:rPr>
                <w:noProof/>
                <w:webHidden/>
              </w:rPr>
              <w:t>35</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5" w:history="1">
            <w:r w:rsidR="003750DF" w:rsidRPr="00CC0835">
              <w:rPr>
                <w:rStyle w:val="Hyperlink"/>
                <w:noProof/>
              </w:rPr>
              <w:t>8.2.</w:t>
            </w:r>
            <w:r w:rsidR="003750DF">
              <w:rPr>
                <w:rFonts w:asciiTheme="minorHAnsi" w:eastAsiaTheme="minorEastAsia" w:hAnsiTheme="minorHAnsi"/>
                <w:noProof/>
                <w:sz w:val="22"/>
                <w:szCs w:val="22"/>
                <w:lang w:val="en-AU"/>
              </w:rPr>
              <w:tab/>
            </w:r>
            <w:r w:rsidR="003750DF" w:rsidRPr="00CC0835">
              <w:rPr>
                <w:rStyle w:val="Hyperlink"/>
                <w:noProof/>
              </w:rPr>
              <w:t>Legal proceedings</w:t>
            </w:r>
            <w:r w:rsidR="003750DF">
              <w:rPr>
                <w:noProof/>
                <w:webHidden/>
              </w:rPr>
              <w:tab/>
            </w:r>
            <w:r w:rsidR="003750DF">
              <w:rPr>
                <w:noProof/>
                <w:webHidden/>
              </w:rPr>
              <w:fldChar w:fldCharType="begin"/>
            </w:r>
            <w:r w:rsidR="003750DF">
              <w:rPr>
                <w:noProof/>
                <w:webHidden/>
              </w:rPr>
              <w:instrText xml:space="preserve"> PAGEREF _Toc506794205 \h </w:instrText>
            </w:r>
            <w:r w:rsidR="003750DF">
              <w:rPr>
                <w:noProof/>
                <w:webHidden/>
              </w:rPr>
            </w:r>
            <w:r w:rsidR="003750DF">
              <w:rPr>
                <w:noProof/>
                <w:webHidden/>
              </w:rPr>
              <w:fldChar w:fldCharType="separate"/>
            </w:r>
            <w:r>
              <w:rPr>
                <w:noProof/>
                <w:webHidden/>
              </w:rPr>
              <w:t>36</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6" w:history="1">
            <w:r w:rsidR="003750DF" w:rsidRPr="00CC0835">
              <w:rPr>
                <w:rStyle w:val="Hyperlink"/>
                <w:noProof/>
              </w:rPr>
              <w:t>8.3.</w:t>
            </w:r>
            <w:r w:rsidR="003750DF">
              <w:rPr>
                <w:rFonts w:asciiTheme="minorHAnsi" w:eastAsiaTheme="minorEastAsia" w:hAnsiTheme="minorHAnsi"/>
                <w:noProof/>
                <w:sz w:val="22"/>
                <w:szCs w:val="22"/>
                <w:lang w:val="en-AU"/>
              </w:rPr>
              <w:tab/>
            </w:r>
            <w:r w:rsidR="003750DF" w:rsidRPr="00CC0835">
              <w:rPr>
                <w:rStyle w:val="Hyperlink"/>
                <w:noProof/>
              </w:rPr>
              <w:t>Sentencing</w:t>
            </w:r>
            <w:r w:rsidR="003750DF">
              <w:rPr>
                <w:noProof/>
                <w:webHidden/>
              </w:rPr>
              <w:tab/>
            </w:r>
            <w:r w:rsidR="003750DF">
              <w:rPr>
                <w:noProof/>
                <w:webHidden/>
              </w:rPr>
              <w:fldChar w:fldCharType="begin"/>
            </w:r>
            <w:r w:rsidR="003750DF">
              <w:rPr>
                <w:noProof/>
                <w:webHidden/>
              </w:rPr>
              <w:instrText xml:space="preserve"> PAGEREF _Toc506794206 \h </w:instrText>
            </w:r>
            <w:r w:rsidR="003750DF">
              <w:rPr>
                <w:noProof/>
                <w:webHidden/>
              </w:rPr>
            </w:r>
            <w:r w:rsidR="003750DF">
              <w:rPr>
                <w:noProof/>
                <w:webHidden/>
              </w:rPr>
              <w:fldChar w:fldCharType="separate"/>
            </w:r>
            <w:r>
              <w:rPr>
                <w:noProof/>
                <w:webHidden/>
              </w:rPr>
              <w:t>38</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7" w:history="1">
            <w:r w:rsidR="003750DF" w:rsidRPr="00CC0835">
              <w:rPr>
                <w:rStyle w:val="Hyperlink"/>
                <w:noProof/>
              </w:rPr>
              <w:t>8.4.</w:t>
            </w:r>
            <w:r w:rsidR="003750DF">
              <w:rPr>
                <w:rFonts w:asciiTheme="minorHAnsi" w:eastAsiaTheme="minorEastAsia" w:hAnsiTheme="minorHAnsi"/>
                <w:noProof/>
                <w:sz w:val="22"/>
                <w:szCs w:val="22"/>
                <w:lang w:val="en-AU"/>
              </w:rPr>
              <w:tab/>
            </w:r>
            <w:r w:rsidR="003750DF" w:rsidRPr="00CC0835">
              <w:rPr>
                <w:rStyle w:val="Hyperlink"/>
                <w:noProof/>
              </w:rPr>
              <w:t>Enforceable undertakings</w:t>
            </w:r>
            <w:r w:rsidR="003750DF">
              <w:rPr>
                <w:noProof/>
                <w:webHidden/>
              </w:rPr>
              <w:tab/>
            </w:r>
            <w:r w:rsidR="003750DF">
              <w:rPr>
                <w:noProof/>
                <w:webHidden/>
              </w:rPr>
              <w:fldChar w:fldCharType="begin"/>
            </w:r>
            <w:r w:rsidR="003750DF">
              <w:rPr>
                <w:noProof/>
                <w:webHidden/>
              </w:rPr>
              <w:instrText xml:space="preserve"> PAGEREF _Toc506794207 \h </w:instrText>
            </w:r>
            <w:r w:rsidR="003750DF">
              <w:rPr>
                <w:noProof/>
                <w:webHidden/>
              </w:rPr>
            </w:r>
            <w:r w:rsidR="003750DF">
              <w:rPr>
                <w:noProof/>
                <w:webHidden/>
              </w:rPr>
              <w:fldChar w:fldCharType="separate"/>
            </w:r>
            <w:r>
              <w:rPr>
                <w:noProof/>
                <w:webHidden/>
              </w:rPr>
              <w:t>39</w:t>
            </w:r>
            <w:r w:rsidR="003750DF">
              <w:rPr>
                <w:noProof/>
                <w:webHidden/>
              </w:rPr>
              <w:fldChar w:fldCharType="end"/>
            </w:r>
          </w:hyperlink>
        </w:p>
        <w:p w:rsidR="003750DF" w:rsidRDefault="00B3513F">
          <w:pPr>
            <w:pStyle w:val="TOC1"/>
            <w:tabs>
              <w:tab w:val="left" w:pos="660"/>
              <w:tab w:val="right" w:leader="dot" w:pos="9010"/>
            </w:tabs>
            <w:rPr>
              <w:rFonts w:asciiTheme="minorHAnsi" w:eastAsiaTheme="minorEastAsia" w:hAnsiTheme="minorHAnsi"/>
              <w:noProof/>
              <w:sz w:val="22"/>
              <w:szCs w:val="22"/>
              <w:lang w:val="en-AU"/>
            </w:rPr>
          </w:pPr>
          <w:hyperlink w:anchor="_Toc506794208" w:history="1">
            <w:r w:rsidR="003750DF" w:rsidRPr="00CC0835">
              <w:rPr>
                <w:rStyle w:val="Hyperlink"/>
                <w:noProof/>
              </w:rPr>
              <w:t>8.5.</w:t>
            </w:r>
            <w:r w:rsidR="003750DF">
              <w:rPr>
                <w:rFonts w:asciiTheme="minorHAnsi" w:eastAsiaTheme="minorEastAsia" w:hAnsiTheme="minorHAnsi"/>
                <w:noProof/>
                <w:sz w:val="22"/>
                <w:szCs w:val="22"/>
                <w:lang w:val="en-AU"/>
              </w:rPr>
              <w:tab/>
            </w:r>
            <w:r w:rsidR="003750DF" w:rsidRPr="00CC0835">
              <w:rPr>
                <w:rStyle w:val="Hyperlink"/>
                <w:noProof/>
              </w:rPr>
              <w:t>Insurance against fines and penalties</w:t>
            </w:r>
            <w:r w:rsidR="003750DF">
              <w:rPr>
                <w:noProof/>
                <w:webHidden/>
              </w:rPr>
              <w:tab/>
            </w:r>
            <w:r w:rsidR="003750DF">
              <w:rPr>
                <w:noProof/>
                <w:webHidden/>
              </w:rPr>
              <w:fldChar w:fldCharType="begin"/>
            </w:r>
            <w:r w:rsidR="003750DF">
              <w:rPr>
                <w:noProof/>
                <w:webHidden/>
              </w:rPr>
              <w:instrText xml:space="preserve"> PAGEREF _Toc506794208 \h </w:instrText>
            </w:r>
            <w:r w:rsidR="003750DF">
              <w:rPr>
                <w:noProof/>
                <w:webHidden/>
              </w:rPr>
            </w:r>
            <w:r w:rsidR="003750DF">
              <w:rPr>
                <w:noProof/>
                <w:webHidden/>
              </w:rPr>
              <w:fldChar w:fldCharType="separate"/>
            </w:r>
            <w:r>
              <w:rPr>
                <w:noProof/>
                <w:webHidden/>
              </w:rPr>
              <w:t>40</w:t>
            </w:r>
            <w:r w:rsidR="003750DF">
              <w:rPr>
                <w:noProof/>
                <w:webHidden/>
              </w:rPr>
              <w:fldChar w:fldCharType="end"/>
            </w:r>
          </w:hyperlink>
        </w:p>
        <w:p w:rsidR="003750DF" w:rsidRDefault="00B3513F">
          <w:pPr>
            <w:pStyle w:val="TOC1"/>
            <w:tabs>
              <w:tab w:val="left" w:pos="400"/>
              <w:tab w:val="right" w:leader="dot" w:pos="9010"/>
            </w:tabs>
            <w:rPr>
              <w:rFonts w:asciiTheme="minorHAnsi" w:eastAsiaTheme="minorEastAsia" w:hAnsiTheme="minorHAnsi"/>
              <w:noProof/>
              <w:sz w:val="22"/>
              <w:szCs w:val="22"/>
              <w:lang w:val="en-AU"/>
            </w:rPr>
          </w:pPr>
          <w:hyperlink w:anchor="_Toc506794209" w:history="1">
            <w:r w:rsidR="003750DF" w:rsidRPr="00CC0835">
              <w:rPr>
                <w:rStyle w:val="Hyperlink"/>
                <w:noProof/>
              </w:rPr>
              <w:t>9</w:t>
            </w:r>
            <w:r w:rsidR="003750DF">
              <w:rPr>
                <w:rFonts w:asciiTheme="minorHAnsi" w:eastAsiaTheme="minorEastAsia" w:hAnsiTheme="minorHAnsi"/>
                <w:noProof/>
                <w:sz w:val="22"/>
                <w:szCs w:val="22"/>
                <w:lang w:val="en-AU"/>
              </w:rPr>
              <w:tab/>
            </w:r>
            <w:r w:rsidR="003750DF" w:rsidRPr="00CC0835">
              <w:rPr>
                <w:rStyle w:val="Hyperlink"/>
                <w:noProof/>
              </w:rPr>
              <w:t>Summary of questions</w:t>
            </w:r>
            <w:r w:rsidR="003750DF">
              <w:rPr>
                <w:noProof/>
                <w:webHidden/>
              </w:rPr>
              <w:tab/>
            </w:r>
            <w:r w:rsidR="003750DF">
              <w:rPr>
                <w:noProof/>
                <w:webHidden/>
              </w:rPr>
              <w:fldChar w:fldCharType="begin"/>
            </w:r>
            <w:r w:rsidR="003750DF">
              <w:rPr>
                <w:noProof/>
                <w:webHidden/>
              </w:rPr>
              <w:instrText xml:space="preserve"> PAGEREF _Toc506794209 \h </w:instrText>
            </w:r>
            <w:r w:rsidR="003750DF">
              <w:rPr>
                <w:noProof/>
                <w:webHidden/>
              </w:rPr>
            </w:r>
            <w:r w:rsidR="003750DF">
              <w:rPr>
                <w:noProof/>
                <w:webHidden/>
              </w:rPr>
              <w:fldChar w:fldCharType="separate"/>
            </w:r>
            <w:r>
              <w:rPr>
                <w:noProof/>
                <w:webHidden/>
              </w:rPr>
              <w:t>42</w:t>
            </w:r>
            <w:r w:rsidR="003750DF">
              <w:rPr>
                <w:noProof/>
                <w:webHidden/>
              </w:rPr>
              <w:fldChar w:fldCharType="end"/>
            </w:r>
          </w:hyperlink>
        </w:p>
        <w:p w:rsidR="003750DF" w:rsidRDefault="00B3513F">
          <w:pPr>
            <w:pStyle w:val="TOC1"/>
            <w:tabs>
              <w:tab w:val="left" w:pos="1320"/>
              <w:tab w:val="right" w:leader="dot" w:pos="9010"/>
            </w:tabs>
            <w:rPr>
              <w:rFonts w:asciiTheme="minorHAnsi" w:eastAsiaTheme="minorEastAsia" w:hAnsiTheme="minorHAnsi"/>
              <w:noProof/>
              <w:sz w:val="22"/>
              <w:szCs w:val="22"/>
              <w:lang w:val="en-AU"/>
            </w:rPr>
          </w:pPr>
          <w:hyperlink w:anchor="_Toc506794210" w:history="1">
            <w:r w:rsidR="003750DF" w:rsidRPr="00CC0835">
              <w:rPr>
                <w:rStyle w:val="Hyperlink"/>
                <w:noProof/>
              </w:rPr>
              <w:t>Appendix A</w:t>
            </w:r>
            <w:r w:rsidR="003750DF">
              <w:rPr>
                <w:rFonts w:asciiTheme="minorHAnsi" w:eastAsiaTheme="minorEastAsia" w:hAnsiTheme="minorHAnsi"/>
                <w:noProof/>
                <w:sz w:val="22"/>
                <w:szCs w:val="22"/>
                <w:lang w:val="en-AU"/>
              </w:rPr>
              <w:tab/>
            </w:r>
            <w:r w:rsidR="003750DF" w:rsidRPr="00CC0835">
              <w:rPr>
                <w:rStyle w:val="Hyperlink"/>
                <w:noProof/>
              </w:rPr>
              <w:t>Terms of reference</w:t>
            </w:r>
            <w:r w:rsidR="003750DF">
              <w:rPr>
                <w:noProof/>
                <w:webHidden/>
              </w:rPr>
              <w:tab/>
            </w:r>
            <w:r w:rsidR="003750DF">
              <w:rPr>
                <w:noProof/>
                <w:webHidden/>
              </w:rPr>
              <w:fldChar w:fldCharType="begin"/>
            </w:r>
            <w:r w:rsidR="003750DF">
              <w:rPr>
                <w:noProof/>
                <w:webHidden/>
              </w:rPr>
              <w:instrText xml:space="preserve"> PAGEREF _Toc506794210 \h </w:instrText>
            </w:r>
            <w:r w:rsidR="003750DF">
              <w:rPr>
                <w:noProof/>
                <w:webHidden/>
              </w:rPr>
            </w:r>
            <w:r w:rsidR="003750DF">
              <w:rPr>
                <w:noProof/>
                <w:webHidden/>
              </w:rPr>
              <w:fldChar w:fldCharType="separate"/>
            </w:r>
            <w:r>
              <w:rPr>
                <w:noProof/>
                <w:webHidden/>
              </w:rPr>
              <w:t>44</w:t>
            </w:r>
            <w:r w:rsidR="003750DF">
              <w:rPr>
                <w:noProof/>
                <w:webHidden/>
              </w:rPr>
              <w:fldChar w:fldCharType="end"/>
            </w:r>
          </w:hyperlink>
        </w:p>
        <w:p w:rsidR="003750DF" w:rsidRDefault="00B3513F">
          <w:pPr>
            <w:pStyle w:val="TOC2"/>
            <w:tabs>
              <w:tab w:val="right" w:leader="dot" w:pos="9010"/>
            </w:tabs>
            <w:rPr>
              <w:rFonts w:asciiTheme="minorHAnsi" w:eastAsiaTheme="minorEastAsia" w:hAnsiTheme="minorHAnsi"/>
              <w:noProof/>
              <w:sz w:val="22"/>
              <w:szCs w:val="22"/>
              <w:lang w:val="en-AU"/>
            </w:rPr>
          </w:pPr>
          <w:hyperlink w:anchor="_Toc506794211" w:history="1">
            <w:r w:rsidR="003750DF" w:rsidRPr="00CC0835">
              <w:rPr>
                <w:rStyle w:val="Hyperlink"/>
                <w:noProof/>
                <w:lang w:val="en-AU"/>
              </w:rPr>
              <w:t>Background</w:t>
            </w:r>
            <w:r w:rsidR="003750DF">
              <w:rPr>
                <w:noProof/>
                <w:webHidden/>
              </w:rPr>
              <w:tab/>
            </w:r>
            <w:r w:rsidR="003750DF">
              <w:rPr>
                <w:noProof/>
                <w:webHidden/>
              </w:rPr>
              <w:fldChar w:fldCharType="begin"/>
            </w:r>
            <w:r w:rsidR="003750DF">
              <w:rPr>
                <w:noProof/>
                <w:webHidden/>
              </w:rPr>
              <w:instrText xml:space="preserve"> PAGEREF _Toc506794211 \h </w:instrText>
            </w:r>
            <w:r w:rsidR="003750DF">
              <w:rPr>
                <w:noProof/>
                <w:webHidden/>
              </w:rPr>
            </w:r>
            <w:r w:rsidR="003750DF">
              <w:rPr>
                <w:noProof/>
                <w:webHidden/>
              </w:rPr>
              <w:fldChar w:fldCharType="separate"/>
            </w:r>
            <w:r>
              <w:rPr>
                <w:noProof/>
                <w:webHidden/>
              </w:rPr>
              <w:t>44</w:t>
            </w:r>
            <w:r w:rsidR="003750DF">
              <w:rPr>
                <w:noProof/>
                <w:webHidden/>
              </w:rPr>
              <w:fldChar w:fldCharType="end"/>
            </w:r>
          </w:hyperlink>
        </w:p>
        <w:p w:rsidR="003750DF" w:rsidRDefault="00B3513F">
          <w:pPr>
            <w:pStyle w:val="TOC2"/>
            <w:tabs>
              <w:tab w:val="right" w:leader="dot" w:pos="9010"/>
            </w:tabs>
            <w:rPr>
              <w:rFonts w:asciiTheme="minorHAnsi" w:eastAsiaTheme="minorEastAsia" w:hAnsiTheme="minorHAnsi"/>
              <w:noProof/>
              <w:sz w:val="22"/>
              <w:szCs w:val="22"/>
              <w:lang w:val="en-AU"/>
            </w:rPr>
          </w:pPr>
          <w:hyperlink w:anchor="_Toc506794212" w:history="1">
            <w:r w:rsidR="003750DF" w:rsidRPr="00CC0835">
              <w:rPr>
                <w:rStyle w:val="Hyperlink"/>
                <w:noProof/>
                <w:lang w:val="en-AU"/>
              </w:rPr>
              <w:t>Scope of the review</w:t>
            </w:r>
            <w:r w:rsidR="003750DF">
              <w:rPr>
                <w:noProof/>
                <w:webHidden/>
              </w:rPr>
              <w:tab/>
            </w:r>
            <w:r w:rsidR="003750DF">
              <w:rPr>
                <w:noProof/>
                <w:webHidden/>
              </w:rPr>
              <w:fldChar w:fldCharType="begin"/>
            </w:r>
            <w:r w:rsidR="003750DF">
              <w:rPr>
                <w:noProof/>
                <w:webHidden/>
              </w:rPr>
              <w:instrText xml:space="preserve"> PAGEREF _Toc506794212 \h </w:instrText>
            </w:r>
            <w:r w:rsidR="003750DF">
              <w:rPr>
                <w:noProof/>
                <w:webHidden/>
              </w:rPr>
            </w:r>
            <w:r w:rsidR="003750DF">
              <w:rPr>
                <w:noProof/>
                <w:webHidden/>
              </w:rPr>
              <w:fldChar w:fldCharType="separate"/>
            </w:r>
            <w:r>
              <w:rPr>
                <w:noProof/>
                <w:webHidden/>
              </w:rPr>
              <w:t>44</w:t>
            </w:r>
            <w:r w:rsidR="003750DF">
              <w:rPr>
                <w:noProof/>
                <w:webHidden/>
              </w:rPr>
              <w:fldChar w:fldCharType="end"/>
            </w:r>
          </w:hyperlink>
        </w:p>
        <w:p w:rsidR="003750DF" w:rsidRDefault="00B3513F">
          <w:pPr>
            <w:pStyle w:val="TOC1"/>
            <w:tabs>
              <w:tab w:val="left" w:pos="1320"/>
              <w:tab w:val="right" w:leader="dot" w:pos="9010"/>
            </w:tabs>
            <w:rPr>
              <w:rFonts w:asciiTheme="minorHAnsi" w:eastAsiaTheme="minorEastAsia" w:hAnsiTheme="minorHAnsi"/>
              <w:noProof/>
              <w:sz w:val="22"/>
              <w:szCs w:val="22"/>
              <w:lang w:val="en-AU"/>
            </w:rPr>
          </w:pPr>
          <w:hyperlink w:anchor="_Toc506794213" w:history="1">
            <w:r w:rsidR="003750DF" w:rsidRPr="00CC0835">
              <w:rPr>
                <w:rStyle w:val="Hyperlink"/>
                <w:noProof/>
              </w:rPr>
              <w:t>Appendix B</w:t>
            </w:r>
            <w:r w:rsidR="003750DF">
              <w:rPr>
                <w:rFonts w:asciiTheme="minorHAnsi" w:eastAsiaTheme="minorEastAsia" w:hAnsiTheme="minorHAnsi"/>
                <w:noProof/>
                <w:sz w:val="22"/>
                <w:szCs w:val="22"/>
                <w:lang w:val="en-AU"/>
              </w:rPr>
              <w:tab/>
            </w:r>
            <w:r w:rsidR="003750DF" w:rsidRPr="00CC0835">
              <w:rPr>
                <w:rStyle w:val="Hyperlink"/>
                <w:noProof/>
              </w:rPr>
              <w:t>Section 3 Object of the model Work Health and Safety Act</w:t>
            </w:r>
            <w:r w:rsidR="003750DF">
              <w:rPr>
                <w:noProof/>
                <w:webHidden/>
              </w:rPr>
              <w:tab/>
            </w:r>
            <w:r w:rsidR="003750DF">
              <w:rPr>
                <w:noProof/>
                <w:webHidden/>
              </w:rPr>
              <w:fldChar w:fldCharType="begin"/>
            </w:r>
            <w:r w:rsidR="003750DF">
              <w:rPr>
                <w:noProof/>
                <w:webHidden/>
              </w:rPr>
              <w:instrText xml:space="preserve"> PAGEREF _Toc506794213 \h </w:instrText>
            </w:r>
            <w:r w:rsidR="003750DF">
              <w:rPr>
                <w:noProof/>
                <w:webHidden/>
              </w:rPr>
            </w:r>
            <w:r w:rsidR="003750DF">
              <w:rPr>
                <w:noProof/>
                <w:webHidden/>
              </w:rPr>
              <w:fldChar w:fldCharType="separate"/>
            </w:r>
            <w:r>
              <w:rPr>
                <w:noProof/>
                <w:webHidden/>
              </w:rPr>
              <w:t>45</w:t>
            </w:r>
            <w:r w:rsidR="003750DF">
              <w:rPr>
                <w:noProof/>
                <w:webHidden/>
              </w:rPr>
              <w:fldChar w:fldCharType="end"/>
            </w:r>
          </w:hyperlink>
        </w:p>
        <w:p w:rsidR="003750DF" w:rsidRDefault="00B3513F">
          <w:pPr>
            <w:pStyle w:val="TOC1"/>
            <w:tabs>
              <w:tab w:val="left" w:pos="1320"/>
              <w:tab w:val="right" w:leader="dot" w:pos="9010"/>
            </w:tabs>
            <w:rPr>
              <w:rFonts w:asciiTheme="minorHAnsi" w:eastAsiaTheme="minorEastAsia" w:hAnsiTheme="minorHAnsi"/>
              <w:noProof/>
              <w:sz w:val="22"/>
              <w:szCs w:val="22"/>
              <w:lang w:val="en-AU"/>
            </w:rPr>
          </w:pPr>
          <w:hyperlink w:anchor="_Toc506794214" w:history="1">
            <w:r w:rsidR="003750DF" w:rsidRPr="00CC0835">
              <w:rPr>
                <w:rStyle w:val="Hyperlink"/>
                <w:noProof/>
              </w:rPr>
              <w:t>Appendix C</w:t>
            </w:r>
            <w:r w:rsidR="003750DF">
              <w:rPr>
                <w:rFonts w:asciiTheme="minorHAnsi" w:eastAsiaTheme="minorEastAsia" w:hAnsiTheme="minorHAnsi"/>
                <w:noProof/>
                <w:sz w:val="22"/>
                <w:szCs w:val="22"/>
                <w:lang w:val="en-AU"/>
              </w:rPr>
              <w:tab/>
            </w:r>
            <w:r w:rsidR="003750DF" w:rsidRPr="00CC0835">
              <w:rPr>
                <w:rStyle w:val="Hyperlink"/>
                <w:noProof/>
              </w:rPr>
              <w:t>Key terms</w:t>
            </w:r>
            <w:r w:rsidR="003750DF">
              <w:rPr>
                <w:noProof/>
                <w:webHidden/>
              </w:rPr>
              <w:tab/>
            </w:r>
            <w:r w:rsidR="003750DF">
              <w:rPr>
                <w:noProof/>
                <w:webHidden/>
              </w:rPr>
              <w:fldChar w:fldCharType="begin"/>
            </w:r>
            <w:r w:rsidR="003750DF">
              <w:rPr>
                <w:noProof/>
                <w:webHidden/>
              </w:rPr>
              <w:instrText xml:space="preserve"> PAGEREF _Toc506794214 \h </w:instrText>
            </w:r>
            <w:r w:rsidR="003750DF">
              <w:rPr>
                <w:noProof/>
                <w:webHidden/>
              </w:rPr>
            </w:r>
            <w:r w:rsidR="003750DF">
              <w:rPr>
                <w:noProof/>
                <w:webHidden/>
              </w:rPr>
              <w:fldChar w:fldCharType="separate"/>
            </w:r>
            <w:r>
              <w:rPr>
                <w:noProof/>
                <w:webHidden/>
              </w:rPr>
              <w:t>46</w:t>
            </w:r>
            <w:r w:rsidR="003750DF">
              <w:rPr>
                <w:noProof/>
                <w:webHidden/>
              </w:rPr>
              <w:fldChar w:fldCharType="end"/>
            </w:r>
          </w:hyperlink>
        </w:p>
        <w:p w:rsidR="00AA3080" w:rsidRPr="00AA3080" w:rsidRDefault="00AA3080" w:rsidP="00866B4B">
          <w:pPr>
            <w:pStyle w:val="TOC1"/>
            <w:tabs>
              <w:tab w:val="left" w:pos="1320"/>
              <w:tab w:val="right" w:leader="dot" w:pos="9010"/>
            </w:tabs>
            <w:rPr>
              <w:rFonts w:eastAsia="Times New Roman" w:cs="Times New Roman"/>
              <w:noProof/>
              <w:lang w:val="en-AU"/>
            </w:rPr>
          </w:pPr>
          <w:r w:rsidRPr="00AA3080">
            <w:rPr>
              <w:rFonts w:eastAsia="Times New Roman" w:cs="Times New Roman"/>
              <w:bCs/>
              <w:noProof/>
              <w:lang w:val="en-AU"/>
            </w:rPr>
            <w:fldChar w:fldCharType="end"/>
          </w:r>
        </w:p>
      </w:sdtContent>
    </w:sdt>
    <w:p w:rsidR="00AA3080" w:rsidRDefault="00AA3080">
      <w:pPr>
        <w:spacing w:after="200" w:line="276" w:lineRule="auto"/>
        <w:rPr>
          <w:b/>
          <w:sz w:val="28"/>
          <w:szCs w:val="22"/>
        </w:rPr>
      </w:pPr>
      <w:r>
        <w:rPr>
          <w:b/>
          <w:sz w:val="28"/>
          <w:szCs w:val="22"/>
        </w:rPr>
        <w:br w:type="page"/>
      </w:r>
    </w:p>
    <w:p w:rsidR="00242D67" w:rsidRPr="00E604F9" w:rsidRDefault="00242D67" w:rsidP="005109D9">
      <w:pPr>
        <w:pStyle w:val="Title"/>
      </w:pPr>
      <w:bookmarkStart w:id="1" w:name="_Toc506794162"/>
      <w:r w:rsidRPr="00E604F9">
        <w:lastRenderedPageBreak/>
        <w:t>For</w:t>
      </w:r>
      <w:r>
        <w:t>e</w:t>
      </w:r>
      <w:r w:rsidRPr="00E604F9">
        <w:t>w</w:t>
      </w:r>
      <w:r>
        <w:t>o</w:t>
      </w:r>
      <w:r w:rsidRPr="00E604F9">
        <w:t>rd</w:t>
      </w:r>
      <w:bookmarkEnd w:id="1"/>
    </w:p>
    <w:p w:rsidR="00242D67" w:rsidRPr="00BD1468" w:rsidRDefault="00242D67" w:rsidP="005C6931">
      <w:r w:rsidRPr="00BD1468">
        <w:t xml:space="preserve">Everyone has the right to a safe and healthy workplace. The </w:t>
      </w:r>
      <w:r w:rsidR="00DF7A1B">
        <w:t xml:space="preserve">intention of the </w:t>
      </w:r>
      <w:r w:rsidRPr="00BD1468">
        <w:t>model work health and safety (WHS) laws</w:t>
      </w:r>
      <w:r w:rsidR="00DF7A1B">
        <w:t xml:space="preserve"> is to</w:t>
      </w:r>
      <w:r w:rsidRPr="00BD1468">
        <w:t xml:space="preserve"> support that right by </w:t>
      </w:r>
      <w:r w:rsidR="008107BF">
        <w:t>providing</w:t>
      </w:r>
      <w:r w:rsidRPr="00BD1468">
        <w:t xml:space="preserve"> workers in Australia with </w:t>
      </w:r>
      <w:r w:rsidR="00E868D1">
        <w:t xml:space="preserve">a consistent </w:t>
      </w:r>
      <w:r w:rsidRPr="00BD1468">
        <w:t xml:space="preserve">standard of health and safety protection wherever they work and whatever work they do. The model WHS laws are founded on the principle that workers and others </w:t>
      </w:r>
      <w:r>
        <w:t>should be</w:t>
      </w:r>
      <w:r w:rsidRPr="00BD1468">
        <w:t xml:space="preserve"> given the highest level of protection th</w:t>
      </w:r>
      <w:r w:rsidR="00AF34AA">
        <w:t>r</w:t>
      </w:r>
      <w:r w:rsidRPr="00BD1468">
        <w:t xml:space="preserve">ough the elimination or minimisation of risks arising from work, so far as is reasonably practicable. </w:t>
      </w:r>
      <w:r w:rsidR="000055AB">
        <w:t>A</w:t>
      </w:r>
      <w:r w:rsidRPr="00BD1468">
        <w:t xml:space="preserve">nyone who can influence </w:t>
      </w:r>
      <w:r w:rsidR="00873EEA">
        <w:t>health and safety</w:t>
      </w:r>
      <w:r w:rsidRPr="00BD1468">
        <w:t xml:space="preserve"> should use that influence</w:t>
      </w:r>
      <w:r w:rsidR="002F0B89">
        <w:t xml:space="preserve"> to achieve </w:t>
      </w:r>
      <w:r w:rsidR="00930319">
        <w:t xml:space="preserve">the best possible </w:t>
      </w:r>
      <w:r w:rsidR="002F0B89">
        <w:t>WHS outcomes</w:t>
      </w:r>
      <w:r w:rsidR="00E14AC3">
        <w:t xml:space="preserve"> for workers and those affected by work</w:t>
      </w:r>
      <w:r w:rsidRPr="00BD1468">
        <w:t>.</w:t>
      </w:r>
    </w:p>
    <w:p w:rsidR="00242D67" w:rsidRDefault="00242D67" w:rsidP="005C6931">
      <w:r>
        <w:t xml:space="preserve">The model WHS laws provide the framework for a </w:t>
      </w:r>
      <w:r w:rsidR="00E868D1">
        <w:t xml:space="preserve">harmonised </w:t>
      </w:r>
      <w:r>
        <w:t xml:space="preserve">approach to the regulation of WHS in each Australian jurisdiction. Developed in 2009-10 following a comprehensive and independent national review, the model WHS laws have been implemented by the </w:t>
      </w:r>
      <w:r w:rsidRPr="00BD1468">
        <w:rPr>
          <w:lang w:val="en-AU"/>
        </w:rPr>
        <w:t xml:space="preserve">Commonwealth, </w:t>
      </w:r>
      <w:r w:rsidR="00873EEA">
        <w:rPr>
          <w:lang w:val="en-AU"/>
        </w:rPr>
        <w:t xml:space="preserve">the </w:t>
      </w:r>
      <w:r w:rsidRPr="00BD1468">
        <w:rPr>
          <w:lang w:val="en-AU"/>
        </w:rPr>
        <w:t>Australian Capi</w:t>
      </w:r>
      <w:r>
        <w:rPr>
          <w:lang w:val="en-AU"/>
        </w:rPr>
        <w:t xml:space="preserve">tal Territory, New South Wales, </w:t>
      </w:r>
      <w:r w:rsidR="00873EEA">
        <w:rPr>
          <w:lang w:val="en-AU"/>
        </w:rPr>
        <w:t xml:space="preserve">the </w:t>
      </w:r>
      <w:r w:rsidRPr="00BD1468">
        <w:rPr>
          <w:lang w:val="en-AU"/>
        </w:rPr>
        <w:t>Northern Territory</w:t>
      </w:r>
      <w:r w:rsidR="00DF7A1B">
        <w:rPr>
          <w:lang w:val="en-AU"/>
        </w:rPr>
        <w:t>, and</w:t>
      </w:r>
      <w:r w:rsidRPr="00BD1468">
        <w:rPr>
          <w:lang w:val="en-AU"/>
        </w:rPr>
        <w:t xml:space="preserve"> Queensland</w:t>
      </w:r>
      <w:r>
        <w:rPr>
          <w:lang w:val="en-AU"/>
        </w:rPr>
        <w:t xml:space="preserve"> (on</w:t>
      </w:r>
      <w:r w:rsidR="0077435D">
        <w:rPr>
          <w:lang w:val="en-AU"/>
        </w:rPr>
        <w:t> </w:t>
      </w:r>
      <w:r w:rsidRPr="00BD1468">
        <w:rPr>
          <w:lang w:val="en-AU"/>
        </w:rPr>
        <w:t>1</w:t>
      </w:r>
      <w:r w:rsidR="0077435D">
        <w:rPr>
          <w:lang w:val="en-AU"/>
        </w:rPr>
        <w:t> </w:t>
      </w:r>
      <w:r w:rsidRPr="00BD1468">
        <w:rPr>
          <w:lang w:val="en-AU"/>
        </w:rPr>
        <w:t>January</w:t>
      </w:r>
      <w:r w:rsidR="0077435D">
        <w:rPr>
          <w:lang w:val="en-AU"/>
        </w:rPr>
        <w:t> </w:t>
      </w:r>
      <w:r w:rsidRPr="00BD1468">
        <w:rPr>
          <w:lang w:val="en-AU"/>
        </w:rPr>
        <w:t>2012</w:t>
      </w:r>
      <w:r>
        <w:rPr>
          <w:lang w:val="en-AU"/>
        </w:rPr>
        <w:t>) and</w:t>
      </w:r>
      <w:r w:rsidRPr="00BD1468">
        <w:rPr>
          <w:lang w:val="en-AU"/>
        </w:rPr>
        <w:t xml:space="preserve"> South Australia and Tasmania</w:t>
      </w:r>
      <w:r>
        <w:rPr>
          <w:lang w:val="en-AU"/>
        </w:rPr>
        <w:t xml:space="preserve"> (on </w:t>
      </w:r>
      <w:r w:rsidRPr="00BD1468">
        <w:rPr>
          <w:lang w:val="en-AU"/>
        </w:rPr>
        <w:t>1 January 201</w:t>
      </w:r>
      <w:r>
        <w:rPr>
          <w:lang w:val="en-AU"/>
        </w:rPr>
        <w:t>3). Victoria and Western Australia are yet to implement the model.</w:t>
      </w:r>
    </w:p>
    <w:p w:rsidR="00242D67" w:rsidRDefault="0080226E" w:rsidP="005C6931">
      <w:r>
        <w:t>Ministers with responsibility</w:t>
      </w:r>
      <w:r w:rsidR="003B50CA">
        <w:t xml:space="preserve"> </w:t>
      </w:r>
      <w:r>
        <w:t xml:space="preserve">for </w:t>
      </w:r>
      <w:r w:rsidR="00242D67">
        <w:t xml:space="preserve">WHS </w:t>
      </w:r>
      <w:r>
        <w:t xml:space="preserve">matters (WHS </w:t>
      </w:r>
      <w:r w:rsidR="00242D67">
        <w:t>ministers</w:t>
      </w:r>
      <w:r>
        <w:t>)</w:t>
      </w:r>
      <w:r w:rsidR="00242D67">
        <w:t xml:space="preserve"> have asked that </w:t>
      </w:r>
      <w:r w:rsidR="0015689E">
        <w:t xml:space="preserve">the </w:t>
      </w:r>
      <w:r w:rsidR="00242D67">
        <w:t>content and operation of the model WHS laws be reviewed every five years: this review (the Review) is the first. I</w:t>
      </w:r>
      <w:r w:rsidR="0077435D">
        <w:t> </w:t>
      </w:r>
      <w:r w:rsidR="0015689E">
        <w:t>feel</w:t>
      </w:r>
      <w:r w:rsidR="00242D67">
        <w:t xml:space="preserve"> privileged to have been appointed by Safe Work Australia as an independent reviewer and I look forward to conducting an open</w:t>
      </w:r>
      <w:r w:rsidR="0015689E">
        <w:t>, inclusive</w:t>
      </w:r>
      <w:r w:rsidR="00242D67">
        <w:t xml:space="preserve"> and transparent process that considers the laws holistically – looking at the model WHS Act, model WHS Regulations, model Codes of Practice </w:t>
      </w:r>
      <w:r w:rsidR="00D61B0E">
        <w:t>(</w:t>
      </w:r>
      <w:r w:rsidR="0077435D">
        <w:t xml:space="preserve">model </w:t>
      </w:r>
      <w:r w:rsidR="00D61B0E">
        <w:t xml:space="preserve">Codes) </w:t>
      </w:r>
      <w:r w:rsidR="00242D67">
        <w:t xml:space="preserve">and the </w:t>
      </w:r>
      <w:r w:rsidR="00242D67" w:rsidRPr="003862FA">
        <w:rPr>
          <w:i/>
        </w:rPr>
        <w:t xml:space="preserve">National compliance and enforcement policy </w:t>
      </w:r>
      <w:r w:rsidR="00834BC0" w:rsidRPr="00834BC0">
        <w:t>(NCEP)</w:t>
      </w:r>
      <w:r w:rsidR="00834BC0">
        <w:rPr>
          <w:i/>
        </w:rPr>
        <w:t xml:space="preserve"> </w:t>
      </w:r>
      <w:r w:rsidR="00242D67">
        <w:t xml:space="preserve">as a </w:t>
      </w:r>
      <w:r w:rsidR="0015689E">
        <w:t>package rather than individually</w:t>
      </w:r>
      <w:r w:rsidR="00242D67">
        <w:t xml:space="preserve">. </w:t>
      </w:r>
    </w:p>
    <w:p w:rsidR="00242D67" w:rsidRDefault="00242D67" w:rsidP="005109D9">
      <w:pPr>
        <w:pStyle w:val="2018ReviewBullets"/>
        <w:numPr>
          <w:ilvl w:val="0"/>
          <w:numId w:val="0"/>
        </w:numPr>
      </w:pPr>
      <w:r>
        <w:t xml:space="preserve">Throughout the Review I will </w:t>
      </w:r>
      <w:r w:rsidR="0015689E">
        <w:t xml:space="preserve">be </w:t>
      </w:r>
      <w:r>
        <w:t>focus</w:t>
      </w:r>
      <w:r w:rsidR="0015689E">
        <w:t>ing</w:t>
      </w:r>
      <w:r>
        <w:t xml:space="preserve"> on </w:t>
      </w:r>
      <w:r w:rsidRPr="00BD1468">
        <w:t>6 key questions</w:t>
      </w:r>
      <w:r>
        <w:t>:</w:t>
      </w:r>
    </w:p>
    <w:p w:rsidR="00242D67" w:rsidRPr="004C78AF" w:rsidRDefault="00242D67" w:rsidP="00036D43">
      <w:pPr>
        <w:pStyle w:val="ListParagraph"/>
        <w:rPr>
          <w:lang w:val="en-AU"/>
        </w:rPr>
      </w:pPr>
      <w:r w:rsidRPr="004C78AF">
        <w:t>What works?</w:t>
      </w:r>
    </w:p>
    <w:p w:rsidR="00242D67" w:rsidRPr="004C78AF" w:rsidRDefault="00242D67" w:rsidP="00036D43">
      <w:pPr>
        <w:pStyle w:val="ListParagraph"/>
        <w:rPr>
          <w:lang w:val="en-AU"/>
        </w:rPr>
      </w:pPr>
      <w:r w:rsidRPr="004C78AF">
        <w:t>Why does it work?</w:t>
      </w:r>
    </w:p>
    <w:p w:rsidR="00242D67" w:rsidRPr="004C78AF" w:rsidRDefault="00242D67" w:rsidP="00036D43">
      <w:pPr>
        <w:pStyle w:val="ListParagraph"/>
        <w:rPr>
          <w:lang w:val="en-AU"/>
        </w:rPr>
      </w:pPr>
      <w:r w:rsidRPr="004C78AF">
        <w:t>Will it continue to work</w:t>
      </w:r>
      <w:r w:rsidRPr="003046C8">
        <w:t xml:space="preserve"> </w:t>
      </w:r>
      <w:r>
        <w:t xml:space="preserve">as </w:t>
      </w:r>
      <w:r w:rsidR="0015689E">
        <w:t>work practices and environments evolve</w:t>
      </w:r>
      <w:r w:rsidRPr="004C78AF">
        <w:t>?</w:t>
      </w:r>
    </w:p>
    <w:p w:rsidR="00242D67" w:rsidRPr="004C78AF" w:rsidRDefault="00242D67" w:rsidP="00036D43">
      <w:pPr>
        <w:pStyle w:val="ListParagraph"/>
        <w:rPr>
          <w:lang w:val="en-AU"/>
        </w:rPr>
      </w:pPr>
      <w:r w:rsidRPr="004C78AF">
        <w:t>What doesn’t work?</w:t>
      </w:r>
    </w:p>
    <w:p w:rsidR="004131F7" w:rsidRDefault="00242D67" w:rsidP="005109D9">
      <w:pPr>
        <w:pStyle w:val="ListParagraph"/>
      </w:pPr>
      <w:r w:rsidRPr="004C78AF">
        <w:t>Why doesn’t it work?</w:t>
      </w:r>
      <w:r>
        <w:t xml:space="preserve"> and</w:t>
      </w:r>
    </w:p>
    <w:p w:rsidR="00242D67" w:rsidRDefault="00242D67" w:rsidP="005109D9">
      <w:pPr>
        <w:pStyle w:val="ListParagraph"/>
      </w:pPr>
      <w:r w:rsidRPr="004C78AF">
        <w:t>What could we do to make it work?</w:t>
      </w:r>
    </w:p>
    <w:p w:rsidR="005618C8" w:rsidRDefault="0015689E" w:rsidP="005C6931">
      <w:r>
        <w:t xml:space="preserve">I will be </w:t>
      </w:r>
      <w:r w:rsidRPr="006130BA">
        <w:t>gathering evidence</w:t>
      </w:r>
      <w:r>
        <w:t xml:space="preserve"> to support the answers to these questions and I will consider the views of all participants in the Review. I will examine </w:t>
      </w:r>
      <w:r w:rsidRPr="00206531">
        <w:rPr>
          <w:lang w:val="en-AU"/>
        </w:rPr>
        <w:t>research</w:t>
      </w:r>
      <w:r>
        <w:rPr>
          <w:lang w:val="en-AU"/>
        </w:rPr>
        <w:t xml:space="preserve"> </w:t>
      </w:r>
      <w:r w:rsidR="005618C8">
        <w:rPr>
          <w:lang w:val="en-AU"/>
        </w:rPr>
        <w:t>findings on</w:t>
      </w:r>
      <w:r w:rsidRPr="00206531">
        <w:rPr>
          <w:lang w:val="en-AU"/>
        </w:rPr>
        <w:t xml:space="preserve"> the operation of the model WHS laws</w:t>
      </w:r>
      <w:r>
        <w:rPr>
          <w:lang w:val="en-AU"/>
        </w:rPr>
        <w:t xml:space="preserve">, </w:t>
      </w:r>
      <w:r w:rsidR="005618C8">
        <w:rPr>
          <w:lang w:val="en-AU"/>
        </w:rPr>
        <w:t>analyse</w:t>
      </w:r>
      <w:r>
        <w:rPr>
          <w:lang w:val="en-AU"/>
        </w:rPr>
        <w:t xml:space="preserve"> </w:t>
      </w:r>
      <w:r w:rsidRPr="00206531">
        <w:rPr>
          <w:lang w:val="en-AU"/>
        </w:rPr>
        <w:t>relevant case law</w:t>
      </w:r>
      <w:r w:rsidRPr="00AE21E4">
        <w:rPr>
          <w:lang w:val="en-AU"/>
        </w:rPr>
        <w:t xml:space="preserve"> </w:t>
      </w:r>
      <w:r w:rsidR="005618C8">
        <w:rPr>
          <w:lang w:val="en-AU"/>
        </w:rPr>
        <w:t>and review</w:t>
      </w:r>
      <w:r>
        <w:rPr>
          <w:lang w:val="en-AU"/>
        </w:rPr>
        <w:t xml:space="preserve"> </w:t>
      </w:r>
      <w:r w:rsidR="000055AB">
        <w:rPr>
          <w:lang w:val="en-AU"/>
        </w:rPr>
        <w:t>c</w:t>
      </w:r>
      <w:r w:rsidRPr="00206531">
        <w:rPr>
          <w:lang w:val="en-AU"/>
        </w:rPr>
        <w:t xml:space="preserve">oroners’ reports and recommendations </w:t>
      </w:r>
      <w:r w:rsidR="00C13448">
        <w:rPr>
          <w:lang w:val="en-AU"/>
        </w:rPr>
        <w:t>that</w:t>
      </w:r>
      <w:r w:rsidR="00C13448" w:rsidRPr="00206531">
        <w:rPr>
          <w:lang w:val="en-AU"/>
        </w:rPr>
        <w:t xml:space="preserve"> </w:t>
      </w:r>
      <w:r w:rsidRPr="00206531">
        <w:rPr>
          <w:lang w:val="en-AU"/>
        </w:rPr>
        <w:t>reference the model WHS laws</w:t>
      </w:r>
      <w:r>
        <w:rPr>
          <w:lang w:val="en-AU"/>
        </w:rPr>
        <w:t xml:space="preserve">. I will draw on the experience of </w:t>
      </w:r>
      <w:r w:rsidRPr="00206531">
        <w:rPr>
          <w:lang w:val="en-AU"/>
        </w:rPr>
        <w:t xml:space="preserve">WHS </w:t>
      </w:r>
      <w:r>
        <w:rPr>
          <w:lang w:val="en-AU"/>
        </w:rPr>
        <w:t xml:space="preserve">and </w:t>
      </w:r>
      <w:r w:rsidRPr="00206531">
        <w:rPr>
          <w:lang w:val="en-AU"/>
        </w:rPr>
        <w:t xml:space="preserve">legal practitioners, </w:t>
      </w:r>
      <w:r w:rsidR="000055AB">
        <w:rPr>
          <w:lang w:val="en-AU"/>
        </w:rPr>
        <w:t>i</w:t>
      </w:r>
      <w:r w:rsidRPr="00206531">
        <w:rPr>
          <w:lang w:val="en-AU"/>
        </w:rPr>
        <w:t xml:space="preserve">ndustrial </w:t>
      </w:r>
      <w:r w:rsidR="000055AB">
        <w:rPr>
          <w:lang w:val="en-AU"/>
        </w:rPr>
        <w:t>m</w:t>
      </w:r>
      <w:r w:rsidRPr="00206531">
        <w:rPr>
          <w:lang w:val="en-AU"/>
        </w:rPr>
        <w:t>agistrates, judicial officers and academics</w:t>
      </w:r>
      <w:r>
        <w:rPr>
          <w:lang w:val="en-AU"/>
        </w:rPr>
        <w:t>. I also want to hear from business owners and</w:t>
      </w:r>
      <w:r w:rsidR="005618C8">
        <w:rPr>
          <w:lang w:val="en-AU"/>
        </w:rPr>
        <w:t xml:space="preserve"> their representatives, workers, Health and Safety Representatives</w:t>
      </w:r>
      <w:r w:rsidR="00017B76">
        <w:rPr>
          <w:lang w:val="en-AU"/>
        </w:rPr>
        <w:t xml:space="preserve"> (HSRs)</w:t>
      </w:r>
      <w:r w:rsidR="005618C8">
        <w:rPr>
          <w:lang w:val="en-AU"/>
        </w:rPr>
        <w:t xml:space="preserve">, </w:t>
      </w:r>
      <w:r>
        <w:rPr>
          <w:lang w:val="en-AU"/>
        </w:rPr>
        <w:t>unions</w:t>
      </w:r>
      <w:r w:rsidR="005618C8">
        <w:rPr>
          <w:lang w:val="en-AU"/>
        </w:rPr>
        <w:t>, families of those who have died</w:t>
      </w:r>
      <w:r w:rsidR="00667FE8">
        <w:rPr>
          <w:lang w:val="en-AU"/>
        </w:rPr>
        <w:t xml:space="preserve"> and been injured</w:t>
      </w:r>
      <w:r w:rsidR="005618C8">
        <w:rPr>
          <w:lang w:val="en-AU"/>
        </w:rPr>
        <w:t xml:space="preserve"> at the workplace</w:t>
      </w:r>
      <w:r>
        <w:rPr>
          <w:lang w:val="en-AU"/>
        </w:rPr>
        <w:t xml:space="preserve"> and WHS regulators. I will be </w:t>
      </w:r>
      <w:r w:rsidR="005618C8">
        <w:rPr>
          <w:lang w:val="en-AU"/>
        </w:rPr>
        <w:t>asking</w:t>
      </w:r>
      <w:r>
        <w:rPr>
          <w:lang w:val="en-AU"/>
        </w:rPr>
        <w:t xml:space="preserve"> people to provide evidence to support their opinions – examples, case studies and any available data. </w:t>
      </w:r>
      <w:r w:rsidR="005618C8">
        <w:rPr>
          <w:lang w:val="en-AU"/>
        </w:rPr>
        <w:t>This</w:t>
      </w:r>
      <w:r>
        <w:rPr>
          <w:lang w:val="en-AU"/>
        </w:rPr>
        <w:t xml:space="preserve"> will not only assist me to determine what is working and what isn’t; it will also help me craft stronger </w:t>
      </w:r>
      <w:r w:rsidR="005618C8">
        <w:rPr>
          <w:lang w:val="en-AU"/>
        </w:rPr>
        <w:t xml:space="preserve">recommendations for </w:t>
      </w:r>
      <w:r>
        <w:rPr>
          <w:lang w:val="en-AU"/>
        </w:rPr>
        <w:t>change</w:t>
      </w:r>
      <w:r w:rsidR="005618C8">
        <w:rPr>
          <w:lang w:val="en-AU"/>
        </w:rPr>
        <w:t xml:space="preserve"> where it might be</w:t>
      </w:r>
      <w:r>
        <w:rPr>
          <w:lang w:val="en-AU"/>
        </w:rPr>
        <w:t xml:space="preserve"> needed.</w:t>
      </w:r>
      <w:r w:rsidR="0084095F">
        <w:rPr>
          <w:lang w:val="en-AU"/>
        </w:rPr>
        <w:t xml:space="preserve"> </w:t>
      </w:r>
    </w:p>
    <w:p w:rsidR="00242D67" w:rsidRDefault="00242D67" w:rsidP="005C6931">
      <w:r>
        <w:t xml:space="preserve">This </w:t>
      </w:r>
      <w:r w:rsidR="00C6416B">
        <w:t>discussion paper</w:t>
      </w:r>
      <w:r>
        <w:t xml:space="preserve"> marks the first stage in the Review process. Following the Terms of Reference</w:t>
      </w:r>
      <w:r w:rsidR="0080226E">
        <w:t xml:space="preserve"> (provided at Appendix A)</w:t>
      </w:r>
      <w:r>
        <w:t xml:space="preserve">, it focuses on </w:t>
      </w:r>
      <w:r w:rsidRPr="00F634C9">
        <w:t>key provisions in the model WHS laws which were new to one or more jurisdiction</w:t>
      </w:r>
      <w:r>
        <w:t xml:space="preserve"> and poses questions that you may wish to answer in a written submission. </w:t>
      </w:r>
      <w:r w:rsidR="005B5148">
        <w:t xml:space="preserve">In responding to the issues raised and the questions asked, I encourage you to provide examples of situations where the model WHS laws have helped you to achieve good WHS outcomes in your workplace and examples of where they may have impeded good outcomes. </w:t>
      </w:r>
      <w:r w:rsidRPr="00F634C9">
        <w:t>The topics covered are not exhaustive and you are welcome to raise other issues</w:t>
      </w:r>
      <w:r w:rsidR="00F634C9" w:rsidRPr="00F634C9">
        <w:t xml:space="preserve"> in your written submission</w:t>
      </w:r>
      <w:r w:rsidRPr="00F634C9">
        <w:t xml:space="preserve">. Equally, you are not required to answer all of the questions posed in the </w:t>
      </w:r>
      <w:r w:rsidR="00A11163">
        <w:t>d</w:t>
      </w:r>
      <w:r w:rsidRPr="00F634C9">
        <w:t xml:space="preserve">iscussion </w:t>
      </w:r>
      <w:r w:rsidR="00A11163">
        <w:t>p</w:t>
      </w:r>
      <w:r w:rsidRPr="00F634C9">
        <w:t>aper; you may address only those which are of particular relevance to you.</w:t>
      </w:r>
      <w:r w:rsidR="00F634C9" w:rsidRPr="00F634C9">
        <w:t xml:space="preserve"> There are also other ways you can be involved in the Review throughout the public consultation process.</w:t>
      </w:r>
      <w:r w:rsidR="00F634C9">
        <w:rPr>
          <w:rStyle w:val="FootnoteReference"/>
          <w:sz w:val="22"/>
          <w:szCs w:val="22"/>
        </w:rPr>
        <w:footnoteReference w:id="1"/>
      </w:r>
      <w:r w:rsidR="00740687">
        <w:t xml:space="preserve"> I am very keen to hear your views in whatever way you want to contribute them.</w:t>
      </w:r>
    </w:p>
    <w:p w:rsidR="00817D6F" w:rsidRDefault="00242D67" w:rsidP="005C6931">
      <w:r>
        <w:lastRenderedPageBreak/>
        <w:t xml:space="preserve">In considering the merits of any calls for change, I will be </w:t>
      </w:r>
      <w:r w:rsidRPr="00E604F9">
        <w:t>guided by</w:t>
      </w:r>
      <w:r w:rsidR="00817D6F">
        <w:t xml:space="preserve"> whether</w:t>
      </w:r>
      <w:r w:rsidR="00B77E17">
        <w:t xml:space="preserve"> </w:t>
      </w:r>
      <w:r>
        <w:t>proposals would o</w:t>
      </w:r>
      <w:r w:rsidRPr="00E604F9">
        <w:t>ptimis</w:t>
      </w:r>
      <w:r>
        <w:t xml:space="preserve">e WHS </w:t>
      </w:r>
      <w:r w:rsidRPr="00E604F9">
        <w:t>outcomes</w:t>
      </w:r>
      <w:r>
        <w:t>, s</w:t>
      </w:r>
      <w:r w:rsidRPr="00E604F9">
        <w:t>trengthen harmonisation</w:t>
      </w:r>
      <w:r>
        <w:t xml:space="preserve"> and reflect the </w:t>
      </w:r>
      <w:r w:rsidRPr="00E604F9">
        <w:t>collective wisdom and knowledge of those who are working with the model WHS laws on a day to day basis</w:t>
      </w:r>
      <w:r>
        <w:t xml:space="preserve">. </w:t>
      </w:r>
    </w:p>
    <w:p w:rsidR="009D09DC" w:rsidRDefault="00242D67" w:rsidP="005C6931">
      <w:r>
        <w:t>I hope that th</w:t>
      </w:r>
      <w:r w:rsidR="00873EEA">
        <w:t>e</w:t>
      </w:r>
      <w:r>
        <w:t xml:space="preserve"> Review will </w:t>
      </w:r>
      <w:r w:rsidR="00B77E17">
        <w:t>raise awareness</w:t>
      </w:r>
      <w:r w:rsidR="00817D6F">
        <w:t xml:space="preserve"> of the importance of discussing</w:t>
      </w:r>
      <w:r w:rsidR="00B77E17">
        <w:t xml:space="preserve"> WHS </w:t>
      </w:r>
      <w:r w:rsidR="00817D6F">
        <w:t>publicly and in our workplaces. I hope that it</w:t>
      </w:r>
      <w:r w:rsidR="00B77E17">
        <w:t xml:space="preserve"> will </w:t>
      </w:r>
      <w:r w:rsidR="00817D6F">
        <w:t>reveal</w:t>
      </w:r>
      <w:r w:rsidR="00B77E17">
        <w:t xml:space="preserve"> how we can build on the strong foundation of the model WHS laws to </w:t>
      </w:r>
      <w:r w:rsidR="00817D6F">
        <w:t xml:space="preserve">continuously </w:t>
      </w:r>
      <w:r w:rsidR="00B77E17">
        <w:t>improve our approach to managing WHS, ensuring that all Australian</w:t>
      </w:r>
      <w:r w:rsidR="00817D6F">
        <w:t>s</w:t>
      </w:r>
      <w:r w:rsidR="00B77E17">
        <w:t xml:space="preserve"> get home from work safely. </w:t>
      </w:r>
    </w:p>
    <w:p w:rsidR="009D09DC" w:rsidRPr="009D09DC" w:rsidRDefault="009D09DC" w:rsidP="005C6931">
      <w:r>
        <w:t xml:space="preserve">I am very grateful for the support of the Secretariat to the Review and for their work in assisting me with the production of this </w:t>
      </w:r>
      <w:r w:rsidR="00C6416B">
        <w:t>discussion paper</w:t>
      </w:r>
      <w:r>
        <w:t>.</w:t>
      </w:r>
    </w:p>
    <w:p w:rsidR="00242D67" w:rsidRDefault="00242D67" w:rsidP="005C6931">
      <w:pPr>
        <w:rPr>
          <w:b/>
        </w:rPr>
      </w:pPr>
    </w:p>
    <w:p w:rsidR="00242D67" w:rsidRPr="00E604F9" w:rsidRDefault="00242D67" w:rsidP="005C6931">
      <w:pPr>
        <w:rPr>
          <w:b/>
        </w:rPr>
      </w:pPr>
      <w:r>
        <w:rPr>
          <w:b/>
        </w:rPr>
        <w:t>Marie Boland</w:t>
      </w:r>
    </w:p>
    <w:p w:rsidR="00242D67" w:rsidRDefault="00242D67" w:rsidP="00242D67">
      <w:pPr>
        <w:spacing w:after="200" w:line="276" w:lineRule="auto"/>
        <w:rPr>
          <w:b/>
          <w:color w:val="000000" w:themeColor="text1"/>
          <w:sz w:val="22"/>
          <w:szCs w:val="22"/>
          <w:lang w:val="en-AU"/>
        </w:rPr>
      </w:pPr>
      <w:r>
        <w:rPr>
          <w:b/>
          <w:color w:val="000000" w:themeColor="text1"/>
          <w:sz w:val="22"/>
          <w:szCs w:val="22"/>
          <w:lang w:val="en-AU"/>
        </w:rPr>
        <w:br w:type="page"/>
      </w:r>
    </w:p>
    <w:p w:rsidR="00242D67" w:rsidRPr="003862FA" w:rsidRDefault="00242D67" w:rsidP="005109D9">
      <w:pPr>
        <w:pStyle w:val="Title"/>
      </w:pPr>
      <w:bookmarkStart w:id="2" w:name="_Toc506794163"/>
      <w:r w:rsidRPr="003862FA">
        <w:lastRenderedPageBreak/>
        <w:t xml:space="preserve">The </w:t>
      </w:r>
      <w:r w:rsidR="0077435D">
        <w:t>R</w:t>
      </w:r>
      <w:r w:rsidRPr="003862FA">
        <w:t>eview process</w:t>
      </w:r>
      <w:bookmarkEnd w:id="2"/>
    </w:p>
    <w:p w:rsidR="00242D67" w:rsidRPr="003862FA" w:rsidRDefault="00242D67" w:rsidP="00F00C9B">
      <w:r>
        <w:t>WHS ministers asked Safe Work Australia to examine and report on the operation and content of the model WHS laws to ensure they are operating as intended. Terms of Reference for the Review are at Appendix</w:t>
      </w:r>
      <w:r w:rsidR="00A94F78">
        <w:t> </w:t>
      </w:r>
      <w:r>
        <w:t xml:space="preserve">A. </w:t>
      </w:r>
      <w:r w:rsidRPr="003862FA">
        <w:t>Th</w:t>
      </w:r>
      <w:r>
        <w:t>e</w:t>
      </w:r>
      <w:r w:rsidRPr="003862FA">
        <w:t xml:space="preserve"> </w:t>
      </w:r>
      <w:r>
        <w:t>R</w:t>
      </w:r>
      <w:r w:rsidRPr="003862FA">
        <w:t>eview is being conducted by an independent reviewer</w:t>
      </w:r>
      <w:r w:rsidR="00726C32">
        <w:t xml:space="preserve"> </w:t>
      </w:r>
      <w:r w:rsidRPr="003862FA">
        <w:t xml:space="preserve">on </w:t>
      </w:r>
      <w:r w:rsidR="00F00C9B">
        <w:t xml:space="preserve">behalf of Safe Work Australia. </w:t>
      </w:r>
    </w:p>
    <w:p w:rsidR="00242D67" w:rsidRPr="003862FA" w:rsidRDefault="00726C32" w:rsidP="00F00C9B">
      <w:r>
        <w:t xml:space="preserve">This </w:t>
      </w:r>
      <w:r w:rsidR="00C6416B">
        <w:t>discussion paper</w:t>
      </w:r>
      <w:r w:rsidR="00242D67" w:rsidRPr="003862FA">
        <w:t xml:space="preserve"> has </w:t>
      </w:r>
      <w:r>
        <w:t xml:space="preserve">been </w:t>
      </w:r>
      <w:r w:rsidR="00F67BAF">
        <w:t xml:space="preserve">developed </w:t>
      </w:r>
      <w:r w:rsidR="00242D67" w:rsidRPr="003862FA">
        <w:t xml:space="preserve">to inform a public consultation process in the first half of 2018. </w:t>
      </w:r>
      <w:r w:rsidR="00242D67">
        <w:t xml:space="preserve">Comments received during public consultation will be used to inform </w:t>
      </w:r>
      <w:r>
        <w:t>a</w:t>
      </w:r>
      <w:r w:rsidR="00242D67">
        <w:t xml:space="preserve"> written report which will, if </w:t>
      </w:r>
      <w:r w:rsidR="00F67BAF">
        <w:t>supported by relevant evidence</w:t>
      </w:r>
      <w:r w:rsidR="00242D67">
        <w:t xml:space="preserve">, make recommendations to improve the model WHS laws </w:t>
      </w:r>
      <w:r w:rsidR="000055AB">
        <w:t xml:space="preserve">or </w:t>
      </w:r>
      <w:r w:rsidR="00242D67">
        <w:t>identify areas requiring more work.</w:t>
      </w:r>
      <w:r w:rsidR="0084095F">
        <w:t xml:space="preserve"> </w:t>
      </w:r>
    </w:p>
    <w:p w:rsidR="00F00C9B" w:rsidRPr="003862FA" w:rsidRDefault="00242D67" w:rsidP="00F00C9B">
      <w:pPr>
        <w:rPr>
          <w:sz w:val="22"/>
          <w:szCs w:val="22"/>
        </w:rPr>
      </w:pPr>
      <w:r w:rsidRPr="003862FA">
        <w:t xml:space="preserve">The </w:t>
      </w:r>
      <w:r>
        <w:t>R</w:t>
      </w:r>
      <w:r w:rsidRPr="003862FA">
        <w:t xml:space="preserve">eview will be finalised by the end of 2018 when </w:t>
      </w:r>
      <w:r w:rsidR="00726C32">
        <w:t>the final</w:t>
      </w:r>
      <w:r w:rsidRPr="003862FA">
        <w:t xml:space="preserve"> written report </w:t>
      </w:r>
      <w:r w:rsidR="00667FE8">
        <w:t>is</w:t>
      </w:r>
      <w:r w:rsidR="00726C32">
        <w:t xml:space="preserve"> provided </w:t>
      </w:r>
      <w:r w:rsidRPr="003862FA">
        <w:t xml:space="preserve">to Safe Work Australia. </w:t>
      </w:r>
      <w:r>
        <w:t>Safe Work Australia will subsequently report to WHS ministers in early 2019.</w:t>
      </w:r>
      <w:r w:rsidR="00F00C9B">
        <w:t xml:space="preserve"> </w:t>
      </w:r>
    </w:p>
    <w:p w:rsidR="00242D67" w:rsidRPr="00F00C9B" w:rsidRDefault="00242D67" w:rsidP="00F00C9B">
      <w:pPr>
        <w:jc w:val="both"/>
        <w:rPr>
          <w:b/>
          <w:sz w:val="22"/>
          <w:szCs w:val="22"/>
        </w:rPr>
      </w:pPr>
      <w:r w:rsidRPr="003862FA">
        <w:rPr>
          <w:b/>
          <w:sz w:val="22"/>
          <w:szCs w:val="22"/>
        </w:rPr>
        <w:t xml:space="preserve">How </w:t>
      </w:r>
      <w:r>
        <w:rPr>
          <w:b/>
          <w:sz w:val="22"/>
          <w:szCs w:val="22"/>
        </w:rPr>
        <w:t>to contribute your views</w:t>
      </w:r>
    </w:p>
    <w:p w:rsidR="00242D67" w:rsidRPr="003862FA" w:rsidRDefault="00242D67" w:rsidP="00F00C9B">
      <w:r w:rsidRPr="003862FA">
        <w:t xml:space="preserve">You can share your views </w:t>
      </w:r>
      <w:r w:rsidR="00F67BAF">
        <w:t xml:space="preserve">of </w:t>
      </w:r>
      <w:r w:rsidRPr="003862FA">
        <w:t>and experien</w:t>
      </w:r>
      <w:r w:rsidR="000F3634">
        <w:t xml:space="preserve">ces with the model </w:t>
      </w:r>
      <w:proofErr w:type="spellStart"/>
      <w:r w:rsidR="000F3634">
        <w:t>WHS</w:t>
      </w:r>
      <w:proofErr w:type="spellEnd"/>
      <w:r w:rsidR="000F3634">
        <w:t xml:space="preserve"> laws at </w:t>
      </w:r>
      <w:hyperlink r:id="rId16" w:history="1">
        <w:r w:rsidR="000F3634" w:rsidRPr="00BC0DB1">
          <w:rPr>
            <w:rStyle w:val="Hyperlink"/>
          </w:rPr>
          <w:t>https://engage.swa.gov.au/review-consultation</w:t>
        </w:r>
      </w:hyperlink>
      <w:r w:rsidR="000F3634">
        <w:t>.</w:t>
      </w:r>
    </w:p>
    <w:p w:rsidR="00242D67" w:rsidRDefault="00F67BAF" w:rsidP="00F00C9B">
      <w:r>
        <w:t>Chapters 3</w:t>
      </w:r>
      <w:r w:rsidR="00242D67" w:rsidRPr="003862FA">
        <w:t xml:space="preserve"> to </w:t>
      </w:r>
      <w:r w:rsidR="00D90E7C">
        <w:t>8</w:t>
      </w:r>
      <w:r w:rsidR="00242D67" w:rsidRPr="003862FA">
        <w:t xml:space="preserve"> of this </w:t>
      </w:r>
      <w:r w:rsidR="00C6416B">
        <w:t>discussion paper</w:t>
      </w:r>
      <w:r>
        <w:t xml:space="preserve"> present issues for consideration which are within the </w:t>
      </w:r>
      <w:r w:rsidR="0080226E">
        <w:t xml:space="preserve">Terms </w:t>
      </w:r>
      <w:r>
        <w:t xml:space="preserve">of </w:t>
      </w:r>
      <w:r w:rsidR="0080226E">
        <w:t>R</w:t>
      </w:r>
      <w:r>
        <w:t>eference and scope of the Review</w:t>
      </w:r>
      <w:r w:rsidR="00242D67" w:rsidRPr="003862FA">
        <w:t>. A</w:t>
      </w:r>
      <w:r w:rsidR="00242D67">
        <w:t> complete list</w:t>
      </w:r>
      <w:r w:rsidR="00242D67" w:rsidRPr="003862FA">
        <w:t xml:space="preserve"> of the questions </w:t>
      </w:r>
      <w:r w:rsidR="00242D67">
        <w:t xml:space="preserve">asked throughout the </w:t>
      </w:r>
      <w:r w:rsidR="00C6416B">
        <w:t>discussion paper</w:t>
      </w:r>
      <w:r w:rsidR="00242D67" w:rsidRPr="003862FA">
        <w:t xml:space="preserve"> is at </w:t>
      </w:r>
      <w:r w:rsidR="00D90E7C">
        <w:t>Chapter 9</w:t>
      </w:r>
      <w:r w:rsidR="00242D67" w:rsidRPr="003862FA">
        <w:t xml:space="preserve">. </w:t>
      </w:r>
      <w:r w:rsidR="00242D67">
        <w:t xml:space="preserve">Written submissions addressing these questions can be made at Safe Work Australia’s Engage site. </w:t>
      </w:r>
      <w:r w:rsidR="00242D67" w:rsidRPr="003862FA">
        <w:t xml:space="preserve">At this site you can </w:t>
      </w:r>
      <w:r w:rsidR="00242D67">
        <w:t xml:space="preserve">also </w:t>
      </w:r>
      <w:r w:rsidR="00242D67" w:rsidRPr="003862FA">
        <w:t>participate in online discussion forums or raise</w:t>
      </w:r>
      <w:r w:rsidR="00242D67">
        <w:t xml:space="preserve"> other</w:t>
      </w:r>
      <w:r w:rsidR="00242D67" w:rsidRPr="003862FA">
        <w:t xml:space="preserve"> issu</w:t>
      </w:r>
      <w:r w:rsidR="00F00C9B">
        <w:t>es that are important to you.</w:t>
      </w:r>
      <w:r w:rsidR="0084095F">
        <w:t xml:space="preserve"> </w:t>
      </w:r>
    </w:p>
    <w:p w:rsidR="00081962" w:rsidRPr="003862FA" w:rsidRDefault="00081962" w:rsidP="00F00C9B">
      <w:r>
        <w:rPr>
          <w:lang w:val="en-AU"/>
        </w:rPr>
        <w:t>I</w:t>
      </w:r>
      <w:r w:rsidRPr="003862FA">
        <w:rPr>
          <w:lang w:val="en-AU"/>
        </w:rPr>
        <w:t>f you would like to provide comments in a different format</w:t>
      </w:r>
      <w:r>
        <w:rPr>
          <w:lang w:val="en-AU"/>
        </w:rPr>
        <w:t xml:space="preserve"> or have any questions, </w:t>
      </w:r>
      <w:r w:rsidRPr="003862FA">
        <w:rPr>
          <w:lang w:val="en-AU"/>
        </w:rPr>
        <w:t xml:space="preserve">please contact Safe Work Australia </w:t>
      </w:r>
      <w:r w:rsidRPr="00F00C9B">
        <w:rPr>
          <w:szCs w:val="20"/>
          <w:lang w:val="en-AU"/>
        </w:rPr>
        <w:t xml:space="preserve">at </w:t>
      </w:r>
      <w:hyperlink r:id="rId17" w:history="1">
        <w:r w:rsidR="008E4A2C" w:rsidRPr="00F65A24">
          <w:rPr>
            <w:rStyle w:val="Hyperlink"/>
            <w:rFonts w:cs="Times New Roman"/>
            <w:lang w:val="en-AU"/>
          </w:rPr>
          <w:t>2018Review@swa.gov.au</w:t>
        </w:r>
      </w:hyperlink>
      <w:r w:rsidRPr="00F00C9B">
        <w:t>.</w:t>
      </w:r>
    </w:p>
    <w:p w:rsidR="00242D67" w:rsidRPr="00F00C9B" w:rsidRDefault="00242D67" w:rsidP="00F00C9B">
      <w:pPr>
        <w:rPr>
          <w:i/>
        </w:rPr>
      </w:pPr>
      <w:r w:rsidRPr="00985B03">
        <w:rPr>
          <w:i/>
        </w:rPr>
        <w:t xml:space="preserve">All </w:t>
      </w:r>
      <w:r>
        <w:rPr>
          <w:i/>
        </w:rPr>
        <w:t xml:space="preserve">submissions and </w:t>
      </w:r>
      <w:r w:rsidRPr="00985B03">
        <w:rPr>
          <w:i/>
        </w:rPr>
        <w:t xml:space="preserve">comments must be provided by </w:t>
      </w:r>
      <w:r w:rsidRPr="00985B03">
        <w:rPr>
          <w:b/>
          <w:i/>
        </w:rPr>
        <w:t>5pm (EST) 13 April 2018</w:t>
      </w:r>
      <w:r w:rsidR="00F00C9B">
        <w:rPr>
          <w:i/>
        </w:rPr>
        <w:t xml:space="preserve">. </w:t>
      </w:r>
    </w:p>
    <w:p w:rsidR="00242D67" w:rsidRPr="003862FA" w:rsidRDefault="00B35C8A" w:rsidP="00242D67">
      <w:pPr>
        <w:rPr>
          <w:b/>
          <w:sz w:val="22"/>
          <w:szCs w:val="22"/>
          <w:lang w:val="en-AU"/>
        </w:rPr>
      </w:pPr>
      <w:r>
        <w:rPr>
          <w:lang w:val="en-AU"/>
        </w:rPr>
        <w:t xml:space="preserve">Submissions will be published and may be referred to in subsequent reports. You can request that your name be </w:t>
      </w:r>
      <w:r w:rsidR="00BB4976">
        <w:rPr>
          <w:lang w:val="en-AU"/>
        </w:rPr>
        <w:t>withheld</w:t>
      </w:r>
      <w:r>
        <w:rPr>
          <w:lang w:val="en-AU"/>
        </w:rPr>
        <w:t>, or that all or part of your submission to be treated as confidential, when you lodge your submission. Please be aware that even where you request information be treated as confidential, there may be circumstances in which Safe Work Australia is authorised or required by law to release that information</w:t>
      </w:r>
      <w:r w:rsidR="0077435D">
        <w:rPr>
          <w:lang w:val="en-AU"/>
        </w:rPr>
        <w:t>,</w:t>
      </w:r>
      <w:r>
        <w:rPr>
          <w:lang w:val="en-AU"/>
        </w:rPr>
        <w:t xml:space="preserve"> for </w:t>
      </w:r>
      <w:r w:rsidRPr="00B35C8A">
        <w:rPr>
          <w:lang w:val="en-AU"/>
        </w:rPr>
        <w:t xml:space="preserve">example, </w:t>
      </w:r>
      <w:r w:rsidRPr="00B35C8A">
        <w:t xml:space="preserve">in accordance with the </w:t>
      </w:r>
      <w:r w:rsidRPr="00B35C8A">
        <w:rPr>
          <w:i/>
        </w:rPr>
        <w:t>Freedom of Information Act 1982</w:t>
      </w:r>
      <w:r w:rsidRPr="00B35C8A">
        <w:t xml:space="preserve"> (</w:t>
      </w:r>
      <w:proofErr w:type="spellStart"/>
      <w:r w:rsidRPr="00B35C8A">
        <w:t>Cth</w:t>
      </w:r>
      <w:proofErr w:type="spellEnd"/>
      <w:r w:rsidRPr="00B35C8A">
        <w:t>) or for the purpose of parliamentary processes.</w:t>
      </w:r>
      <w:r w:rsidR="00C46949" w:rsidRPr="003862FA">
        <w:rPr>
          <w:b/>
          <w:sz w:val="22"/>
          <w:szCs w:val="22"/>
          <w:lang w:val="en-AU"/>
        </w:rPr>
        <w:t xml:space="preserve"> </w:t>
      </w:r>
    </w:p>
    <w:p w:rsidR="00242D67" w:rsidRDefault="00242D67" w:rsidP="00242D67">
      <w:pPr>
        <w:spacing w:after="200" w:line="276" w:lineRule="auto"/>
        <w:rPr>
          <w:b/>
          <w:color w:val="000000" w:themeColor="text1"/>
          <w:sz w:val="22"/>
          <w:szCs w:val="22"/>
          <w:lang w:val="en-AU"/>
        </w:rPr>
      </w:pPr>
      <w:r>
        <w:rPr>
          <w:b/>
          <w:color w:val="000000" w:themeColor="text1"/>
          <w:sz w:val="22"/>
          <w:szCs w:val="22"/>
          <w:lang w:val="en-AU"/>
        </w:rPr>
        <w:br w:type="page"/>
      </w:r>
    </w:p>
    <w:p w:rsidR="005C6931" w:rsidRPr="00415852" w:rsidRDefault="003B55FD" w:rsidP="005C6931">
      <w:pPr>
        <w:pStyle w:val="2018ReviewWhiteHeading"/>
        <w:numPr>
          <w:ilvl w:val="0"/>
          <w:numId w:val="36"/>
        </w:numPr>
      </w:pPr>
      <w:bookmarkStart w:id="3" w:name="_Toc506794164"/>
      <w:r>
        <w:lastRenderedPageBreak/>
        <w:t>B</w:t>
      </w:r>
      <w:r w:rsidR="005C6931">
        <w:t>ackground</w:t>
      </w:r>
      <w:bookmarkEnd w:id="3"/>
    </w:p>
    <w:p w:rsidR="00242D67" w:rsidRPr="003862FA" w:rsidRDefault="00242D67" w:rsidP="005109D9">
      <w:pPr>
        <w:pStyle w:val="2018ReviewSectionnumberingheading"/>
      </w:pPr>
      <w:bookmarkStart w:id="4" w:name="_Toc506794165"/>
      <w:r w:rsidRPr="003862FA">
        <w:t>Introduction</w:t>
      </w:r>
      <w:bookmarkEnd w:id="4"/>
    </w:p>
    <w:p w:rsidR="00242D67" w:rsidRPr="00BD1468" w:rsidRDefault="00242D67" w:rsidP="00F00C9B">
      <w:r w:rsidRPr="00BD1468">
        <w:t xml:space="preserve">The model </w:t>
      </w:r>
      <w:r>
        <w:t>WHS</w:t>
      </w:r>
      <w:r w:rsidRPr="00BD1468">
        <w:t xml:space="preserve"> laws include a model WHS Act</w:t>
      </w:r>
      <w:r w:rsidR="00FA4CB6">
        <w:rPr>
          <w:rStyle w:val="FootnoteReference"/>
        </w:rPr>
        <w:footnoteReference w:id="2"/>
      </w:r>
      <w:r w:rsidRPr="00BD1468">
        <w:t>, model WHS Regulations</w:t>
      </w:r>
      <w:r>
        <w:t xml:space="preserve"> and </w:t>
      </w:r>
      <w:r w:rsidRPr="00BD1468">
        <w:t>24 model Codes</w:t>
      </w:r>
      <w:r>
        <w:t xml:space="preserve">. They are supported by </w:t>
      </w:r>
      <w:r w:rsidRPr="00BD1468">
        <w:t xml:space="preserve">the </w:t>
      </w:r>
      <w:r>
        <w:t>NCEP</w:t>
      </w:r>
      <w:r w:rsidRPr="00707471">
        <w:t>.</w:t>
      </w:r>
      <w:r>
        <w:t xml:space="preserve"> </w:t>
      </w:r>
    </w:p>
    <w:p w:rsidR="00242D67" w:rsidRDefault="00242D67" w:rsidP="00F00C9B">
      <w:r w:rsidRPr="00BD1468">
        <w:t xml:space="preserve">The model WHS laws provide </w:t>
      </w:r>
      <w:r>
        <w:t xml:space="preserve">the framework for a consistent approach to the regulation of WHS in each Australian jurisdiction. </w:t>
      </w:r>
      <w:r w:rsidR="00E868D1">
        <w:t>T</w:t>
      </w:r>
      <w:r w:rsidRPr="00BD1468">
        <w:t xml:space="preserve">he Commonwealth, states and territories have responsibility for making and enforcing their own </w:t>
      </w:r>
      <w:r>
        <w:t xml:space="preserve">WHS </w:t>
      </w:r>
      <w:r w:rsidRPr="00BD1468">
        <w:t>legislation.</w:t>
      </w:r>
      <w:r>
        <w:t xml:space="preserve"> In 20</w:t>
      </w:r>
      <w:r w:rsidR="00C57AE1">
        <w:t>08</w:t>
      </w:r>
      <w:r>
        <w:t xml:space="preserve">, WHS ministers signed the </w:t>
      </w:r>
      <w:r w:rsidRPr="00444F1B">
        <w:rPr>
          <w:i/>
        </w:rPr>
        <w:t xml:space="preserve">Intergovernmental </w:t>
      </w:r>
      <w:r w:rsidR="00C6416B">
        <w:rPr>
          <w:i/>
        </w:rPr>
        <w:t>A</w:t>
      </w:r>
      <w:r w:rsidRPr="00444F1B">
        <w:rPr>
          <w:i/>
        </w:rPr>
        <w:t xml:space="preserve">greement for </w:t>
      </w:r>
      <w:r w:rsidR="00C6416B">
        <w:rPr>
          <w:i/>
        </w:rPr>
        <w:t>R</w:t>
      </w:r>
      <w:r w:rsidRPr="00444F1B">
        <w:rPr>
          <w:i/>
        </w:rPr>
        <w:t xml:space="preserve">egulatory and </w:t>
      </w:r>
      <w:r w:rsidR="00C6416B">
        <w:rPr>
          <w:i/>
        </w:rPr>
        <w:t>O</w:t>
      </w:r>
      <w:r w:rsidRPr="00444F1B">
        <w:rPr>
          <w:i/>
        </w:rPr>
        <w:t xml:space="preserve">perational </w:t>
      </w:r>
      <w:r w:rsidR="00C6416B">
        <w:rPr>
          <w:i/>
        </w:rPr>
        <w:t>R</w:t>
      </w:r>
      <w:r w:rsidRPr="00444F1B">
        <w:rPr>
          <w:i/>
        </w:rPr>
        <w:t xml:space="preserve">eform in </w:t>
      </w:r>
      <w:r w:rsidR="00C6416B">
        <w:rPr>
          <w:i/>
        </w:rPr>
        <w:t>O</w:t>
      </w:r>
      <w:r w:rsidRPr="00444F1B">
        <w:rPr>
          <w:i/>
        </w:rPr>
        <w:t xml:space="preserve">ccupational </w:t>
      </w:r>
      <w:r w:rsidR="00C6416B">
        <w:rPr>
          <w:i/>
        </w:rPr>
        <w:t>H</w:t>
      </w:r>
      <w:r w:rsidRPr="00444F1B">
        <w:rPr>
          <w:i/>
        </w:rPr>
        <w:t xml:space="preserve">ealth and </w:t>
      </w:r>
      <w:r w:rsidR="00C6416B">
        <w:rPr>
          <w:i/>
        </w:rPr>
        <w:t>S</w:t>
      </w:r>
      <w:r w:rsidRPr="00444F1B">
        <w:rPr>
          <w:i/>
        </w:rPr>
        <w:t>afety</w:t>
      </w:r>
      <w:r>
        <w:t xml:space="preserve"> (IGA) which </w:t>
      </w:r>
      <w:r w:rsidRPr="003862FA">
        <w:t>set</w:t>
      </w:r>
      <w:r>
        <w:t>s</w:t>
      </w:r>
      <w:r w:rsidRPr="003862FA">
        <w:t xml:space="preserve"> out the principles and processes for cooperation between the </w:t>
      </w:r>
      <w:r>
        <w:t>jurisdictions to implement model WHS legislation and in turn, achi</w:t>
      </w:r>
      <w:r w:rsidR="00F00C9B">
        <w:t>eve harmonisation of WHS laws.</w:t>
      </w:r>
      <w:r w:rsidR="00C0681C">
        <w:rPr>
          <w:rStyle w:val="FootnoteReference"/>
        </w:rPr>
        <w:footnoteReference w:id="3"/>
      </w:r>
      <w:r w:rsidR="00F00C9B">
        <w:t xml:space="preserve"> </w:t>
      </w:r>
    </w:p>
    <w:p w:rsidR="0077435D" w:rsidRDefault="00242D67" w:rsidP="00F00C9B">
      <w:r w:rsidRPr="00BD1468">
        <w:t>For the model WHS laws to be legally binding</w:t>
      </w:r>
      <w:r>
        <w:t>,</w:t>
      </w:r>
      <w:r w:rsidRPr="00BD1468">
        <w:t xml:space="preserve"> each jurisdiction must separately implement them as their own laws</w:t>
      </w:r>
      <w:r>
        <w:t>.</w:t>
      </w:r>
      <w:r>
        <w:rPr>
          <w:lang w:val="en-AU"/>
        </w:rPr>
        <w:t xml:space="preserve"> The Commonwealth,</w:t>
      </w:r>
      <w:r w:rsidRPr="00BD1468">
        <w:rPr>
          <w:lang w:val="en-AU"/>
        </w:rPr>
        <w:t xml:space="preserve"> </w:t>
      </w:r>
      <w:r w:rsidR="00873EEA">
        <w:rPr>
          <w:lang w:val="en-AU"/>
        </w:rPr>
        <w:t xml:space="preserve">the </w:t>
      </w:r>
      <w:r w:rsidRPr="00BD1468">
        <w:rPr>
          <w:lang w:val="en-AU"/>
        </w:rPr>
        <w:t xml:space="preserve">Australian Capital </w:t>
      </w:r>
      <w:r>
        <w:rPr>
          <w:lang w:val="en-AU"/>
        </w:rPr>
        <w:t xml:space="preserve">Territory, New South Wales, </w:t>
      </w:r>
      <w:r w:rsidR="00873EEA">
        <w:rPr>
          <w:lang w:val="en-AU"/>
        </w:rPr>
        <w:t xml:space="preserve">the </w:t>
      </w:r>
      <w:r w:rsidRPr="00BD1468">
        <w:rPr>
          <w:lang w:val="en-AU"/>
        </w:rPr>
        <w:t>Northern Territory and Queensland implemented the model WHS laws in their jurisdictions on 1 January 2012. South Australia and Tasmania implemented the model WHS laws on 1 January 2013.</w:t>
      </w:r>
      <w:r w:rsidRPr="00BD1468">
        <w:t xml:space="preserve"> </w:t>
      </w:r>
    </w:p>
    <w:p w:rsidR="00242D67" w:rsidRDefault="00242D67" w:rsidP="00F00C9B">
      <w:r w:rsidRPr="00BD1468">
        <w:t>Western</w:t>
      </w:r>
      <w:r w:rsidR="0077435D">
        <w:t> </w:t>
      </w:r>
      <w:r w:rsidRPr="00BD1468">
        <w:t xml:space="preserve">Australia is currently drafting a new Work Health and Safety Bill based on the model WHS Act. Victoria has </w:t>
      </w:r>
      <w:r>
        <w:t>not implemented the model WHS laws</w:t>
      </w:r>
      <w:r w:rsidR="00A94F78">
        <w:t>.</w:t>
      </w:r>
      <w:r w:rsidRPr="00E604F9">
        <w:rPr>
          <w:rStyle w:val="FootnoteReference"/>
          <w:sz w:val="22"/>
          <w:szCs w:val="22"/>
        </w:rPr>
        <w:footnoteReference w:id="4"/>
      </w:r>
      <w:r w:rsidR="00F00C9B">
        <w:t xml:space="preserve"> </w:t>
      </w:r>
    </w:p>
    <w:p w:rsidR="00242D67" w:rsidRPr="003862FA" w:rsidRDefault="00242D67" w:rsidP="003D129A">
      <w:pPr>
        <w:rPr>
          <w:sz w:val="22"/>
          <w:szCs w:val="22"/>
        </w:rPr>
      </w:pPr>
      <w:r>
        <w:t>The model WHS laws have delivered significant harmonisation of Australia’s WHS legislation</w:t>
      </w:r>
      <w:r w:rsidR="00A94F78">
        <w:t>.</w:t>
      </w:r>
      <w:r>
        <w:rPr>
          <w:rStyle w:val="FootnoteReference"/>
          <w:sz w:val="22"/>
          <w:szCs w:val="22"/>
        </w:rPr>
        <w:footnoteReference w:id="5"/>
      </w:r>
    </w:p>
    <w:p w:rsidR="00242D67" w:rsidRPr="00F00C9B" w:rsidRDefault="00242D67" w:rsidP="00F00C9B">
      <w:pPr>
        <w:pStyle w:val="2018ReviewSectionnumberingheading"/>
      </w:pPr>
      <w:bookmarkStart w:id="5" w:name="_Toc506794166"/>
      <w:r w:rsidRPr="00F00C9B">
        <w:t>Prior to the model WHS laws</w:t>
      </w:r>
      <w:bookmarkEnd w:id="5"/>
    </w:p>
    <w:p w:rsidR="00242D67" w:rsidRDefault="00CE6C62" w:rsidP="00F00C9B">
      <w:r>
        <w:t xml:space="preserve">Since the 1970s, Australia has </w:t>
      </w:r>
      <w:r w:rsidR="00242D67">
        <w:t xml:space="preserve">followed Britain’s </w:t>
      </w:r>
      <w:proofErr w:type="spellStart"/>
      <w:r w:rsidR="00242D67" w:rsidRPr="003D13D7">
        <w:t>Robens</w:t>
      </w:r>
      <w:proofErr w:type="spellEnd"/>
      <w:r w:rsidR="00242D67">
        <w:t xml:space="preserve"> </w:t>
      </w:r>
      <w:r w:rsidR="00242D67" w:rsidRPr="003D13D7">
        <w:t>model</w:t>
      </w:r>
      <w:r>
        <w:t xml:space="preserve"> for </w:t>
      </w:r>
      <w:proofErr w:type="spellStart"/>
      <w:r w:rsidR="00017B76">
        <w:t>WHS</w:t>
      </w:r>
      <w:proofErr w:type="spellEnd"/>
      <w:r>
        <w:t xml:space="preserve"> </w:t>
      </w:r>
      <w:r w:rsidR="00C0157F">
        <w:t>regulation</w:t>
      </w:r>
      <w:r>
        <w:t>.</w:t>
      </w:r>
      <w:r w:rsidR="00242D67" w:rsidRPr="00E604F9">
        <w:rPr>
          <w:rStyle w:val="FootnoteReference"/>
          <w:sz w:val="22"/>
          <w:szCs w:val="22"/>
        </w:rPr>
        <w:footnoteReference w:id="6"/>
      </w:r>
      <w:r w:rsidR="00242D67">
        <w:t xml:space="preserve"> </w:t>
      </w:r>
      <w:r w:rsidR="00C0157F">
        <w:t xml:space="preserve">The principles of the </w:t>
      </w:r>
      <w:proofErr w:type="spellStart"/>
      <w:r w:rsidR="00C0157F">
        <w:t>Robens</w:t>
      </w:r>
      <w:proofErr w:type="spellEnd"/>
      <w:r w:rsidR="00C0157F">
        <w:t xml:space="preserve"> model include</w:t>
      </w:r>
      <w:r w:rsidR="00242D67">
        <w:t>:</w:t>
      </w:r>
    </w:p>
    <w:p w:rsidR="00242D67" w:rsidRDefault="00242D67" w:rsidP="00F00C9B">
      <w:pPr>
        <w:pStyle w:val="2018ReviewBullets"/>
        <w:rPr>
          <w:lang w:val="en"/>
        </w:rPr>
      </w:pPr>
      <w:r>
        <w:t xml:space="preserve">a </w:t>
      </w:r>
      <w:r>
        <w:rPr>
          <w:lang w:val="en"/>
        </w:rPr>
        <w:t xml:space="preserve">single WHS Act </w:t>
      </w:r>
      <w:r w:rsidRPr="003862FA">
        <w:rPr>
          <w:lang w:val="en"/>
        </w:rPr>
        <w:t>with broad “general duties” for all parties including employers, the self-employed, occupiers, designers, manufacturers and suppliers of plant and substances and employees</w:t>
      </w:r>
    </w:p>
    <w:p w:rsidR="00242D67" w:rsidRDefault="00242D67" w:rsidP="00F00C9B">
      <w:pPr>
        <w:pStyle w:val="2018ReviewBullets"/>
        <w:rPr>
          <w:lang w:val="en"/>
        </w:rPr>
      </w:pPr>
      <w:r>
        <w:rPr>
          <w:lang w:val="en"/>
        </w:rPr>
        <w:t xml:space="preserve">detailed </w:t>
      </w:r>
      <w:r w:rsidRPr="003862FA">
        <w:rPr>
          <w:lang w:val="en"/>
        </w:rPr>
        <w:t xml:space="preserve">regulations and </w:t>
      </w:r>
      <w:r w:rsidR="008E4A2C">
        <w:rPr>
          <w:lang w:val="en"/>
        </w:rPr>
        <w:t>C</w:t>
      </w:r>
      <w:r w:rsidRPr="003862FA">
        <w:rPr>
          <w:lang w:val="en"/>
        </w:rPr>
        <w:t xml:space="preserve">odes of </w:t>
      </w:r>
      <w:r w:rsidR="008E4A2C">
        <w:rPr>
          <w:lang w:val="en"/>
        </w:rPr>
        <w:t>P</w:t>
      </w:r>
      <w:r w:rsidRPr="003862FA">
        <w:rPr>
          <w:lang w:val="en"/>
        </w:rPr>
        <w:t xml:space="preserve">ractice </w:t>
      </w:r>
      <w:r>
        <w:rPr>
          <w:lang w:val="en"/>
        </w:rPr>
        <w:t>to support the Act</w:t>
      </w:r>
    </w:p>
    <w:p w:rsidR="00242D67" w:rsidRPr="003862FA" w:rsidRDefault="00242D67" w:rsidP="00F00C9B">
      <w:pPr>
        <w:pStyle w:val="2018ReviewBullets"/>
        <w:rPr>
          <w:lang w:val="en"/>
        </w:rPr>
      </w:pPr>
      <w:r w:rsidRPr="003862FA">
        <w:rPr>
          <w:lang w:val="en"/>
        </w:rPr>
        <w:t xml:space="preserve">an inspectorate with </w:t>
      </w:r>
      <w:r w:rsidR="00C85C7F">
        <w:rPr>
          <w:lang w:val="en"/>
        </w:rPr>
        <w:t xml:space="preserve">power to impose </w:t>
      </w:r>
      <w:r w:rsidRPr="003862FA">
        <w:rPr>
          <w:lang w:val="en"/>
        </w:rPr>
        <w:t>administrative sanctions (improvement and prohibition notices) and an ability to bring prosecutions (against corporate officers as well as corporate employers), and</w:t>
      </w:r>
    </w:p>
    <w:p w:rsidR="00487495" w:rsidRDefault="003B07BD" w:rsidP="00746177">
      <w:pPr>
        <w:pStyle w:val="2018ReviewBullets"/>
      </w:pPr>
      <w:r w:rsidRPr="00487495">
        <w:t xml:space="preserve">a framework built on “self-regulation”, where employers are required to consult with workers and </w:t>
      </w:r>
      <w:r w:rsidR="00DF7A1B">
        <w:t xml:space="preserve">where </w:t>
      </w:r>
      <w:r w:rsidRPr="00487495">
        <w:t xml:space="preserve">the formation of </w:t>
      </w:r>
      <w:r w:rsidR="008919A8">
        <w:t>H</w:t>
      </w:r>
      <w:r w:rsidRPr="00487495">
        <w:t xml:space="preserve">ealth and </w:t>
      </w:r>
      <w:r w:rsidR="008919A8">
        <w:t>S</w:t>
      </w:r>
      <w:r w:rsidRPr="00487495">
        <w:t xml:space="preserve">afety </w:t>
      </w:r>
      <w:r w:rsidR="008919A8">
        <w:t>C</w:t>
      </w:r>
      <w:r w:rsidRPr="00487495">
        <w:t xml:space="preserve">ommittees </w:t>
      </w:r>
      <w:r w:rsidR="008919A8">
        <w:t xml:space="preserve">(HSCs) </w:t>
      </w:r>
      <w:r w:rsidRPr="00487495">
        <w:t>is encouraged (as opposed to the pre-1970s approach, where the jurisdiction determined all WHS requirements).</w:t>
      </w:r>
    </w:p>
    <w:p w:rsidR="00242D67" w:rsidRPr="003862FA" w:rsidRDefault="00242D67" w:rsidP="00800E5E">
      <w:r w:rsidRPr="003862FA">
        <w:t xml:space="preserve">Although </w:t>
      </w:r>
      <w:r>
        <w:t xml:space="preserve">all </w:t>
      </w:r>
      <w:r w:rsidR="00C0157F">
        <w:t xml:space="preserve">Australian </w:t>
      </w:r>
      <w:r>
        <w:t>jurisdictional laws</w:t>
      </w:r>
      <w:r w:rsidRPr="003862FA">
        <w:t xml:space="preserve"> </w:t>
      </w:r>
      <w:r>
        <w:t>were based on</w:t>
      </w:r>
      <w:r w:rsidRPr="003862FA">
        <w:t xml:space="preserve"> the same principles, </w:t>
      </w:r>
      <w:r w:rsidR="00CE6C62">
        <w:t>prior to the implementation of the model WHS laws</w:t>
      </w:r>
      <w:r w:rsidR="003B50CA">
        <w:t>,</w:t>
      </w:r>
      <w:r w:rsidR="00CE6C62">
        <w:t xml:space="preserve"> </w:t>
      </w:r>
      <w:r w:rsidRPr="003862FA">
        <w:t>there were significant variations between jurisdictions, particularly in regard to duties of care, consultation</w:t>
      </w:r>
      <w:r>
        <w:t xml:space="preserve">, </w:t>
      </w:r>
      <w:r w:rsidRPr="003862FA">
        <w:t>risk control mechanisms, record keeping, reporting, compliance regimes and penalties.</w:t>
      </w:r>
    </w:p>
    <w:p w:rsidR="00242D67" w:rsidRPr="003862FA" w:rsidRDefault="00242D67" w:rsidP="00F00C9B">
      <w:r>
        <w:lastRenderedPageBreak/>
        <w:t xml:space="preserve">A move towards greater national consistency started in </w:t>
      </w:r>
      <w:r w:rsidRPr="00E604F9">
        <w:t xml:space="preserve">the 1980s </w:t>
      </w:r>
      <w:r>
        <w:t xml:space="preserve">with </w:t>
      </w:r>
      <w:r w:rsidRPr="00E604F9">
        <w:t>the development of National Standards and National Codes of Practice</w:t>
      </w:r>
      <w:r w:rsidR="0084095F">
        <w:t xml:space="preserve"> </w:t>
      </w:r>
      <w:r>
        <w:t>for</w:t>
      </w:r>
      <w:r w:rsidRPr="00E604F9">
        <w:t xml:space="preserve"> a number of key </w:t>
      </w:r>
      <w:r w:rsidRPr="003862FA">
        <w:t>areas</w:t>
      </w:r>
      <w:r>
        <w:t>. The National Standards and Codes</w:t>
      </w:r>
      <w:r w:rsidR="007B0AC7">
        <w:t xml:space="preserve"> of Practice</w:t>
      </w:r>
      <w:r>
        <w:t xml:space="preserve"> were i</w:t>
      </w:r>
      <w:r w:rsidRPr="00B85A1A">
        <w:t xml:space="preserve">nitially intended to </w:t>
      </w:r>
      <w:r>
        <w:t xml:space="preserve">act as </w:t>
      </w:r>
      <w:r w:rsidRPr="00B85A1A">
        <w:t xml:space="preserve">model regulations for </w:t>
      </w:r>
      <w:r>
        <w:t xml:space="preserve">adoption in each </w:t>
      </w:r>
      <w:r w:rsidRPr="00B85A1A">
        <w:t>jurisdiction</w:t>
      </w:r>
      <w:r w:rsidR="0077435D">
        <w:t>;</w:t>
      </w:r>
      <w:r w:rsidRPr="00B85A1A">
        <w:t xml:space="preserve"> </w:t>
      </w:r>
      <w:r>
        <w:t>however</w:t>
      </w:r>
      <w:r w:rsidR="00834BC0">
        <w:t>,</w:t>
      </w:r>
      <w:r>
        <w:t xml:space="preserve"> statutory requirements in </w:t>
      </w:r>
      <w:r w:rsidRPr="00B85A1A">
        <w:t>jurisdiction</w:t>
      </w:r>
      <w:r>
        <w:t>al legislation</w:t>
      </w:r>
      <w:r w:rsidRPr="00B85A1A">
        <w:t xml:space="preserve"> </w:t>
      </w:r>
      <w:r>
        <w:t xml:space="preserve">prevented </w:t>
      </w:r>
      <w:r w:rsidR="003B50CA">
        <w:t>this from occurring</w:t>
      </w:r>
      <w:r w:rsidRPr="00E604F9">
        <w:t xml:space="preserve">. </w:t>
      </w:r>
      <w:r>
        <w:t xml:space="preserve">While the </w:t>
      </w:r>
      <w:r w:rsidRPr="00380B69">
        <w:t>National Standards delivered greater national consistency in the areas of hazardous chemicals, occupational licensing and noise</w:t>
      </w:r>
      <w:r>
        <w:t xml:space="preserve">, there were </w:t>
      </w:r>
      <w:r w:rsidRPr="00E604F9">
        <w:t>significant differences nation</w:t>
      </w:r>
      <w:r>
        <w:t>-</w:t>
      </w:r>
      <w:r w:rsidRPr="00E604F9">
        <w:t xml:space="preserve">wide regarding which </w:t>
      </w:r>
      <w:r>
        <w:t>National S</w:t>
      </w:r>
      <w:r w:rsidRPr="003862FA">
        <w:t xml:space="preserve">tandards were adopted, how jurisdictions drafted and applied them and whether they were adopted as a </w:t>
      </w:r>
      <w:r w:rsidR="008E4A2C">
        <w:t>C</w:t>
      </w:r>
      <w:r w:rsidRPr="003862FA">
        <w:t xml:space="preserve">ode of </w:t>
      </w:r>
      <w:r w:rsidR="008E4A2C">
        <w:t>P</w:t>
      </w:r>
      <w:r w:rsidRPr="003862FA">
        <w:t xml:space="preserve">ractice or regulation. </w:t>
      </w:r>
    </w:p>
    <w:p w:rsidR="00242D67" w:rsidRPr="003862FA" w:rsidRDefault="00242D67" w:rsidP="00F00C9B">
      <w:r w:rsidRPr="00E604F9">
        <w:t xml:space="preserve">The process of harmonising </w:t>
      </w:r>
      <w:r>
        <w:t>what w</w:t>
      </w:r>
      <w:r w:rsidR="000055AB">
        <w:t>ere</w:t>
      </w:r>
      <w:r>
        <w:t xml:space="preserve"> </w:t>
      </w:r>
      <w:r w:rsidRPr="00E604F9">
        <w:t>then occupational health and safety</w:t>
      </w:r>
      <w:r w:rsidR="0077435D">
        <w:t xml:space="preserve"> (OHS)</w:t>
      </w:r>
      <w:r w:rsidRPr="003862FA">
        <w:t xml:space="preserve"> laws was initiated by the Council of Australian Governments (COAG) </w:t>
      </w:r>
      <w:r>
        <w:t xml:space="preserve">under the </w:t>
      </w:r>
      <w:r w:rsidRPr="003862FA">
        <w:t>National Reform Agenda</w:t>
      </w:r>
      <w:r w:rsidR="00834BC0">
        <w:t>,</w:t>
      </w:r>
      <w:r w:rsidRPr="003862FA">
        <w:t xml:space="preserve"> </w:t>
      </w:r>
      <w:r>
        <w:t xml:space="preserve">which sought </w:t>
      </w:r>
      <w:r w:rsidRPr="003862FA">
        <w:t xml:space="preserve">to reduce regulatory burden and create a seamless national economy. </w:t>
      </w:r>
      <w:r w:rsidR="002B5453">
        <w:t xml:space="preserve">In 2008, </w:t>
      </w:r>
      <w:r w:rsidRPr="003862FA">
        <w:t>COAG signed</w:t>
      </w:r>
      <w:r w:rsidR="000055AB">
        <w:t xml:space="preserve"> the</w:t>
      </w:r>
      <w:r w:rsidRPr="003862FA">
        <w:t xml:space="preserve"> </w:t>
      </w:r>
      <w:r>
        <w:t>IGA</w:t>
      </w:r>
      <w:r w:rsidRPr="003862FA">
        <w:t xml:space="preserve"> committing all jurisdictions to harmonising legislation by 1 January 2012. The IGA set out the principles and processes for cooperation between the Commonwealth, states and </w:t>
      </w:r>
      <w:r w:rsidRPr="00B85A1A">
        <w:t xml:space="preserve">territories and authorised WHS ministers to make decisions about a model WHS Act, regulations and </w:t>
      </w:r>
      <w:r w:rsidR="008E4A2C">
        <w:t>C</w:t>
      </w:r>
      <w:r w:rsidRPr="00B85A1A">
        <w:t xml:space="preserve">odes of </w:t>
      </w:r>
      <w:r w:rsidR="008E4A2C">
        <w:t>P</w:t>
      </w:r>
      <w:r w:rsidRPr="00B85A1A">
        <w:t>ractice and a consistent compliance and</w:t>
      </w:r>
      <w:r w:rsidRPr="003862FA">
        <w:t xml:space="preserve"> </w:t>
      </w:r>
      <w:r w:rsidR="00F00C9B">
        <w:t>enforcement policy.</w:t>
      </w:r>
    </w:p>
    <w:p w:rsidR="00242D67" w:rsidRPr="003862FA" w:rsidRDefault="00242D67" w:rsidP="00F00C9B">
      <w:r w:rsidRPr="00E604F9">
        <w:t>WHS ministers agreed model legislation was the most effective way to achieve harmonisation. An</w:t>
      </w:r>
      <w:r w:rsidR="00F776EB">
        <w:t> </w:t>
      </w:r>
      <w:r w:rsidRPr="00E604F9">
        <w:t>advisory panel was established to undertake a national review and</w:t>
      </w:r>
      <w:r w:rsidRPr="003862FA">
        <w:t xml:space="preserve"> report on the optimal structure and content of model </w:t>
      </w:r>
      <w:r w:rsidR="00F776EB">
        <w:t>OHS</w:t>
      </w:r>
      <w:r w:rsidR="00F776EB" w:rsidRPr="003862FA">
        <w:t xml:space="preserve"> </w:t>
      </w:r>
      <w:r w:rsidRPr="003862FA">
        <w:t xml:space="preserve">legislation capable of being </w:t>
      </w:r>
      <w:r>
        <w:t>implemented</w:t>
      </w:r>
      <w:r w:rsidRPr="003862FA">
        <w:t xml:space="preserve"> in all jurisd</w:t>
      </w:r>
      <w:r w:rsidRPr="00B85A1A">
        <w:t xml:space="preserve">ictions. </w:t>
      </w:r>
      <w:r w:rsidR="0068469A">
        <w:t xml:space="preserve">This is referred to as the 2008 National </w:t>
      </w:r>
      <w:r w:rsidR="005828E0">
        <w:t>r</w:t>
      </w:r>
      <w:r w:rsidR="0068469A">
        <w:t xml:space="preserve">eview. </w:t>
      </w:r>
      <w:r w:rsidRPr="00B85A1A">
        <w:t xml:space="preserve">The panel </w:t>
      </w:r>
      <w:r>
        <w:t xml:space="preserve">put forward 232 recommendations over two reports (the </w:t>
      </w:r>
      <w:r w:rsidRPr="00B85A1A">
        <w:t xml:space="preserve">first </w:t>
      </w:r>
      <w:r>
        <w:t xml:space="preserve">in </w:t>
      </w:r>
      <w:r w:rsidRPr="00B85A1A">
        <w:t>October 2008</w:t>
      </w:r>
      <w:r>
        <w:t xml:space="preserve">, the second in </w:t>
      </w:r>
      <w:r w:rsidRPr="00B85A1A">
        <w:t>January 2009</w:t>
      </w:r>
      <w:r>
        <w:t>)</w:t>
      </w:r>
      <w:r w:rsidRPr="00B85A1A">
        <w:t>.</w:t>
      </w:r>
      <w:r w:rsidR="005F2929">
        <w:rPr>
          <w:rStyle w:val="FootnoteReference"/>
        </w:rPr>
        <w:footnoteReference w:id="7"/>
      </w:r>
    </w:p>
    <w:p w:rsidR="00242D67" w:rsidRDefault="00242D67" w:rsidP="00F00C9B">
      <w:r w:rsidRPr="00E604F9">
        <w:t xml:space="preserve">In June 2009, WHS ministers formally responded to the </w:t>
      </w:r>
      <w:r w:rsidR="003B4D43">
        <w:t xml:space="preserve">2008 National </w:t>
      </w:r>
      <w:r w:rsidRPr="00E604F9">
        <w:t xml:space="preserve">review’s recommendations, setting the parameters for drafting the model WHS laws. On 1 July 2009, Safe Work Australia was formally established under the </w:t>
      </w:r>
      <w:r w:rsidRPr="00E604F9">
        <w:rPr>
          <w:i/>
        </w:rPr>
        <w:t>Safe Work Austr</w:t>
      </w:r>
      <w:r w:rsidRPr="003862FA">
        <w:rPr>
          <w:i/>
        </w:rPr>
        <w:t>alia Act 2008</w:t>
      </w:r>
      <w:r w:rsidR="000055AB">
        <w:t xml:space="preserve"> (</w:t>
      </w:r>
      <w:proofErr w:type="spellStart"/>
      <w:r w:rsidR="000055AB">
        <w:t>Cth</w:t>
      </w:r>
      <w:proofErr w:type="spellEnd"/>
      <w:r w:rsidR="000055AB">
        <w:t>)</w:t>
      </w:r>
      <w:r w:rsidRPr="003862FA">
        <w:t>. Progressing harmonisation was to be its primary focus</w:t>
      </w:r>
      <w:r w:rsidR="000055AB">
        <w:t xml:space="preserve">, </w:t>
      </w:r>
      <w:r w:rsidRPr="003862FA">
        <w:t xml:space="preserve">with the Act also providing a statutory role for </w:t>
      </w:r>
      <w:r>
        <w:t>Safe Work Australia</w:t>
      </w:r>
      <w:r w:rsidRPr="003862FA">
        <w:t xml:space="preserve"> in evaluating and</w:t>
      </w:r>
      <w:r w:rsidR="00F776EB">
        <w:t>,</w:t>
      </w:r>
      <w:r w:rsidRPr="003862FA">
        <w:t xml:space="preserve"> if necessary</w:t>
      </w:r>
      <w:r w:rsidR="00F776EB">
        <w:t>,</w:t>
      </w:r>
      <w:r w:rsidRPr="003862FA">
        <w:t xml:space="preserve"> revising the model WHS laws. </w:t>
      </w:r>
    </w:p>
    <w:p w:rsidR="00242D67" w:rsidRPr="00F00C9B" w:rsidRDefault="00242D67" w:rsidP="00F00C9B">
      <w:r w:rsidRPr="003862FA">
        <w:t xml:space="preserve">Safe Work Australia released a draft model WHS Act for public comment in September 2009. A total of 480 submissions were received, which resulted in a number of amendments. WHS ministers endorsed a revised </w:t>
      </w:r>
      <w:r>
        <w:t xml:space="preserve">version in </w:t>
      </w:r>
      <w:r w:rsidRPr="003862FA">
        <w:t>December</w:t>
      </w:r>
      <w:r>
        <w:t xml:space="preserve"> 2009 and</w:t>
      </w:r>
      <w:r w:rsidR="00F776EB">
        <w:t>,</w:t>
      </w:r>
      <w:r>
        <w:t xml:space="preserve"> following some </w:t>
      </w:r>
      <w:r w:rsidRPr="003862FA">
        <w:t>further technical and drafting amendments</w:t>
      </w:r>
      <w:r>
        <w:t>,</w:t>
      </w:r>
      <w:r w:rsidRPr="003862FA">
        <w:t xml:space="preserve"> </w:t>
      </w:r>
      <w:r>
        <w:t>a</w:t>
      </w:r>
      <w:r w:rsidRPr="003862FA">
        <w:t xml:space="preserve"> final version of the model WHS Act was published on the Safe Work Australia website</w:t>
      </w:r>
      <w:r>
        <w:t xml:space="preserve"> in </w:t>
      </w:r>
      <w:r w:rsidRPr="00BD1468">
        <w:t>April 2010</w:t>
      </w:r>
      <w:r w:rsidRPr="003862FA">
        <w:t xml:space="preserve">. It was followed by draft model WHS Regulations and </w:t>
      </w:r>
      <w:r>
        <w:t xml:space="preserve">two </w:t>
      </w:r>
      <w:r w:rsidRPr="003862FA">
        <w:t>tranche</w:t>
      </w:r>
      <w:r>
        <w:t>s</w:t>
      </w:r>
      <w:r w:rsidRPr="003862FA">
        <w:t xml:space="preserve"> of draft </w:t>
      </w:r>
      <w:r>
        <w:t xml:space="preserve">model Codes </w:t>
      </w:r>
      <w:r w:rsidRPr="003862FA">
        <w:t>for public comment. The model WHS Regulations were finalised in November 2010 and 23</w:t>
      </w:r>
      <w:r>
        <w:t> </w:t>
      </w:r>
      <w:r w:rsidRPr="003862FA">
        <w:t>model Codes were published between Dece</w:t>
      </w:r>
      <w:r w:rsidRPr="00B85A1A">
        <w:t>mber 2011 and</w:t>
      </w:r>
      <w:r w:rsidRPr="003862FA">
        <w:t xml:space="preserve"> July 2012. An additional model Code on </w:t>
      </w:r>
      <w:r w:rsidR="00F776EB">
        <w:t xml:space="preserve">managing risks in </w:t>
      </w:r>
      <w:r w:rsidRPr="003862FA">
        <w:t xml:space="preserve">stevedoring was </w:t>
      </w:r>
      <w:r>
        <w:t>published</w:t>
      </w:r>
      <w:r w:rsidRPr="003862FA">
        <w:t xml:space="preserve"> in December 2016.</w:t>
      </w:r>
    </w:p>
    <w:p w:rsidR="00242D67" w:rsidRPr="00F00C9B" w:rsidRDefault="00242D67" w:rsidP="00F00C9B">
      <w:pPr>
        <w:pStyle w:val="2018ReviewSectionnumberingheading"/>
      </w:pPr>
      <w:bookmarkStart w:id="6" w:name="_Toc506794167"/>
      <w:r w:rsidRPr="00F00C9B">
        <w:t>Previous reviews of the model WHS laws</w:t>
      </w:r>
      <w:bookmarkEnd w:id="6"/>
    </w:p>
    <w:p w:rsidR="00242D67" w:rsidRDefault="00242D67" w:rsidP="00F00C9B">
      <w:r w:rsidRPr="003862FA">
        <w:t>There have been two national reviews of the model WHS laws, both focus</w:t>
      </w:r>
      <w:r>
        <w:t>ed</w:t>
      </w:r>
      <w:r w:rsidRPr="003862FA">
        <w:t xml:space="preserve"> on reducing </w:t>
      </w:r>
      <w:r w:rsidR="00E52000">
        <w:t xml:space="preserve">unnecessary </w:t>
      </w:r>
      <w:r w:rsidRPr="003862FA">
        <w:t xml:space="preserve">regulatory burden. </w:t>
      </w:r>
    </w:p>
    <w:p w:rsidR="00242D67" w:rsidRPr="00B85A1A" w:rsidRDefault="00242D67" w:rsidP="00F00C9B">
      <w:r w:rsidRPr="003862FA">
        <w:t xml:space="preserve">The first was initiated </w:t>
      </w:r>
      <w:r>
        <w:t xml:space="preserve">by </w:t>
      </w:r>
      <w:r w:rsidRPr="003862FA">
        <w:t>COAG</w:t>
      </w:r>
      <w:r>
        <w:rPr>
          <w:rFonts w:cstheme="minorHAnsi"/>
        </w:rPr>
        <w:t xml:space="preserve">, which </w:t>
      </w:r>
      <w:r w:rsidRPr="00932800">
        <w:rPr>
          <w:rFonts w:cstheme="minorHAnsi"/>
        </w:rPr>
        <w:t>asked WHS ministers</w:t>
      </w:r>
      <w:r>
        <w:rPr>
          <w:rFonts w:cstheme="minorHAnsi"/>
        </w:rPr>
        <w:t xml:space="preserve"> to</w:t>
      </w:r>
      <w:r w:rsidRPr="003862FA">
        <w:rPr>
          <w:rFonts w:cstheme="minorHAnsi"/>
        </w:rPr>
        <w:t xml:space="preserve"> </w:t>
      </w:r>
      <w:r>
        <w:rPr>
          <w:rFonts w:cstheme="minorHAnsi"/>
        </w:rPr>
        <w:t xml:space="preserve">investigate </w:t>
      </w:r>
      <w:r w:rsidRPr="00CF512A">
        <w:rPr>
          <w:rFonts w:cstheme="minorHAnsi"/>
        </w:rPr>
        <w:t xml:space="preserve">ways </w:t>
      </w:r>
      <w:r>
        <w:rPr>
          <w:rFonts w:cstheme="minorHAnsi"/>
        </w:rPr>
        <w:t xml:space="preserve">to reduce ‘red tape’ in </w:t>
      </w:r>
      <w:r w:rsidRPr="00CF512A">
        <w:rPr>
          <w:rFonts w:cstheme="minorHAnsi"/>
        </w:rPr>
        <w:t xml:space="preserve">the model WHS Act </w:t>
      </w:r>
      <w:r w:rsidRPr="00F871E0">
        <w:rPr>
          <w:rFonts w:cstheme="minorHAnsi"/>
        </w:rPr>
        <w:t>by the end of 2014</w:t>
      </w:r>
      <w:r w:rsidRPr="003862FA">
        <w:rPr>
          <w:rFonts w:cstheme="minorHAnsi"/>
        </w:rPr>
        <w:t>.</w:t>
      </w:r>
      <w:r>
        <w:rPr>
          <w:rFonts w:cstheme="minorHAnsi"/>
        </w:rPr>
        <w:t xml:space="preserve"> </w:t>
      </w:r>
      <w:r w:rsidR="00B72CD7">
        <w:rPr>
          <w:rFonts w:cstheme="minorHAnsi"/>
        </w:rPr>
        <w:t xml:space="preserve"> </w:t>
      </w:r>
      <w:r>
        <w:rPr>
          <w:rFonts w:cstheme="minorHAnsi"/>
        </w:rPr>
        <w:t>A number of a</w:t>
      </w:r>
      <w:r w:rsidRPr="003862FA">
        <w:rPr>
          <w:rFonts w:cstheme="minorHAnsi"/>
        </w:rPr>
        <w:t xml:space="preserve">mendments </w:t>
      </w:r>
      <w:r>
        <w:rPr>
          <w:rFonts w:cstheme="minorHAnsi"/>
        </w:rPr>
        <w:t xml:space="preserve">were </w:t>
      </w:r>
      <w:r w:rsidRPr="003862FA">
        <w:rPr>
          <w:rFonts w:cstheme="minorHAnsi"/>
        </w:rPr>
        <w:t>agreed by WHS ministers</w:t>
      </w:r>
      <w:r>
        <w:rPr>
          <w:rFonts w:cstheme="minorHAnsi"/>
        </w:rPr>
        <w:t xml:space="preserve"> (</w:t>
      </w:r>
      <w:r w:rsidRPr="003862FA">
        <w:rPr>
          <w:rFonts w:cstheme="minorHAnsi"/>
        </w:rPr>
        <w:t>cover</w:t>
      </w:r>
      <w:r>
        <w:rPr>
          <w:rFonts w:cstheme="minorHAnsi"/>
        </w:rPr>
        <w:t>ing</w:t>
      </w:r>
      <w:r w:rsidRPr="003862FA">
        <w:rPr>
          <w:rFonts w:cstheme="minorHAnsi"/>
        </w:rPr>
        <w:t xml:space="preserve"> </w:t>
      </w:r>
      <w:r w:rsidRPr="003862FA">
        <w:t xml:space="preserve">notice periods for WHS entry permit holders, the scope of </w:t>
      </w:r>
      <w:r w:rsidR="00DE60D2">
        <w:t>P</w:t>
      </w:r>
      <w:r w:rsidR="00DE60D2" w:rsidRPr="003862FA">
        <w:t xml:space="preserve">rovisional </w:t>
      </w:r>
      <w:r w:rsidR="00DE60D2">
        <w:t>I</w:t>
      </w:r>
      <w:r w:rsidRPr="003862FA">
        <w:t xml:space="preserve">mprovement </w:t>
      </w:r>
      <w:r w:rsidR="00DE60D2">
        <w:t>N</w:t>
      </w:r>
      <w:r w:rsidRPr="003862FA">
        <w:t>otices</w:t>
      </w:r>
      <w:r w:rsidR="003B4D43">
        <w:t xml:space="preserve"> (PINs) </w:t>
      </w:r>
      <w:r w:rsidRPr="003862FA">
        <w:t>and training for H</w:t>
      </w:r>
      <w:r w:rsidR="00017B76">
        <w:t>SR</w:t>
      </w:r>
      <w:r w:rsidR="002C17C1">
        <w:t>s</w:t>
      </w:r>
      <w:r>
        <w:t xml:space="preserve">) and </w:t>
      </w:r>
      <w:r w:rsidR="00DE60D2">
        <w:t>they were</w:t>
      </w:r>
      <w:r>
        <w:t xml:space="preserve"> </w:t>
      </w:r>
      <w:r w:rsidRPr="003862FA">
        <w:t>incorporated into the model WHS laws in August 2016</w:t>
      </w:r>
      <w:r>
        <w:t xml:space="preserve">. None of these amendments </w:t>
      </w:r>
      <w:r w:rsidRPr="003862FA">
        <w:t xml:space="preserve">have been </w:t>
      </w:r>
      <w:r>
        <w:t>implemented</w:t>
      </w:r>
      <w:r w:rsidRPr="003862FA">
        <w:t xml:space="preserve"> </w:t>
      </w:r>
      <w:r>
        <w:t>in</w:t>
      </w:r>
      <w:r w:rsidR="00F00C9B">
        <w:t xml:space="preserve"> a jurisdiction.</w:t>
      </w:r>
    </w:p>
    <w:p w:rsidR="00242D67" w:rsidRPr="00B85A1A" w:rsidRDefault="00242D67" w:rsidP="00F00C9B">
      <w:r w:rsidRPr="00B85A1A">
        <w:t xml:space="preserve">The second review was initiated by WHS ministers, who asked </w:t>
      </w:r>
      <w:r w:rsidR="00017B76">
        <w:t xml:space="preserve">the </w:t>
      </w:r>
      <w:r w:rsidRPr="00B85A1A">
        <w:t xml:space="preserve">Safe Work Australia </w:t>
      </w:r>
      <w:r w:rsidR="00017B76">
        <w:t xml:space="preserve">Agency </w:t>
      </w:r>
      <w:r w:rsidRPr="00B85A1A">
        <w:t xml:space="preserve">in December 2014 to review the model WHS Regulations to identify unnecessary regulatory burden. </w:t>
      </w:r>
      <w:r w:rsidRPr="003862FA">
        <w:t xml:space="preserve">WHS ministers </w:t>
      </w:r>
      <w:r w:rsidR="00645C61">
        <w:t xml:space="preserve">subsequently </w:t>
      </w:r>
      <w:r w:rsidRPr="003862FA">
        <w:t>agreed to</w:t>
      </w:r>
      <w:r>
        <w:t xml:space="preserve"> </w:t>
      </w:r>
      <w:r w:rsidR="00EB5F42">
        <w:t xml:space="preserve">16 </w:t>
      </w:r>
      <w:r w:rsidR="00645C61">
        <w:t xml:space="preserve">amendments to the </w:t>
      </w:r>
      <w:r w:rsidRPr="00D40AE8">
        <w:t>model WHS laws</w:t>
      </w:r>
      <w:r>
        <w:t xml:space="preserve"> </w:t>
      </w:r>
      <w:r w:rsidR="00EB5F42" w:rsidRPr="00146514">
        <w:t>which are currently being progressed</w:t>
      </w:r>
      <w:r w:rsidR="00DB736B">
        <w:t>.</w:t>
      </w:r>
    </w:p>
    <w:p w:rsidR="00242D67" w:rsidRPr="00F00C9B" w:rsidRDefault="00242D67" w:rsidP="00F00C9B">
      <w:pPr>
        <w:rPr>
          <w:rFonts w:cstheme="minorHAnsi"/>
        </w:rPr>
      </w:pPr>
      <w:r w:rsidRPr="00B85A1A">
        <w:rPr>
          <w:rFonts w:cstheme="minorHAnsi"/>
        </w:rPr>
        <w:t xml:space="preserve">In addition to the two national reviews, several </w:t>
      </w:r>
      <w:r>
        <w:rPr>
          <w:rFonts w:cstheme="minorHAnsi"/>
        </w:rPr>
        <w:t>states</w:t>
      </w:r>
      <w:r w:rsidRPr="00B85A1A">
        <w:rPr>
          <w:rFonts w:cstheme="minorHAnsi"/>
        </w:rPr>
        <w:t xml:space="preserve"> have undertaken reviews of the</w:t>
      </w:r>
      <w:r>
        <w:rPr>
          <w:rFonts w:cstheme="minorHAnsi"/>
        </w:rPr>
        <w:t xml:space="preserve"> model WHS laws implemented in the</w:t>
      </w:r>
      <w:r w:rsidRPr="00B85A1A">
        <w:rPr>
          <w:rFonts w:cstheme="minorHAnsi"/>
        </w:rPr>
        <w:t xml:space="preserve">ir </w:t>
      </w:r>
      <w:r>
        <w:rPr>
          <w:rFonts w:cstheme="minorHAnsi"/>
        </w:rPr>
        <w:t>jurisdiction</w:t>
      </w:r>
      <w:r w:rsidRPr="00B85A1A">
        <w:rPr>
          <w:rFonts w:cstheme="minorHAnsi"/>
        </w:rPr>
        <w:t>, including New South Wales, South Australia and Queensland</w:t>
      </w:r>
      <w:r w:rsidRPr="003862FA">
        <w:rPr>
          <w:rFonts w:cstheme="minorHAnsi"/>
        </w:rPr>
        <w:t>.</w:t>
      </w:r>
      <w:r w:rsidR="00603A89">
        <w:rPr>
          <w:rFonts w:cstheme="minorHAnsi"/>
        </w:rPr>
        <w:t xml:space="preserve"> </w:t>
      </w:r>
      <w:r w:rsidR="00E52000">
        <w:rPr>
          <w:rFonts w:cstheme="minorHAnsi"/>
        </w:rPr>
        <w:t xml:space="preserve">Throughout this </w:t>
      </w:r>
      <w:r w:rsidR="00C6416B">
        <w:rPr>
          <w:rFonts w:cstheme="minorHAnsi"/>
        </w:rPr>
        <w:t>discussion paper</w:t>
      </w:r>
      <w:r w:rsidR="00E52000">
        <w:rPr>
          <w:rFonts w:cstheme="minorHAnsi"/>
        </w:rPr>
        <w:t xml:space="preserve">, </w:t>
      </w:r>
      <w:r w:rsidR="00B7286D">
        <w:rPr>
          <w:rFonts w:cstheme="minorHAnsi"/>
        </w:rPr>
        <w:t>there are references</w:t>
      </w:r>
      <w:r w:rsidR="00E52000">
        <w:rPr>
          <w:rFonts w:cstheme="minorHAnsi"/>
        </w:rPr>
        <w:t xml:space="preserve"> to issues raised and recommendations made in these reviews.</w:t>
      </w:r>
    </w:p>
    <w:p w:rsidR="00242D67" w:rsidRPr="00F00C9B" w:rsidRDefault="00242D67" w:rsidP="00F00C9B">
      <w:pPr>
        <w:pStyle w:val="2018ReviewSectionnumberingheading"/>
      </w:pPr>
      <w:bookmarkStart w:id="7" w:name="_Toc506794168"/>
      <w:r w:rsidRPr="00F00C9B">
        <w:lastRenderedPageBreak/>
        <w:t>The Review</w:t>
      </w:r>
      <w:bookmarkEnd w:id="7"/>
      <w:r w:rsidRPr="00F00C9B">
        <w:t xml:space="preserve"> </w:t>
      </w:r>
    </w:p>
    <w:p w:rsidR="00242D67" w:rsidRPr="00BD1468" w:rsidRDefault="00242D67" w:rsidP="00A11163">
      <w:r w:rsidRPr="00BD1468">
        <w:t>When the model WHS laws were being developed, WHS ministers agreed that they should be reviewed every five years</w:t>
      </w:r>
      <w:r w:rsidR="00DB736B">
        <w:t>.</w:t>
      </w:r>
      <w:r w:rsidRPr="00BD1468">
        <w:rPr>
          <w:rStyle w:val="FootnoteReference"/>
          <w:sz w:val="22"/>
          <w:szCs w:val="22"/>
        </w:rPr>
        <w:footnoteReference w:id="8"/>
      </w:r>
      <w:r w:rsidRPr="00BD1468">
        <w:t xml:space="preserve"> The first five yearly review was initially scheduled for 2016, but was postponed on the grounds that: there was insufficient evidence available due to the infancy of the model WHS laws; interim jurisdictional reviews indicated that there were no fundamental issues with the laws; </w:t>
      </w:r>
      <w:r>
        <w:t xml:space="preserve">and </w:t>
      </w:r>
      <w:r w:rsidRPr="00BD1468">
        <w:t xml:space="preserve">a series of outstanding amendments to the model </w:t>
      </w:r>
      <w:r>
        <w:t xml:space="preserve">WHS </w:t>
      </w:r>
      <w:r w:rsidRPr="00BD1468">
        <w:t>laws ha</w:t>
      </w:r>
      <w:r>
        <w:t>d</w:t>
      </w:r>
      <w:r w:rsidRPr="00BD1468">
        <w:t xml:space="preserve"> not been implemented in jurisdictions</w:t>
      </w:r>
      <w:r w:rsidR="000055AB">
        <w:t>.</w:t>
      </w:r>
      <w:r w:rsidRPr="00BD1468" w:rsidDel="00F776EB">
        <w:rPr>
          <w:rStyle w:val="FootnoteReference"/>
          <w:sz w:val="22"/>
          <w:szCs w:val="22"/>
        </w:rPr>
        <w:footnoteReference w:id="9"/>
      </w:r>
      <w:r w:rsidRPr="00BD1468">
        <w:t xml:space="preserve"> </w:t>
      </w:r>
    </w:p>
    <w:p w:rsidR="00242D67" w:rsidRPr="00BD1468" w:rsidRDefault="00242D67" w:rsidP="00F00C9B">
      <w:r w:rsidRPr="00BD1468">
        <w:t>Th</w:t>
      </w:r>
      <w:r w:rsidR="00017B76">
        <w:t>e</w:t>
      </w:r>
      <w:r>
        <w:t xml:space="preserve"> Review will be </w:t>
      </w:r>
      <w:r w:rsidRPr="00BD1468">
        <w:t xml:space="preserve">the first holistic review of the model WHS laws since their development. It will consider all aspects including the model WHS Act, the </w:t>
      </w:r>
      <w:r>
        <w:t xml:space="preserve">model </w:t>
      </w:r>
      <w:r w:rsidRPr="00BD1468">
        <w:t xml:space="preserve">WHS Regulations and the model Codes. It will also consider the </w:t>
      </w:r>
      <w:r w:rsidRPr="0048413D">
        <w:t>NCEP</w:t>
      </w:r>
      <w:r w:rsidRPr="00CA1B58">
        <w:t>.</w:t>
      </w:r>
    </w:p>
    <w:p w:rsidR="00242D67" w:rsidRPr="00BD1468" w:rsidRDefault="00242D67" w:rsidP="00F00C9B">
      <w:r w:rsidRPr="00BD1468">
        <w:t xml:space="preserve">The </w:t>
      </w:r>
      <w:r>
        <w:t>T</w:t>
      </w:r>
      <w:r w:rsidRPr="00BD1468">
        <w:t xml:space="preserve">erms of </w:t>
      </w:r>
      <w:r>
        <w:t>R</w:t>
      </w:r>
      <w:r w:rsidRPr="00BD1468">
        <w:t xml:space="preserve">eference for the </w:t>
      </w:r>
      <w:r>
        <w:t>R</w:t>
      </w:r>
      <w:r w:rsidRPr="00BD1468">
        <w:t xml:space="preserve">eview are at </w:t>
      </w:r>
      <w:r w:rsidRPr="00DE60D2">
        <w:t xml:space="preserve">Appendix </w:t>
      </w:r>
      <w:r w:rsidR="00DE60D2">
        <w:t>A</w:t>
      </w:r>
      <w:r w:rsidRPr="00BD1468">
        <w:t>. In summary, the</w:t>
      </w:r>
      <w:r>
        <w:t xml:space="preserve"> R</w:t>
      </w:r>
      <w:r w:rsidR="00F00C9B">
        <w:t>eview will investigate whether:</w:t>
      </w:r>
    </w:p>
    <w:p w:rsidR="00242D67" w:rsidRPr="00BD1468" w:rsidRDefault="00242D67" w:rsidP="00036D43">
      <w:pPr>
        <w:pStyle w:val="ListParagraph"/>
        <w:numPr>
          <w:ilvl w:val="0"/>
          <w:numId w:val="71"/>
        </w:numPr>
      </w:pPr>
      <w:r w:rsidRPr="00BD1468">
        <w:t>the model WHS laws are operating as intended</w:t>
      </w:r>
    </w:p>
    <w:p w:rsidR="00242D67" w:rsidRPr="00BD1468" w:rsidRDefault="00242D67" w:rsidP="00036D43">
      <w:pPr>
        <w:pStyle w:val="ListParagraph"/>
        <w:numPr>
          <w:ilvl w:val="0"/>
          <w:numId w:val="71"/>
        </w:numPr>
      </w:pPr>
      <w:r w:rsidRPr="00BD1468">
        <w:t xml:space="preserve">any areas of the model WHS laws have resulted in unintended consequences </w:t>
      </w:r>
    </w:p>
    <w:p w:rsidR="00242D67" w:rsidRPr="00BD1468" w:rsidRDefault="00242D67" w:rsidP="00036D43">
      <w:pPr>
        <w:pStyle w:val="ListParagraph"/>
        <w:numPr>
          <w:ilvl w:val="0"/>
          <w:numId w:val="71"/>
        </w:numPr>
      </w:pPr>
      <w:r w:rsidRPr="00BD1468">
        <w:t>the framework of duties is effective at protecting workers and other persons against harm to their health, safety and welfare and can adapt to changes in work organisation and relationships</w:t>
      </w:r>
      <w:r w:rsidR="0084095F">
        <w:t xml:space="preserve"> </w:t>
      </w:r>
    </w:p>
    <w:p w:rsidR="00242D67" w:rsidRPr="00BD1468" w:rsidRDefault="00242D67" w:rsidP="00036D43">
      <w:pPr>
        <w:pStyle w:val="ListParagraph"/>
        <w:numPr>
          <w:ilvl w:val="0"/>
          <w:numId w:val="71"/>
        </w:numPr>
      </w:pPr>
      <w:r w:rsidRPr="00BD1468">
        <w:t xml:space="preserve">the compliance and enforcement provisions, such as penalties and enforceable undertakings, are effective and sufficient to deter non-compliance with the legislation </w:t>
      </w:r>
    </w:p>
    <w:p w:rsidR="00242D67" w:rsidRPr="00BD1468" w:rsidRDefault="00242D67" w:rsidP="00036D43">
      <w:pPr>
        <w:pStyle w:val="ListParagraph"/>
        <w:numPr>
          <w:ilvl w:val="0"/>
          <w:numId w:val="71"/>
        </w:numPr>
      </w:pPr>
      <w:r w:rsidRPr="00BD1468">
        <w:t>the consultation, representation and issue resolution provisions are effective and used by duty holders; and workers are protected where they participate in these processes, and</w:t>
      </w:r>
    </w:p>
    <w:p w:rsidR="00242D67" w:rsidRPr="00BD1468" w:rsidRDefault="00242D67" w:rsidP="00036D43">
      <w:pPr>
        <w:pStyle w:val="ListParagraph"/>
        <w:numPr>
          <w:ilvl w:val="0"/>
          <w:numId w:val="71"/>
        </w:numPr>
      </w:pPr>
      <w:r w:rsidRPr="00BD1468">
        <w:t>the model WHS Regulations, model Codes and NCEP adequately support the object of the model WHS Act</w:t>
      </w:r>
      <w:r w:rsidR="00DB736B">
        <w:t>.</w:t>
      </w:r>
      <w:r w:rsidRPr="00BD1468">
        <w:rPr>
          <w:rStyle w:val="FootnoteReference"/>
          <w:sz w:val="22"/>
          <w:szCs w:val="22"/>
        </w:rPr>
        <w:footnoteReference w:id="10"/>
      </w:r>
      <w:r w:rsidR="00F00C9B">
        <w:t xml:space="preserve"> </w:t>
      </w:r>
    </w:p>
    <w:p w:rsidR="00242D67" w:rsidRPr="00BD1468" w:rsidRDefault="00242D67" w:rsidP="00F00C9B">
      <w:r w:rsidRPr="00BD1468">
        <w:t xml:space="preserve">In considering these matters, the </w:t>
      </w:r>
      <w:r>
        <w:t>R</w:t>
      </w:r>
      <w:r w:rsidRPr="00BD1468">
        <w:t>eview is required to be evidence</w:t>
      </w:r>
      <w:r>
        <w:t>-</w:t>
      </w:r>
      <w:r w:rsidRPr="00BD1468">
        <w:t xml:space="preserve">based and propose actions that may be taken by WHS ministers to improve the model WHS laws, or identify areas of the model WHS laws that require further assessment and analysis following the </w:t>
      </w:r>
      <w:r>
        <w:t>R</w:t>
      </w:r>
      <w:r w:rsidRPr="00BD1468">
        <w:t xml:space="preserve">eview. The </w:t>
      </w:r>
      <w:r>
        <w:t>R</w:t>
      </w:r>
      <w:r w:rsidRPr="00BD1468">
        <w:t>eview will pay particular regard to the object of the model WHS Act (</w:t>
      </w:r>
      <w:r w:rsidR="005F2929">
        <w:t>at</w:t>
      </w:r>
      <w:r w:rsidRPr="00BD1468">
        <w:t xml:space="preserve"> </w:t>
      </w:r>
      <w:r w:rsidRPr="00DE60D2">
        <w:t xml:space="preserve">Appendix </w:t>
      </w:r>
      <w:r w:rsidR="00DE60D2">
        <w:t>B</w:t>
      </w:r>
      <w:r w:rsidRPr="00BD1468">
        <w:t>).</w:t>
      </w:r>
    </w:p>
    <w:p w:rsidR="00242D67" w:rsidRPr="00BD1468" w:rsidRDefault="00242D67" w:rsidP="00C85C7F">
      <w:pPr>
        <w:pStyle w:val="ListParagraph"/>
        <w:ind w:left="0"/>
        <w:jc w:val="both"/>
        <w:rPr>
          <w:sz w:val="22"/>
          <w:szCs w:val="22"/>
        </w:rPr>
      </w:pPr>
    </w:p>
    <w:p w:rsidR="00242D67" w:rsidRDefault="00242D67" w:rsidP="00242D67">
      <w:pPr>
        <w:autoSpaceDE w:val="0"/>
        <w:autoSpaceDN w:val="0"/>
        <w:adjustRightInd w:val="0"/>
        <w:rPr>
          <w:sz w:val="22"/>
          <w:szCs w:val="22"/>
          <w:lang w:val="en-AU"/>
        </w:rPr>
      </w:pPr>
      <w:r w:rsidRPr="003862FA">
        <w:rPr>
          <w:sz w:val="22"/>
          <w:szCs w:val="22"/>
          <w:lang w:val="en-AU"/>
        </w:rPr>
        <w:br w:type="page"/>
      </w:r>
    </w:p>
    <w:p w:rsidR="005C6931" w:rsidRPr="00415852" w:rsidRDefault="00F00C9B" w:rsidP="005C6931">
      <w:pPr>
        <w:pStyle w:val="2018ReviewWhiteHeading"/>
        <w:numPr>
          <w:ilvl w:val="0"/>
          <w:numId w:val="34"/>
        </w:numPr>
        <w:ind w:left="357" w:hanging="357"/>
      </w:pPr>
      <w:bookmarkStart w:id="8" w:name="_Toc506794169"/>
      <w:r>
        <w:lastRenderedPageBreak/>
        <w:t>S</w:t>
      </w:r>
      <w:r w:rsidR="005C6931">
        <w:t>etting the scene</w:t>
      </w:r>
      <w:bookmarkEnd w:id="8"/>
    </w:p>
    <w:p w:rsidR="00242D67" w:rsidRDefault="00242D67" w:rsidP="00F00C9B">
      <w:pPr>
        <w:rPr>
          <w:sz w:val="22"/>
          <w:szCs w:val="22"/>
        </w:rPr>
      </w:pPr>
      <w:r w:rsidRPr="00F00C9B">
        <w:rPr>
          <w:szCs w:val="20"/>
        </w:rPr>
        <w:t xml:space="preserve">WHS outcomes in Australia have improved considerably over the last decade, with both the rate of serious workers’ compensation claims and the rate of worker fatalities falling significantly over this time. This </w:t>
      </w:r>
      <w:r w:rsidR="00DC198D">
        <w:rPr>
          <w:szCs w:val="20"/>
        </w:rPr>
        <w:t>chapter</w:t>
      </w:r>
      <w:r w:rsidR="00DC198D" w:rsidRPr="00F00C9B">
        <w:rPr>
          <w:szCs w:val="20"/>
        </w:rPr>
        <w:t xml:space="preserve"> </w:t>
      </w:r>
      <w:r w:rsidRPr="00F00C9B">
        <w:rPr>
          <w:szCs w:val="20"/>
        </w:rPr>
        <w:t xml:space="preserve">of the </w:t>
      </w:r>
      <w:r w:rsidR="00C6416B">
        <w:rPr>
          <w:szCs w:val="20"/>
        </w:rPr>
        <w:t>discussion paper</w:t>
      </w:r>
      <w:r w:rsidRPr="00F00C9B">
        <w:rPr>
          <w:szCs w:val="20"/>
        </w:rPr>
        <w:t xml:space="preserve"> provides a brief overview of key trends </w:t>
      </w:r>
      <w:r w:rsidR="00F776EB">
        <w:rPr>
          <w:szCs w:val="20"/>
        </w:rPr>
        <w:t>using available data</w:t>
      </w:r>
      <w:r w:rsidRPr="00F00C9B">
        <w:rPr>
          <w:szCs w:val="20"/>
        </w:rPr>
        <w:t>.</w:t>
      </w:r>
      <w:r w:rsidRPr="00BC4A9F">
        <w:rPr>
          <w:szCs w:val="20"/>
        </w:rPr>
        <w:t xml:space="preserve"> </w:t>
      </w:r>
    </w:p>
    <w:p w:rsidR="00242D67" w:rsidRPr="005109D9" w:rsidRDefault="00242D67" w:rsidP="005109D9">
      <w:pPr>
        <w:pStyle w:val="2018ReviewSectionnumberingheading"/>
        <w:rPr>
          <w:b w:val="0"/>
        </w:rPr>
      </w:pPr>
      <w:bookmarkStart w:id="9" w:name="_Toc506794170"/>
      <w:r w:rsidRPr="005109D9">
        <w:t>Serious claims</w:t>
      </w:r>
      <w:bookmarkEnd w:id="9"/>
    </w:p>
    <w:p w:rsidR="00242D67" w:rsidRPr="00B85A1A" w:rsidRDefault="00242D67" w:rsidP="00B94C25">
      <w:pPr>
        <w:rPr>
          <w:b/>
          <w:sz w:val="22"/>
          <w:szCs w:val="22"/>
        </w:rPr>
      </w:pPr>
      <w:r>
        <w:t xml:space="preserve">Since the introduction of the model WHS laws, the </w:t>
      </w:r>
      <w:r w:rsidRPr="00A11163">
        <w:rPr>
          <w:u w:val="single"/>
        </w:rPr>
        <w:t>frequency rate</w:t>
      </w:r>
      <w:r w:rsidRPr="003862FA">
        <w:t xml:space="preserve"> of serious claims has fallen by </w:t>
      </w:r>
      <w:r>
        <w:t>23</w:t>
      </w:r>
      <w:r w:rsidR="00F776EB">
        <w:t> </w:t>
      </w:r>
      <w:r>
        <w:t>per</w:t>
      </w:r>
      <w:r w:rsidR="00F776EB">
        <w:t> </w:t>
      </w:r>
      <w:r>
        <w:t>cent</w:t>
      </w:r>
      <w:r>
        <w:rPr>
          <w:rStyle w:val="FootnoteReference"/>
          <w:sz w:val="22"/>
          <w:szCs w:val="22"/>
        </w:rPr>
        <w:footnoteReference w:id="11"/>
      </w:r>
      <w:r>
        <w:t xml:space="preserve"> and there has been a </w:t>
      </w:r>
      <w:r w:rsidRPr="003862FA">
        <w:t xml:space="preserve">dramatic reduction in the </w:t>
      </w:r>
      <w:r w:rsidRPr="00A11163">
        <w:rPr>
          <w:u w:val="single"/>
        </w:rPr>
        <w:t>number of claims</w:t>
      </w:r>
      <w:r w:rsidRPr="003862FA">
        <w:t xml:space="preserve">, down by </w:t>
      </w:r>
      <w:r>
        <w:t>18 per cent (see Figure 1). T</w:t>
      </w:r>
      <w:r w:rsidRPr="00E604F9">
        <w:t xml:space="preserve">he frequency rate of serious claims </w:t>
      </w:r>
      <w:r>
        <w:t xml:space="preserve">has also similarly fallen </w:t>
      </w:r>
      <w:r w:rsidRPr="00E604F9">
        <w:t>across all jurisdictions</w:t>
      </w:r>
      <w:r>
        <w:t xml:space="preserve">. </w:t>
      </w:r>
    </w:p>
    <w:p w:rsidR="00242D67" w:rsidRPr="00B85A1A" w:rsidRDefault="00242D67" w:rsidP="009626F8">
      <w:pPr>
        <w:pStyle w:val="2018ReviewTableheader"/>
      </w:pPr>
      <w:r w:rsidRPr="00B85A1A">
        <w:t xml:space="preserve">Figure 1: Serious workers’ compensation claims – number, frequency rate and median time lost, 2006-07 to 2015-16 </w:t>
      </w:r>
    </w:p>
    <w:p w:rsidR="00982FBB" w:rsidRDefault="001A6B1E" w:rsidP="00242D67">
      <w:pPr>
        <w:rPr>
          <w:sz w:val="22"/>
          <w:szCs w:val="22"/>
        </w:rPr>
      </w:pPr>
      <w:r>
        <w:rPr>
          <w:noProof/>
          <w:sz w:val="22"/>
          <w:szCs w:val="22"/>
          <w:lang w:val="en-AU"/>
        </w:rPr>
        <w:drawing>
          <wp:inline distT="0" distB="0" distL="0" distR="0" wp14:anchorId="5B93C7DF" wp14:editId="4F679DC9">
            <wp:extent cx="5600700" cy="3133725"/>
            <wp:effectExtent l="0" t="0" r="0" b="9525"/>
            <wp:docPr id="6" name="Picture 6" descr="Line graph for period 2006-07 to 20015-16, showing decrease in frequency rate of serious claims per million hours worked, decrease in number of serious claims, and increase in median time lost.  Frequency rate fell from 8.1 serious claims per million hours worked to 5.6 serious claims per million hours worked. Number of serious claims fell from 129,430 to 104,770. Median time lost increased from approximately 4.4 weeks to 5.6 weeks." title="Serious workers’ compensation claims – number, frequency rate and median time lost, 2006-07 to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6102" cy="3142343"/>
                    </a:xfrm>
                    <a:prstGeom prst="rect">
                      <a:avLst/>
                    </a:prstGeom>
                    <a:noFill/>
                  </pic:spPr>
                </pic:pic>
              </a:graphicData>
            </a:graphic>
          </wp:inline>
        </w:drawing>
      </w:r>
    </w:p>
    <w:p w:rsidR="00982FBB" w:rsidRPr="00866B4B" w:rsidRDefault="00982FBB" w:rsidP="00242D67">
      <w:pPr>
        <w:rPr>
          <w:sz w:val="18"/>
          <w:szCs w:val="22"/>
        </w:rPr>
      </w:pPr>
      <w:r w:rsidRPr="00866B4B">
        <w:rPr>
          <w:sz w:val="18"/>
          <w:szCs w:val="22"/>
        </w:rPr>
        <w:t>Source: Safe Work Australia, National Data Set for Compensation-based Statistics, 2015-16</w:t>
      </w:r>
    </w:p>
    <w:p w:rsidR="00242D67" w:rsidRPr="005109D9" w:rsidRDefault="00242D67" w:rsidP="005109D9">
      <w:pPr>
        <w:pStyle w:val="2018ReviewSectionnumberingheading"/>
        <w:rPr>
          <w:b w:val="0"/>
        </w:rPr>
      </w:pPr>
      <w:bookmarkStart w:id="10" w:name="_Toc506794171"/>
      <w:r w:rsidRPr="005109D9">
        <w:t>Worker fatalities</w:t>
      </w:r>
      <w:bookmarkEnd w:id="10"/>
    </w:p>
    <w:p w:rsidR="00242D67" w:rsidRPr="003862FA" w:rsidRDefault="00242D67" w:rsidP="00F00C9B">
      <w:r w:rsidRPr="003862FA">
        <w:t xml:space="preserve">Both the number and rate of worker fatalities have been trending down over the last decade. Since the peak in 2007, the </w:t>
      </w:r>
      <w:r w:rsidRPr="00A11163">
        <w:rPr>
          <w:u w:val="single"/>
        </w:rPr>
        <w:t>number</w:t>
      </w:r>
      <w:r w:rsidRPr="003862FA">
        <w:t xml:space="preserve"> of worker fatalities </w:t>
      </w:r>
      <w:r>
        <w:t xml:space="preserve">has fallen by over 40 per cent, </w:t>
      </w:r>
      <w:r w:rsidRPr="003862FA">
        <w:t xml:space="preserve">while the </w:t>
      </w:r>
      <w:r w:rsidRPr="00A11163">
        <w:rPr>
          <w:u w:val="single"/>
        </w:rPr>
        <w:t>fatality rate</w:t>
      </w:r>
      <w:r w:rsidRPr="003862FA">
        <w:t xml:space="preserve"> has halved</w:t>
      </w:r>
      <w:r>
        <w:t xml:space="preserve"> (see Figure 2).</w:t>
      </w:r>
    </w:p>
    <w:p w:rsidR="00242D67" w:rsidRPr="00B85A1A" w:rsidRDefault="00242D67" w:rsidP="00242D67">
      <w:pPr>
        <w:rPr>
          <w:sz w:val="22"/>
          <w:szCs w:val="22"/>
        </w:rPr>
      </w:pPr>
    </w:p>
    <w:p w:rsidR="00242D67" w:rsidRPr="003862FA" w:rsidRDefault="00242D67" w:rsidP="009626F8">
      <w:pPr>
        <w:pStyle w:val="2018ReviewTableheader"/>
      </w:pPr>
      <w:r w:rsidRPr="00B85A1A">
        <w:lastRenderedPageBreak/>
        <w:t xml:space="preserve">Figure </w:t>
      </w:r>
      <w:r>
        <w:t>2</w:t>
      </w:r>
      <w:r w:rsidRPr="003862FA">
        <w:t>: Worker fatalities – number and fatality rate (fatalities per 100,000 workers), 2003 to 2016</w:t>
      </w:r>
    </w:p>
    <w:p w:rsidR="00242D67" w:rsidRDefault="00242D67" w:rsidP="00242D67">
      <w:pPr>
        <w:rPr>
          <w:sz w:val="22"/>
          <w:szCs w:val="22"/>
        </w:rPr>
      </w:pPr>
      <w:r w:rsidRPr="00E0399F">
        <w:rPr>
          <w:noProof/>
          <w:sz w:val="22"/>
          <w:szCs w:val="22"/>
          <w:lang w:val="en-AU"/>
        </w:rPr>
        <w:drawing>
          <wp:inline distT="0" distB="0" distL="0" distR="0" wp14:anchorId="244BA083" wp14:editId="0459778B">
            <wp:extent cx="5305425" cy="2524125"/>
            <wp:effectExtent l="0" t="0" r="0" b="0"/>
            <wp:docPr id="2" name="Chart 2" descr="Line graph from 2003 to 2016 showing decrease in number of fatalities and fatality rate.  Number of fatalities fell from 259 in 2003 to 182 in 2016.  Fatality rate fell from 2.7 fatalities per 100,000 workers in 2003 to 1.5 fatalities per 100,000 workers in 2016." title="Worker fatalities - number and fatality r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82FBB" w:rsidRPr="00866B4B" w:rsidRDefault="00982FBB" w:rsidP="00242D67">
      <w:pPr>
        <w:rPr>
          <w:sz w:val="18"/>
          <w:szCs w:val="22"/>
        </w:rPr>
      </w:pPr>
      <w:r w:rsidRPr="00866B4B">
        <w:rPr>
          <w:sz w:val="18"/>
          <w:szCs w:val="22"/>
        </w:rPr>
        <w:t>Source: Safe Work Australia, Work-related Traumatic Injury Fatalities data set, 2016</w:t>
      </w:r>
    </w:p>
    <w:p w:rsidR="00242D67" w:rsidRPr="005109D9" w:rsidRDefault="00242D67" w:rsidP="005109D9">
      <w:pPr>
        <w:pStyle w:val="2018ReviewSectionnumberingheading"/>
        <w:rPr>
          <w:b w:val="0"/>
        </w:rPr>
      </w:pPr>
      <w:bookmarkStart w:id="11" w:name="_Toc506794172"/>
      <w:r w:rsidRPr="005109D9">
        <w:t>Areas of risk</w:t>
      </w:r>
      <w:bookmarkEnd w:id="11"/>
      <w:r w:rsidRPr="005109D9">
        <w:t xml:space="preserve"> </w:t>
      </w:r>
    </w:p>
    <w:p w:rsidR="00242D67" w:rsidRDefault="00242D67" w:rsidP="005109D9">
      <w:r>
        <w:t>Almost 70</w:t>
      </w:r>
      <w:r w:rsidRPr="005C73CE">
        <w:t xml:space="preserve"> per cent of fatalities occur in just three industries</w:t>
      </w:r>
      <w:r>
        <w:t>: T</w:t>
      </w:r>
      <w:r w:rsidRPr="005C73CE">
        <w:t xml:space="preserve">ransport, postal and warehousing </w:t>
      </w:r>
      <w:r>
        <w:t xml:space="preserve">(which at </w:t>
      </w:r>
      <w:r w:rsidRPr="005C73CE">
        <w:t>4</w:t>
      </w:r>
      <w:r>
        <w:t>7</w:t>
      </w:r>
      <w:r w:rsidRPr="005C73CE">
        <w:t> fatalities</w:t>
      </w:r>
      <w:r w:rsidRPr="005C73CE" w:rsidDel="00EF1C46">
        <w:t xml:space="preserve"> </w:t>
      </w:r>
      <w:r w:rsidRPr="005C73CE">
        <w:t xml:space="preserve">accounted for more than a quarter </w:t>
      </w:r>
      <w:r>
        <w:t>of 2016 workplace deaths); A</w:t>
      </w:r>
      <w:r w:rsidRPr="005C73CE">
        <w:t xml:space="preserve">griculture, forestry and fishing industry (44 fatalities) and the </w:t>
      </w:r>
      <w:r>
        <w:t>C</w:t>
      </w:r>
      <w:r w:rsidRPr="005C73CE">
        <w:t>onstruction industry (35 fatalities).</w:t>
      </w:r>
      <w:r w:rsidR="0084095F">
        <w:t xml:space="preserve"> </w:t>
      </w:r>
      <w:r w:rsidRPr="005C73CE">
        <w:t xml:space="preserve">The </w:t>
      </w:r>
      <w:r>
        <w:t>A</w:t>
      </w:r>
      <w:r w:rsidRPr="005C73CE">
        <w:t xml:space="preserve">griculture, forestry and fishing and </w:t>
      </w:r>
      <w:r>
        <w:t>T</w:t>
      </w:r>
      <w:r w:rsidRPr="005C73CE">
        <w:t xml:space="preserve">ransport, postal and warehousing industries also recorded the highest </w:t>
      </w:r>
      <w:r w:rsidRPr="00A11163">
        <w:rPr>
          <w:u w:val="single"/>
        </w:rPr>
        <w:t>fatality rates</w:t>
      </w:r>
      <w:r w:rsidRPr="005C73CE">
        <w:t xml:space="preserve"> in 2016 (14.0 fatalities per 100,000 workers and 7.5 fatalities per 100,000 workers respectively).</w:t>
      </w:r>
      <w:r w:rsidR="0084095F">
        <w:t xml:space="preserve"> </w:t>
      </w:r>
    </w:p>
    <w:p w:rsidR="00242D67" w:rsidRDefault="00242D67" w:rsidP="009626F8">
      <w:r>
        <w:t xml:space="preserve">When it comes to </w:t>
      </w:r>
      <w:r w:rsidRPr="003862FA">
        <w:t xml:space="preserve">workplace injuries and diseases, the </w:t>
      </w:r>
      <w:r>
        <w:t>H</w:t>
      </w:r>
      <w:r w:rsidRPr="003862FA">
        <w:t xml:space="preserve">ealth care and social assistance industry accounted for the highest number of serious claims in 2015-16 (15 per cent), followed by </w:t>
      </w:r>
      <w:r>
        <w:t>M</w:t>
      </w:r>
      <w:r w:rsidRPr="003862FA">
        <w:t xml:space="preserve">anufacturing (12 per cent) and </w:t>
      </w:r>
      <w:r>
        <w:t>C</w:t>
      </w:r>
      <w:r w:rsidRPr="003862FA">
        <w:t>onstruction (12 per cent). Together, these industries accounted for almost 40 per cent of all serious claims, but represent less than 30 per cent of the workforce.</w:t>
      </w:r>
      <w:r w:rsidR="0084095F">
        <w:t xml:space="preserve"> </w:t>
      </w:r>
    </w:p>
    <w:p w:rsidR="00242D67" w:rsidRDefault="00242D67" w:rsidP="009626F8">
      <w:r w:rsidRPr="003862FA">
        <w:t xml:space="preserve">When controlling for workforce size, the frequency rate of serious claims was highest in the </w:t>
      </w:r>
      <w:r>
        <w:t>A</w:t>
      </w:r>
      <w:r w:rsidRPr="003862FA">
        <w:t xml:space="preserve">griculture, forestry and fishing industry (8.9 serious claims per million hours worked), followed by </w:t>
      </w:r>
      <w:r>
        <w:t>M</w:t>
      </w:r>
      <w:r w:rsidRPr="003862FA">
        <w:t xml:space="preserve">anufacturing (8.4 serious claims per million hours worked) and </w:t>
      </w:r>
      <w:r>
        <w:t>C</w:t>
      </w:r>
      <w:r w:rsidRPr="003862FA">
        <w:t>onstruction (8.0 serious claims per million hours worked).</w:t>
      </w:r>
    </w:p>
    <w:p w:rsidR="00242D67" w:rsidRPr="005109D9" w:rsidRDefault="00242D67" w:rsidP="005109D9">
      <w:pPr>
        <w:pStyle w:val="2018ReviewSectionnumberingheading"/>
        <w:rPr>
          <w:b w:val="0"/>
        </w:rPr>
      </w:pPr>
      <w:bookmarkStart w:id="12" w:name="_Toc506794173"/>
      <w:r w:rsidRPr="005109D9">
        <w:t>Impacts for the future</w:t>
      </w:r>
      <w:bookmarkEnd w:id="12"/>
    </w:p>
    <w:p w:rsidR="00242D67" w:rsidRDefault="00242D67" w:rsidP="009626F8">
      <w:r>
        <w:t xml:space="preserve">Changes in the nature of employment across Australia may have an impact on WHS outcomes in the future. </w:t>
      </w:r>
    </w:p>
    <w:p w:rsidR="00242D67" w:rsidRDefault="00242D67" w:rsidP="009626F8">
      <w:r>
        <w:t>Where people are employed is changing. Between 2012 and 2017 there has been significant growth in the service industries, with employment in the H</w:t>
      </w:r>
      <w:r w:rsidRPr="00F13A7C">
        <w:t xml:space="preserve">ealth care and social assistance industry up </w:t>
      </w:r>
      <w:r>
        <w:t>by over 20</w:t>
      </w:r>
      <w:r w:rsidRPr="00F13A7C">
        <w:t xml:space="preserve"> per cent</w:t>
      </w:r>
      <w:r>
        <w:t xml:space="preserve">. Given this industry’s share of serious claims for </w:t>
      </w:r>
      <w:r w:rsidRPr="001726E2">
        <w:t>workplace injuries and diseases</w:t>
      </w:r>
      <w:r>
        <w:t>, the predicted further growth could drive higher claim numbers over time</w:t>
      </w:r>
      <w:r w:rsidR="005F2929">
        <w:t>.</w:t>
      </w:r>
      <w:r w:rsidR="00A56A2B">
        <w:rPr>
          <w:rStyle w:val="FootnoteReference"/>
        </w:rPr>
        <w:footnoteReference w:id="12"/>
      </w:r>
      <w:r>
        <w:t xml:space="preserve"> </w:t>
      </w:r>
    </w:p>
    <w:p w:rsidR="00242D67" w:rsidRPr="009626F8" w:rsidRDefault="00242D67" w:rsidP="009626F8">
      <w:r>
        <w:t>While ‘blue collar’ jobs are typically considered to be a shrinking portion of the economy, employment growth in Construction has increased by over 15 per cent over the same period, while in T</w:t>
      </w:r>
      <w:r w:rsidRPr="005C73CE">
        <w:t xml:space="preserve">ransport, postal and warehousing </w:t>
      </w:r>
      <w:r>
        <w:t xml:space="preserve">and Agriculture </w:t>
      </w:r>
      <w:r w:rsidRPr="005C73CE">
        <w:t>forestry and fishing</w:t>
      </w:r>
      <w:r>
        <w:t xml:space="preserve"> employment growth rates have been over 8 per cent. Should this continue, more workers will be employed i</w:t>
      </w:r>
      <w:r w:rsidR="009626F8">
        <w:t xml:space="preserve">n our highest risk workplaces. </w:t>
      </w:r>
    </w:p>
    <w:p w:rsidR="00DD68F2" w:rsidRDefault="00DD68F2">
      <w:pPr>
        <w:spacing w:after="200" w:line="276" w:lineRule="auto"/>
      </w:pPr>
      <w:r>
        <w:br w:type="page"/>
      </w:r>
    </w:p>
    <w:p w:rsidR="00242D67" w:rsidRDefault="00242D67" w:rsidP="009626F8">
      <w:r>
        <w:lastRenderedPageBreak/>
        <w:t xml:space="preserve">According to Department of Jobs and Small Business, employment rates are tipped to fall </w:t>
      </w:r>
      <w:r w:rsidRPr="00F719A0">
        <w:t xml:space="preserve">in the </w:t>
      </w:r>
      <w:r>
        <w:t>M</w:t>
      </w:r>
      <w:r w:rsidRPr="00F719A0">
        <w:t xml:space="preserve">anufacturing and </w:t>
      </w:r>
      <w:r>
        <w:t>A</w:t>
      </w:r>
      <w:r w:rsidRPr="00F719A0">
        <w:t>griculture, forestry and fishing industries</w:t>
      </w:r>
      <w:r>
        <w:t xml:space="preserve">. While this </w:t>
      </w:r>
      <w:r w:rsidRPr="00BD1468">
        <w:t xml:space="preserve">could lead to reductions in the number of injuries and fatalities in these industries, it may also present WHS challenges stemming from </w:t>
      </w:r>
      <w:r>
        <w:t>greater workloads and a wider range of expectations being placed on</w:t>
      </w:r>
      <w:r w:rsidRPr="00BD1468">
        <w:t xml:space="preserve"> remaining employees</w:t>
      </w:r>
      <w:r w:rsidRPr="00F719A0">
        <w:t>.</w:t>
      </w:r>
      <w:r>
        <w:t xml:space="preserve"> </w:t>
      </w:r>
    </w:p>
    <w:p w:rsidR="00242D67" w:rsidRPr="003862FA" w:rsidRDefault="00242D67" w:rsidP="009626F8">
      <w:r>
        <w:t xml:space="preserve">Beyond this, there </w:t>
      </w:r>
      <w:r w:rsidRPr="003862FA">
        <w:t xml:space="preserve">is widespread recognition that the nature of work in Australia is changing. </w:t>
      </w:r>
      <w:r>
        <w:t>G</w:t>
      </w:r>
      <w:r w:rsidRPr="003862FA">
        <w:t>lobalisation, demographic and social change, rapid technological advancements and the development of new business and employment models are shaping the jobs and workplaces of tomorrow.</w:t>
      </w:r>
      <w:r>
        <w:t xml:space="preserve"> </w:t>
      </w:r>
      <w:r w:rsidR="00C402A4">
        <w:t>G</w:t>
      </w:r>
      <w:r w:rsidRPr="00335B4B">
        <w:t>rowth in technological capabilities is transforming supply chains, reshaping the workforce and redefining jobs</w:t>
      </w:r>
      <w:r w:rsidR="006B03FF">
        <w:t>.</w:t>
      </w:r>
      <w:r w:rsidRPr="00E44086">
        <w:rPr>
          <w:rStyle w:val="FootnoteReference"/>
          <w:sz w:val="22"/>
        </w:rPr>
        <w:footnoteReference w:id="13"/>
      </w:r>
    </w:p>
    <w:p w:rsidR="00242D67" w:rsidRPr="003862FA" w:rsidRDefault="00242D67" w:rsidP="009626F8">
      <w:r w:rsidRPr="003862FA">
        <w:t xml:space="preserve">Digital technologies are enabling the development of ‘platform technologies’, such as Uber and </w:t>
      </w:r>
      <w:proofErr w:type="spellStart"/>
      <w:r w:rsidRPr="003862FA">
        <w:t>Airtasker</w:t>
      </w:r>
      <w:proofErr w:type="spellEnd"/>
      <w:r>
        <w:t>.</w:t>
      </w:r>
      <w:r w:rsidRPr="003862FA">
        <w:t xml:space="preserve"> The peer-to-peer economy is expanding into many areas and, while freelancing has not yet t</w:t>
      </w:r>
      <w:r w:rsidRPr="00924BD1">
        <w:t>aken the same hold in Australia, it is a large and growing employment model in other countrie</w:t>
      </w:r>
      <w:r w:rsidRPr="00335B4B">
        <w:t>s</w:t>
      </w:r>
      <w:r w:rsidR="006B03FF">
        <w:t>.</w:t>
      </w:r>
      <w:r w:rsidRPr="00E44086">
        <w:rPr>
          <w:rStyle w:val="FootnoteReference"/>
          <w:sz w:val="22"/>
        </w:rPr>
        <w:footnoteReference w:id="14"/>
      </w:r>
      <w:r w:rsidRPr="00924BD1">
        <w:t xml:space="preserve"> </w:t>
      </w:r>
      <w:r w:rsidRPr="00335B4B">
        <w:t>Greater access to augmented and virtual reality is on the horizon, with these technologies having the potential to reshape the ways people work.</w:t>
      </w:r>
    </w:p>
    <w:p w:rsidR="00242D67" w:rsidRPr="003862FA" w:rsidRDefault="00242D67" w:rsidP="009626F8">
      <w:r w:rsidRPr="003862FA">
        <w:t>At the same time oth</w:t>
      </w:r>
      <w:r w:rsidR="005C6931">
        <w:t>e</w:t>
      </w:r>
      <w:r w:rsidRPr="003862FA">
        <w:t>r social and demographic trends are occurring within Australia</w:t>
      </w:r>
      <w:r w:rsidR="00C402A4">
        <w:t>. F</w:t>
      </w:r>
      <w:r>
        <w:t xml:space="preserve">or instance </w:t>
      </w:r>
      <w:r w:rsidRPr="003862FA">
        <w:t>older people are increasingly working longer before reti</w:t>
      </w:r>
      <w:r>
        <w:t>ring</w:t>
      </w:r>
      <w:r w:rsidRPr="003862FA">
        <w:t xml:space="preserve">. </w:t>
      </w:r>
      <w:r>
        <w:t xml:space="preserve">With the growth in administrative and service roles, work is becoming increasingly </w:t>
      </w:r>
      <w:r w:rsidRPr="00335B4B">
        <w:t>sedentary and screen-based. A</w:t>
      </w:r>
      <w:r>
        <w:t xml:space="preserve">lready </w:t>
      </w:r>
      <w:r w:rsidRPr="003862FA">
        <w:t>nearly two</w:t>
      </w:r>
      <w:r>
        <w:t>-</w:t>
      </w:r>
      <w:r w:rsidRPr="003862FA">
        <w:t>thirds of Australian employees are overweight or obese and there are rising rates of type II diabetes, cardiovascular disease and other chronic illnesses</w:t>
      </w:r>
      <w:r w:rsidR="006B03FF">
        <w:t>.</w:t>
      </w:r>
      <w:r w:rsidRPr="003862FA">
        <w:rPr>
          <w:rStyle w:val="FootnoteReference"/>
        </w:rPr>
        <w:footnoteReference w:id="15"/>
      </w:r>
      <w:r w:rsidRPr="003862FA">
        <w:t xml:space="preserve"> Reported rates of workplace stress and mental health issues are also increasing. </w:t>
      </w:r>
    </w:p>
    <w:p w:rsidR="00242D67" w:rsidRPr="003862FA" w:rsidRDefault="00242D67" w:rsidP="009626F8">
      <w:r>
        <w:t>Other changes are seeing m</w:t>
      </w:r>
      <w:r w:rsidRPr="003862FA">
        <w:t>ore people working remotely, using technology to work from home or another location and blurring the boundaries between work and home life. Although the Australian gig economy is still relatively sma</w:t>
      </w:r>
      <w:r w:rsidRPr="00924BD1">
        <w:t xml:space="preserve">ll, peer-to-peer engagement is </w:t>
      </w:r>
      <w:r>
        <w:t>very</w:t>
      </w:r>
      <w:r w:rsidRPr="00924BD1">
        <w:t xml:space="preserve"> different from traditional employment models.</w:t>
      </w:r>
      <w:r w:rsidR="00426D3A" w:rsidRPr="00426D3A">
        <w:rPr>
          <w:color w:val="000000"/>
          <w:sz w:val="22"/>
          <w:szCs w:val="22"/>
          <w:vertAlign w:val="superscript"/>
        </w:rPr>
        <w:t xml:space="preserve"> </w:t>
      </w:r>
      <w:r w:rsidR="00426D3A" w:rsidRPr="00426D3A">
        <w:rPr>
          <w:color w:val="000000"/>
          <w:sz w:val="22"/>
          <w:szCs w:val="22"/>
          <w:vertAlign w:val="superscript"/>
        </w:rPr>
        <w:footnoteReference w:id="16"/>
      </w:r>
    </w:p>
    <w:p w:rsidR="00242D67" w:rsidRPr="003862FA" w:rsidRDefault="00242D67" w:rsidP="009626F8">
      <w:r w:rsidRPr="003862FA">
        <w:t>Together these changes have the potential to radically transform the nature of work, where work is undertaken, and the skills workers need to find and retain employment.</w:t>
      </w:r>
      <w:r>
        <w:t xml:space="preserve"> </w:t>
      </w:r>
      <w:r w:rsidRPr="003862FA">
        <w:t xml:space="preserve">It is also likely to have a significant impact on the nature of risks and hazards associated with work. </w:t>
      </w:r>
      <w:r>
        <w:t xml:space="preserve">As part of </w:t>
      </w:r>
      <w:r w:rsidR="001A6B1E">
        <w:t>the Review</w:t>
      </w:r>
      <w:r>
        <w:t xml:space="preserve">, we need to </w:t>
      </w:r>
      <w:r w:rsidRPr="003862FA">
        <w:t>consider whether the model WHS laws have the necessary flexibility to adapt to these changes.</w:t>
      </w:r>
      <w:r w:rsidR="0084095F">
        <w:t xml:space="preserve"> </w:t>
      </w:r>
    </w:p>
    <w:p w:rsidR="00242D67" w:rsidRDefault="00242D67" w:rsidP="00242D67">
      <w:pPr>
        <w:spacing w:after="200" w:line="276" w:lineRule="auto"/>
        <w:rPr>
          <w:b/>
          <w:sz w:val="28"/>
          <w:szCs w:val="22"/>
          <w:lang w:val="en-AU"/>
        </w:rPr>
      </w:pPr>
      <w:r>
        <w:rPr>
          <w:b/>
          <w:sz w:val="28"/>
          <w:szCs w:val="22"/>
          <w:lang w:val="en-AU"/>
        </w:rPr>
        <w:br w:type="page"/>
      </w:r>
    </w:p>
    <w:p w:rsidR="007B76AC" w:rsidRPr="005C6931" w:rsidRDefault="007B76AC" w:rsidP="005C6931">
      <w:pPr>
        <w:pStyle w:val="2018ReviewWhiteHeading"/>
        <w:numPr>
          <w:ilvl w:val="0"/>
          <w:numId w:val="34"/>
        </w:numPr>
        <w:ind w:left="357" w:hanging="357"/>
      </w:pPr>
      <w:bookmarkStart w:id="13" w:name="_Toc503884252"/>
      <w:bookmarkStart w:id="14" w:name="_Toc503884972"/>
      <w:bookmarkStart w:id="15" w:name="_Toc503942200"/>
      <w:bookmarkStart w:id="16" w:name="_Toc503943155"/>
      <w:bookmarkStart w:id="17" w:name="_Toc506794174"/>
      <w:bookmarkEnd w:id="13"/>
      <w:bookmarkEnd w:id="14"/>
      <w:bookmarkEnd w:id="15"/>
      <w:bookmarkEnd w:id="16"/>
      <w:r w:rsidRPr="005C6931">
        <w:lastRenderedPageBreak/>
        <w:t xml:space="preserve">Legislative </w:t>
      </w:r>
      <w:r w:rsidR="003B55FD">
        <w:t>f</w:t>
      </w:r>
      <w:r w:rsidR="0023043A" w:rsidRPr="005C6931">
        <w:t>ramework</w:t>
      </w:r>
      <w:bookmarkEnd w:id="17"/>
    </w:p>
    <w:p w:rsidR="00BD65F7" w:rsidRPr="00BD65F7" w:rsidRDefault="00BD65F7" w:rsidP="009626F8">
      <w:pPr>
        <w:rPr>
          <w:lang w:val="en-AU"/>
        </w:rPr>
      </w:pPr>
      <w:r w:rsidRPr="00BD65F7">
        <w:rPr>
          <w:lang w:val="en-AU"/>
        </w:rPr>
        <w:t xml:space="preserve">The starting point for </w:t>
      </w:r>
      <w:r w:rsidR="005D103C">
        <w:rPr>
          <w:lang w:val="en-AU"/>
        </w:rPr>
        <w:t>reviewing the model WHS laws is to examine the</w:t>
      </w:r>
      <w:r w:rsidR="001A6B1E">
        <w:rPr>
          <w:lang w:val="en-AU"/>
        </w:rPr>
        <w:t xml:space="preserve"> legislative</w:t>
      </w:r>
      <w:r w:rsidR="005D103C">
        <w:rPr>
          <w:lang w:val="en-AU"/>
        </w:rPr>
        <w:t xml:space="preserve"> framework </w:t>
      </w:r>
      <w:r w:rsidR="00AB6224">
        <w:rPr>
          <w:lang w:val="en-AU"/>
        </w:rPr>
        <w:t>and to consider</w:t>
      </w:r>
      <w:r w:rsidR="005D103C">
        <w:rPr>
          <w:lang w:val="en-AU"/>
        </w:rPr>
        <w:t xml:space="preserve"> whether the current </w:t>
      </w:r>
      <w:r w:rsidR="00AB6224">
        <w:rPr>
          <w:lang w:val="en-AU"/>
        </w:rPr>
        <w:t xml:space="preserve">approach </w:t>
      </w:r>
      <w:r w:rsidR="005D103C">
        <w:rPr>
          <w:lang w:val="en-AU"/>
        </w:rPr>
        <w:t>works and whether it can be improved.</w:t>
      </w:r>
      <w:r w:rsidRPr="00BD65F7">
        <w:rPr>
          <w:lang w:val="en-AU"/>
        </w:rPr>
        <w:t xml:space="preserve"> </w:t>
      </w:r>
    </w:p>
    <w:tbl>
      <w:tblPr>
        <w:tblStyle w:val="TableGrid"/>
        <w:tblW w:w="0" w:type="auto"/>
        <w:tblLook w:val="04A0" w:firstRow="1" w:lastRow="0" w:firstColumn="1" w:lastColumn="0" w:noHBand="0" w:noVBand="1"/>
        <w:tblCaption w:val="List of relevant Objects and Terms of Reference for this chapter"/>
        <w:tblDescription w:val="Object: To provide for a balanced and nationally consistent framework to secure the health and safety of workers and workplaces (s 3(1)).&#10;&#10;Terms of Reference: Whether the model WHS laws are operating as intended.&#10;Whether the model WHS Regulations and model WHS Codes adequately support the object of the model WHS Act.&#10;"/>
      </w:tblPr>
      <w:tblGrid>
        <w:gridCol w:w="2235"/>
        <w:gridCol w:w="7001"/>
      </w:tblGrid>
      <w:tr w:rsidR="00BD65F7" w:rsidTr="00EC7CD4">
        <w:trPr>
          <w:tblHeader/>
        </w:trPr>
        <w:tc>
          <w:tcPr>
            <w:tcW w:w="2235" w:type="dxa"/>
          </w:tcPr>
          <w:p w:rsidR="00DF7A1B" w:rsidRDefault="005F7973" w:rsidP="00866B4B">
            <w:pPr>
              <w:pStyle w:val="Heading4"/>
              <w:ind w:left="0" w:firstLine="0"/>
              <w:rPr>
                <w:lang w:val="en-AU"/>
              </w:rPr>
            </w:pPr>
            <w:r>
              <w:rPr>
                <w:lang w:val="en-AU"/>
              </w:rPr>
              <w:t>Object</w:t>
            </w:r>
            <w:r w:rsidR="00DF7A1B">
              <w:rPr>
                <w:rStyle w:val="FootnoteReference"/>
                <w:lang w:val="en-AU"/>
              </w:rPr>
              <w:t xml:space="preserve"> </w:t>
            </w:r>
            <w:r w:rsidR="00DF7A1B">
              <w:rPr>
                <w:lang w:val="en-AU"/>
              </w:rPr>
              <w:t>of the model WHS Act</w:t>
            </w:r>
            <w:r w:rsidR="002D2802">
              <w:rPr>
                <w:lang w:val="en-AU"/>
              </w:rPr>
              <w:t>:</w:t>
            </w:r>
            <w:r w:rsidR="00DF7A1B" w:rsidRPr="00866B4B">
              <w:rPr>
                <w:rStyle w:val="FootnoteReference"/>
                <w:b w:val="0"/>
                <w:lang w:val="en-AU"/>
              </w:rPr>
              <w:footnoteReference w:id="17"/>
            </w:r>
            <w:r w:rsidR="00DF7A1B">
              <w:rPr>
                <w:lang w:val="en-AU"/>
              </w:rPr>
              <w:t xml:space="preserve"> </w:t>
            </w:r>
          </w:p>
          <w:p w:rsidR="00B823B7" w:rsidRPr="00866B4B" w:rsidRDefault="00DF7A1B" w:rsidP="0025480E">
            <w:pPr>
              <w:pStyle w:val="Heading4"/>
              <w:jc w:val="both"/>
              <w:rPr>
                <w:b w:val="0"/>
                <w:lang w:val="en-AU"/>
              </w:rPr>
            </w:pPr>
            <w:r w:rsidRPr="00866B4B">
              <w:rPr>
                <w:b w:val="0"/>
                <w:lang w:val="en-AU"/>
              </w:rPr>
              <w:t>(see s 3(1))</w:t>
            </w:r>
          </w:p>
        </w:tc>
        <w:tc>
          <w:tcPr>
            <w:tcW w:w="7001" w:type="dxa"/>
          </w:tcPr>
          <w:p w:rsidR="00BD65F7" w:rsidRDefault="00BD65F7" w:rsidP="00DF7A1B">
            <w:pPr>
              <w:rPr>
                <w:b/>
                <w:lang w:val="en-AU"/>
              </w:rPr>
            </w:pPr>
            <w:r w:rsidRPr="00822676">
              <w:rPr>
                <w:lang w:val="en-AU"/>
              </w:rPr>
              <w:t>To provide for a balanced and nationally consistent framework to secure the health and safety of workers and workplaces</w:t>
            </w:r>
            <w:r>
              <w:rPr>
                <w:lang w:val="en-AU"/>
              </w:rPr>
              <w:t>.</w:t>
            </w:r>
            <w:r w:rsidRPr="00822676">
              <w:rPr>
                <w:b/>
                <w:i/>
                <w:lang w:val="en-AU"/>
              </w:rPr>
              <w:tab/>
            </w:r>
          </w:p>
        </w:tc>
      </w:tr>
      <w:tr w:rsidR="00BD65F7" w:rsidTr="00BD65F7">
        <w:tc>
          <w:tcPr>
            <w:tcW w:w="2235" w:type="dxa"/>
          </w:tcPr>
          <w:p w:rsidR="00BD65F7" w:rsidRDefault="00BD65F7" w:rsidP="009626F8">
            <w:pPr>
              <w:pStyle w:val="Heading4"/>
              <w:rPr>
                <w:lang w:val="en-AU"/>
              </w:rPr>
            </w:pPr>
            <w:r w:rsidRPr="00D17340">
              <w:rPr>
                <w:lang w:val="en-AU"/>
              </w:rPr>
              <w:t>Term of Reference:</w:t>
            </w:r>
          </w:p>
        </w:tc>
        <w:tc>
          <w:tcPr>
            <w:tcW w:w="7001" w:type="dxa"/>
          </w:tcPr>
          <w:p w:rsidR="00BD65F7" w:rsidRDefault="00BD65F7" w:rsidP="009626F8">
            <w:pPr>
              <w:rPr>
                <w:lang w:val="en-AU"/>
              </w:rPr>
            </w:pPr>
            <w:r w:rsidRPr="002C4288">
              <w:rPr>
                <w:lang w:val="en-AU"/>
              </w:rPr>
              <w:t>Whether the model WHS laws are operating as intended.</w:t>
            </w:r>
          </w:p>
          <w:p w:rsidR="00BD65F7" w:rsidRPr="00F00C9B" w:rsidRDefault="00BD65F7" w:rsidP="009626F8">
            <w:pPr>
              <w:rPr>
                <w:lang w:val="en-AU"/>
              </w:rPr>
            </w:pPr>
            <w:r w:rsidRPr="002C4288">
              <w:rPr>
                <w:lang w:val="en-AU"/>
              </w:rPr>
              <w:t>Whether the model WHS Regulations and model WHS Codes adequately support the object of the model WHS Act.</w:t>
            </w:r>
          </w:p>
        </w:tc>
      </w:tr>
    </w:tbl>
    <w:p w:rsidR="00842E3C" w:rsidRPr="005C6931" w:rsidRDefault="00842E3C" w:rsidP="005C6931">
      <w:pPr>
        <w:pStyle w:val="2018ReviewSectionnumberingheading"/>
      </w:pPr>
      <w:bookmarkStart w:id="18" w:name="_Toc503884254"/>
      <w:bookmarkStart w:id="19" w:name="_Toc503884974"/>
      <w:bookmarkStart w:id="20" w:name="_Toc503884255"/>
      <w:bookmarkStart w:id="21" w:name="_Toc503884975"/>
      <w:bookmarkStart w:id="22" w:name="_Toc503942203"/>
      <w:bookmarkStart w:id="23" w:name="_Toc503943158"/>
      <w:bookmarkStart w:id="24" w:name="_Toc503884257"/>
      <w:bookmarkStart w:id="25" w:name="_Toc503884977"/>
      <w:bookmarkStart w:id="26" w:name="_Toc503942205"/>
      <w:bookmarkStart w:id="27" w:name="_Toc503943160"/>
      <w:bookmarkStart w:id="28" w:name="_Toc503884258"/>
      <w:bookmarkStart w:id="29" w:name="_Toc503884978"/>
      <w:bookmarkStart w:id="30" w:name="_Toc506794175"/>
      <w:bookmarkEnd w:id="18"/>
      <w:bookmarkEnd w:id="19"/>
      <w:bookmarkEnd w:id="20"/>
      <w:bookmarkEnd w:id="21"/>
      <w:bookmarkEnd w:id="22"/>
      <w:bookmarkEnd w:id="23"/>
      <w:bookmarkEnd w:id="24"/>
      <w:bookmarkEnd w:id="25"/>
      <w:bookmarkEnd w:id="26"/>
      <w:bookmarkEnd w:id="27"/>
      <w:bookmarkEnd w:id="28"/>
      <w:bookmarkEnd w:id="29"/>
      <w:r w:rsidRPr="005C6931">
        <w:t xml:space="preserve">The </w:t>
      </w:r>
      <w:r w:rsidR="00C402A4">
        <w:t>m</w:t>
      </w:r>
      <w:r w:rsidRPr="005C6931">
        <w:t xml:space="preserve">odel WHS </w:t>
      </w:r>
      <w:r w:rsidR="00D73AFC">
        <w:t>l</w:t>
      </w:r>
      <w:r w:rsidRPr="005C6931">
        <w:t>aws</w:t>
      </w:r>
      <w:bookmarkEnd w:id="30"/>
    </w:p>
    <w:p w:rsidR="009F5394" w:rsidRDefault="005D103C" w:rsidP="009626F8">
      <w:r>
        <w:t xml:space="preserve">The </w:t>
      </w:r>
      <w:r w:rsidR="00935641" w:rsidRPr="001A3C45">
        <w:t>model WHS laws</w:t>
      </w:r>
      <w:r w:rsidR="00AB6224">
        <w:t xml:space="preserve"> framework</w:t>
      </w:r>
      <w:r w:rsidR="00935641" w:rsidRPr="001A3C45">
        <w:t xml:space="preserve"> </w:t>
      </w:r>
      <w:r w:rsidR="00AB6224">
        <w:t>is comprised of</w:t>
      </w:r>
      <w:r w:rsidR="00935641" w:rsidRPr="001A3C45">
        <w:t xml:space="preserve"> the model WHS Act,</w:t>
      </w:r>
      <w:r w:rsidR="00F84C11" w:rsidRPr="001A3C45">
        <w:t xml:space="preserve"> the model WHS Regu</w:t>
      </w:r>
      <w:r w:rsidR="00935641" w:rsidRPr="001A3C45">
        <w:t xml:space="preserve">lations and </w:t>
      </w:r>
      <w:r>
        <w:t xml:space="preserve">the </w:t>
      </w:r>
      <w:r w:rsidR="00C11EDC" w:rsidRPr="001A3C45">
        <w:t>24</w:t>
      </w:r>
      <w:r w:rsidR="00F84C11" w:rsidRPr="001A3C45">
        <w:t xml:space="preserve"> model Codes</w:t>
      </w:r>
      <w:r w:rsidR="006B03FF">
        <w:t>.</w:t>
      </w:r>
      <w:r w:rsidR="00F84C11" w:rsidRPr="001A3C45">
        <w:t xml:space="preserve"> </w:t>
      </w:r>
      <w:r w:rsidR="00AF34AA">
        <w:t xml:space="preserve">The framework is intended to </w:t>
      </w:r>
      <w:r w:rsidR="00AF34AA" w:rsidRPr="00AF34AA">
        <w:t xml:space="preserve">be broadly applicable to all organisations regardless of </w:t>
      </w:r>
      <w:r w:rsidR="00AF34AA">
        <w:t xml:space="preserve">their </w:t>
      </w:r>
      <w:r w:rsidR="00AF34AA" w:rsidRPr="00AF34AA">
        <w:t>size or industry</w:t>
      </w:r>
      <w:r w:rsidR="00AF34AA">
        <w:t xml:space="preserve">. It is </w:t>
      </w:r>
      <w:r w:rsidR="00AF34AA" w:rsidRPr="00AF34AA">
        <w:t>outcomes</w:t>
      </w:r>
      <w:r w:rsidR="003B4D43">
        <w:t>-</w:t>
      </w:r>
      <w:r w:rsidR="00AF34AA" w:rsidRPr="00AF34AA">
        <w:t xml:space="preserve">based </w:t>
      </w:r>
      <w:r w:rsidR="00AF34AA">
        <w:t xml:space="preserve">and allows </w:t>
      </w:r>
      <w:r w:rsidR="00AF34AA" w:rsidRPr="00AF34AA">
        <w:t xml:space="preserve">organisations to tailor </w:t>
      </w:r>
      <w:r w:rsidR="00AF34AA">
        <w:t xml:space="preserve">their approach to safety </w:t>
      </w:r>
      <w:r w:rsidR="00AF34AA" w:rsidRPr="00AF34AA">
        <w:t>to suit their circumstances</w:t>
      </w:r>
      <w:r w:rsidR="00AF34AA">
        <w:t>.</w:t>
      </w:r>
    </w:p>
    <w:p w:rsidR="001A3C45" w:rsidRPr="001A3C45" w:rsidRDefault="00EA1FB6" w:rsidP="009626F8">
      <w:r>
        <w:t>The</w:t>
      </w:r>
      <w:r w:rsidR="00045900">
        <w:t xml:space="preserve"> </w:t>
      </w:r>
      <w:r w:rsidR="00467544">
        <w:rPr>
          <w:rFonts w:cs="Arial"/>
        </w:rPr>
        <w:t>model WHS Act</w:t>
      </w:r>
      <w:r w:rsidR="00C402A4">
        <w:rPr>
          <w:rFonts w:cs="Arial"/>
        </w:rPr>
        <w:t>:</w:t>
      </w:r>
    </w:p>
    <w:p w:rsidR="001A3C45" w:rsidRPr="001A3C45" w:rsidRDefault="003D359F" w:rsidP="005109D9">
      <w:pPr>
        <w:pStyle w:val="2018ReviewBullets"/>
      </w:pPr>
      <w:r>
        <w:t xml:space="preserve">establishes </w:t>
      </w:r>
      <w:r w:rsidR="00017B76">
        <w:t>WHS</w:t>
      </w:r>
      <w:r w:rsidR="001A3C45" w:rsidRPr="001A3C45">
        <w:t xml:space="preserve"> duties</w:t>
      </w:r>
      <w:r w:rsidR="00A317BF">
        <w:t xml:space="preserve"> requiring</w:t>
      </w:r>
      <w:r w:rsidR="00006CB8">
        <w:t xml:space="preserve"> the elimination or minimisation of risks arising from work</w:t>
      </w:r>
      <w:r w:rsidR="001A3C45" w:rsidRPr="001A3C45">
        <w:t xml:space="preserve"> </w:t>
      </w:r>
    </w:p>
    <w:p w:rsidR="001A3C45" w:rsidRPr="001A3C45" w:rsidRDefault="003D359F" w:rsidP="00EE182D">
      <w:pPr>
        <w:pStyle w:val="2018ReviewBullets"/>
      </w:pPr>
      <w:r>
        <w:t>provides</w:t>
      </w:r>
      <w:r w:rsidR="001A3C45" w:rsidRPr="001A3C45">
        <w:t xml:space="preserve"> for worker </w:t>
      </w:r>
      <w:r w:rsidR="00EE182D" w:rsidRPr="00EE182D">
        <w:t>consultation</w:t>
      </w:r>
      <w:r w:rsidR="00EE182D">
        <w:t>,</w:t>
      </w:r>
      <w:r w:rsidR="00EE182D" w:rsidRPr="00EE182D">
        <w:t xml:space="preserve"> </w:t>
      </w:r>
      <w:r w:rsidR="001A3C45" w:rsidRPr="001A3C45">
        <w:t xml:space="preserve">representation and participation </w:t>
      </w:r>
      <w:r w:rsidR="00DC28DE">
        <w:t xml:space="preserve">relating to </w:t>
      </w:r>
      <w:r w:rsidR="00017B76">
        <w:t>WHS</w:t>
      </w:r>
      <w:r w:rsidR="00DC28DE">
        <w:t xml:space="preserve"> matters</w:t>
      </w:r>
    </w:p>
    <w:p w:rsidR="001A3C45" w:rsidRPr="001A3C45" w:rsidRDefault="003D359F" w:rsidP="005109D9">
      <w:pPr>
        <w:pStyle w:val="2018ReviewBullets"/>
      </w:pPr>
      <w:r>
        <w:t xml:space="preserve">enables </w:t>
      </w:r>
      <w:r w:rsidR="001A3C45" w:rsidRPr="001A3C45">
        <w:t xml:space="preserve">compliance </w:t>
      </w:r>
      <w:r w:rsidR="00DC28DE">
        <w:t xml:space="preserve">with </w:t>
      </w:r>
      <w:r w:rsidR="001A3C45" w:rsidRPr="001A3C45">
        <w:t>and e</w:t>
      </w:r>
      <w:r w:rsidR="00EA1FB6">
        <w:t xml:space="preserve">nforcement </w:t>
      </w:r>
      <w:r w:rsidR="00DC28DE">
        <w:t xml:space="preserve">of the model WHS laws </w:t>
      </w:r>
      <w:r w:rsidR="00EA1FB6">
        <w:t xml:space="preserve">through </w:t>
      </w:r>
      <w:r w:rsidR="009640E9">
        <w:t xml:space="preserve">the </w:t>
      </w:r>
      <w:r w:rsidR="003B55FD">
        <w:t>r</w:t>
      </w:r>
      <w:r w:rsidR="001A3C45" w:rsidRPr="001A3C45">
        <w:t>egulator, and</w:t>
      </w:r>
    </w:p>
    <w:p w:rsidR="00A317BF" w:rsidRDefault="003D359F" w:rsidP="005109D9">
      <w:pPr>
        <w:pStyle w:val="2018ReviewBullets"/>
      </w:pPr>
      <w:r>
        <w:t>provides</w:t>
      </w:r>
      <w:r w:rsidR="001A3C45" w:rsidRPr="001A3C45">
        <w:t xml:space="preserve"> for the creation of Regulations and Codes of Practice</w:t>
      </w:r>
      <w:r w:rsidR="00DC28DE">
        <w:t xml:space="preserve"> to support the objectives of the model WHS Act</w:t>
      </w:r>
      <w:r w:rsidR="001A3C45" w:rsidRPr="001A3C45">
        <w:t>.</w:t>
      </w:r>
    </w:p>
    <w:p w:rsidR="00C91805" w:rsidRPr="001A3C45" w:rsidRDefault="00C91805" w:rsidP="005109D9">
      <w:pPr>
        <w:widowControl w:val="0"/>
        <w:autoSpaceDE w:val="0"/>
        <w:autoSpaceDN w:val="0"/>
        <w:adjustRightInd w:val="0"/>
        <w:spacing w:after="0"/>
        <w:ind w:left="720" w:hanging="720"/>
        <w:jc w:val="both"/>
        <w:rPr>
          <w:rFonts w:cstheme="minorHAnsi"/>
          <w:sz w:val="22"/>
          <w:szCs w:val="22"/>
        </w:rPr>
      </w:pPr>
    </w:p>
    <w:p w:rsidR="00284B5A" w:rsidRPr="001F5DCC" w:rsidRDefault="001A3C45" w:rsidP="009626F8">
      <w:pPr>
        <w:rPr>
          <w:rFonts w:cs="Arial"/>
        </w:rPr>
      </w:pPr>
      <w:r w:rsidRPr="001A3C45">
        <w:t>The </w:t>
      </w:r>
      <w:r w:rsidR="00EA1FB6">
        <w:t>model WHS</w:t>
      </w:r>
      <w:r w:rsidR="008726C6">
        <w:t xml:space="preserve"> Regulations</w:t>
      </w:r>
      <w:r w:rsidRPr="001A3C45">
        <w:t xml:space="preserve"> identify the control measure</w:t>
      </w:r>
      <w:r w:rsidR="001326EA">
        <w:t xml:space="preserve">s (the steps and processes) </w:t>
      </w:r>
      <w:r w:rsidRPr="001A3C45">
        <w:t>that must be applied to specific work activit</w:t>
      </w:r>
      <w:r w:rsidR="00EA1FB6">
        <w:t>ies and hazards</w:t>
      </w:r>
      <w:r w:rsidR="00526581">
        <w:t xml:space="preserve"> in order to fulfil </w:t>
      </w:r>
      <w:r w:rsidR="001A6B1E">
        <w:t>WHS</w:t>
      </w:r>
      <w:r w:rsidR="00526581">
        <w:t xml:space="preserve"> duties</w:t>
      </w:r>
      <w:r w:rsidR="001E6F66">
        <w:t>. F</w:t>
      </w:r>
      <w:r w:rsidR="00AC49A4">
        <w:t>or example</w:t>
      </w:r>
      <w:r w:rsidR="005D103C">
        <w:t>,</w:t>
      </w:r>
      <w:r w:rsidR="00AC49A4">
        <w:t xml:space="preserve"> </w:t>
      </w:r>
      <w:r w:rsidR="00E17C20">
        <w:t xml:space="preserve">there are specific Chapters in the model WHS Regulations which identify </w:t>
      </w:r>
      <w:r w:rsidR="001326EA">
        <w:t>how</w:t>
      </w:r>
      <w:r w:rsidR="00E17C20">
        <w:t xml:space="preserve"> duty holders must </w:t>
      </w:r>
      <w:r w:rsidR="001326EA">
        <w:t xml:space="preserve">comply with the model WHS Act </w:t>
      </w:r>
      <w:r w:rsidR="001326EA" w:rsidRPr="00B72CD7">
        <w:t xml:space="preserve">in the context of </w:t>
      </w:r>
      <w:r w:rsidR="00E17C20" w:rsidRPr="00B72CD7">
        <w:t xml:space="preserve">General </w:t>
      </w:r>
      <w:r w:rsidR="00FB4DC5" w:rsidRPr="00B72CD7">
        <w:t xml:space="preserve">Risk and </w:t>
      </w:r>
      <w:r w:rsidR="00E17C20" w:rsidRPr="00B72CD7">
        <w:t>Work</w:t>
      </w:r>
      <w:r w:rsidR="00FB4DC5" w:rsidRPr="00B72CD7">
        <w:t>place</w:t>
      </w:r>
      <w:r w:rsidR="00E17C20" w:rsidRPr="00B72CD7">
        <w:t xml:space="preserve"> </w:t>
      </w:r>
      <w:r w:rsidR="00FB4DC5" w:rsidRPr="00B72CD7">
        <w:t>Management</w:t>
      </w:r>
      <w:r w:rsidR="00E17C20" w:rsidRPr="00B72CD7">
        <w:t>,</w:t>
      </w:r>
      <w:r w:rsidR="00E17C20">
        <w:t xml:space="preserve"> </w:t>
      </w:r>
      <w:r w:rsidR="001326EA">
        <w:t>Hazardous Work, Plant and Structures, Construction Work, Hazardous Chemicals, Asbestos, Major Hazard Facilities and M</w:t>
      </w:r>
      <w:r w:rsidR="00C37704">
        <w:t>ines</w:t>
      </w:r>
      <w:r w:rsidR="001326EA">
        <w:t>.</w:t>
      </w:r>
    </w:p>
    <w:p w:rsidR="000E7497" w:rsidRPr="009626F8" w:rsidRDefault="00284B5A" w:rsidP="009626F8">
      <w:pPr>
        <w:rPr>
          <w:rFonts w:cs="Arial"/>
        </w:rPr>
      </w:pPr>
      <w:r>
        <w:t>The</w:t>
      </w:r>
      <w:r w:rsidRPr="001A3C45">
        <w:t> </w:t>
      </w:r>
      <w:r>
        <w:t xml:space="preserve">model Codes </w:t>
      </w:r>
      <w:r w:rsidRPr="001A3C45">
        <w:t>provide practical information on how th</w:t>
      </w:r>
      <w:r>
        <w:t>e requirements of the model WHS R</w:t>
      </w:r>
      <w:r w:rsidRPr="001A3C45">
        <w:t>egulatio</w:t>
      </w:r>
      <w:r>
        <w:t>ns</w:t>
      </w:r>
      <w:r w:rsidR="00E868D1">
        <w:t xml:space="preserve"> may be met</w:t>
      </w:r>
      <w:r>
        <w:t xml:space="preserve">. </w:t>
      </w:r>
      <w:r w:rsidRPr="000A1CFB">
        <w:rPr>
          <w:rFonts w:cs="Arial"/>
        </w:rPr>
        <w:t xml:space="preserve">Courts may regard a </w:t>
      </w:r>
      <w:r w:rsidR="008E4A2C">
        <w:rPr>
          <w:rFonts w:cs="Arial"/>
        </w:rPr>
        <w:t>C</w:t>
      </w:r>
      <w:r w:rsidRPr="000A1CFB">
        <w:rPr>
          <w:rFonts w:cs="Arial"/>
        </w:rPr>
        <w:t xml:space="preserve">ode as evidence of what is known about a hazard, risk or control and may rely on the </w:t>
      </w:r>
      <w:r w:rsidR="008E4A2C">
        <w:rPr>
          <w:rFonts w:cs="Arial"/>
        </w:rPr>
        <w:t>C</w:t>
      </w:r>
      <w:r w:rsidRPr="000A1CFB">
        <w:rPr>
          <w:rFonts w:cs="Arial"/>
        </w:rPr>
        <w:t xml:space="preserve">ode in determining what is reasonably practicable in the circumstances to which the </w:t>
      </w:r>
      <w:r w:rsidR="008E4A2C">
        <w:rPr>
          <w:rFonts w:cs="Arial"/>
        </w:rPr>
        <w:t>C</w:t>
      </w:r>
      <w:r w:rsidRPr="000A1CFB">
        <w:rPr>
          <w:rFonts w:cs="Arial"/>
        </w:rPr>
        <w:t>ode relates.</w:t>
      </w:r>
      <w:r w:rsidR="005D103C">
        <w:rPr>
          <w:rFonts w:cs="Arial"/>
        </w:rPr>
        <w:t xml:space="preserve"> </w:t>
      </w:r>
      <w:r w:rsidR="001F5DCC" w:rsidRPr="000A1CFB">
        <w:rPr>
          <w:rFonts w:cs="Arial"/>
        </w:rPr>
        <w:t xml:space="preserve">Compliance with the </w:t>
      </w:r>
      <w:r w:rsidR="001F5DCC">
        <w:rPr>
          <w:rFonts w:cs="Arial"/>
        </w:rPr>
        <w:t xml:space="preserve">model </w:t>
      </w:r>
      <w:r w:rsidR="001F5DCC" w:rsidRPr="000A1CFB">
        <w:rPr>
          <w:rFonts w:cs="Arial"/>
        </w:rPr>
        <w:t xml:space="preserve">WHS Act and Regulations may be achieved by following another method, if it provides an equivalent or higher standard of work health and safety than the </w:t>
      </w:r>
      <w:r w:rsidR="008E4A2C" w:rsidRPr="00866B4B">
        <w:rPr>
          <w:rFonts w:cs="Arial"/>
        </w:rPr>
        <w:t>C</w:t>
      </w:r>
      <w:r w:rsidR="001F5DCC" w:rsidRPr="008E4A2C">
        <w:rPr>
          <w:rFonts w:cs="Arial"/>
        </w:rPr>
        <w:t>ode</w:t>
      </w:r>
      <w:r w:rsidR="00AB6224" w:rsidRPr="008E4A2C">
        <w:rPr>
          <w:rFonts w:cs="Arial"/>
        </w:rPr>
        <w:t>.</w:t>
      </w:r>
      <w:r w:rsidR="00213F59">
        <w:rPr>
          <w:rStyle w:val="FootnoteReference"/>
          <w:rFonts w:cs="Arial"/>
          <w:sz w:val="22"/>
          <w:szCs w:val="22"/>
        </w:rPr>
        <w:footnoteReference w:id="18"/>
      </w:r>
      <w:r w:rsidR="001F5DCC" w:rsidRPr="000A1CFB">
        <w:rPr>
          <w:rFonts w:cs="Arial"/>
        </w:rPr>
        <w:t xml:space="preserve"> </w:t>
      </w:r>
    </w:p>
    <w:p w:rsidR="00C26BB4" w:rsidRPr="000A1CFB" w:rsidRDefault="00C26BB4" w:rsidP="009626F8">
      <w:pPr>
        <w:rPr>
          <w:rFonts w:cs="Arial"/>
          <w:color w:val="000000" w:themeColor="text1"/>
        </w:rPr>
      </w:pPr>
      <w:r w:rsidRPr="000A1CFB">
        <w:rPr>
          <w:rFonts w:cs="Arial"/>
          <w:color w:val="000000" w:themeColor="text1"/>
        </w:rPr>
        <w:t xml:space="preserve">The IGA gives Safe Work Australia responsibility for coordinating development of the model </w:t>
      </w:r>
      <w:r w:rsidR="005D103C">
        <w:rPr>
          <w:rFonts w:cs="Arial"/>
          <w:color w:val="000000" w:themeColor="text1"/>
        </w:rPr>
        <w:t>C</w:t>
      </w:r>
      <w:r w:rsidRPr="000A1CFB">
        <w:rPr>
          <w:rFonts w:cs="Arial"/>
          <w:color w:val="000000" w:themeColor="text1"/>
        </w:rPr>
        <w:t>odes. Under the IGA</w:t>
      </w:r>
      <w:r w:rsidR="00BE2B1C">
        <w:rPr>
          <w:rFonts w:cs="Arial"/>
          <w:color w:val="000000" w:themeColor="text1"/>
        </w:rPr>
        <w:t>,</w:t>
      </w:r>
      <w:r w:rsidRPr="000A1CFB">
        <w:rPr>
          <w:rFonts w:cs="Arial"/>
          <w:color w:val="000000" w:themeColor="text1"/>
        </w:rPr>
        <w:t xml:space="preserve"> model </w:t>
      </w:r>
      <w:r w:rsidR="005D103C">
        <w:rPr>
          <w:rFonts w:cs="Arial"/>
          <w:color w:val="000000" w:themeColor="text1"/>
        </w:rPr>
        <w:t>C</w:t>
      </w:r>
      <w:r w:rsidRPr="000A1CFB">
        <w:rPr>
          <w:rFonts w:cs="Arial"/>
          <w:color w:val="000000" w:themeColor="text1"/>
        </w:rPr>
        <w:t xml:space="preserve">odes </w:t>
      </w:r>
      <w:r w:rsidR="005D103C" w:rsidRPr="000A1CFB">
        <w:rPr>
          <w:rFonts w:cs="Arial"/>
          <w:color w:val="000000" w:themeColor="text1"/>
        </w:rPr>
        <w:t xml:space="preserve">proposed </w:t>
      </w:r>
      <w:r w:rsidRPr="000A1CFB">
        <w:rPr>
          <w:rFonts w:cs="Arial"/>
          <w:color w:val="000000" w:themeColor="text1"/>
        </w:rPr>
        <w:t xml:space="preserve">by Safe Work Australia are provided to </w:t>
      </w:r>
      <w:r w:rsidR="005D103C">
        <w:rPr>
          <w:rFonts w:cs="Arial"/>
          <w:color w:val="000000" w:themeColor="text1"/>
        </w:rPr>
        <w:t>WHS m</w:t>
      </w:r>
      <w:r w:rsidRPr="000A1CFB">
        <w:rPr>
          <w:rFonts w:cs="Arial"/>
          <w:color w:val="000000" w:themeColor="text1"/>
        </w:rPr>
        <w:t>inisters for approval.</w:t>
      </w:r>
      <w:r w:rsidR="0084095F">
        <w:rPr>
          <w:rFonts w:cs="Arial"/>
          <w:color w:val="000000" w:themeColor="text1"/>
        </w:rPr>
        <w:t xml:space="preserve"> </w:t>
      </w:r>
      <w:r w:rsidRPr="000A1CFB">
        <w:rPr>
          <w:rFonts w:cs="Arial"/>
          <w:color w:val="000000" w:themeColor="text1"/>
        </w:rPr>
        <w:t>Whe</w:t>
      </w:r>
      <w:r w:rsidR="00782E14">
        <w:rPr>
          <w:rFonts w:cs="Arial"/>
          <w:color w:val="000000" w:themeColor="text1"/>
        </w:rPr>
        <w:t>n</w:t>
      </w:r>
      <w:r w:rsidRPr="000A1CFB">
        <w:rPr>
          <w:rFonts w:cs="Arial"/>
          <w:color w:val="000000" w:themeColor="text1"/>
        </w:rPr>
        <w:t xml:space="preserve"> </w:t>
      </w:r>
      <w:r w:rsidR="005D103C">
        <w:rPr>
          <w:rFonts w:cs="Arial"/>
          <w:color w:val="000000" w:themeColor="text1"/>
        </w:rPr>
        <w:t>m</w:t>
      </w:r>
      <w:r w:rsidRPr="000A1CFB">
        <w:rPr>
          <w:rFonts w:cs="Arial"/>
          <w:color w:val="000000" w:themeColor="text1"/>
        </w:rPr>
        <w:t xml:space="preserve">inisters agree to </w:t>
      </w:r>
      <w:r w:rsidR="00782E14">
        <w:rPr>
          <w:rFonts w:cs="Arial"/>
          <w:color w:val="000000" w:themeColor="text1"/>
        </w:rPr>
        <w:t xml:space="preserve">a </w:t>
      </w:r>
      <w:r w:rsidRPr="000A1CFB">
        <w:rPr>
          <w:rFonts w:cs="Arial"/>
          <w:color w:val="000000" w:themeColor="text1"/>
        </w:rPr>
        <w:t xml:space="preserve">proposed model Code by consensus </w:t>
      </w:r>
      <w:r w:rsidR="00782E14">
        <w:rPr>
          <w:rFonts w:cs="Arial"/>
          <w:color w:val="000000" w:themeColor="text1"/>
        </w:rPr>
        <w:t>it</w:t>
      </w:r>
      <w:r w:rsidRPr="000A1CFB">
        <w:rPr>
          <w:rFonts w:cs="Arial"/>
          <w:color w:val="000000" w:themeColor="text1"/>
        </w:rPr>
        <w:t xml:space="preserve"> become</w:t>
      </w:r>
      <w:r w:rsidR="00782E14">
        <w:rPr>
          <w:rFonts w:cs="Arial"/>
          <w:color w:val="000000" w:themeColor="text1"/>
        </w:rPr>
        <w:t>s an</w:t>
      </w:r>
      <w:r w:rsidRPr="000A1CFB">
        <w:rPr>
          <w:rFonts w:cs="Arial"/>
          <w:color w:val="000000" w:themeColor="text1"/>
        </w:rPr>
        <w:t xml:space="preserve"> agreed model Code which can then be adopted by </w:t>
      </w:r>
      <w:r w:rsidR="00782E14">
        <w:rPr>
          <w:rFonts w:cs="Arial"/>
          <w:color w:val="000000" w:themeColor="text1"/>
        </w:rPr>
        <w:t xml:space="preserve">individual </w:t>
      </w:r>
      <w:r w:rsidRPr="000A1CFB">
        <w:rPr>
          <w:rFonts w:cs="Arial"/>
          <w:color w:val="000000" w:themeColor="text1"/>
        </w:rPr>
        <w:t xml:space="preserve">jurisdictions under the </w:t>
      </w:r>
      <w:r>
        <w:rPr>
          <w:rFonts w:cs="Arial"/>
          <w:color w:val="000000" w:themeColor="text1"/>
        </w:rPr>
        <w:t xml:space="preserve">model </w:t>
      </w:r>
      <w:r w:rsidRPr="000A1CFB">
        <w:rPr>
          <w:rFonts w:cs="Arial"/>
          <w:color w:val="000000" w:themeColor="text1"/>
        </w:rPr>
        <w:t xml:space="preserve">WHS laws. </w:t>
      </w:r>
      <w:r w:rsidR="00782E14">
        <w:rPr>
          <w:rFonts w:cs="Arial"/>
          <w:color w:val="000000" w:themeColor="text1"/>
        </w:rPr>
        <w:t>Under t</w:t>
      </w:r>
      <w:r w:rsidRPr="000A1CFB">
        <w:rPr>
          <w:rFonts w:cs="Arial"/>
          <w:color w:val="000000" w:themeColor="text1"/>
        </w:rPr>
        <w:t xml:space="preserve">he model WHS </w:t>
      </w:r>
      <w:r>
        <w:rPr>
          <w:rFonts w:cs="Arial"/>
          <w:color w:val="000000" w:themeColor="text1"/>
        </w:rPr>
        <w:t>A</w:t>
      </w:r>
      <w:r w:rsidRPr="000A1CFB">
        <w:rPr>
          <w:rFonts w:cs="Arial"/>
          <w:color w:val="000000" w:themeColor="text1"/>
        </w:rPr>
        <w:t xml:space="preserve">ct </w:t>
      </w:r>
      <w:r w:rsidR="00782E14">
        <w:rPr>
          <w:rFonts w:cs="Arial"/>
          <w:color w:val="000000" w:themeColor="text1"/>
        </w:rPr>
        <w:t xml:space="preserve">an individual WHS minister </w:t>
      </w:r>
      <w:r w:rsidRPr="000A1CFB">
        <w:rPr>
          <w:rFonts w:cs="Arial"/>
          <w:color w:val="000000" w:themeColor="text1"/>
        </w:rPr>
        <w:t xml:space="preserve">may only approve, vary or revoke a </w:t>
      </w:r>
      <w:r w:rsidR="00782E14">
        <w:rPr>
          <w:rFonts w:cs="Arial"/>
          <w:color w:val="000000" w:themeColor="text1"/>
        </w:rPr>
        <w:t>model C</w:t>
      </w:r>
      <w:r w:rsidRPr="000A1CFB">
        <w:rPr>
          <w:rFonts w:cs="Arial"/>
          <w:color w:val="000000" w:themeColor="text1"/>
        </w:rPr>
        <w:t>ode</w:t>
      </w:r>
      <w:r w:rsidR="00782E14">
        <w:rPr>
          <w:rFonts w:cs="Arial"/>
          <w:color w:val="000000" w:themeColor="text1"/>
        </w:rPr>
        <w:t xml:space="preserve"> after following </w:t>
      </w:r>
      <w:r w:rsidRPr="000A1CFB">
        <w:rPr>
          <w:rFonts w:cs="Arial"/>
          <w:color w:val="000000" w:themeColor="text1"/>
        </w:rPr>
        <w:t xml:space="preserve">a process involving consultation between Commonwealth, </w:t>
      </w:r>
      <w:r w:rsidR="00AB6224">
        <w:rPr>
          <w:rFonts w:cs="Arial"/>
          <w:color w:val="000000" w:themeColor="text1"/>
        </w:rPr>
        <w:t>s</w:t>
      </w:r>
      <w:r w:rsidRPr="000A1CFB">
        <w:rPr>
          <w:rFonts w:cs="Arial"/>
          <w:color w:val="000000" w:themeColor="text1"/>
        </w:rPr>
        <w:t xml:space="preserve">tate and </w:t>
      </w:r>
      <w:r w:rsidR="00AB6224">
        <w:rPr>
          <w:rFonts w:cs="Arial"/>
          <w:color w:val="000000" w:themeColor="text1"/>
        </w:rPr>
        <w:t>t</w:t>
      </w:r>
      <w:r w:rsidRPr="000A1CFB">
        <w:rPr>
          <w:rFonts w:cs="Arial"/>
          <w:color w:val="000000" w:themeColor="text1"/>
        </w:rPr>
        <w:t xml:space="preserve">erritory governments, unions and employer organisations. The process can take up to 18 months from the time the content of the model </w:t>
      </w:r>
      <w:r w:rsidR="00AB6224">
        <w:rPr>
          <w:rFonts w:cs="Arial"/>
          <w:color w:val="000000" w:themeColor="text1"/>
        </w:rPr>
        <w:t>C</w:t>
      </w:r>
      <w:r w:rsidRPr="000A1CFB">
        <w:rPr>
          <w:rFonts w:cs="Arial"/>
          <w:color w:val="000000" w:themeColor="text1"/>
        </w:rPr>
        <w:t xml:space="preserve">ode has been settled to when it becomes an approved model </w:t>
      </w:r>
      <w:r w:rsidR="00AB6224">
        <w:rPr>
          <w:rFonts w:cs="Arial"/>
          <w:color w:val="000000" w:themeColor="text1"/>
        </w:rPr>
        <w:t>C</w:t>
      </w:r>
      <w:r w:rsidRPr="000A1CFB">
        <w:rPr>
          <w:rFonts w:cs="Arial"/>
          <w:color w:val="000000" w:themeColor="text1"/>
        </w:rPr>
        <w:t>ode.</w:t>
      </w:r>
      <w:r w:rsidR="009626F8">
        <w:rPr>
          <w:rFonts w:cs="Arial"/>
          <w:color w:val="000000" w:themeColor="text1"/>
        </w:rPr>
        <w:t xml:space="preserve"> </w:t>
      </w:r>
    </w:p>
    <w:p w:rsidR="000E7497" w:rsidRDefault="00D83CEF" w:rsidP="009626F8">
      <w:pPr>
        <w:rPr>
          <w:rFonts w:cs="Arial"/>
        </w:rPr>
      </w:pPr>
      <w:r>
        <w:rPr>
          <w:rFonts w:cs="Arial"/>
          <w:color w:val="000000" w:themeColor="text1"/>
        </w:rPr>
        <w:lastRenderedPageBreak/>
        <w:t>T</w:t>
      </w:r>
      <w:r w:rsidR="000E7497">
        <w:rPr>
          <w:rFonts w:cs="Arial"/>
          <w:color w:val="000000" w:themeColor="text1"/>
        </w:rPr>
        <w:t xml:space="preserve">he </w:t>
      </w:r>
      <w:r>
        <w:rPr>
          <w:rFonts w:cs="Arial"/>
          <w:color w:val="000000" w:themeColor="text1"/>
        </w:rPr>
        <w:t xml:space="preserve">2014 </w:t>
      </w:r>
      <w:r w:rsidR="006F593C">
        <w:rPr>
          <w:rFonts w:cs="Arial"/>
          <w:color w:val="000000" w:themeColor="text1"/>
        </w:rPr>
        <w:t>COAG r</w:t>
      </w:r>
      <w:r w:rsidR="000E7497" w:rsidRPr="000A1CFB">
        <w:rPr>
          <w:rFonts w:cs="Arial"/>
          <w:color w:val="000000" w:themeColor="text1"/>
        </w:rPr>
        <w:t xml:space="preserve">eview </w:t>
      </w:r>
      <w:r>
        <w:rPr>
          <w:rFonts w:cs="Arial"/>
          <w:color w:val="000000" w:themeColor="text1"/>
        </w:rPr>
        <w:t xml:space="preserve">examined the use of the model Codes and recommended </w:t>
      </w:r>
      <w:r w:rsidR="000E7497" w:rsidRPr="000A1CFB">
        <w:rPr>
          <w:rFonts w:cs="Arial"/>
          <w:color w:val="000000" w:themeColor="text1"/>
        </w:rPr>
        <w:t xml:space="preserve">that </w:t>
      </w:r>
      <w:r>
        <w:rPr>
          <w:rFonts w:cs="Arial"/>
          <w:color w:val="000000" w:themeColor="text1"/>
        </w:rPr>
        <w:t xml:space="preserve">in </w:t>
      </w:r>
      <w:r w:rsidR="006932A7">
        <w:rPr>
          <w:rFonts w:cs="Arial"/>
          <w:color w:val="000000" w:themeColor="text1"/>
        </w:rPr>
        <w:t xml:space="preserve">the </w:t>
      </w:r>
      <w:r>
        <w:rPr>
          <w:rFonts w:cs="Arial"/>
          <w:color w:val="000000" w:themeColor="text1"/>
        </w:rPr>
        <w:t>future</w:t>
      </w:r>
      <w:r w:rsidR="006932A7">
        <w:rPr>
          <w:rFonts w:cs="Arial"/>
          <w:color w:val="000000" w:themeColor="text1"/>
        </w:rPr>
        <w:t>,</w:t>
      </w:r>
      <w:r>
        <w:rPr>
          <w:rFonts w:cs="Arial"/>
          <w:color w:val="000000" w:themeColor="text1"/>
        </w:rPr>
        <w:t xml:space="preserve"> </w:t>
      </w:r>
      <w:r w:rsidR="000E7497" w:rsidRPr="000A1CFB">
        <w:t xml:space="preserve">national guidance material </w:t>
      </w:r>
      <w:r>
        <w:t>be</w:t>
      </w:r>
      <w:r w:rsidR="0084095F">
        <w:t xml:space="preserve"> </w:t>
      </w:r>
      <w:r w:rsidR="000E7497" w:rsidRPr="000A1CFB">
        <w:t>the preferred format</w:t>
      </w:r>
      <w:r w:rsidR="000E7497">
        <w:t xml:space="preserve"> to support </w:t>
      </w:r>
      <w:r w:rsidR="00F4353B">
        <w:t>duty holders</w:t>
      </w:r>
      <w:r>
        <w:t>, rather than</w:t>
      </w:r>
      <w:r w:rsidR="006932A7">
        <w:t xml:space="preserve"> </w:t>
      </w:r>
      <w:r>
        <w:t>model Codes. T</w:t>
      </w:r>
      <w:r w:rsidR="006F593C">
        <w:t>he r</w:t>
      </w:r>
      <w:r w:rsidR="00F54245">
        <w:t>eview found that m</w:t>
      </w:r>
      <w:r>
        <w:t xml:space="preserve">odel Codes were perceived as being overly long and complex through trying to encompass all relevant information in a single source. COAG agreed that further model Codes could be developed, where </w:t>
      </w:r>
      <w:r w:rsidR="000E7497" w:rsidRPr="000A1CFB">
        <w:t>S</w:t>
      </w:r>
      <w:r w:rsidR="00F4353B">
        <w:t xml:space="preserve">afe </w:t>
      </w:r>
      <w:r w:rsidR="000E7497" w:rsidRPr="000A1CFB">
        <w:t>W</w:t>
      </w:r>
      <w:r w:rsidR="00F4353B">
        <w:t xml:space="preserve">ork </w:t>
      </w:r>
      <w:r w:rsidR="000E7497" w:rsidRPr="000A1CFB">
        <w:t>A</w:t>
      </w:r>
      <w:r w:rsidR="00F4353B">
        <w:t>ustralia</w:t>
      </w:r>
      <w:r w:rsidR="000E7497" w:rsidRPr="000A1CFB">
        <w:t xml:space="preserve"> </w:t>
      </w:r>
      <w:r w:rsidR="00E20055">
        <w:t>identifies</w:t>
      </w:r>
      <w:r w:rsidR="000E7497" w:rsidRPr="000A1CFB">
        <w:t xml:space="preserve"> a need based on rigorous criteria agreed by </w:t>
      </w:r>
      <w:r w:rsidR="00E20055">
        <w:t xml:space="preserve">WHS </w:t>
      </w:r>
      <w:r w:rsidR="00782E14">
        <w:t>m</w:t>
      </w:r>
      <w:r w:rsidR="000E7497" w:rsidRPr="000A1CFB">
        <w:t>inisters.</w:t>
      </w:r>
    </w:p>
    <w:p w:rsidR="001F5DCC" w:rsidRPr="00866B4B" w:rsidRDefault="001F5DCC" w:rsidP="0085391F">
      <w:pPr>
        <w:jc w:val="both"/>
        <w:rPr>
          <w:sz w:val="22"/>
          <w:szCs w:val="22"/>
          <w:lang w:val="en-AU"/>
        </w:rPr>
      </w:pPr>
    </w:p>
    <w:p w:rsidR="00ED2952" w:rsidRPr="00746177" w:rsidRDefault="007B76AC" w:rsidP="00146A76">
      <w:pPr>
        <w:pStyle w:val="ReviewSubmissionQuestions"/>
      </w:pPr>
      <w:r w:rsidRPr="00746177">
        <w:t xml:space="preserve">What are your views on the effectiveness of the three-tiered approach - model WHS Act supported by model WHS Regulations and model </w:t>
      </w:r>
      <w:r w:rsidR="00057B61" w:rsidRPr="00746177">
        <w:t xml:space="preserve">WHS </w:t>
      </w:r>
      <w:r w:rsidRPr="00746177">
        <w:t xml:space="preserve">Codes - to achieve the </w:t>
      </w:r>
      <w:r w:rsidR="00057B61" w:rsidRPr="00746177">
        <w:t>object</w:t>
      </w:r>
      <w:r w:rsidRPr="00746177">
        <w:t xml:space="preserve"> of the model WHS laws?</w:t>
      </w:r>
      <w:r w:rsidR="00ED2952" w:rsidRPr="00746177">
        <w:t xml:space="preserve"> </w:t>
      </w:r>
    </w:p>
    <w:p w:rsidR="00746177" w:rsidRPr="00746177" w:rsidRDefault="00746177" w:rsidP="006D7214">
      <w:pPr>
        <w:pStyle w:val="ReviewSubmissionQuestions"/>
        <w:numPr>
          <w:ilvl w:val="0"/>
          <w:numId w:val="0"/>
        </w:numPr>
        <w:ind w:left="1928"/>
      </w:pPr>
    </w:p>
    <w:p w:rsidR="00ED2952" w:rsidRPr="00746177" w:rsidRDefault="00753D07" w:rsidP="00146A76">
      <w:pPr>
        <w:pStyle w:val="ReviewSubmissionQuestions"/>
      </w:pPr>
      <w:r w:rsidRPr="00746177">
        <w:t>Have you any comments on whether the model WHS Regulations adequately support the object of the model WHS Act?</w:t>
      </w:r>
      <w:r w:rsidR="00ED2952" w:rsidRPr="00746177">
        <w:t xml:space="preserve"> </w:t>
      </w:r>
    </w:p>
    <w:p w:rsidR="00746177" w:rsidRPr="00746177" w:rsidRDefault="00746177" w:rsidP="006D7214">
      <w:pPr>
        <w:pStyle w:val="ReviewSubmissionQuestions"/>
        <w:numPr>
          <w:ilvl w:val="0"/>
          <w:numId w:val="0"/>
        </w:numPr>
        <w:ind w:left="1928"/>
      </w:pPr>
    </w:p>
    <w:p w:rsidR="00746177" w:rsidRPr="00746177" w:rsidRDefault="00753D07" w:rsidP="00146A76">
      <w:pPr>
        <w:pStyle w:val="ReviewSubmissionQuestions"/>
      </w:pPr>
      <w:r w:rsidRPr="00746177">
        <w:t xml:space="preserve">Have you any comments on whether the model WHS Codes adequately support the object of the </w:t>
      </w:r>
      <w:r w:rsidR="00BE2B1C" w:rsidRPr="00746177">
        <w:t>m</w:t>
      </w:r>
      <w:r w:rsidRPr="00746177">
        <w:t>odel WHS Act?</w:t>
      </w:r>
      <w:r w:rsidR="0093622B" w:rsidRPr="00746177">
        <w:t xml:space="preserve"> </w:t>
      </w:r>
    </w:p>
    <w:p w:rsidR="00746177" w:rsidRPr="00746177" w:rsidRDefault="00746177" w:rsidP="006D7214">
      <w:pPr>
        <w:pStyle w:val="ReviewSubmissionQuestions"/>
        <w:numPr>
          <w:ilvl w:val="0"/>
          <w:numId w:val="0"/>
        </w:numPr>
        <w:ind w:left="1928"/>
      </w:pPr>
    </w:p>
    <w:p w:rsidR="00146AD3" w:rsidRPr="00746177" w:rsidRDefault="00DD6319" w:rsidP="00146A76">
      <w:pPr>
        <w:pStyle w:val="ReviewSubmissionQuestions"/>
      </w:pPr>
      <w:r w:rsidRPr="00746177">
        <w:t>Have you any comments on whether the current framework strikes the right balance between the model WHS Act, model WHS Regulations and model Codes to ensure that they work together effectively to deliver WHS outcomes?</w:t>
      </w:r>
    </w:p>
    <w:p w:rsidR="007C0C3D" w:rsidRPr="005C6931" w:rsidRDefault="007C0C3D" w:rsidP="005C6931">
      <w:pPr>
        <w:pStyle w:val="2018ReviewSectionnumberingheading"/>
      </w:pPr>
      <w:bookmarkStart w:id="31" w:name="_Toc506794176"/>
      <w:r w:rsidRPr="005C6931">
        <w:t xml:space="preserve">Scope and </w:t>
      </w:r>
      <w:r w:rsidR="003B55FD">
        <w:t>a</w:t>
      </w:r>
      <w:r w:rsidRPr="005C6931">
        <w:t>pplication</w:t>
      </w:r>
      <w:bookmarkEnd w:id="31"/>
    </w:p>
    <w:p w:rsidR="006305DA" w:rsidRDefault="007C0C3D" w:rsidP="009626F8">
      <w:r w:rsidRPr="000A1CFB">
        <w:t xml:space="preserve">The </w:t>
      </w:r>
      <w:r>
        <w:t>m</w:t>
      </w:r>
      <w:r w:rsidRPr="000A1CFB">
        <w:t xml:space="preserve">odel WHS Act </w:t>
      </w:r>
      <w:r w:rsidR="00877F3E">
        <w:t xml:space="preserve">provides for a broad scope and application of the model WHS laws. </w:t>
      </w:r>
      <w:r w:rsidR="008635CA">
        <w:t>This reflects the policy intention to</w:t>
      </w:r>
      <w:r w:rsidR="006305DA">
        <w:t>:</w:t>
      </w:r>
    </w:p>
    <w:p w:rsidR="006305DA" w:rsidRPr="006305DA" w:rsidRDefault="008635CA" w:rsidP="009626F8">
      <w:pPr>
        <w:pStyle w:val="2018ReviewBullets"/>
      </w:pPr>
      <w:r w:rsidRPr="006305DA">
        <w:t>cover non-traditional, new and evolving working arrangements</w:t>
      </w:r>
      <w:r w:rsidR="0093622B">
        <w:t xml:space="preserve"> </w:t>
      </w:r>
      <w:r w:rsidR="00082E7F">
        <w:t>by</w:t>
      </w:r>
      <w:r w:rsidR="0093622B">
        <w:t xml:space="preserve"> moving away from</w:t>
      </w:r>
      <w:r w:rsidR="00082E7F">
        <w:t xml:space="preserve"> reliance on</w:t>
      </w:r>
      <w:r w:rsidR="0093622B">
        <w:t xml:space="preserve"> the traditional employer/employee </w:t>
      </w:r>
      <w:r w:rsidR="00082E7F">
        <w:t>relationship</w:t>
      </w:r>
      <w:r w:rsidRPr="006305DA">
        <w:t xml:space="preserve"> </w:t>
      </w:r>
    </w:p>
    <w:p w:rsidR="006305DA" w:rsidRPr="006305DA" w:rsidRDefault="008635CA" w:rsidP="009626F8">
      <w:pPr>
        <w:pStyle w:val="2018ReviewBullets"/>
      </w:pPr>
      <w:r w:rsidRPr="006305DA">
        <w:t>secure the health and safety of workers at work</w:t>
      </w:r>
      <w:r w:rsidR="00BE2B1C">
        <w:t xml:space="preserve">, and </w:t>
      </w:r>
      <w:r w:rsidR="00E868D1">
        <w:t xml:space="preserve">ensure </w:t>
      </w:r>
      <w:r w:rsidR="00BE2B1C">
        <w:t xml:space="preserve">that </w:t>
      </w:r>
      <w:r w:rsidR="00E868D1">
        <w:t>the health and safety of others is not put at risk from work</w:t>
      </w:r>
      <w:r w:rsidR="0084095F">
        <w:t xml:space="preserve"> </w:t>
      </w:r>
    </w:p>
    <w:p w:rsidR="006305DA" w:rsidRPr="006305DA" w:rsidRDefault="008635CA" w:rsidP="009626F8">
      <w:pPr>
        <w:pStyle w:val="2018ReviewBullets"/>
      </w:pPr>
      <w:r w:rsidRPr="006305DA">
        <w:t>provide a broad definition of ‘workplace’, making it clear that a place does not cease being a workplace simply because there is no work being carried out at a particular time</w:t>
      </w:r>
      <w:r w:rsidR="00BE2B1C">
        <w:t>,</w:t>
      </w:r>
      <w:r w:rsidRPr="006305DA">
        <w:t xml:space="preserve"> and </w:t>
      </w:r>
    </w:p>
    <w:p w:rsidR="006305DA" w:rsidRPr="006305DA" w:rsidRDefault="008635CA" w:rsidP="009626F8">
      <w:pPr>
        <w:pStyle w:val="2018ReviewBullets"/>
      </w:pPr>
      <w:r w:rsidRPr="006305DA">
        <w:t>make it clear that the Crown is bound by the model WHS laws</w:t>
      </w:r>
      <w:r w:rsidR="00BE2B1C">
        <w:t>.</w:t>
      </w:r>
      <w:r w:rsidR="005303E7">
        <w:rPr>
          <w:rStyle w:val="FootnoteReference"/>
          <w:rFonts w:cstheme="minorHAnsi"/>
          <w:sz w:val="22"/>
          <w:szCs w:val="22"/>
        </w:rPr>
        <w:footnoteReference w:id="19"/>
      </w:r>
    </w:p>
    <w:p w:rsidR="000533C1" w:rsidRDefault="000533C1" w:rsidP="009626F8">
      <w:r w:rsidRPr="00B72CD7">
        <w:t>The model WHS Act also includes ‘psychological health’ under its definition of ‘health’</w:t>
      </w:r>
      <w:r w:rsidR="00C17279">
        <w:t>.</w:t>
      </w:r>
      <w:r w:rsidR="00C17279" w:rsidRPr="00C17279">
        <w:rPr>
          <w:rFonts w:asciiTheme="minorHAnsi" w:hAnsiTheme="minorHAnsi"/>
          <w:sz w:val="22"/>
          <w:szCs w:val="22"/>
          <w:lang w:val="en-AU" w:eastAsia="en-US"/>
        </w:rPr>
        <w:t xml:space="preserve"> </w:t>
      </w:r>
      <w:r w:rsidR="00C17279">
        <w:rPr>
          <w:lang w:val="en-AU"/>
        </w:rPr>
        <w:t>T</w:t>
      </w:r>
      <w:r w:rsidR="00C17279" w:rsidRPr="00C17279">
        <w:rPr>
          <w:lang w:val="en-AU"/>
        </w:rPr>
        <w:t>he exp</w:t>
      </w:r>
      <w:r w:rsidR="00E20055">
        <w:rPr>
          <w:lang w:val="en-AU"/>
        </w:rPr>
        <w:t xml:space="preserve">ress </w:t>
      </w:r>
      <w:r w:rsidR="00C17279" w:rsidRPr="00C17279">
        <w:rPr>
          <w:lang w:val="en-AU"/>
        </w:rPr>
        <w:t>reference to psychological health was new to most jurisdictions.</w:t>
      </w:r>
    </w:p>
    <w:p w:rsidR="008A4EF2" w:rsidRPr="008A4EF2" w:rsidRDefault="008A4EF2" w:rsidP="00610434">
      <w:pPr>
        <w:pStyle w:val="Heading2"/>
      </w:pPr>
      <w:bookmarkStart w:id="32" w:name="_Toc506794177"/>
      <w:r w:rsidRPr="0030026E">
        <w:t>New safety laws</w:t>
      </w:r>
      <w:bookmarkEnd w:id="32"/>
    </w:p>
    <w:p w:rsidR="000750A5" w:rsidRPr="009626F8" w:rsidRDefault="000750A5" w:rsidP="009626F8">
      <w:pPr>
        <w:rPr>
          <w:lang w:val="en-AU"/>
        </w:rPr>
      </w:pPr>
      <w:r w:rsidRPr="000A1CFB">
        <w:rPr>
          <w:rFonts w:cstheme="minorHAnsi"/>
        </w:rPr>
        <w:t xml:space="preserve">Since the introduction of the </w:t>
      </w:r>
      <w:r>
        <w:rPr>
          <w:rFonts w:cstheme="minorHAnsi"/>
        </w:rPr>
        <w:t>m</w:t>
      </w:r>
      <w:r w:rsidRPr="000A1CFB">
        <w:rPr>
          <w:rFonts w:cstheme="minorHAnsi"/>
        </w:rPr>
        <w:t xml:space="preserve">odel WHS laws, new safety related laws have </w:t>
      </w:r>
      <w:r w:rsidR="00081F60">
        <w:rPr>
          <w:rFonts w:cstheme="minorHAnsi"/>
        </w:rPr>
        <w:t>been</w:t>
      </w:r>
      <w:r w:rsidRPr="000A1CFB">
        <w:rPr>
          <w:rFonts w:cstheme="minorHAnsi"/>
        </w:rPr>
        <w:t xml:space="preserve"> implemented outside of the </w:t>
      </w:r>
      <w:r>
        <w:rPr>
          <w:rFonts w:cstheme="minorHAnsi"/>
        </w:rPr>
        <w:t>m</w:t>
      </w:r>
      <w:r w:rsidR="00E75CD9">
        <w:rPr>
          <w:rFonts w:cstheme="minorHAnsi"/>
        </w:rPr>
        <w:t>odel WHS framework.</w:t>
      </w:r>
      <w:r w:rsidRPr="000A1CFB">
        <w:rPr>
          <w:rFonts w:cstheme="minorHAnsi"/>
        </w:rPr>
        <w:t xml:space="preserve"> </w:t>
      </w:r>
      <w:r w:rsidR="00CF75AD">
        <w:rPr>
          <w:rFonts w:cstheme="minorHAnsi"/>
        </w:rPr>
        <w:t>For instance, w</w:t>
      </w:r>
      <w:r w:rsidRPr="00CE07DF">
        <w:rPr>
          <w:rFonts w:cstheme="minorHAnsi"/>
        </w:rPr>
        <w:t xml:space="preserve">ith the </w:t>
      </w:r>
      <w:r w:rsidR="00CF75AD">
        <w:rPr>
          <w:rFonts w:cstheme="minorHAnsi"/>
        </w:rPr>
        <w:t xml:space="preserve">growth </w:t>
      </w:r>
      <w:r w:rsidRPr="00CE07DF">
        <w:rPr>
          <w:rFonts w:cstheme="minorHAnsi"/>
        </w:rPr>
        <w:t xml:space="preserve">of </w:t>
      </w:r>
      <w:r w:rsidR="00081F60">
        <w:rPr>
          <w:rFonts w:cstheme="minorHAnsi"/>
        </w:rPr>
        <w:t xml:space="preserve">ride-sharing services like </w:t>
      </w:r>
      <w:r w:rsidRPr="00CE07DF">
        <w:rPr>
          <w:rFonts w:cstheme="minorHAnsi"/>
        </w:rPr>
        <w:t>Uber</w:t>
      </w:r>
      <w:r w:rsidR="00082E7F">
        <w:rPr>
          <w:rFonts w:cstheme="minorHAnsi"/>
        </w:rPr>
        <w:t>,</w:t>
      </w:r>
      <w:r w:rsidRPr="00CE07DF">
        <w:rPr>
          <w:rFonts w:cstheme="minorHAnsi"/>
        </w:rPr>
        <w:t xml:space="preserve"> jurisdictions have responded (or intend to respond) by amending their relevant passenger transport </w:t>
      </w:r>
      <w:r w:rsidRPr="00CE07DF">
        <w:rPr>
          <w:rFonts w:cstheme="minorHAnsi"/>
        </w:rPr>
        <w:lastRenderedPageBreak/>
        <w:t xml:space="preserve">laws </w:t>
      </w:r>
      <w:r w:rsidR="00CF75AD">
        <w:rPr>
          <w:rFonts w:cstheme="minorHAnsi"/>
        </w:rPr>
        <w:t>(</w:t>
      </w:r>
      <w:r w:rsidRPr="00CE07DF">
        <w:rPr>
          <w:rFonts w:cstheme="minorHAnsi"/>
        </w:rPr>
        <w:t>to place safety responsibilities on those participating in that industry</w:t>
      </w:r>
      <w:r w:rsidR="00CF75AD">
        <w:rPr>
          <w:rFonts w:cstheme="minorHAnsi"/>
        </w:rPr>
        <w:t>) rather than rely on the existing WHS laws</w:t>
      </w:r>
      <w:r w:rsidR="00DB736B">
        <w:rPr>
          <w:rFonts w:cstheme="minorHAnsi"/>
        </w:rPr>
        <w:t>.</w:t>
      </w:r>
      <w:r w:rsidR="00E75CD9">
        <w:rPr>
          <w:rStyle w:val="FootnoteReference"/>
          <w:rFonts w:cs="Trebuchet MS"/>
          <w:color w:val="000000"/>
          <w:sz w:val="22"/>
          <w:szCs w:val="22"/>
        </w:rPr>
        <w:footnoteReference w:id="20"/>
      </w:r>
    </w:p>
    <w:p w:rsidR="008A4EF2" w:rsidRPr="00C351F4" w:rsidRDefault="003D129A" w:rsidP="00C351F4">
      <w:pPr>
        <w:pStyle w:val="Heading2"/>
      </w:pPr>
      <w:bookmarkStart w:id="33" w:name="_Toc506794178"/>
      <w:r>
        <w:t>Extraterritorial application</w:t>
      </w:r>
      <w:bookmarkEnd w:id="33"/>
    </w:p>
    <w:p w:rsidR="00954FB0" w:rsidRPr="009626F8" w:rsidRDefault="00877F3E" w:rsidP="009626F8">
      <w:r>
        <w:t xml:space="preserve">Jurisdictional notes </w:t>
      </w:r>
      <w:r w:rsidR="00954FB0">
        <w:t>in the model WHS Act provide</w:t>
      </w:r>
      <w:r>
        <w:t xml:space="preserve"> the flexibility for jurisdictions to include their own extraterritorial provisions. </w:t>
      </w:r>
      <w:r w:rsidR="00954FB0">
        <w:t>It was intended</w:t>
      </w:r>
      <w:r w:rsidR="00954FB0" w:rsidRPr="000A1CFB">
        <w:rPr>
          <w:bCs/>
        </w:rPr>
        <w:t xml:space="preserve"> that </w:t>
      </w:r>
      <w:r w:rsidR="00954FB0" w:rsidRPr="000A1CFB">
        <w:rPr>
          <w:lang w:val="en-AU"/>
        </w:rPr>
        <w:t xml:space="preserve">inspection powers (Parts 9 and 10 of the </w:t>
      </w:r>
      <w:r w:rsidR="00954FB0">
        <w:rPr>
          <w:lang w:val="en-AU"/>
        </w:rPr>
        <w:t>m</w:t>
      </w:r>
      <w:r w:rsidR="00954FB0" w:rsidRPr="000A1CFB">
        <w:rPr>
          <w:lang w:val="en-AU"/>
        </w:rPr>
        <w:t>odel WHS Act) and powers of inquiry (Part 7) would not have any extraterritorial appli</w:t>
      </w:r>
      <w:r w:rsidR="00954FB0">
        <w:rPr>
          <w:lang w:val="en-AU"/>
        </w:rPr>
        <w:t>cation to workplaces outside a specific</w:t>
      </w:r>
      <w:r w:rsidR="00954FB0" w:rsidRPr="000A1CFB">
        <w:rPr>
          <w:lang w:val="en-AU"/>
        </w:rPr>
        <w:t xml:space="preserve"> jurisdiction</w:t>
      </w:r>
      <w:r w:rsidR="00DB736B">
        <w:rPr>
          <w:lang w:val="en-AU"/>
        </w:rPr>
        <w:t>.</w:t>
      </w:r>
      <w:r w:rsidR="00954FB0" w:rsidRPr="000A1CFB">
        <w:rPr>
          <w:rStyle w:val="FootnoteReference"/>
          <w:sz w:val="22"/>
          <w:szCs w:val="22"/>
          <w:lang w:val="en-AU"/>
        </w:rPr>
        <w:footnoteReference w:id="21"/>
      </w:r>
      <w:r w:rsidR="00954FB0">
        <w:t xml:space="preserve"> However, i</w:t>
      </w:r>
      <w:r w:rsidR="00954FB0" w:rsidRPr="000A1CFB">
        <w:t xml:space="preserve">t remains unclear </w:t>
      </w:r>
      <w:r w:rsidR="008E0CED">
        <w:t xml:space="preserve">the extent to which </w:t>
      </w:r>
      <w:r w:rsidR="00954FB0">
        <w:t>regulatory powers in</w:t>
      </w:r>
      <w:r w:rsidR="00954FB0" w:rsidRPr="000A1CFB">
        <w:t xml:space="preserve"> </w:t>
      </w:r>
      <w:r w:rsidR="008E0CED">
        <w:t xml:space="preserve">the </w:t>
      </w:r>
      <w:r w:rsidR="00954FB0">
        <w:t>model WHS laws</w:t>
      </w:r>
      <w:r w:rsidR="00954FB0" w:rsidRPr="000A1CFB">
        <w:t xml:space="preserve"> </w:t>
      </w:r>
      <w:r w:rsidR="008E0CED">
        <w:t>extend outside of a jurisdiction</w:t>
      </w:r>
      <w:r w:rsidR="00954FB0" w:rsidRPr="000A1CFB">
        <w:t>, including</w:t>
      </w:r>
      <w:r w:rsidR="008E0CED">
        <w:t xml:space="preserve"> to offshore worksites and businesses operating from</w:t>
      </w:r>
      <w:r w:rsidR="00954FB0" w:rsidRPr="000A1CFB">
        <w:t xml:space="preserve"> overseas</w:t>
      </w:r>
      <w:r w:rsidR="00DB736B">
        <w:t>.</w:t>
      </w:r>
      <w:r w:rsidR="00954FB0">
        <w:rPr>
          <w:rStyle w:val="FootnoteReference"/>
          <w:color w:val="000000"/>
          <w:sz w:val="22"/>
          <w:szCs w:val="22"/>
        </w:rPr>
        <w:footnoteReference w:id="22"/>
      </w:r>
    </w:p>
    <w:p w:rsidR="00954FB0" w:rsidRPr="009626F8" w:rsidRDefault="00954FB0" w:rsidP="009626F8">
      <w:r>
        <w:t xml:space="preserve">There has been one case which considered </w:t>
      </w:r>
      <w:r w:rsidR="00B27E17">
        <w:t>the extraterritoriality</w:t>
      </w:r>
      <w:r>
        <w:t xml:space="preserve"> issue. </w:t>
      </w:r>
      <w:r w:rsidRPr="000A1CFB">
        <w:t xml:space="preserve">In </w:t>
      </w:r>
      <w:r w:rsidRPr="000A1CFB">
        <w:rPr>
          <w:i/>
        </w:rPr>
        <w:t>Perilya Limited v Nash</w:t>
      </w:r>
      <w:r w:rsidRPr="000A1CFB">
        <w:t xml:space="preserve">, the Supreme Court of </w:t>
      </w:r>
      <w:r>
        <w:t xml:space="preserve">New South Wales found that the </w:t>
      </w:r>
      <w:r w:rsidR="003B55FD">
        <w:t>r</w:t>
      </w:r>
      <w:r w:rsidRPr="000A1CFB">
        <w:t xml:space="preserve">egulator's power to </w:t>
      </w:r>
      <w:r w:rsidR="0091051D">
        <w:t xml:space="preserve">issue a notice to </w:t>
      </w:r>
      <w:r w:rsidRPr="000A1CFB">
        <w:t xml:space="preserve">obtain information under </w:t>
      </w:r>
      <w:r w:rsidRPr="00CC3307">
        <w:t xml:space="preserve">the </w:t>
      </w:r>
      <w:r w:rsidRPr="008C5DFC">
        <w:t>NSW Act</w:t>
      </w:r>
      <w:r w:rsidRPr="000A1CFB">
        <w:t xml:space="preserve"> </w:t>
      </w:r>
      <w:r w:rsidR="0091051D">
        <w:t xml:space="preserve">was not limited </w:t>
      </w:r>
      <w:r w:rsidRPr="000A1CFB">
        <w:t>by state borders</w:t>
      </w:r>
      <w:r w:rsidR="0091051D">
        <w:t xml:space="preserve"> in the circumstances</w:t>
      </w:r>
      <w:r w:rsidRPr="000A1CFB">
        <w:t xml:space="preserve">. The </w:t>
      </w:r>
      <w:r w:rsidR="0091051D" w:rsidRPr="000A1CFB">
        <w:t>Supreme Court</w:t>
      </w:r>
      <w:r w:rsidR="0091051D">
        <w:t xml:space="preserve"> did not consider the</w:t>
      </w:r>
      <w:r w:rsidR="0091051D" w:rsidRPr="000A1CFB">
        <w:t xml:space="preserve"> </w:t>
      </w:r>
      <w:r w:rsidRPr="000A1CFB">
        <w:t xml:space="preserve">fact that Perilya Limited is registered in Western Australia and the company has its office in Perth </w:t>
      </w:r>
      <w:r w:rsidR="0091051D">
        <w:t>as decisive in deciding whether the regulator could issue the notice</w:t>
      </w:r>
      <w:r w:rsidR="009626F8">
        <w:t>.</w:t>
      </w:r>
      <w:r w:rsidR="00DB736B">
        <w:rPr>
          <w:rStyle w:val="FootnoteReference"/>
        </w:rPr>
        <w:footnoteReference w:id="23"/>
      </w:r>
    </w:p>
    <w:p w:rsidR="008A4EF2" w:rsidRPr="00C351F4" w:rsidRDefault="008A4EF2" w:rsidP="00C351F4">
      <w:pPr>
        <w:pStyle w:val="Heading2"/>
      </w:pPr>
      <w:bookmarkStart w:id="34" w:name="_Toc506794179"/>
      <w:r w:rsidRPr="00C351F4">
        <w:t>Public safety regulation</w:t>
      </w:r>
      <w:bookmarkEnd w:id="34"/>
    </w:p>
    <w:p w:rsidR="005768BB" w:rsidRPr="00FF16B4" w:rsidRDefault="005768BB" w:rsidP="009626F8">
      <w:pPr>
        <w:rPr>
          <w:i/>
          <w:lang w:val="en-AU"/>
        </w:rPr>
      </w:pPr>
      <w:r w:rsidRPr="000A1CFB">
        <w:t xml:space="preserve">The question of where </w:t>
      </w:r>
      <w:r w:rsidR="0062543C">
        <w:t>WHS</w:t>
      </w:r>
      <w:r w:rsidRPr="000A1CFB">
        <w:t xml:space="preserve"> regulation ends and public safety regulation begins remains complex</w:t>
      </w:r>
      <w:r>
        <w:t>.</w:t>
      </w:r>
      <w:r w:rsidR="0084095F">
        <w:rPr>
          <w:i/>
          <w:lang w:val="en-AU"/>
        </w:rPr>
        <w:t xml:space="preserve"> </w:t>
      </w:r>
      <w:r w:rsidRPr="000A1CFB">
        <w:t xml:space="preserve">The Explanatory Memorandum to the </w:t>
      </w:r>
      <w:r w:rsidR="00985191">
        <w:t>model</w:t>
      </w:r>
      <w:r w:rsidRPr="000A1CFB">
        <w:t xml:space="preserve"> </w:t>
      </w:r>
      <w:r w:rsidR="0062543C">
        <w:t>WHS</w:t>
      </w:r>
      <w:r w:rsidRPr="000A1CFB">
        <w:t xml:space="preserve"> </w:t>
      </w:r>
      <w:r w:rsidR="007969B1">
        <w:t>Act</w:t>
      </w:r>
      <w:r w:rsidRPr="000A1CFB">
        <w:t xml:space="preserve"> </w:t>
      </w:r>
      <w:r w:rsidR="00440A70">
        <w:t>state</w:t>
      </w:r>
      <w:r w:rsidR="003B4D43">
        <w:t>s</w:t>
      </w:r>
      <w:r w:rsidRPr="000A1CFB">
        <w:t>:</w:t>
      </w:r>
    </w:p>
    <w:p w:rsidR="005768BB" w:rsidRPr="000A1CFB" w:rsidRDefault="005768BB" w:rsidP="009D3FC3">
      <w:pPr>
        <w:pStyle w:val="Quote"/>
        <w:ind w:left="720"/>
      </w:pPr>
      <w:r w:rsidRPr="000A1CFB">
        <w:t>The duties under the Bill are intended to operate in a work context and will apply where work is performed, processes or things are used for work or in relation to workplaces. It is not intended to have operation in relation to public health and safety more broadly, without the necessary connection to work; and</w:t>
      </w:r>
      <w:r w:rsidR="0011701C">
        <w:t xml:space="preserve"> t</w:t>
      </w:r>
      <w:r w:rsidRPr="000A1CFB">
        <w:t>hese elements are reflected in the model Bill by the careful drafting of obligations and the terms used in the Bill and also by suitably articulated objects.</w:t>
      </w:r>
      <w:r w:rsidRPr="000A1CFB">
        <w:rPr>
          <w:rStyle w:val="FootnoteReference"/>
          <w:color w:val="000000"/>
          <w:sz w:val="22"/>
          <w:szCs w:val="22"/>
        </w:rPr>
        <w:footnoteReference w:id="24"/>
      </w:r>
    </w:p>
    <w:p w:rsidR="00BE3053" w:rsidRDefault="00BE3053" w:rsidP="00BE3053">
      <w:pPr>
        <w:rPr>
          <w:lang w:val="en-AU"/>
        </w:rPr>
      </w:pPr>
      <w:r>
        <w:rPr>
          <w:lang w:val="en-AU"/>
        </w:rPr>
        <w:t xml:space="preserve">A recent case in South Australia </w:t>
      </w:r>
      <w:r w:rsidRPr="000A1CFB">
        <w:rPr>
          <w:lang w:val="en-AU"/>
        </w:rPr>
        <w:t>confirmed th</w:t>
      </w:r>
      <w:r>
        <w:rPr>
          <w:lang w:val="en-AU"/>
        </w:rPr>
        <w:t>e</w:t>
      </w:r>
      <w:r w:rsidRPr="000A1CFB">
        <w:rPr>
          <w:lang w:val="en-AU"/>
        </w:rPr>
        <w:t xml:space="preserve"> health and safety dut</w:t>
      </w:r>
      <w:r w:rsidRPr="0091051D">
        <w:rPr>
          <w:lang w:val="en-AU"/>
        </w:rPr>
        <w:t xml:space="preserve">y to </w:t>
      </w:r>
      <w:r>
        <w:rPr>
          <w:lang w:val="en-AU"/>
        </w:rPr>
        <w:t>other persons</w:t>
      </w:r>
      <w:r w:rsidRPr="0091051D">
        <w:rPr>
          <w:lang w:val="en-AU"/>
        </w:rPr>
        <w:t xml:space="preserve"> is </w:t>
      </w:r>
      <w:r w:rsidRPr="000A1CFB">
        <w:rPr>
          <w:lang w:val="en-AU"/>
        </w:rPr>
        <w:t xml:space="preserve">not limited to the time and location when the work </w:t>
      </w:r>
      <w:r>
        <w:rPr>
          <w:lang w:val="en-AU"/>
        </w:rPr>
        <w:t>was</w:t>
      </w:r>
      <w:r w:rsidRPr="000A1CFB">
        <w:rPr>
          <w:lang w:val="en-AU"/>
        </w:rPr>
        <w:t xml:space="preserve"> o</w:t>
      </w:r>
      <w:r>
        <w:rPr>
          <w:lang w:val="en-AU"/>
        </w:rPr>
        <w:t>riginally performed.</w:t>
      </w:r>
      <w:r w:rsidR="0084095F">
        <w:rPr>
          <w:lang w:val="en-AU"/>
        </w:rPr>
        <w:t xml:space="preserve"> </w:t>
      </w:r>
      <w:r>
        <w:rPr>
          <w:lang w:val="en-AU"/>
        </w:rPr>
        <w:t>Rather, the model WHS Act</w:t>
      </w:r>
      <w:r w:rsidRPr="000A1CFB">
        <w:rPr>
          <w:lang w:val="en-AU"/>
        </w:rPr>
        <w:t xml:space="preserve"> creates a wider</w:t>
      </w:r>
      <w:r>
        <w:rPr>
          <w:lang w:val="en-AU"/>
        </w:rPr>
        <w:t xml:space="preserve"> duty to protect the public at large from the adverse health and safety consequences </w:t>
      </w:r>
      <w:r w:rsidRPr="00EB614A">
        <w:rPr>
          <w:lang w:val="en-AU"/>
        </w:rPr>
        <w:t>of work</w:t>
      </w:r>
      <w:r>
        <w:rPr>
          <w:lang w:val="en-AU"/>
        </w:rPr>
        <w:t>.</w:t>
      </w:r>
      <w:r>
        <w:rPr>
          <w:rStyle w:val="FootnoteReference"/>
          <w:sz w:val="22"/>
          <w:szCs w:val="22"/>
          <w:lang w:val="en-AU"/>
        </w:rPr>
        <w:footnoteReference w:id="25"/>
      </w:r>
    </w:p>
    <w:p w:rsidR="00BE3053" w:rsidRDefault="005768BB" w:rsidP="009626F8">
      <w:pPr>
        <w:rPr>
          <w:lang w:val="en-AU"/>
        </w:rPr>
      </w:pPr>
      <w:r w:rsidRPr="000A1CFB">
        <w:rPr>
          <w:lang w:val="en-AU"/>
        </w:rPr>
        <w:t xml:space="preserve">Since the introduction of the model </w:t>
      </w:r>
      <w:r w:rsidR="00BE2B1C">
        <w:rPr>
          <w:lang w:val="en-AU"/>
        </w:rPr>
        <w:t xml:space="preserve">WHS </w:t>
      </w:r>
      <w:r w:rsidRPr="000A1CFB">
        <w:rPr>
          <w:lang w:val="en-AU"/>
        </w:rPr>
        <w:t>laws</w:t>
      </w:r>
      <w:r w:rsidR="00BE2B1C">
        <w:rPr>
          <w:lang w:val="en-AU"/>
        </w:rPr>
        <w:t>,</w:t>
      </w:r>
      <w:r w:rsidRPr="000A1CFB">
        <w:rPr>
          <w:lang w:val="en-AU"/>
        </w:rPr>
        <w:t xml:space="preserve"> questions have continued to arise about their application in the context of safe product design, </w:t>
      </w:r>
      <w:r>
        <w:rPr>
          <w:lang w:val="en-AU"/>
        </w:rPr>
        <w:t xml:space="preserve">and in </w:t>
      </w:r>
      <w:r w:rsidRPr="000A1CFB">
        <w:rPr>
          <w:lang w:val="en-AU"/>
        </w:rPr>
        <w:t xml:space="preserve">recreational, leisure and sports activities. </w:t>
      </w:r>
      <w:r w:rsidR="0093622B">
        <w:rPr>
          <w:lang w:val="en-AU"/>
        </w:rPr>
        <w:t>For example, the issue of quad bike safety has been debated in the context of both WHS and consumer laws.</w:t>
      </w:r>
      <w:r w:rsidR="00FD382D">
        <w:rPr>
          <w:lang w:val="en-AU"/>
        </w:rPr>
        <w:t xml:space="preserve"> </w:t>
      </w:r>
    </w:p>
    <w:p w:rsidR="005768BB" w:rsidRPr="000A1CFB" w:rsidRDefault="005768BB" w:rsidP="005768BB">
      <w:pPr>
        <w:jc w:val="both"/>
        <w:rPr>
          <w:sz w:val="22"/>
          <w:szCs w:val="22"/>
          <w:lang w:val="en-AU"/>
        </w:rPr>
      </w:pPr>
    </w:p>
    <w:p w:rsidR="008A706F" w:rsidRPr="008A706F" w:rsidRDefault="00C82FCD" w:rsidP="00146A76">
      <w:pPr>
        <w:pStyle w:val="ReviewSubmissionQuestions"/>
      </w:pPr>
      <w:r>
        <w:t xml:space="preserve">Have you any comments on the effectiveness of the </w:t>
      </w:r>
      <w:r w:rsidR="008A706F" w:rsidRPr="008A706F">
        <w:t xml:space="preserve">model WHS laws in supporting the management of risks to psychological health in the workplace? </w:t>
      </w:r>
    </w:p>
    <w:p w:rsidR="008A706F" w:rsidRDefault="008A706F" w:rsidP="006D7214">
      <w:pPr>
        <w:pStyle w:val="ReviewSubmissionQuestions"/>
        <w:numPr>
          <w:ilvl w:val="0"/>
          <w:numId w:val="0"/>
        </w:numPr>
        <w:ind w:left="1928"/>
      </w:pPr>
    </w:p>
    <w:p w:rsidR="00CE07DF" w:rsidRDefault="004A3783" w:rsidP="00146A76">
      <w:pPr>
        <w:pStyle w:val="ReviewSubmissionQuestions"/>
      </w:pPr>
      <w:r>
        <w:t xml:space="preserve">Have you any comments on </w:t>
      </w:r>
      <w:r w:rsidR="00CE07DF" w:rsidRPr="008A706F">
        <w:t>the relationship between the model WHS laws and industry specific and hazard specific safety legislation (particularly where safety provisions are included in legislation which has other purposes)?</w:t>
      </w:r>
    </w:p>
    <w:p w:rsidR="00F32433" w:rsidRPr="00F32433" w:rsidRDefault="00F32433" w:rsidP="006D7214">
      <w:pPr>
        <w:pStyle w:val="ReviewSubmissionQuestions"/>
        <w:numPr>
          <w:ilvl w:val="0"/>
          <w:numId w:val="0"/>
        </w:numPr>
        <w:ind w:left="1928"/>
      </w:pPr>
    </w:p>
    <w:p w:rsidR="00F32433" w:rsidRDefault="00F32433" w:rsidP="00146A76">
      <w:pPr>
        <w:pStyle w:val="ReviewSubmissionQuestions"/>
      </w:pPr>
      <w:r>
        <w:t>H</w:t>
      </w:r>
      <w:r w:rsidR="008A706F" w:rsidRPr="00AF342A">
        <w:t xml:space="preserve">ave you any comments on the </w:t>
      </w:r>
      <w:r w:rsidR="0091051D">
        <w:t xml:space="preserve">extraterritorial operation of </w:t>
      </w:r>
      <w:r w:rsidR="000161C2">
        <w:t>the</w:t>
      </w:r>
      <w:r w:rsidR="0091051D">
        <w:t xml:space="preserve"> WHS laws</w:t>
      </w:r>
      <w:r w:rsidR="008A706F" w:rsidRPr="00AF342A">
        <w:t xml:space="preserve">? </w:t>
      </w:r>
    </w:p>
    <w:p w:rsidR="00F32433" w:rsidRPr="00F32433" w:rsidRDefault="00F32433" w:rsidP="006D7214">
      <w:pPr>
        <w:pStyle w:val="ReviewSubmissionQuestions"/>
        <w:numPr>
          <w:ilvl w:val="0"/>
          <w:numId w:val="0"/>
        </w:numPr>
        <w:ind w:left="567"/>
      </w:pPr>
    </w:p>
    <w:p w:rsidR="00EB614A" w:rsidRPr="00EB614A" w:rsidRDefault="00971960" w:rsidP="00146A76">
      <w:pPr>
        <w:pStyle w:val="ReviewSubmissionQuestions"/>
      </w:pPr>
      <w:r>
        <w:t xml:space="preserve">Have you any comments on the effectiveness of the </w:t>
      </w:r>
      <w:r w:rsidR="008A706F" w:rsidRPr="00F32433">
        <w:t xml:space="preserve">model WHS laws </w:t>
      </w:r>
      <w:r>
        <w:t>in providing</w:t>
      </w:r>
      <w:r w:rsidR="008A706F" w:rsidRPr="00F32433">
        <w:t xml:space="preserve"> an appropriate and clear boundary between general public health and safety protections and specific health and safety protections that are connected to work? </w:t>
      </w:r>
    </w:p>
    <w:p w:rsidR="00EB614A" w:rsidRPr="00EB614A" w:rsidRDefault="00EB614A" w:rsidP="006D7214">
      <w:pPr>
        <w:pStyle w:val="ReviewSubmissionQuestions"/>
        <w:numPr>
          <w:ilvl w:val="0"/>
          <w:numId w:val="0"/>
        </w:numPr>
        <w:ind w:left="567"/>
      </w:pPr>
    </w:p>
    <w:p w:rsidR="008A706F" w:rsidRPr="00F32433" w:rsidRDefault="008A706F" w:rsidP="00146A76">
      <w:pPr>
        <w:pStyle w:val="ReviewSubmissionQuestions"/>
      </w:pPr>
      <w:r w:rsidRPr="00F32433">
        <w:t xml:space="preserve">Are there any remaining, emerging or re-emerging </w:t>
      </w:r>
      <w:r w:rsidR="00426D3A">
        <w:t>WHS</w:t>
      </w:r>
      <w:r w:rsidRPr="00F32433">
        <w:t xml:space="preserve"> hazards or risks that are not effectively covered by the model WHS legislation? </w:t>
      </w:r>
    </w:p>
    <w:p w:rsidR="006932A7" w:rsidRDefault="006932A7" w:rsidP="00746177">
      <w:r>
        <w:rPr>
          <w:b/>
        </w:rPr>
        <w:br w:type="page"/>
      </w:r>
    </w:p>
    <w:p w:rsidR="007B76AC" w:rsidRPr="005C6931" w:rsidRDefault="007B76AC" w:rsidP="005C6931">
      <w:pPr>
        <w:pStyle w:val="2018ReviewWhiteHeading"/>
        <w:numPr>
          <w:ilvl w:val="0"/>
          <w:numId w:val="34"/>
        </w:numPr>
        <w:ind w:left="357" w:hanging="357"/>
      </w:pPr>
      <w:bookmarkStart w:id="35" w:name="_Toc503884262"/>
      <w:bookmarkStart w:id="36" w:name="_Toc503884982"/>
      <w:bookmarkStart w:id="37" w:name="_Toc503942210"/>
      <w:bookmarkStart w:id="38" w:name="_Toc503943165"/>
      <w:bookmarkStart w:id="39" w:name="_Toc503884263"/>
      <w:bookmarkStart w:id="40" w:name="_Toc503884983"/>
      <w:bookmarkStart w:id="41" w:name="_Toc503942211"/>
      <w:bookmarkStart w:id="42" w:name="_Toc503943166"/>
      <w:bookmarkStart w:id="43" w:name="_Toc503884264"/>
      <w:bookmarkStart w:id="44" w:name="_Toc503884984"/>
      <w:bookmarkStart w:id="45" w:name="_Toc503942212"/>
      <w:bookmarkStart w:id="46" w:name="_Toc503943167"/>
      <w:bookmarkStart w:id="47" w:name="_Toc503884265"/>
      <w:bookmarkStart w:id="48" w:name="_Toc503884985"/>
      <w:bookmarkStart w:id="49" w:name="_Toc503942213"/>
      <w:bookmarkStart w:id="50" w:name="_Toc503943168"/>
      <w:bookmarkStart w:id="51" w:name="_Toc503884266"/>
      <w:bookmarkStart w:id="52" w:name="_Toc503884986"/>
      <w:bookmarkStart w:id="53" w:name="_Toc503942214"/>
      <w:bookmarkStart w:id="54" w:name="_Toc503943169"/>
      <w:bookmarkStart w:id="55" w:name="_Toc503884267"/>
      <w:bookmarkStart w:id="56" w:name="_Toc503884987"/>
      <w:bookmarkStart w:id="57" w:name="_Toc503942215"/>
      <w:bookmarkStart w:id="58" w:name="_Toc503943170"/>
      <w:bookmarkStart w:id="59" w:name="_Toc503884268"/>
      <w:bookmarkStart w:id="60" w:name="_Toc503884988"/>
      <w:bookmarkStart w:id="61" w:name="_Toc503942216"/>
      <w:bookmarkStart w:id="62" w:name="_Toc503943171"/>
      <w:bookmarkStart w:id="63" w:name="_Toc503884269"/>
      <w:bookmarkStart w:id="64" w:name="_Toc503884989"/>
      <w:bookmarkStart w:id="65" w:name="_Toc503942217"/>
      <w:bookmarkStart w:id="66" w:name="_Toc503943172"/>
      <w:bookmarkStart w:id="67" w:name="_Toc503884270"/>
      <w:bookmarkStart w:id="68" w:name="_Toc503884990"/>
      <w:bookmarkStart w:id="69" w:name="_Toc503942218"/>
      <w:bookmarkStart w:id="70" w:name="_Toc503943173"/>
      <w:bookmarkStart w:id="71" w:name="_Toc503884271"/>
      <w:bookmarkStart w:id="72" w:name="_Toc503884991"/>
      <w:bookmarkStart w:id="73" w:name="_Toc503942219"/>
      <w:bookmarkStart w:id="74" w:name="_Toc503943174"/>
      <w:bookmarkStart w:id="75" w:name="_Toc503884272"/>
      <w:bookmarkStart w:id="76" w:name="_Toc503884992"/>
      <w:bookmarkStart w:id="77" w:name="_Toc503942220"/>
      <w:bookmarkStart w:id="78" w:name="_Toc503943175"/>
      <w:bookmarkStart w:id="79" w:name="_Toc503884273"/>
      <w:bookmarkStart w:id="80" w:name="_Toc503884993"/>
      <w:bookmarkStart w:id="81" w:name="_Toc503942221"/>
      <w:bookmarkStart w:id="82" w:name="_Toc503943176"/>
      <w:bookmarkStart w:id="83" w:name="_Toc503884274"/>
      <w:bookmarkStart w:id="84" w:name="_Toc503884994"/>
      <w:bookmarkStart w:id="85" w:name="_Toc503942222"/>
      <w:bookmarkStart w:id="86" w:name="_Toc503943177"/>
      <w:bookmarkStart w:id="87" w:name="_Toc503884275"/>
      <w:bookmarkStart w:id="88" w:name="_Toc503884995"/>
      <w:bookmarkStart w:id="89" w:name="_Toc503942223"/>
      <w:bookmarkStart w:id="90" w:name="_Toc503943178"/>
      <w:bookmarkStart w:id="91" w:name="_Toc503884276"/>
      <w:bookmarkStart w:id="92" w:name="_Toc503884996"/>
      <w:bookmarkStart w:id="93" w:name="_Toc503942224"/>
      <w:bookmarkStart w:id="94" w:name="_Toc503943179"/>
      <w:bookmarkStart w:id="95" w:name="_Toc503884277"/>
      <w:bookmarkStart w:id="96" w:name="_Toc503884997"/>
      <w:bookmarkStart w:id="97" w:name="_Toc503942225"/>
      <w:bookmarkStart w:id="98" w:name="_Toc503943180"/>
      <w:bookmarkStart w:id="99" w:name="_Toc503884278"/>
      <w:bookmarkStart w:id="100" w:name="_Toc503884998"/>
      <w:bookmarkStart w:id="101" w:name="_Toc503942226"/>
      <w:bookmarkStart w:id="102" w:name="_Toc503943181"/>
      <w:bookmarkStart w:id="103" w:name="_Toc503884279"/>
      <w:bookmarkStart w:id="104" w:name="_Toc503884999"/>
      <w:bookmarkStart w:id="105" w:name="_Toc503942227"/>
      <w:bookmarkStart w:id="106" w:name="_Toc503943182"/>
      <w:bookmarkStart w:id="107" w:name="_Toc503884280"/>
      <w:bookmarkStart w:id="108" w:name="_Toc503885000"/>
      <w:bookmarkStart w:id="109" w:name="_Toc503942228"/>
      <w:bookmarkStart w:id="110" w:name="_Toc503943183"/>
      <w:bookmarkStart w:id="111" w:name="_Toc503884281"/>
      <w:bookmarkStart w:id="112" w:name="_Toc503885001"/>
      <w:bookmarkStart w:id="113" w:name="_Toc503942229"/>
      <w:bookmarkStart w:id="114" w:name="_Toc503943184"/>
      <w:bookmarkStart w:id="115" w:name="_Toc503884282"/>
      <w:bookmarkStart w:id="116" w:name="_Toc503885002"/>
      <w:bookmarkStart w:id="117" w:name="_Toc503942230"/>
      <w:bookmarkStart w:id="118" w:name="_Toc503943185"/>
      <w:bookmarkStart w:id="119" w:name="_Toc503884283"/>
      <w:bookmarkStart w:id="120" w:name="_Toc503885003"/>
      <w:bookmarkStart w:id="121" w:name="_Toc503942231"/>
      <w:bookmarkStart w:id="122" w:name="_Toc503943186"/>
      <w:bookmarkStart w:id="123" w:name="_Toc503884284"/>
      <w:bookmarkStart w:id="124" w:name="_Toc503885004"/>
      <w:bookmarkStart w:id="125" w:name="_Toc503942232"/>
      <w:bookmarkStart w:id="126" w:name="_Toc503943187"/>
      <w:bookmarkStart w:id="127" w:name="_Toc503884285"/>
      <w:bookmarkStart w:id="128" w:name="_Toc503885005"/>
      <w:bookmarkStart w:id="129" w:name="_Toc503942233"/>
      <w:bookmarkStart w:id="130" w:name="_Toc503943188"/>
      <w:bookmarkStart w:id="131" w:name="_Toc503884286"/>
      <w:bookmarkStart w:id="132" w:name="_Toc503885006"/>
      <w:bookmarkStart w:id="133" w:name="_Toc503942234"/>
      <w:bookmarkStart w:id="134" w:name="_Toc503943189"/>
      <w:bookmarkStart w:id="135" w:name="_Toc503884287"/>
      <w:bookmarkStart w:id="136" w:name="_Toc503885007"/>
      <w:bookmarkStart w:id="137" w:name="_Toc503942235"/>
      <w:bookmarkStart w:id="138" w:name="_Toc503943190"/>
      <w:bookmarkStart w:id="139" w:name="_Toc50679418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C6931">
        <w:lastRenderedPageBreak/>
        <w:t>Duties of care</w:t>
      </w:r>
      <w:bookmarkEnd w:id="139"/>
    </w:p>
    <w:p w:rsidR="004579B5" w:rsidRDefault="004579B5" w:rsidP="004579B5">
      <w:r>
        <w:rPr>
          <w:rFonts w:cs="Arial"/>
        </w:rPr>
        <w:t xml:space="preserve">A duty holder is </w:t>
      </w:r>
      <w:r w:rsidRPr="00542418">
        <w:rPr>
          <w:rFonts w:cs="Arial"/>
        </w:rPr>
        <w:t xml:space="preserve">any person who owes a </w:t>
      </w:r>
      <w:r>
        <w:rPr>
          <w:rFonts w:cs="Arial"/>
        </w:rPr>
        <w:t xml:space="preserve">WHS duty </w:t>
      </w:r>
      <w:r w:rsidRPr="00542418">
        <w:rPr>
          <w:rFonts w:cs="Arial"/>
        </w:rPr>
        <w:t xml:space="preserve">under the </w:t>
      </w:r>
      <w:r>
        <w:rPr>
          <w:rFonts w:cs="Arial"/>
        </w:rPr>
        <w:t xml:space="preserve">model </w:t>
      </w:r>
      <w:r w:rsidR="006932A7">
        <w:rPr>
          <w:rFonts w:cs="Arial"/>
        </w:rPr>
        <w:t xml:space="preserve">WHS </w:t>
      </w:r>
      <w:r w:rsidRPr="00542418">
        <w:rPr>
          <w:rFonts w:cs="Arial"/>
        </w:rPr>
        <w:t>Act</w:t>
      </w:r>
      <w:r>
        <w:rPr>
          <w:rFonts w:cs="Arial"/>
        </w:rPr>
        <w:t>. This includes</w:t>
      </w:r>
      <w:r>
        <w:t xml:space="preserve"> a person conducting a business or undertaking (PCBU), which could be a corporation, partnership, unincorporated association, a self-employed person or a sole trader. Other duty holders include </w:t>
      </w:r>
      <w:r w:rsidR="000161C2">
        <w:t xml:space="preserve">the Crown </w:t>
      </w:r>
      <w:r>
        <w:t>and public authorities including municipal governments, officers, workers and other people at a workplace</w:t>
      </w:r>
      <w:r w:rsidRPr="004128A8">
        <w:t xml:space="preserve"> </w:t>
      </w:r>
      <w:r>
        <w:t>such as visitors and customers. There are also ‘</w:t>
      </w:r>
      <w:r w:rsidRPr="00542418">
        <w:rPr>
          <w:rFonts w:cs="Arial"/>
        </w:rPr>
        <w:t>upstream</w:t>
      </w:r>
      <w:r>
        <w:rPr>
          <w:rFonts w:cs="Arial"/>
        </w:rPr>
        <w:t>’</w:t>
      </w:r>
      <w:r w:rsidRPr="00542418">
        <w:rPr>
          <w:rFonts w:cs="Arial"/>
        </w:rPr>
        <w:t xml:space="preserve"> </w:t>
      </w:r>
      <w:r>
        <w:t xml:space="preserve">duties for </w:t>
      </w:r>
      <w:r w:rsidRPr="00542418">
        <w:rPr>
          <w:rFonts w:cs="Arial"/>
        </w:rPr>
        <w:t>designer</w:t>
      </w:r>
      <w:r>
        <w:rPr>
          <w:rFonts w:cs="Arial"/>
        </w:rPr>
        <w:t>s</w:t>
      </w:r>
      <w:r w:rsidRPr="00542418">
        <w:rPr>
          <w:rFonts w:cs="Arial"/>
        </w:rPr>
        <w:t>, manufacturer</w:t>
      </w:r>
      <w:r>
        <w:rPr>
          <w:rFonts w:cs="Arial"/>
        </w:rPr>
        <w:t>s</w:t>
      </w:r>
      <w:r w:rsidRPr="00542418">
        <w:rPr>
          <w:rFonts w:cs="Arial"/>
        </w:rPr>
        <w:t>, importer</w:t>
      </w:r>
      <w:r>
        <w:rPr>
          <w:rFonts w:cs="Arial"/>
        </w:rPr>
        <w:t>s</w:t>
      </w:r>
      <w:r w:rsidRPr="00542418">
        <w:rPr>
          <w:rFonts w:cs="Arial"/>
        </w:rPr>
        <w:t>, supplier</w:t>
      </w:r>
      <w:r>
        <w:rPr>
          <w:rFonts w:cs="Arial"/>
        </w:rPr>
        <w:t>s and</w:t>
      </w:r>
      <w:r w:rsidRPr="00542418">
        <w:rPr>
          <w:rFonts w:cs="Arial"/>
        </w:rPr>
        <w:t xml:space="preserve"> installer</w:t>
      </w:r>
      <w:r>
        <w:rPr>
          <w:rFonts w:cs="Arial"/>
        </w:rPr>
        <w:t>s</w:t>
      </w:r>
      <w:r w:rsidRPr="00542418">
        <w:rPr>
          <w:rFonts w:cs="Arial"/>
        </w:rPr>
        <w:t xml:space="preserve"> of products or plant used at work</w:t>
      </w:r>
      <w:r>
        <w:rPr>
          <w:rFonts w:cs="Arial"/>
        </w:rPr>
        <w:t>. This chapter examines the duties of care under the model WHS laws.</w:t>
      </w:r>
    </w:p>
    <w:tbl>
      <w:tblPr>
        <w:tblStyle w:val="TableGrid"/>
        <w:tblW w:w="0" w:type="auto"/>
        <w:tblLook w:val="04A0" w:firstRow="1" w:lastRow="0" w:firstColumn="1" w:lastColumn="0" w:noHBand="0" w:noVBand="1"/>
        <w:tblCaption w:val="List of relevant Objects and Terms of Reference for this chapter"/>
        <w:tblDescription w:val="Object: To protect workers and other persons against harm to their health, safety and welfare through the elimination or minimisation of risks arising from work: s 3(1)(a).&#10;Term of Reference: Whether the framework of duties is effective at protecting workers and other persons against harm to their health, safety and welfare and can adapt to changes in work organisation and relationships."/>
      </w:tblPr>
      <w:tblGrid>
        <w:gridCol w:w="2518"/>
        <w:gridCol w:w="6718"/>
      </w:tblGrid>
      <w:tr w:rsidR="004579B5" w:rsidTr="00EC7CD4">
        <w:trPr>
          <w:tblHeader/>
        </w:trPr>
        <w:tc>
          <w:tcPr>
            <w:tcW w:w="2518" w:type="dxa"/>
          </w:tcPr>
          <w:p w:rsidR="00AB6D5F" w:rsidRDefault="004579B5" w:rsidP="00866B4B">
            <w:pPr>
              <w:pStyle w:val="Heading4"/>
              <w:ind w:left="0" w:firstLine="0"/>
              <w:rPr>
                <w:lang w:val="en-AU"/>
              </w:rPr>
            </w:pPr>
            <w:r>
              <w:rPr>
                <w:lang w:val="en-AU"/>
              </w:rPr>
              <w:t>Object</w:t>
            </w:r>
            <w:r w:rsidR="00AB6D5F">
              <w:rPr>
                <w:lang w:val="en-AU"/>
              </w:rPr>
              <w:t xml:space="preserve"> of the model WHS Act</w:t>
            </w:r>
            <w:r w:rsidR="002D2802">
              <w:rPr>
                <w:lang w:val="en-AU"/>
              </w:rPr>
              <w:t>:</w:t>
            </w:r>
          </w:p>
          <w:p w:rsidR="004579B5" w:rsidRPr="00866B4B" w:rsidRDefault="00AB6D5F" w:rsidP="009626F8">
            <w:pPr>
              <w:pStyle w:val="Heading4"/>
              <w:rPr>
                <w:b w:val="0"/>
                <w:lang w:val="en-AU"/>
              </w:rPr>
            </w:pPr>
            <w:r w:rsidRPr="00866B4B">
              <w:rPr>
                <w:b w:val="0"/>
                <w:lang w:val="en-AU"/>
              </w:rPr>
              <w:t>(see s 3(1)(a))</w:t>
            </w:r>
          </w:p>
        </w:tc>
        <w:tc>
          <w:tcPr>
            <w:tcW w:w="6718" w:type="dxa"/>
          </w:tcPr>
          <w:p w:rsidR="004579B5" w:rsidRDefault="004579B5" w:rsidP="00AB6D5F">
            <w:pPr>
              <w:rPr>
                <w:lang w:val="en-AU"/>
              </w:rPr>
            </w:pPr>
            <w:r w:rsidRPr="00864100">
              <w:rPr>
                <w:lang w:val="en-AU"/>
              </w:rPr>
              <w:t>To</w:t>
            </w:r>
            <w:r>
              <w:rPr>
                <w:lang w:val="en-AU"/>
              </w:rPr>
              <w:t xml:space="preserve"> protect</w:t>
            </w:r>
            <w:r w:rsidRPr="000A1CFB">
              <w:rPr>
                <w:lang w:val="en-AU"/>
              </w:rPr>
              <w:t xml:space="preserve"> workers and other persons against harm to their health, safety and welfare through the elimination or minimisat</w:t>
            </w:r>
            <w:r>
              <w:rPr>
                <w:lang w:val="en-AU"/>
              </w:rPr>
              <w:t>ion of risks arising from work</w:t>
            </w:r>
            <w:r w:rsidR="00641D82">
              <w:rPr>
                <w:lang w:val="en-AU"/>
              </w:rPr>
              <w:t>.</w:t>
            </w:r>
          </w:p>
        </w:tc>
      </w:tr>
      <w:tr w:rsidR="004579B5" w:rsidTr="004579B5">
        <w:tc>
          <w:tcPr>
            <w:tcW w:w="2518" w:type="dxa"/>
          </w:tcPr>
          <w:p w:rsidR="004579B5" w:rsidRDefault="004579B5" w:rsidP="009626F8">
            <w:pPr>
              <w:pStyle w:val="Heading4"/>
              <w:rPr>
                <w:lang w:val="en-AU"/>
              </w:rPr>
            </w:pPr>
            <w:r>
              <w:rPr>
                <w:lang w:val="en-AU"/>
              </w:rPr>
              <w:t>Term of Reference:</w:t>
            </w:r>
          </w:p>
        </w:tc>
        <w:tc>
          <w:tcPr>
            <w:tcW w:w="6718" w:type="dxa"/>
          </w:tcPr>
          <w:p w:rsidR="004579B5" w:rsidRDefault="004579B5" w:rsidP="009626F8">
            <w:pPr>
              <w:rPr>
                <w:lang w:val="en-AU"/>
              </w:rPr>
            </w:pPr>
            <w:r w:rsidRPr="000A1CFB">
              <w:rPr>
                <w:lang w:val="en-AU"/>
              </w:rPr>
              <w:t>Whether the framework of duties is effective at protecting workers and other persons against harm to their health, safety and welfare and can adapt to changes in work organisation and relationships.</w:t>
            </w:r>
            <w:r w:rsidRPr="000A1CFB">
              <w:rPr>
                <w:lang w:val="en-AU"/>
              </w:rPr>
              <w:tab/>
            </w:r>
          </w:p>
        </w:tc>
      </w:tr>
    </w:tbl>
    <w:p w:rsidR="000E2162" w:rsidRPr="005C6931" w:rsidRDefault="00515732" w:rsidP="005C6931">
      <w:pPr>
        <w:pStyle w:val="2018ReviewSectionnumberingheading"/>
      </w:pPr>
      <w:bookmarkStart w:id="140" w:name="_Toc503884289"/>
      <w:bookmarkStart w:id="141" w:name="_Toc503885009"/>
      <w:bookmarkStart w:id="142" w:name="_Toc503942237"/>
      <w:bookmarkStart w:id="143" w:name="_Toc503943192"/>
      <w:bookmarkStart w:id="144" w:name="_Toc503884290"/>
      <w:bookmarkStart w:id="145" w:name="_Toc503885010"/>
      <w:bookmarkStart w:id="146" w:name="_Toc503884291"/>
      <w:bookmarkStart w:id="147" w:name="_Toc503885011"/>
      <w:bookmarkStart w:id="148" w:name="_Toc503942239"/>
      <w:bookmarkStart w:id="149" w:name="_Toc503943194"/>
      <w:bookmarkStart w:id="150" w:name="_Toc503884292"/>
      <w:bookmarkStart w:id="151" w:name="_Toc503885012"/>
      <w:bookmarkStart w:id="152" w:name="_Toc503884293"/>
      <w:bookmarkStart w:id="153" w:name="_Toc503885013"/>
      <w:bookmarkStart w:id="154" w:name="_Toc503884294"/>
      <w:bookmarkStart w:id="155" w:name="_Toc503885014"/>
      <w:bookmarkStart w:id="156" w:name="_Toc503884295"/>
      <w:bookmarkStart w:id="157" w:name="_Toc503885015"/>
      <w:bookmarkStart w:id="158" w:name="_Toc503884296"/>
      <w:bookmarkStart w:id="159" w:name="_Toc503885016"/>
      <w:bookmarkStart w:id="160" w:name="_Toc503884297"/>
      <w:bookmarkStart w:id="161" w:name="_Toc503885017"/>
      <w:bookmarkStart w:id="162" w:name="_Toc503884298"/>
      <w:bookmarkStart w:id="163" w:name="_Toc503885018"/>
      <w:bookmarkStart w:id="164" w:name="_Toc503942246"/>
      <w:bookmarkStart w:id="165" w:name="_Toc503943201"/>
      <w:bookmarkStart w:id="166" w:name="_Toc50679418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C6931">
        <w:t xml:space="preserve">Duty of </w:t>
      </w:r>
      <w:r w:rsidR="0006255B" w:rsidRPr="005C6931">
        <w:t>PCBU</w:t>
      </w:r>
      <w:r w:rsidRPr="005C6931">
        <w:t>s</w:t>
      </w:r>
      <w:bookmarkEnd w:id="166"/>
    </w:p>
    <w:p w:rsidR="00466F2C" w:rsidRDefault="00C94EEB" w:rsidP="00B05288">
      <w:r w:rsidRPr="00C95542">
        <w:t xml:space="preserve">A key </w:t>
      </w:r>
      <w:r w:rsidR="00683A9D" w:rsidRPr="00C95542">
        <w:t>objective</w:t>
      </w:r>
      <w:r w:rsidRPr="00C95542">
        <w:t xml:space="preserve"> of the model WHS laws is to cover non-traditional, new and evolving working arrangements; extend</w:t>
      </w:r>
      <w:r w:rsidR="00660E5C">
        <w:t>ing</w:t>
      </w:r>
      <w:r w:rsidRPr="00C95542">
        <w:t xml:space="preserve"> the primary duty of care beyond the traditional emp</w:t>
      </w:r>
      <w:r w:rsidR="000E2162" w:rsidRPr="00C95542">
        <w:t>loyer and employee relationship.</w:t>
      </w:r>
      <w:r w:rsidR="0084095F">
        <w:t xml:space="preserve"> </w:t>
      </w:r>
      <w:r w:rsidR="005A7FED" w:rsidRPr="00C95542">
        <w:t xml:space="preserve">This objective is achieved through the inclusion of the PCBU concept. Identifying ‘a </w:t>
      </w:r>
      <w:r w:rsidR="00FD14F5">
        <w:t>PCBU’</w:t>
      </w:r>
      <w:r w:rsidR="005A7FED" w:rsidRPr="00C95542">
        <w:t xml:space="preserve"> as </w:t>
      </w:r>
      <w:r w:rsidR="00F830F9" w:rsidRPr="00C95542">
        <w:t>the primary duty holder</w:t>
      </w:r>
      <w:r w:rsidR="005A7FED" w:rsidRPr="00C95542">
        <w:t xml:space="preserve"> </w:t>
      </w:r>
      <w:r w:rsidR="00683A9D" w:rsidRPr="00C95542">
        <w:t xml:space="preserve">was one of the key changes in the </w:t>
      </w:r>
      <w:r w:rsidR="00F830F9" w:rsidRPr="00C95542">
        <w:t>model WHS Act and was new to most jurisdictions</w:t>
      </w:r>
      <w:r w:rsidR="0006255B" w:rsidRPr="00C95542">
        <w:t>.</w:t>
      </w:r>
      <w:r w:rsidR="0084095F">
        <w:t xml:space="preserve"> </w:t>
      </w:r>
      <w:r w:rsidR="00373134" w:rsidRPr="00C95542">
        <w:t>It was intended that the definition of PCBU would be broad enough and flexible enough to incorporate new industries</w:t>
      </w:r>
      <w:r w:rsidR="00C95542" w:rsidRPr="00C95542">
        <w:t>, new ways of working</w:t>
      </w:r>
      <w:r w:rsidR="00373134" w:rsidRPr="00C95542">
        <w:t xml:space="preserve"> and new risks arising from work into the model WHS framework. </w:t>
      </w:r>
    </w:p>
    <w:p w:rsidR="00466F2C" w:rsidRPr="000A1CFB" w:rsidRDefault="00466F2C" w:rsidP="00B05288">
      <w:r w:rsidRPr="000A1CFB">
        <w:rPr>
          <w:lang w:val="en-AU"/>
        </w:rPr>
        <w:t>Major advances in technology</w:t>
      </w:r>
      <w:r w:rsidR="00BE2B1C">
        <w:rPr>
          <w:lang w:val="en-AU"/>
        </w:rPr>
        <w:t>,</w:t>
      </w:r>
      <w:r w:rsidRPr="000A1CFB">
        <w:rPr>
          <w:lang w:val="en-AU"/>
        </w:rPr>
        <w:t xml:space="preserve"> including in the areas of digitisation, automation and artificial intelligence</w:t>
      </w:r>
      <w:r w:rsidR="00BE2B1C">
        <w:rPr>
          <w:lang w:val="en-AU"/>
        </w:rPr>
        <w:t>,</w:t>
      </w:r>
      <w:r w:rsidRPr="000A1CFB">
        <w:rPr>
          <w:lang w:val="en-AU"/>
        </w:rPr>
        <w:t xml:space="preserve"> are challeng</w:t>
      </w:r>
      <w:r w:rsidR="00660E5C">
        <w:rPr>
          <w:lang w:val="en-AU"/>
        </w:rPr>
        <w:t>ing</w:t>
      </w:r>
      <w:r w:rsidRPr="000A1CFB">
        <w:rPr>
          <w:lang w:val="en-AU"/>
        </w:rPr>
        <w:t xml:space="preserve"> the current legislative framework.</w:t>
      </w:r>
      <w:r w:rsidR="0084095F">
        <w:rPr>
          <w:lang w:val="en-AU"/>
        </w:rPr>
        <w:t xml:space="preserve"> </w:t>
      </w:r>
      <w:r w:rsidRPr="000A1CFB">
        <w:t>The emergence of the gig economy</w:t>
      </w:r>
      <w:r w:rsidR="00BE2B1C">
        <w:t>,</w:t>
      </w:r>
      <w:r w:rsidR="008F5CE9">
        <w:t xml:space="preserve"> </w:t>
      </w:r>
      <w:r w:rsidR="000C1C91">
        <w:t xml:space="preserve">with the associated difficulties of characterising the participants as employers, independent contractors and/or workers, </w:t>
      </w:r>
      <w:r w:rsidRPr="000A1CFB">
        <w:t xml:space="preserve">has arguably posed the first real test of the broad definition of </w:t>
      </w:r>
      <w:r w:rsidR="00FD14F5">
        <w:t xml:space="preserve">PCBU </w:t>
      </w:r>
      <w:r w:rsidRPr="000A1CFB">
        <w:t>since the implementation of the model WHS laws.</w:t>
      </w:r>
      <w:r w:rsidRPr="000A1CFB">
        <w:rPr>
          <w:rStyle w:val="FootnoteReference"/>
          <w:color w:val="000000"/>
          <w:sz w:val="22"/>
          <w:szCs w:val="22"/>
        </w:rPr>
        <w:footnoteReference w:id="26"/>
      </w:r>
      <w:r w:rsidR="0084095F">
        <w:t xml:space="preserve"> </w:t>
      </w:r>
    </w:p>
    <w:p w:rsidR="003148B1" w:rsidRPr="003148B1" w:rsidRDefault="00D73CC6" w:rsidP="00776702">
      <w:pPr>
        <w:rPr>
          <w:color w:val="000000" w:themeColor="text1"/>
        </w:rPr>
      </w:pPr>
      <w:r w:rsidRPr="000A1CFB">
        <w:rPr>
          <w:lang w:val="en-AU"/>
        </w:rPr>
        <w:t xml:space="preserve">Section 19 of the </w:t>
      </w:r>
      <w:r>
        <w:rPr>
          <w:lang w:val="en-AU"/>
        </w:rPr>
        <w:t>m</w:t>
      </w:r>
      <w:r w:rsidRPr="000A1CFB">
        <w:rPr>
          <w:lang w:val="en-AU"/>
        </w:rPr>
        <w:t xml:space="preserve">odel WHS Act sets out the primary </w:t>
      </w:r>
      <w:r w:rsidR="00FD14F5">
        <w:rPr>
          <w:lang w:val="en-AU"/>
        </w:rPr>
        <w:t>WHS</w:t>
      </w:r>
      <w:r w:rsidRPr="000A1CFB">
        <w:rPr>
          <w:lang w:val="en-AU"/>
        </w:rPr>
        <w:t xml:space="preserve"> duty which applies to PCBUs</w:t>
      </w:r>
      <w:r w:rsidRPr="0068469A">
        <w:rPr>
          <w:lang w:val="en-AU"/>
        </w:rPr>
        <w:t>.</w:t>
      </w:r>
      <w:r w:rsidR="00B05288" w:rsidRPr="006D7214">
        <w:rPr>
          <w:lang w:val="en-AU"/>
        </w:rPr>
        <w:t xml:space="preserve"> </w:t>
      </w:r>
      <w:r w:rsidRPr="0068469A">
        <w:rPr>
          <w:color w:val="000000"/>
        </w:rPr>
        <w:t>T</w:t>
      </w:r>
      <w:r w:rsidRPr="000A1CFB">
        <w:rPr>
          <w:color w:val="000000"/>
        </w:rPr>
        <w:t xml:space="preserve">here are </w:t>
      </w:r>
      <w:r w:rsidR="00F74261">
        <w:rPr>
          <w:color w:val="000000"/>
        </w:rPr>
        <w:t xml:space="preserve">also </w:t>
      </w:r>
      <w:r w:rsidRPr="000A1CFB">
        <w:rPr>
          <w:color w:val="000000"/>
        </w:rPr>
        <w:t xml:space="preserve">particular duties of care for </w:t>
      </w:r>
      <w:r w:rsidR="00FD14F5">
        <w:rPr>
          <w:color w:val="000000"/>
        </w:rPr>
        <w:t xml:space="preserve">certain </w:t>
      </w:r>
      <w:r w:rsidRPr="000A1CFB">
        <w:rPr>
          <w:color w:val="000000"/>
        </w:rPr>
        <w:t>PCBUs including designers, manufacturers, suppliers, importers of plant, substances or structures</w:t>
      </w:r>
      <w:r w:rsidR="00BE2B1C">
        <w:rPr>
          <w:color w:val="000000"/>
        </w:rPr>
        <w:t>.</w:t>
      </w:r>
      <w:r w:rsidR="00BE2B1C">
        <w:rPr>
          <w:rStyle w:val="FootnoteReference"/>
          <w:color w:val="000000"/>
        </w:rPr>
        <w:footnoteReference w:id="27"/>
      </w:r>
      <w:r w:rsidR="00F74261">
        <w:rPr>
          <w:color w:val="000000"/>
        </w:rPr>
        <w:t xml:space="preserve"> </w:t>
      </w:r>
      <w:r w:rsidR="003148B1" w:rsidRPr="000A1CFB">
        <w:rPr>
          <w:color w:val="000000" w:themeColor="text1"/>
        </w:rPr>
        <w:t xml:space="preserve">Each duty placed on a duty holder </w:t>
      </w:r>
      <w:r w:rsidR="003148B1">
        <w:rPr>
          <w:color w:val="000000" w:themeColor="text1"/>
        </w:rPr>
        <w:t xml:space="preserve">under the model WHS Act </w:t>
      </w:r>
      <w:r w:rsidR="003024DF">
        <w:rPr>
          <w:color w:val="000000" w:themeColor="text1"/>
        </w:rPr>
        <w:t>is subject to a qualifier.</w:t>
      </w:r>
      <w:r w:rsidR="0084095F">
        <w:rPr>
          <w:color w:val="000000" w:themeColor="text1"/>
        </w:rPr>
        <w:t xml:space="preserve"> </w:t>
      </w:r>
      <w:r w:rsidR="003024DF">
        <w:rPr>
          <w:color w:val="000000" w:themeColor="text1"/>
        </w:rPr>
        <w:t>For PCBUs, the qualifier</w:t>
      </w:r>
      <w:r w:rsidR="003148B1" w:rsidRPr="000A1CFB">
        <w:rPr>
          <w:color w:val="000000" w:themeColor="text1"/>
        </w:rPr>
        <w:t xml:space="preserve"> is ‘so far as is reasonably practicable’. </w:t>
      </w:r>
      <w:r w:rsidR="00DA0280" w:rsidRPr="003148B1">
        <w:rPr>
          <w:color w:val="000000" w:themeColor="text1"/>
        </w:rPr>
        <w:t xml:space="preserve">The 2008 National </w:t>
      </w:r>
      <w:r w:rsidR="005828E0">
        <w:rPr>
          <w:color w:val="000000" w:themeColor="text1"/>
        </w:rPr>
        <w:t>r</w:t>
      </w:r>
      <w:r w:rsidR="00DA0280" w:rsidRPr="003148B1">
        <w:rPr>
          <w:color w:val="000000" w:themeColor="text1"/>
        </w:rPr>
        <w:t xml:space="preserve">eview intended that the definition of reasonably practicable should be simple and easy to understand </w:t>
      </w:r>
      <w:r w:rsidR="00DA0280">
        <w:rPr>
          <w:color w:val="000000" w:themeColor="text1"/>
        </w:rPr>
        <w:t>and that it should be</w:t>
      </w:r>
      <w:r w:rsidR="00DA0280" w:rsidRPr="003148B1">
        <w:rPr>
          <w:color w:val="000000" w:themeColor="text1"/>
        </w:rPr>
        <w:t xml:space="preserve"> a standard</w:t>
      </w:r>
      <w:r w:rsidR="00BE2B1C">
        <w:rPr>
          <w:color w:val="000000" w:themeColor="text1"/>
        </w:rPr>
        <w:t xml:space="preserve"> or </w:t>
      </w:r>
      <w:r w:rsidR="00DA0280" w:rsidRPr="003148B1">
        <w:rPr>
          <w:color w:val="000000" w:themeColor="text1"/>
        </w:rPr>
        <w:t>outcome to be met, rather than a process to be followed</w:t>
      </w:r>
      <w:r w:rsidR="00EC76A9">
        <w:rPr>
          <w:color w:val="000000" w:themeColor="text1"/>
        </w:rPr>
        <w:t>.</w:t>
      </w:r>
      <w:r w:rsidR="00AA7A07">
        <w:rPr>
          <w:rStyle w:val="FootnoteReference"/>
          <w:color w:val="000000" w:themeColor="text1"/>
        </w:rPr>
        <w:footnoteReference w:id="28"/>
      </w:r>
      <w:r w:rsidR="0084095F">
        <w:rPr>
          <w:color w:val="000000" w:themeColor="text1"/>
        </w:rPr>
        <w:t xml:space="preserve"> </w:t>
      </w:r>
    </w:p>
    <w:p w:rsidR="003148B1" w:rsidRDefault="003148B1" w:rsidP="00776702">
      <w:pPr>
        <w:rPr>
          <w:color w:val="000000" w:themeColor="text1"/>
        </w:rPr>
      </w:pPr>
      <w:r w:rsidRPr="003148B1">
        <w:rPr>
          <w:color w:val="000000" w:themeColor="text1"/>
        </w:rPr>
        <w:t xml:space="preserve">Section 18 of the model WHS Act provides meaning and guidance about what is ‘reasonably practicable’ when complying with duties to ensure health and safety under the model WHS laws. </w:t>
      </w:r>
    </w:p>
    <w:p w:rsidR="00F25ECE" w:rsidRPr="000A1CFB" w:rsidRDefault="00F25ECE" w:rsidP="00776702">
      <w:pPr>
        <w:rPr>
          <w:color w:val="000000"/>
        </w:rPr>
      </w:pPr>
      <w:r w:rsidRPr="000A1CFB">
        <w:rPr>
          <w:color w:val="000000"/>
        </w:rPr>
        <w:t>To determine what is (or was at a particular time) reasonably practicable in relation to managing risk, a person must take into account and weigh up all relevant matters, including:</w:t>
      </w:r>
    </w:p>
    <w:p w:rsidR="00F25ECE" w:rsidRPr="000A1CFB" w:rsidRDefault="00F25ECE" w:rsidP="00776702">
      <w:pPr>
        <w:pStyle w:val="2018ReviewBullets"/>
      </w:pPr>
      <w:r w:rsidRPr="000A1CFB">
        <w:t>the likelihood of the relevant hazard or risk occurring</w:t>
      </w:r>
    </w:p>
    <w:p w:rsidR="00F25ECE" w:rsidRPr="000A1CFB" w:rsidRDefault="00F25ECE" w:rsidP="00776702">
      <w:pPr>
        <w:pStyle w:val="2018ReviewBullets"/>
      </w:pPr>
      <w:r w:rsidRPr="000A1CFB">
        <w:t>the degree of harm that might result</w:t>
      </w:r>
    </w:p>
    <w:p w:rsidR="00F25ECE" w:rsidRPr="000A1CFB" w:rsidRDefault="00F25ECE" w:rsidP="00776702">
      <w:pPr>
        <w:pStyle w:val="2018ReviewBullets"/>
      </w:pPr>
      <w:r w:rsidRPr="000A1CFB">
        <w:lastRenderedPageBreak/>
        <w:t>what the person knows or ought reasonably to know about the hazard or risk and the ways of eliminating or minimising the risk, and</w:t>
      </w:r>
    </w:p>
    <w:p w:rsidR="00F25ECE" w:rsidRPr="000A1CFB" w:rsidRDefault="00F25ECE" w:rsidP="00776702">
      <w:pPr>
        <w:pStyle w:val="2018ReviewBullets"/>
      </w:pPr>
      <w:r w:rsidRPr="000A1CFB">
        <w:t>the availability and suitability of ways to eliminate or minimise the risk.</w:t>
      </w:r>
    </w:p>
    <w:p w:rsidR="00F25ECE" w:rsidRPr="00F25ECE" w:rsidRDefault="00F25ECE" w:rsidP="00776702">
      <w:r w:rsidRPr="00F25ECE">
        <w:t>After taking into account these matters, only then can the person consider the cost associated with available ways of eliminating or minimising the risk, including whether the cost is grossly disproportionate to the risk.</w:t>
      </w:r>
      <w:r>
        <w:rPr>
          <w:rStyle w:val="FootnoteReference"/>
          <w:color w:val="000000" w:themeColor="text1"/>
          <w:sz w:val="22"/>
          <w:szCs w:val="22"/>
        </w:rPr>
        <w:footnoteReference w:id="29"/>
      </w:r>
    </w:p>
    <w:p w:rsidR="00D96AE3" w:rsidRPr="00C95542" w:rsidRDefault="00D96AE3" w:rsidP="00D96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jc w:val="center"/>
        <w:rPr>
          <w:color w:val="000000"/>
          <w:sz w:val="22"/>
          <w:szCs w:val="22"/>
        </w:rPr>
      </w:pPr>
    </w:p>
    <w:p w:rsidR="00D96AE3" w:rsidRPr="00D90E7C" w:rsidRDefault="00F6766C" w:rsidP="00146A76">
      <w:pPr>
        <w:pStyle w:val="ReviewSubmissionQuestions"/>
      </w:pPr>
      <w:r w:rsidRPr="00B05288">
        <w:t xml:space="preserve">Have you any comments on the sufficiency of </w:t>
      </w:r>
      <w:r w:rsidR="00D96AE3" w:rsidRPr="00B05288">
        <w:t>the definition of PCBU to ensure that the primary duty of care continues to be responsive to changes in the nature of work and work relationships?</w:t>
      </w:r>
      <w:r w:rsidR="0084095F" w:rsidRPr="00B05288">
        <w:t xml:space="preserve"> </w:t>
      </w:r>
    </w:p>
    <w:p w:rsidR="007B7AA4" w:rsidRPr="00B05288" w:rsidRDefault="007B7AA4" w:rsidP="006D7214">
      <w:pPr>
        <w:pStyle w:val="ReviewSubmissionQuestions"/>
        <w:numPr>
          <w:ilvl w:val="0"/>
          <w:numId w:val="0"/>
        </w:numPr>
        <w:ind w:left="1928"/>
      </w:pPr>
    </w:p>
    <w:p w:rsidR="009C45C0" w:rsidRPr="00B05288" w:rsidRDefault="00D96AE3" w:rsidP="00146A76">
      <w:pPr>
        <w:pStyle w:val="ReviewSubmissionQuestions"/>
      </w:pPr>
      <w:r w:rsidRPr="00B05288">
        <w:t>Have you any comments relating to a PCBU’s primary duty of care under the model WHS Act?</w:t>
      </w:r>
    </w:p>
    <w:p w:rsidR="007B7AA4" w:rsidRPr="00B05288" w:rsidRDefault="007B7AA4" w:rsidP="006D7214">
      <w:pPr>
        <w:pStyle w:val="ReviewSubmissionQuestions"/>
        <w:numPr>
          <w:ilvl w:val="0"/>
          <w:numId w:val="0"/>
        </w:numPr>
        <w:ind w:left="1928"/>
      </w:pPr>
    </w:p>
    <w:p w:rsidR="00515732" w:rsidRPr="00B05288" w:rsidRDefault="009C45C0" w:rsidP="00146A76">
      <w:pPr>
        <w:pStyle w:val="ReviewSubmissionQuestions"/>
      </w:pPr>
      <w:r w:rsidRPr="00B05288">
        <w:t>Have you any comments on the approach to the meaning of ‘reasonably practicable’?</w:t>
      </w:r>
    </w:p>
    <w:p w:rsidR="00515732" w:rsidRPr="00F00C9B" w:rsidRDefault="00515732" w:rsidP="00F00C9B">
      <w:pPr>
        <w:pStyle w:val="2018ReviewSectionnumberingheading"/>
      </w:pPr>
      <w:bookmarkStart w:id="167" w:name="_Toc506794182"/>
      <w:r w:rsidRPr="00F00C9B">
        <w:t>Duty of officers</w:t>
      </w:r>
      <w:bookmarkEnd w:id="167"/>
    </w:p>
    <w:p w:rsidR="0058688F" w:rsidRDefault="00515732" w:rsidP="00776702">
      <w:r>
        <w:t xml:space="preserve">The 2008 National </w:t>
      </w:r>
      <w:r w:rsidR="005828E0">
        <w:t>r</w:t>
      </w:r>
      <w:r>
        <w:t>eview</w:t>
      </w:r>
      <w:r w:rsidRPr="000A1CFB">
        <w:t xml:space="preserve"> noted that a company cannot comply with a duty of care placed upon it unless those who manage the company make appropriate decisions and ensure necessary actions are taken.</w:t>
      </w:r>
      <w:r w:rsidR="0058688F">
        <w:t xml:space="preserve"> It </w:t>
      </w:r>
      <w:r w:rsidRPr="000A1CFB">
        <w:t>the</w:t>
      </w:r>
      <w:r w:rsidR="00171E87">
        <w:t>refore recommended that a duty b</w:t>
      </w:r>
      <w:r w:rsidRPr="000A1CFB">
        <w:t xml:space="preserve">e placed on officers to ensure the company complies with the </w:t>
      </w:r>
      <w:r>
        <w:t>m</w:t>
      </w:r>
      <w:r w:rsidRPr="000A1CFB">
        <w:t>odel WHS Act</w:t>
      </w:r>
      <w:r w:rsidR="00115E80">
        <w:t>.</w:t>
      </w:r>
      <w:r w:rsidR="0084095F">
        <w:t xml:space="preserve"> </w:t>
      </w:r>
    </w:p>
    <w:p w:rsidR="00DB736B" w:rsidRDefault="0058688F" w:rsidP="005109D9">
      <w:r>
        <w:t>‘Officer’ is defined at</w:t>
      </w:r>
      <w:r w:rsidR="00CD1FA8">
        <w:t xml:space="preserve"> s </w:t>
      </w:r>
      <w:r>
        <w:t xml:space="preserve">4 </w:t>
      </w:r>
      <w:r w:rsidR="000161C2">
        <w:t xml:space="preserve">largely </w:t>
      </w:r>
      <w:r>
        <w:t xml:space="preserve">by </w:t>
      </w:r>
      <w:r w:rsidRPr="000A1CFB">
        <w:t>reference to</w:t>
      </w:r>
      <w:r w:rsidR="00CD1FA8">
        <w:t xml:space="preserve"> s </w:t>
      </w:r>
      <w:r w:rsidRPr="000A1CFB">
        <w:t xml:space="preserve">9 of the </w:t>
      </w:r>
      <w:r w:rsidRPr="005109D9">
        <w:rPr>
          <w:i/>
        </w:rPr>
        <w:t>Corporations Act 2001</w:t>
      </w:r>
      <w:r w:rsidRPr="000A1CFB">
        <w:t xml:space="preserve"> (</w:t>
      </w:r>
      <w:proofErr w:type="spellStart"/>
      <w:r w:rsidRPr="000A1CFB">
        <w:t>Cth</w:t>
      </w:r>
      <w:proofErr w:type="spellEnd"/>
      <w:r w:rsidRPr="000A1CFB">
        <w:t xml:space="preserve">) which includes </w:t>
      </w:r>
      <w:r w:rsidR="007C609B">
        <w:rPr>
          <w:rStyle w:val="QuoteChar"/>
          <w:rFonts w:eastAsiaTheme="minorHAnsi"/>
        </w:rPr>
        <w:t>“</w:t>
      </w:r>
      <w:r w:rsidRPr="00776702">
        <w:rPr>
          <w:rStyle w:val="QuoteChar"/>
          <w:rFonts w:eastAsiaTheme="minorHAnsi"/>
        </w:rPr>
        <w:t>a person</w:t>
      </w:r>
      <w:bookmarkStart w:id="168" w:name="paragraphsub"/>
      <w:bookmarkEnd w:id="168"/>
      <w:r w:rsidRPr="00776702">
        <w:rPr>
          <w:rStyle w:val="QuoteChar"/>
          <w:rFonts w:eastAsiaTheme="minorHAnsi"/>
        </w:rPr>
        <w:t xml:space="preserve"> who makes, or participates in making, decisions that affect the whole, or a substantial part, of the business of the corporation</w:t>
      </w:r>
      <w:r w:rsidR="00A97771">
        <w:rPr>
          <w:rStyle w:val="QuoteChar"/>
          <w:rFonts w:eastAsiaTheme="minorHAnsi"/>
        </w:rPr>
        <w:t>”</w:t>
      </w:r>
      <w:r w:rsidR="00DB736B">
        <w:rPr>
          <w:rStyle w:val="QuoteChar"/>
          <w:rFonts w:eastAsiaTheme="minorHAnsi"/>
        </w:rPr>
        <w:t>.</w:t>
      </w:r>
      <w:r w:rsidRPr="00776702">
        <w:rPr>
          <w:rStyle w:val="FootnoteReference"/>
          <w:color w:val="000000"/>
          <w:szCs w:val="20"/>
        </w:rPr>
        <w:footnoteReference w:id="30"/>
      </w:r>
      <w:r w:rsidRPr="00776702">
        <w:rPr>
          <w:szCs w:val="20"/>
        </w:rPr>
        <w:t xml:space="preserve"> </w:t>
      </w:r>
    </w:p>
    <w:p w:rsidR="00BE2B1C" w:rsidRPr="0058688F" w:rsidRDefault="0058688F" w:rsidP="005109D9">
      <w:pPr>
        <w:rPr>
          <w:b/>
          <w:color w:val="C00000"/>
        </w:rPr>
      </w:pPr>
      <w:r w:rsidRPr="0058688F">
        <w:t>An officer’s</w:t>
      </w:r>
      <w:r w:rsidR="00115E80" w:rsidRPr="0058688F">
        <w:t xml:space="preserve"> </w:t>
      </w:r>
      <w:r w:rsidR="00115E80">
        <w:t xml:space="preserve">duty </w:t>
      </w:r>
      <w:r w:rsidR="002627B4">
        <w:t>(s</w:t>
      </w:r>
      <w:r w:rsidR="00DB736B">
        <w:t> </w:t>
      </w:r>
      <w:r w:rsidR="002627B4">
        <w:t>27</w:t>
      </w:r>
      <w:r w:rsidR="00483928">
        <w:t xml:space="preserve"> of the model WHS Act</w:t>
      </w:r>
      <w:r w:rsidR="002627B4">
        <w:t xml:space="preserve">) </w:t>
      </w:r>
      <w:r w:rsidR="00BE2B1C">
        <w:t xml:space="preserve">is </w:t>
      </w:r>
      <w:r w:rsidR="000161C2" w:rsidRPr="000161C2">
        <w:t xml:space="preserve">to exercise due diligence to ensure the PCBU complies with </w:t>
      </w:r>
      <w:r w:rsidR="00CE32A8">
        <w:t>its</w:t>
      </w:r>
      <w:r w:rsidR="00CE32A8" w:rsidRPr="000161C2">
        <w:t xml:space="preserve"> </w:t>
      </w:r>
      <w:r w:rsidR="000161C2" w:rsidRPr="000161C2">
        <w:t>health and safety duties</w:t>
      </w:r>
      <w:r w:rsidR="000161C2">
        <w:t>.</w:t>
      </w:r>
      <w:r w:rsidR="000161C2" w:rsidRPr="000161C2">
        <w:t xml:space="preserve"> </w:t>
      </w:r>
      <w:r w:rsidR="000161C2">
        <w:t xml:space="preserve">A list of </w:t>
      </w:r>
      <w:r w:rsidR="00EB39F3">
        <w:t xml:space="preserve">the steps that </w:t>
      </w:r>
      <w:r w:rsidR="000161C2">
        <w:t>must</w:t>
      </w:r>
      <w:r w:rsidR="00EB39F3">
        <w:t xml:space="preserve"> be taken to meet this standard </w:t>
      </w:r>
      <w:r w:rsidR="00CE32A8">
        <w:t>is</w:t>
      </w:r>
      <w:r w:rsidR="00EB39F3">
        <w:t xml:space="preserve"> provided at</w:t>
      </w:r>
      <w:r w:rsidR="00CD1FA8">
        <w:t xml:space="preserve"> s </w:t>
      </w:r>
      <w:r w:rsidR="00EB39F3">
        <w:t>27</w:t>
      </w:r>
      <w:r w:rsidR="00EE055B">
        <w:t>(5) of the model WHS Act</w:t>
      </w:r>
      <w:r w:rsidR="00515732" w:rsidRPr="000A1CFB">
        <w:t>.</w:t>
      </w:r>
      <w:r w:rsidR="000161C2" w:rsidRPr="000161C2">
        <w:t xml:space="preserve"> The list is not meant to be exhaustive.</w:t>
      </w:r>
      <w:r w:rsidR="0084095F">
        <w:t xml:space="preserve"> </w:t>
      </w:r>
      <w:r w:rsidR="000161C2" w:rsidRPr="000161C2">
        <w:t>Depending on the circumstances, an officer may need to take other steps in order to meet the standard.</w:t>
      </w:r>
      <w:r w:rsidR="0084095F">
        <w:t xml:space="preserve"> </w:t>
      </w:r>
      <w:r w:rsidR="000161C2" w:rsidRPr="000161C2">
        <w:t>Officers are only required to take reasonable steps in exercising due diligence.</w:t>
      </w:r>
      <w:r w:rsidR="0084095F">
        <w:t xml:space="preserve"> </w:t>
      </w:r>
      <w:r w:rsidR="000161C2" w:rsidRPr="000161C2">
        <w:t>What is reasonable will depend on the particular circumstances.</w:t>
      </w:r>
      <w:r w:rsidR="00515732" w:rsidRPr="000A1CFB">
        <w:t xml:space="preserve"> </w:t>
      </w:r>
    </w:p>
    <w:p w:rsidR="00DC198D" w:rsidRDefault="00660E5C" w:rsidP="005109D9">
      <w:pPr>
        <w:rPr>
          <w:szCs w:val="20"/>
        </w:rPr>
      </w:pPr>
      <w:r>
        <w:rPr>
          <w:bCs/>
          <w:color w:val="000000"/>
        </w:rPr>
        <w:t xml:space="preserve">The courts have considered what due diligence means. </w:t>
      </w:r>
      <w:r w:rsidR="00820714">
        <w:rPr>
          <w:bCs/>
          <w:color w:val="000000"/>
        </w:rPr>
        <w:t>I</w:t>
      </w:r>
      <w:r w:rsidR="00515732" w:rsidRPr="000A1CFB">
        <w:rPr>
          <w:bCs/>
          <w:color w:val="000000"/>
        </w:rPr>
        <w:t>n</w:t>
      </w:r>
      <w:r w:rsidR="00515732" w:rsidRPr="000A1CFB">
        <w:t xml:space="preserve"> </w:t>
      </w:r>
      <w:proofErr w:type="spellStart"/>
      <w:r w:rsidR="00515732" w:rsidRPr="005109D9">
        <w:rPr>
          <w:i/>
        </w:rPr>
        <w:t>McKie</w:t>
      </w:r>
      <w:proofErr w:type="spellEnd"/>
      <w:r w:rsidR="00515732" w:rsidRPr="005109D9">
        <w:rPr>
          <w:i/>
        </w:rPr>
        <w:t xml:space="preserve"> v A</w:t>
      </w:r>
      <w:r w:rsidR="00DB736B">
        <w:rPr>
          <w:i/>
        </w:rPr>
        <w:t>l</w:t>
      </w:r>
      <w:r w:rsidR="00515732" w:rsidRPr="005109D9">
        <w:rPr>
          <w:i/>
        </w:rPr>
        <w:t>-</w:t>
      </w:r>
      <w:proofErr w:type="spellStart"/>
      <w:r w:rsidR="00515732" w:rsidRPr="005109D9">
        <w:rPr>
          <w:i/>
        </w:rPr>
        <w:t>Hasani</w:t>
      </w:r>
      <w:proofErr w:type="spellEnd"/>
      <w:r w:rsidR="00515732" w:rsidRPr="005109D9">
        <w:rPr>
          <w:i/>
        </w:rPr>
        <w:t xml:space="preserve"> and </w:t>
      </w:r>
      <w:proofErr w:type="spellStart"/>
      <w:r w:rsidR="00515732" w:rsidRPr="005109D9">
        <w:rPr>
          <w:i/>
        </w:rPr>
        <w:t>Kenoss</w:t>
      </w:r>
      <w:proofErr w:type="spellEnd"/>
      <w:r w:rsidR="00515732" w:rsidRPr="005109D9">
        <w:rPr>
          <w:i/>
        </w:rPr>
        <w:t xml:space="preserve"> Contractors Pty Ltd (in </w:t>
      </w:r>
      <w:proofErr w:type="spellStart"/>
      <w:r w:rsidR="00515732" w:rsidRPr="005109D9">
        <w:rPr>
          <w:i/>
        </w:rPr>
        <w:t>liq</w:t>
      </w:r>
      <w:proofErr w:type="spellEnd"/>
      <w:r w:rsidR="00515732" w:rsidRPr="005109D9">
        <w:rPr>
          <w:i/>
        </w:rPr>
        <w:t>)</w:t>
      </w:r>
      <w:r w:rsidR="00DC198D">
        <w:t xml:space="preserve">, </w:t>
      </w:r>
      <w:r w:rsidR="00DC198D" w:rsidRPr="0017422F">
        <w:rPr>
          <w:szCs w:val="20"/>
        </w:rPr>
        <w:t>Mr al-</w:t>
      </w:r>
      <w:proofErr w:type="spellStart"/>
      <w:r w:rsidR="00DC198D" w:rsidRPr="0017422F">
        <w:rPr>
          <w:szCs w:val="20"/>
        </w:rPr>
        <w:t>Hasani</w:t>
      </w:r>
      <w:proofErr w:type="spellEnd"/>
      <w:r w:rsidR="00DC198D" w:rsidRPr="0017422F">
        <w:rPr>
          <w:szCs w:val="20"/>
        </w:rPr>
        <w:t xml:space="preserve"> was found not to be an officer, so the Magistrate did not have to decide whether or not he had breached the duty of due diligence.</w:t>
      </w:r>
      <w:r w:rsidR="00D63A9B">
        <w:rPr>
          <w:rStyle w:val="FootnoteReference"/>
          <w:szCs w:val="20"/>
        </w:rPr>
        <w:footnoteReference w:id="31"/>
      </w:r>
      <w:r w:rsidR="0084095F">
        <w:rPr>
          <w:szCs w:val="20"/>
        </w:rPr>
        <w:t xml:space="preserve"> </w:t>
      </w:r>
      <w:r w:rsidR="00DC198D" w:rsidRPr="0017422F">
        <w:rPr>
          <w:szCs w:val="20"/>
        </w:rPr>
        <w:t xml:space="preserve">However, in discussing </w:t>
      </w:r>
      <w:r w:rsidR="00426D3A">
        <w:rPr>
          <w:szCs w:val="20"/>
        </w:rPr>
        <w:t>t</w:t>
      </w:r>
      <w:r w:rsidR="00DC198D" w:rsidRPr="0017422F">
        <w:rPr>
          <w:szCs w:val="20"/>
        </w:rPr>
        <w:t>he standard of due diligence, the Magistrate referred to the case of</w:t>
      </w:r>
      <w:r w:rsidR="00DC198D" w:rsidRPr="0017422F">
        <w:rPr>
          <w:i/>
          <w:szCs w:val="20"/>
        </w:rPr>
        <w:t xml:space="preserve"> </w:t>
      </w:r>
      <w:proofErr w:type="spellStart"/>
      <w:r w:rsidR="00DC198D" w:rsidRPr="0017422F">
        <w:rPr>
          <w:i/>
          <w:szCs w:val="20"/>
        </w:rPr>
        <w:t>WorkCover</w:t>
      </w:r>
      <w:proofErr w:type="spellEnd"/>
      <w:r w:rsidR="00DC198D" w:rsidRPr="0017422F">
        <w:rPr>
          <w:i/>
          <w:szCs w:val="20"/>
        </w:rPr>
        <w:t xml:space="preserve"> Authority (New South Wales) (Inspector Mansell) v Daly Smith Corporation (</w:t>
      </w:r>
      <w:proofErr w:type="spellStart"/>
      <w:r w:rsidR="00DC198D" w:rsidRPr="0017422F">
        <w:rPr>
          <w:i/>
          <w:szCs w:val="20"/>
        </w:rPr>
        <w:t>Aust</w:t>
      </w:r>
      <w:proofErr w:type="spellEnd"/>
      <w:r w:rsidR="00DC198D" w:rsidRPr="0017422F">
        <w:rPr>
          <w:i/>
          <w:szCs w:val="20"/>
        </w:rPr>
        <w:t>) Pty Ltd and Smith</w:t>
      </w:r>
      <w:r w:rsidR="00DC198D">
        <w:rPr>
          <w:szCs w:val="20"/>
        </w:rPr>
        <w:t>, where it was observed that due diligence</w:t>
      </w:r>
      <w:r w:rsidR="00DC198D" w:rsidRPr="0017422F">
        <w:rPr>
          <w:szCs w:val="20"/>
        </w:rPr>
        <w:t>:</w:t>
      </w:r>
    </w:p>
    <w:p w:rsidR="00DC198D" w:rsidRPr="00DC198D" w:rsidRDefault="00DC198D" w:rsidP="006D7214">
      <w:pPr>
        <w:pStyle w:val="Quote"/>
        <w:ind w:left="720"/>
        <w:rPr>
          <w:rStyle w:val="QuoteChar"/>
          <w:i/>
          <w:iCs/>
        </w:rPr>
      </w:pPr>
      <w:r w:rsidRPr="00DC198D">
        <w:rPr>
          <w:rFonts w:hint="eastAsia"/>
        </w:rPr>
        <w:t>“</w:t>
      </w:r>
      <w:r w:rsidRPr="00DC198D">
        <w:t xml:space="preserve">is not done by merely hoping </w:t>
      </w:r>
      <w:r w:rsidRPr="00DC198D">
        <w:rPr>
          <w:rStyle w:val="QuoteChar"/>
          <w:i/>
          <w:iCs/>
        </w:rPr>
        <w:t xml:space="preserve">others would or could do what they were told, but also ensuring they have the skills to execute the job they are required to do and then ensuring compliance with that in accordance with the safe standards established. Compliance requires a process </w:t>
      </w:r>
      <w:r w:rsidRPr="00DC198D">
        <w:rPr>
          <w:rStyle w:val="QuoteChar"/>
          <w:i/>
          <w:iCs/>
        </w:rPr>
        <w:lastRenderedPageBreak/>
        <w:t>of review and auditing, both formal and random, in order to ensure that the safe standards established are in fact being adhered to and under ongoing review</w:t>
      </w:r>
      <w:r w:rsidRPr="00DC198D">
        <w:rPr>
          <w:rStyle w:val="QuoteChar"/>
          <w:rFonts w:hint="eastAsia"/>
          <w:i/>
          <w:iCs/>
        </w:rPr>
        <w:t>”</w:t>
      </w:r>
      <w:r w:rsidRPr="00DC198D">
        <w:rPr>
          <w:rStyle w:val="QuoteChar"/>
          <w:i/>
          <w:iCs/>
        </w:rPr>
        <w:t>.</w:t>
      </w:r>
      <w:r w:rsidR="00426D3A" w:rsidRPr="00426D3A">
        <w:rPr>
          <w:rStyle w:val="FootnoteReference"/>
          <w:i w:val="0"/>
        </w:rPr>
        <w:footnoteReference w:id="32"/>
      </w:r>
    </w:p>
    <w:p w:rsidR="00515732" w:rsidRPr="000A1CFB" w:rsidRDefault="00515732" w:rsidP="005109D9">
      <w:r w:rsidRPr="005109D9">
        <w:rPr>
          <w:rStyle w:val="Emphasis"/>
        </w:rPr>
        <w:t xml:space="preserve">In </w:t>
      </w:r>
      <w:r w:rsidR="005F2D70" w:rsidRPr="005109D9">
        <w:rPr>
          <w:rFonts w:cs="Arial"/>
          <w:i/>
        </w:rPr>
        <w:t>Safe Work New South Wales v Austral Hydroponics P</w:t>
      </w:r>
      <w:r w:rsidR="007C609B">
        <w:rPr>
          <w:rFonts w:cs="Arial"/>
          <w:i/>
        </w:rPr>
        <w:t>ty Ltd</w:t>
      </w:r>
      <w:r w:rsidR="00AB6D5F">
        <w:rPr>
          <w:rFonts w:cs="Arial"/>
          <w:i/>
        </w:rPr>
        <w:t xml:space="preserve"> and</w:t>
      </w:r>
      <w:r w:rsidR="005F2D70" w:rsidRPr="005109D9">
        <w:rPr>
          <w:rFonts w:cs="Arial"/>
          <w:i/>
        </w:rPr>
        <w:t xml:space="preserve"> </w:t>
      </w:r>
      <w:proofErr w:type="spellStart"/>
      <w:r w:rsidR="005F2D70" w:rsidRPr="005109D9">
        <w:rPr>
          <w:rFonts w:cs="Arial"/>
          <w:i/>
        </w:rPr>
        <w:t>Eang</w:t>
      </w:r>
      <w:proofErr w:type="spellEnd"/>
      <w:r w:rsidR="005F2D70" w:rsidRPr="005109D9">
        <w:rPr>
          <w:rFonts w:cs="Arial"/>
          <w:i/>
        </w:rPr>
        <w:t xml:space="preserve"> Lam</w:t>
      </w:r>
      <w:r w:rsidR="003C489F">
        <w:rPr>
          <w:rFonts w:cs="Arial"/>
          <w:i/>
        </w:rPr>
        <w:t>,</w:t>
      </w:r>
      <w:r w:rsidR="0084095F">
        <w:rPr>
          <w:rFonts w:cs="Arial"/>
        </w:rPr>
        <w:t xml:space="preserve"> </w:t>
      </w:r>
      <w:r w:rsidR="003C489F">
        <w:t>Mr Lam pleaded guilty to an offence of failing to exercise due diligence as an officer of a company, which included failing to take reasonable steps</w:t>
      </w:r>
      <w:r w:rsidR="001B48C4">
        <w:t xml:space="preserve"> to ensure compliance </w:t>
      </w:r>
      <w:r w:rsidRPr="000A1CFB">
        <w:t xml:space="preserve">with relevant </w:t>
      </w:r>
      <w:r>
        <w:t>model</w:t>
      </w:r>
      <w:r w:rsidR="00EE055B">
        <w:t xml:space="preserve"> </w:t>
      </w:r>
      <w:r w:rsidRPr="000A1CFB">
        <w:t>Code</w:t>
      </w:r>
      <w:r w:rsidR="00660E5C">
        <w:t>s</w:t>
      </w:r>
      <w:r w:rsidRPr="000A1CFB">
        <w:t>.</w:t>
      </w:r>
      <w:r w:rsidR="00660E5C">
        <w:rPr>
          <w:rStyle w:val="FootnoteReference"/>
          <w:sz w:val="22"/>
          <w:szCs w:val="22"/>
        </w:rPr>
        <w:footnoteReference w:id="33"/>
      </w:r>
    </w:p>
    <w:p w:rsidR="00515732" w:rsidRDefault="00660E5C" w:rsidP="005109D9">
      <w:pPr>
        <w:rPr>
          <w:bCs/>
          <w:color w:val="000000"/>
        </w:rPr>
      </w:pPr>
      <w:r>
        <w:rPr>
          <w:bCs/>
          <w:color w:val="000000"/>
        </w:rPr>
        <w:t xml:space="preserve">Officers’ duties have also been the subject of consideration by governments. </w:t>
      </w:r>
      <w:r w:rsidR="00484B8D">
        <w:rPr>
          <w:bCs/>
          <w:color w:val="000000"/>
        </w:rPr>
        <w:t xml:space="preserve">The </w:t>
      </w:r>
      <w:r w:rsidR="00515732" w:rsidRPr="000A1CFB">
        <w:rPr>
          <w:bCs/>
          <w:color w:val="000000"/>
        </w:rPr>
        <w:t>2014</w:t>
      </w:r>
      <w:r w:rsidR="007C260C">
        <w:rPr>
          <w:bCs/>
          <w:color w:val="000000"/>
        </w:rPr>
        <w:t xml:space="preserve"> </w:t>
      </w:r>
      <w:r w:rsidR="00515732">
        <w:rPr>
          <w:bCs/>
          <w:color w:val="000000"/>
        </w:rPr>
        <w:t>COAG</w:t>
      </w:r>
      <w:r w:rsidR="00484B8D">
        <w:rPr>
          <w:bCs/>
          <w:color w:val="000000"/>
        </w:rPr>
        <w:t xml:space="preserve"> review of </w:t>
      </w:r>
      <w:r w:rsidR="00515732" w:rsidRPr="000A1CFB">
        <w:rPr>
          <w:bCs/>
          <w:color w:val="000000"/>
        </w:rPr>
        <w:t>the model WHS</w:t>
      </w:r>
      <w:r w:rsidR="007C260C">
        <w:rPr>
          <w:bCs/>
          <w:color w:val="000000"/>
        </w:rPr>
        <w:t xml:space="preserve"> laws</w:t>
      </w:r>
      <w:r w:rsidR="00515732" w:rsidRPr="000A1CFB">
        <w:rPr>
          <w:bCs/>
          <w:color w:val="000000"/>
        </w:rPr>
        <w:t xml:space="preserve"> </w:t>
      </w:r>
      <w:r w:rsidR="00484B8D">
        <w:rPr>
          <w:bCs/>
          <w:color w:val="000000"/>
        </w:rPr>
        <w:t xml:space="preserve">examined whether </w:t>
      </w:r>
      <w:r w:rsidR="00515732" w:rsidRPr="000A1CFB">
        <w:rPr>
          <w:bCs/>
          <w:color w:val="000000"/>
        </w:rPr>
        <w:t>officers’ duties created a disincentive to take up officer roles.</w:t>
      </w:r>
      <w:r w:rsidR="0084095F">
        <w:rPr>
          <w:bCs/>
          <w:color w:val="000000"/>
        </w:rPr>
        <w:t xml:space="preserve"> </w:t>
      </w:r>
      <w:r w:rsidR="00484B8D">
        <w:rPr>
          <w:bCs/>
          <w:color w:val="000000"/>
        </w:rPr>
        <w:t xml:space="preserve">Determining this was not the case, COAG </w:t>
      </w:r>
      <w:r w:rsidR="00484B8D" w:rsidRPr="000A1CFB">
        <w:rPr>
          <w:bCs/>
          <w:color w:val="000000"/>
        </w:rPr>
        <w:t>suggest</w:t>
      </w:r>
      <w:r w:rsidR="00484B8D">
        <w:rPr>
          <w:bCs/>
          <w:color w:val="000000"/>
        </w:rPr>
        <w:t>ed th</w:t>
      </w:r>
      <w:r w:rsidR="00BE2B1C">
        <w:rPr>
          <w:bCs/>
          <w:color w:val="000000"/>
        </w:rPr>
        <w:t>at</w:t>
      </w:r>
      <w:r w:rsidR="00484B8D">
        <w:rPr>
          <w:bCs/>
          <w:color w:val="000000"/>
        </w:rPr>
        <w:t xml:space="preserve"> further </w:t>
      </w:r>
      <w:r w:rsidR="00484B8D" w:rsidRPr="000A1CFB">
        <w:rPr>
          <w:bCs/>
          <w:color w:val="000000"/>
        </w:rPr>
        <w:t>guidance be provided.</w:t>
      </w:r>
      <w:r w:rsidR="007C260C">
        <w:rPr>
          <w:rStyle w:val="FootnoteReference"/>
          <w:bCs/>
          <w:color w:val="000000"/>
        </w:rPr>
        <w:footnoteReference w:id="34"/>
      </w:r>
    </w:p>
    <w:p w:rsidR="00434B9D" w:rsidRDefault="00434B9D" w:rsidP="005109D9">
      <w:pPr>
        <w:rPr>
          <w:bCs/>
          <w:color w:val="000000"/>
        </w:rPr>
      </w:pPr>
      <w:r>
        <w:rPr>
          <w:bCs/>
          <w:color w:val="000000"/>
        </w:rPr>
        <w:t xml:space="preserve">Interestingly, </w:t>
      </w:r>
      <w:r w:rsidR="00D90E7C">
        <w:rPr>
          <w:bCs/>
          <w:color w:val="000000"/>
        </w:rPr>
        <w:t>research</w:t>
      </w:r>
      <w:r w:rsidRPr="00434B9D">
        <w:rPr>
          <w:bCs/>
          <w:color w:val="000000"/>
        </w:rPr>
        <w:t xml:space="preserve"> seeking the views of senior managers in very large businesses found that the model WHS laws’ due diligence, officer and penalty provisions raised their general level of health and safety awareness</w:t>
      </w:r>
      <w:r w:rsidR="00DE030E">
        <w:rPr>
          <w:bCs/>
          <w:color w:val="000000"/>
        </w:rPr>
        <w:t>.</w:t>
      </w:r>
      <w:r>
        <w:rPr>
          <w:rStyle w:val="FootnoteReference"/>
          <w:bCs/>
          <w:color w:val="000000"/>
          <w:sz w:val="22"/>
          <w:szCs w:val="22"/>
        </w:rPr>
        <w:footnoteReference w:id="35"/>
      </w:r>
      <w:r w:rsidRPr="00434B9D">
        <w:rPr>
          <w:bCs/>
          <w:color w:val="000000"/>
        </w:rPr>
        <w:t xml:space="preserve"> </w:t>
      </w:r>
    </w:p>
    <w:p w:rsidR="00FA235E" w:rsidRPr="00B05288" w:rsidRDefault="00FA235E" w:rsidP="00B05288"/>
    <w:p w:rsidR="006D0A8B" w:rsidRPr="00B05288" w:rsidRDefault="000F152B" w:rsidP="00146A76">
      <w:pPr>
        <w:pStyle w:val="ReviewSubmissionQuestions"/>
      </w:pPr>
      <w:r w:rsidRPr="00B05288">
        <w:t>Have you any comments relating to an officer’s duty of care under the model WHS Act?</w:t>
      </w:r>
    </w:p>
    <w:p w:rsidR="006D0A8B" w:rsidRPr="00F00C9B" w:rsidRDefault="006D0A8B" w:rsidP="00F00C9B">
      <w:pPr>
        <w:pStyle w:val="2018ReviewSectionnumberingheading"/>
      </w:pPr>
      <w:bookmarkStart w:id="169" w:name="_Toc506794183"/>
      <w:r w:rsidRPr="00F00C9B">
        <w:t>Duty of workers</w:t>
      </w:r>
      <w:bookmarkEnd w:id="169"/>
    </w:p>
    <w:p w:rsidR="00390BC0" w:rsidRPr="000A1CFB" w:rsidRDefault="00390BC0" w:rsidP="00EC76A9">
      <w:pPr>
        <w:rPr>
          <w:sz w:val="22"/>
          <w:szCs w:val="22"/>
          <w:lang w:val="en-AU"/>
        </w:rPr>
      </w:pPr>
      <w:r w:rsidRPr="000A1CFB">
        <w:t xml:space="preserve">The broad definition of ‘worker’ </w:t>
      </w:r>
      <w:r w:rsidR="000F152B">
        <w:t>at</w:t>
      </w:r>
      <w:r w:rsidR="00CD1FA8">
        <w:t xml:space="preserve"> s </w:t>
      </w:r>
      <w:r w:rsidR="000F152B">
        <w:t xml:space="preserve">7 of </w:t>
      </w:r>
      <w:r w:rsidRPr="000A1CFB">
        <w:t xml:space="preserve">the model WHS Act </w:t>
      </w:r>
      <w:r w:rsidR="000F152B">
        <w:t xml:space="preserve">supports the policy intention of extending the scope of the model WHS laws </w:t>
      </w:r>
      <w:r w:rsidRPr="000A1CFB">
        <w:t xml:space="preserve">beyond the traditional employer/employee relationship. </w:t>
      </w:r>
    </w:p>
    <w:p w:rsidR="00ED2952" w:rsidRDefault="006D0A8B" w:rsidP="00DB736B">
      <w:r w:rsidRPr="000A1CFB">
        <w:t>Workers have a duty to take reasonable care for their own health and safety while at work and also to take reasonable care so that their acts or omissions do not adversely affect the health and safety of other persons at the workplace.</w:t>
      </w:r>
      <w:r w:rsidR="0084095F">
        <w:t xml:space="preserve"> </w:t>
      </w:r>
      <w:r w:rsidR="00820714">
        <w:t>Workers</w:t>
      </w:r>
      <w:r w:rsidR="00820714" w:rsidRPr="000A1CFB">
        <w:t xml:space="preserve"> must also comply, so far as they are reasonably able to, with any reasonable instruc</w:t>
      </w:r>
      <w:r w:rsidR="002627B4">
        <w:t xml:space="preserve">tion that is given by the PCBU </w:t>
      </w:r>
      <w:r w:rsidR="005F2D70" w:rsidRPr="005F2D70">
        <w:t>t</w:t>
      </w:r>
      <w:r w:rsidR="005F2D70">
        <w:t xml:space="preserve">o allow compliance with the Act </w:t>
      </w:r>
      <w:r w:rsidR="002627B4">
        <w:t xml:space="preserve">and co-operate with any reasonable policy </w:t>
      </w:r>
      <w:r w:rsidR="005F2D70">
        <w:t xml:space="preserve">or </w:t>
      </w:r>
      <w:r w:rsidR="002627B4">
        <w:t xml:space="preserve">procedure relating to </w:t>
      </w:r>
      <w:r w:rsidR="00161343">
        <w:t>WHS</w:t>
      </w:r>
      <w:r w:rsidR="005F2D70">
        <w:t xml:space="preserve"> that has been notified to </w:t>
      </w:r>
      <w:r w:rsidR="00426D3A">
        <w:t>them</w:t>
      </w:r>
      <w:r w:rsidR="002627B4">
        <w:t xml:space="preserve">. </w:t>
      </w:r>
    </w:p>
    <w:p w:rsidR="001B48C4" w:rsidRDefault="001B48C4" w:rsidP="001B48C4">
      <w:r>
        <w:t>Two recent Queensland case</w:t>
      </w:r>
      <w:r w:rsidR="00AB1CDF">
        <w:t>s</w:t>
      </w:r>
      <w:r>
        <w:t xml:space="preserve"> demonstrate how these duties may be breached. In the first case, an operations manager</w:t>
      </w:r>
      <w:r w:rsidR="00AD463D">
        <w:t xml:space="preserve"> was fined </w:t>
      </w:r>
      <w:r w:rsidR="005A6C8F">
        <w:t>for</w:t>
      </w:r>
      <w:r w:rsidR="00AD463D">
        <w:t xml:space="preserve"> </w:t>
      </w:r>
      <w:r>
        <w:t>authoris</w:t>
      </w:r>
      <w:r w:rsidR="00AD463D">
        <w:t>ing</w:t>
      </w:r>
      <w:r>
        <w:t xml:space="preserve"> workers to bypass a safety device on a plastic extrusion machine and fail</w:t>
      </w:r>
      <w:r w:rsidR="005A6C8F">
        <w:t>ing</w:t>
      </w:r>
      <w:r>
        <w:t xml:space="preserve"> to comply with written procedures requiring</w:t>
      </w:r>
      <w:r w:rsidR="00426D3A">
        <w:t xml:space="preserve"> the</w:t>
      </w:r>
      <w:r>
        <w:t xml:space="preserve"> faulty machine to be removed from service until repaired.</w:t>
      </w:r>
      <w:r w:rsidR="0084095F">
        <w:t xml:space="preserve"> </w:t>
      </w:r>
      <w:r>
        <w:t xml:space="preserve">A worker’s hands were </w:t>
      </w:r>
      <w:r w:rsidR="0002392F">
        <w:t xml:space="preserve">subsequently </w:t>
      </w:r>
      <w:r>
        <w:t>injured when the machine was started by a colleague as he was manually feeding plastic into the machine.</w:t>
      </w:r>
    </w:p>
    <w:p w:rsidR="001B48C4" w:rsidRDefault="001B48C4" w:rsidP="001B48C4">
      <w:r>
        <w:t>In the second case, an employee of a plumbing products company pleaded guilty to failing to ensure his acts or omissions did not adversely affect the health and safety of others after he used an aerosol can and lighter to spray flames on the legs of a colleague.</w:t>
      </w:r>
      <w:r>
        <w:rPr>
          <w:rStyle w:val="FootnoteReference"/>
        </w:rPr>
        <w:footnoteReference w:id="36"/>
      </w:r>
      <w:r>
        <w:t xml:space="preserve"> </w:t>
      </w:r>
      <w:r w:rsidR="00B05288">
        <w:br/>
      </w:r>
    </w:p>
    <w:p w:rsidR="00D354DD" w:rsidRPr="00B05288" w:rsidRDefault="00D376B6" w:rsidP="00146A76">
      <w:pPr>
        <w:pStyle w:val="ReviewSubmissionQuestions"/>
      </w:pPr>
      <w:r w:rsidRPr="00B05288">
        <w:t xml:space="preserve">Have you any comments on whether </w:t>
      </w:r>
      <w:r w:rsidR="00D354DD" w:rsidRPr="00B05288">
        <w:t xml:space="preserve">the definition of ‘worker’ </w:t>
      </w:r>
      <w:r w:rsidRPr="00B05288">
        <w:t xml:space="preserve">is </w:t>
      </w:r>
      <w:r w:rsidR="00D354DD" w:rsidRPr="00B05288">
        <w:t>broad enough to ensure that the duties of care continue to be responsive to changes in the nature of work and work relationships?</w:t>
      </w:r>
      <w:r w:rsidR="0084095F" w:rsidRPr="00B05288">
        <w:t xml:space="preserve"> </w:t>
      </w:r>
      <w:r w:rsidR="00B05288">
        <w:br/>
      </w:r>
    </w:p>
    <w:p w:rsidR="005A19A8" w:rsidRPr="00B05288" w:rsidRDefault="006D0A8B" w:rsidP="00146A76">
      <w:pPr>
        <w:pStyle w:val="ReviewSubmissionQuestions"/>
      </w:pPr>
      <w:r w:rsidRPr="00B05288">
        <w:t xml:space="preserve">Have </w:t>
      </w:r>
      <w:r w:rsidR="000F152B" w:rsidRPr="00B05288">
        <w:t>you any comments relating to a</w:t>
      </w:r>
      <w:r w:rsidRPr="00B05288">
        <w:t xml:space="preserve"> worker’s duty of care under the model WHS Act?</w:t>
      </w:r>
    </w:p>
    <w:p w:rsidR="005A19A8" w:rsidRPr="00F00C9B" w:rsidRDefault="005A19A8" w:rsidP="00F00C9B">
      <w:pPr>
        <w:pStyle w:val="2018ReviewSectionnumberingheading"/>
      </w:pPr>
      <w:bookmarkStart w:id="170" w:name="_Toc506794184"/>
      <w:r w:rsidRPr="00F00C9B">
        <w:lastRenderedPageBreak/>
        <w:t>Duty of other persons at the workplace</w:t>
      </w:r>
      <w:bookmarkEnd w:id="170"/>
    </w:p>
    <w:p w:rsidR="005A19A8" w:rsidRDefault="002627B4" w:rsidP="00776702">
      <w:r>
        <w:t>A person</w:t>
      </w:r>
      <w:r w:rsidR="005A19A8" w:rsidRPr="000A1CFB">
        <w:t xml:space="preserve"> at a workplace</w:t>
      </w:r>
      <w:r w:rsidR="00E00F4F">
        <w:t>, for instance a customer or a visitor,</w:t>
      </w:r>
      <w:r w:rsidR="005A19A8" w:rsidRPr="000A1CFB">
        <w:t xml:space="preserve"> must take reasonable care for their own safety at the workplace and take reasonable care that their acts or omissions do not adversely affect the health and safety of others at the workplace</w:t>
      </w:r>
      <w:r w:rsidR="00820714">
        <w:t xml:space="preserve">. </w:t>
      </w:r>
      <w:r w:rsidR="005A19A8" w:rsidRPr="000A1CFB">
        <w:t xml:space="preserve">Other persons at a workplace must also comply, so far as they are reasonably able to, with any reasonable instruction that is given by the PCBU to allow the PCBU to comply with the </w:t>
      </w:r>
      <w:r w:rsidR="005A19A8">
        <w:t>model WHS Act</w:t>
      </w:r>
      <w:r w:rsidR="005A19A8" w:rsidRPr="000A1CFB">
        <w:t>.</w:t>
      </w:r>
    </w:p>
    <w:p w:rsidR="00F00C9B" w:rsidRPr="000A1CFB" w:rsidRDefault="00F00C9B" w:rsidP="005A19A8">
      <w:pPr>
        <w:tabs>
          <w:tab w:val="num" w:pos="709"/>
        </w:tabs>
        <w:autoSpaceDE w:val="0"/>
        <w:autoSpaceDN w:val="0"/>
        <w:adjustRightInd w:val="0"/>
        <w:spacing w:before="120"/>
        <w:jc w:val="both"/>
        <w:rPr>
          <w:bCs/>
          <w:color w:val="000000"/>
          <w:sz w:val="22"/>
          <w:szCs w:val="22"/>
        </w:rPr>
      </w:pPr>
    </w:p>
    <w:p w:rsidR="00515732" w:rsidRPr="00B05288" w:rsidRDefault="005A19A8" w:rsidP="00146A76">
      <w:pPr>
        <w:pStyle w:val="ReviewSubmissionQuestions"/>
      </w:pPr>
      <w:r w:rsidRPr="00B05288">
        <w:t>Have you any comments relating to the ‘other person at a workplace’ duty of care under the model WHS Act?</w:t>
      </w:r>
    </w:p>
    <w:p w:rsidR="00515732" w:rsidRPr="00F00C9B" w:rsidRDefault="00750D43" w:rsidP="00F00C9B">
      <w:pPr>
        <w:pStyle w:val="2018ReviewSectionnumberingheading"/>
      </w:pPr>
      <w:bookmarkStart w:id="171" w:name="_Toc506794185"/>
      <w:r w:rsidRPr="00F00C9B">
        <w:t xml:space="preserve">Principles applying to </w:t>
      </w:r>
      <w:r w:rsidR="00EC18C4">
        <w:t>d</w:t>
      </w:r>
      <w:r w:rsidR="00EC18C4" w:rsidRPr="00F00C9B">
        <w:t>uties</w:t>
      </w:r>
      <w:bookmarkEnd w:id="171"/>
    </w:p>
    <w:p w:rsidR="00750D43" w:rsidRDefault="007B76AC" w:rsidP="00776702">
      <w:pPr>
        <w:rPr>
          <w:lang w:val="en-AU"/>
        </w:rPr>
      </w:pPr>
      <w:r w:rsidRPr="000A1CFB">
        <w:rPr>
          <w:lang w:val="en-AU"/>
        </w:rPr>
        <w:t>Sections</w:t>
      </w:r>
      <w:r>
        <w:rPr>
          <w:lang w:val="en-AU"/>
        </w:rPr>
        <w:t xml:space="preserve"> </w:t>
      </w:r>
      <w:r w:rsidR="00217F63">
        <w:rPr>
          <w:lang w:val="en-AU"/>
        </w:rPr>
        <w:t>13-16</w:t>
      </w:r>
      <w:r w:rsidRPr="000A1CFB">
        <w:rPr>
          <w:lang w:val="en-AU"/>
        </w:rPr>
        <w:t xml:space="preserve"> of the </w:t>
      </w:r>
      <w:r>
        <w:rPr>
          <w:lang w:val="en-AU"/>
        </w:rPr>
        <w:t>m</w:t>
      </w:r>
      <w:r w:rsidRPr="000A1CFB">
        <w:rPr>
          <w:lang w:val="en-AU"/>
        </w:rPr>
        <w:t>odel WHS Act set out principles that apply to all duties and were included to guide duty holders, regulators and the courts in applying and interpreting duties of care.</w:t>
      </w:r>
      <w:r w:rsidR="0084095F">
        <w:rPr>
          <w:lang w:val="en-AU"/>
        </w:rPr>
        <w:t xml:space="preserve"> </w:t>
      </w:r>
    </w:p>
    <w:p w:rsidR="00217F63" w:rsidRDefault="00217F63" w:rsidP="00776702">
      <w:pPr>
        <w:rPr>
          <w:lang w:val="en-AU"/>
        </w:rPr>
      </w:pPr>
      <w:r>
        <w:rPr>
          <w:lang w:val="en-AU"/>
        </w:rPr>
        <w:t>These principles are:</w:t>
      </w:r>
    </w:p>
    <w:p w:rsidR="00217F63" w:rsidRDefault="00217F63" w:rsidP="00776702">
      <w:pPr>
        <w:pStyle w:val="2018ReviewBullets"/>
        <w:rPr>
          <w:lang w:val="en-AU"/>
        </w:rPr>
      </w:pPr>
      <w:r>
        <w:rPr>
          <w:lang w:val="en-AU"/>
        </w:rPr>
        <w:t>a duty cannot be transferred to another person</w:t>
      </w:r>
    </w:p>
    <w:p w:rsidR="00217F63" w:rsidRDefault="00776702" w:rsidP="00776702">
      <w:pPr>
        <w:pStyle w:val="2018ReviewBullets"/>
        <w:rPr>
          <w:lang w:val="en-AU"/>
        </w:rPr>
      </w:pPr>
      <w:r>
        <w:rPr>
          <w:lang w:val="en-AU"/>
        </w:rPr>
        <w:t>a</w:t>
      </w:r>
      <w:r w:rsidR="00217F63">
        <w:rPr>
          <w:lang w:val="en-AU"/>
        </w:rPr>
        <w:t xml:space="preserve"> person can have more than one duty (for example by being both a worker and an officer)</w:t>
      </w:r>
    </w:p>
    <w:p w:rsidR="00217F63" w:rsidRDefault="00217F63" w:rsidP="00776702">
      <w:pPr>
        <w:pStyle w:val="2018ReviewBullets"/>
        <w:rPr>
          <w:lang w:val="en-AU"/>
        </w:rPr>
      </w:pPr>
      <w:r>
        <w:rPr>
          <w:lang w:val="en-AU"/>
        </w:rPr>
        <w:t xml:space="preserve">more than one person can have the same duty at the same time (for example a labour hire company </w:t>
      </w:r>
      <w:r w:rsidR="005D19C6">
        <w:rPr>
          <w:lang w:val="en-AU"/>
        </w:rPr>
        <w:t>that facilitates the placement of a worker at a host company and the</w:t>
      </w:r>
      <w:r>
        <w:rPr>
          <w:lang w:val="en-AU"/>
        </w:rPr>
        <w:t xml:space="preserve"> host company where a worker is placed)</w:t>
      </w:r>
      <w:r w:rsidR="0078080C">
        <w:rPr>
          <w:lang w:val="en-AU"/>
        </w:rPr>
        <w:t>, and</w:t>
      </w:r>
    </w:p>
    <w:p w:rsidR="007B76AC" w:rsidRPr="005109D9" w:rsidRDefault="00217F63" w:rsidP="005109D9">
      <w:pPr>
        <w:pStyle w:val="2018ReviewBullets"/>
        <w:rPr>
          <w:color w:val="000000" w:themeColor="text1"/>
          <w:sz w:val="22"/>
          <w:szCs w:val="22"/>
          <w:lang w:val="en-AU"/>
        </w:rPr>
      </w:pPr>
      <w:r>
        <w:rPr>
          <w:lang w:val="en-AU"/>
        </w:rPr>
        <w:t>if more than one person has the same duty, they each must comply with that duty to the extent to which they have the capacity to influence and control the relevant</w:t>
      </w:r>
      <w:r w:rsidR="005D19C6">
        <w:rPr>
          <w:lang w:val="en-AU"/>
        </w:rPr>
        <w:t xml:space="preserve"> work health and safety matter</w:t>
      </w:r>
      <w:r>
        <w:rPr>
          <w:lang w:val="en-AU"/>
        </w:rPr>
        <w:t>.</w:t>
      </w:r>
      <w:r w:rsidR="00756434">
        <w:rPr>
          <w:rStyle w:val="FootnoteReference"/>
          <w:lang w:val="en-AU"/>
        </w:rPr>
        <w:footnoteReference w:id="37"/>
      </w:r>
    </w:p>
    <w:p w:rsidR="007B76AC" w:rsidRPr="000A1CFB" w:rsidRDefault="007B76AC" w:rsidP="00776702">
      <w:pPr>
        <w:rPr>
          <w:b/>
          <w:color w:val="C00000"/>
          <w:lang w:val="en-AU"/>
        </w:rPr>
      </w:pPr>
      <w:r w:rsidRPr="000A1CFB">
        <w:rPr>
          <w:color w:val="000000" w:themeColor="text1"/>
          <w:lang w:val="en-AU"/>
        </w:rPr>
        <w:t>Section</w:t>
      </w:r>
      <w:r w:rsidRPr="000A1CFB">
        <w:rPr>
          <w:b/>
          <w:color w:val="C00000"/>
          <w:lang w:val="en-AU"/>
        </w:rPr>
        <w:t xml:space="preserve"> </w:t>
      </w:r>
      <w:r w:rsidRPr="000A1CFB">
        <w:t xml:space="preserve">17 of the model WHS Act specifies that a duty holder </w:t>
      </w:r>
      <w:r w:rsidR="00535073">
        <w:t xml:space="preserve">must </w:t>
      </w:r>
      <w:r w:rsidRPr="000A1CFB">
        <w:t xml:space="preserve">ensure health and safety by managing risks, which </w:t>
      </w:r>
      <w:r w:rsidR="002E48DB">
        <w:t>requires</w:t>
      </w:r>
      <w:r w:rsidRPr="000A1CFB">
        <w:t>:</w:t>
      </w:r>
    </w:p>
    <w:p w:rsidR="007B76AC" w:rsidRPr="000A1CFB" w:rsidRDefault="007B76AC" w:rsidP="00776702">
      <w:pPr>
        <w:pStyle w:val="2018ReviewBullets"/>
      </w:pPr>
      <w:r w:rsidRPr="000A1CFB">
        <w:t>eliminating the risks, so far as is reasonably practicable, and</w:t>
      </w:r>
    </w:p>
    <w:p w:rsidR="007B76AC" w:rsidRPr="00776702" w:rsidRDefault="007B76AC" w:rsidP="002E48DB">
      <w:pPr>
        <w:pStyle w:val="2018ReviewBullets"/>
      </w:pPr>
      <w:r w:rsidRPr="000A1CFB">
        <w:t xml:space="preserve">if </w:t>
      </w:r>
      <w:r w:rsidR="002E48DB" w:rsidRPr="002E48DB">
        <w:t xml:space="preserve">eliminating the risk </w:t>
      </w:r>
      <w:r w:rsidR="002E48DB">
        <w:t xml:space="preserve">is </w:t>
      </w:r>
      <w:r w:rsidRPr="000A1CFB">
        <w:t>not reasonably practicable—to minimise the risks, so far as is reasonably practicable</w:t>
      </w:r>
      <w:r w:rsidR="002D1EF8">
        <w:t>.</w:t>
      </w:r>
    </w:p>
    <w:p w:rsidR="007B76AC" w:rsidRDefault="007B76AC" w:rsidP="007B76AC">
      <w:pPr>
        <w:jc w:val="both"/>
        <w:rPr>
          <w:color w:val="000000" w:themeColor="text1"/>
          <w:sz w:val="22"/>
          <w:szCs w:val="22"/>
          <w:lang w:val="en-AU"/>
        </w:rPr>
      </w:pPr>
    </w:p>
    <w:p w:rsidR="00217F63" w:rsidRPr="00B05288" w:rsidRDefault="00217F63" w:rsidP="00146A76">
      <w:pPr>
        <w:pStyle w:val="ReviewSubmissionQuestions"/>
      </w:pPr>
      <w:r w:rsidRPr="00B05288">
        <w:t>Have you any comments relating to the principles that apply to health and safety duties?</w:t>
      </w:r>
    </w:p>
    <w:p w:rsidR="00C81369" w:rsidRDefault="00C81369">
      <w:r>
        <w:br w:type="page"/>
      </w:r>
    </w:p>
    <w:p w:rsidR="00C81369" w:rsidRPr="00F00C9B" w:rsidRDefault="00C81369" w:rsidP="00F00C9B">
      <w:pPr>
        <w:pStyle w:val="2018ReviewWhiteHeading"/>
        <w:numPr>
          <w:ilvl w:val="0"/>
          <w:numId w:val="34"/>
        </w:numPr>
        <w:ind w:left="357" w:hanging="357"/>
      </w:pPr>
      <w:bookmarkStart w:id="172" w:name="_Toc506794186"/>
      <w:r w:rsidRPr="00F00C9B">
        <w:lastRenderedPageBreak/>
        <w:t>Consultation, representation and participation</w:t>
      </w:r>
      <w:bookmarkEnd w:id="172"/>
    </w:p>
    <w:p w:rsidR="003E5145" w:rsidRDefault="009B3F3B" w:rsidP="00634316">
      <w:pPr>
        <w:rPr>
          <w:lang w:eastAsia="en-US"/>
        </w:rPr>
      </w:pPr>
      <w:r>
        <w:rPr>
          <w:lang w:eastAsia="en-US"/>
        </w:rPr>
        <w:t>This chapter examines the consultation, representation and participation provisions in the model WHS laws.</w:t>
      </w:r>
      <w:r w:rsidR="0084095F">
        <w:rPr>
          <w:lang w:eastAsia="en-US"/>
        </w:rPr>
        <w:t xml:space="preserve"> </w:t>
      </w:r>
      <w:r w:rsidR="005D08D4">
        <w:rPr>
          <w:lang w:eastAsia="en-US"/>
        </w:rPr>
        <w:t>Importantly, t</w:t>
      </w:r>
      <w:r w:rsidR="003E5145" w:rsidRPr="003E5145">
        <w:rPr>
          <w:lang w:eastAsia="en-US"/>
        </w:rPr>
        <w:t xml:space="preserve">he model </w:t>
      </w:r>
      <w:r w:rsidR="0078080C">
        <w:rPr>
          <w:lang w:eastAsia="en-US"/>
        </w:rPr>
        <w:t xml:space="preserve">WHS </w:t>
      </w:r>
      <w:r w:rsidR="003E5145" w:rsidRPr="003E5145">
        <w:rPr>
          <w:lang w:eastAsia="en-US"/>
        </w:rPr>
        <w:t xml:space="preserve">laws </w:t>
      </w:r>
      <w:r w:rsidR="007C609B">
        <w:rPr>
          <w:lang w:eastAsia="en-US"/>
        </w:rPr>
        <w:t xml:space="preserve">require </w:t>
      </w:r>
      <w:r w:rsidR="007C609B" w:rsidRPr="00D77244">
        <w:rPr>
          <w:rFonts w:cs="Arial"/>
          <w:lang w:eastAsia="en-US"/>
        </w:rPr>
        <w:t xml:space="preserve">a </w:t>
      </w:r>
      <w:r w:rsidR="007C609B" w:rsidRPr="005109D9" w:rsidDel="00161343">
        <w:rPr>
          <w:rFonts w:cs="Arial"/>
          <w:lang w:eastAsia="en-US"/>
        </w:rPr>
        <w:t>PCBU to consult</w:t>
      </w:r>
      <w:r w:rsidR="007C609B" w:rsidRPr="00D77244">
        <w:rPr>
          <w:rFonts w:cs="Arial"/>
          <w:lang w:eastAsia="en-US"/>
        </w:rPr>
        <w:t>, c</w:t>
      </w:r>
      <w:r w:rsidR="007C609B">
        <w:rPr>
          <w:rFonts w:cs="Arial"/>
          <w:lang w:eastAsia="en-US"/>
        </w:rPr>
        <w:t>o-</w:t>
      </w:r>
      <w:r w:rsidR="007C609B" w:rsidRPr="00D77244">
        <w:rPr>
          <w:rFonts w:cs="Arial"/>
          <w:lang w:eastAsia="en-US"/>
        </w:rPr>
        <w:t>operate</w:t>
      </w:r>
      <w:r w:rsidR="007C609B">
        <w:rPr>
          <w:rFonts w:cs="Arial"/>
          <w:lang w:eastAsia="en-US"/>
        </w:rPr>
        <w:t xml:space="preserve"> and coordinate activities with other PCBUs where they have a concurrent duty of care relating to the same work activity or project</w:t>
      </w:r>
      <w:r w:rsidR="007C609B">
        <w:rPr>
          <w:lang w:eastAsia="en-US"/>
        </w:rPr>
        <w:t xml:space="preserve">. They also </w:t>
      </w:r>
      <w:r>
        <w:rPr>
          <w:lang w:eastAsia="en-US"/>
        </w:rPr>
        <w:t>require</w:t>
      </w:r>
      <w:r w:rsidRPr="003E5145">
        <w:rPr>
          <w:lang w:eastAsia="en-US"/>
        </w:rPr>
        <w:t xml:space="preserve"> </w:t>
      </w:r>
      <w:r w:rsidR="003E5145" w:rsidRPr="003E5145">
        <w:rPr>
          <w:lang w:eastAsia="en-US"/>
        </w:rPr>
        <w:t>a two-way flow of information between PCBUs</w:t>
      </w:r>
      <w:r>
        <w:rPr>
          <w:lang w:eastAsia="en-US"/>
        </w:rPr>
        <w:t xml:space="preserve"> </w:t>
      </w:r>
      <w:r w:rsidR="003E5145" w:rsidRPr="003E5145">
        <w:rPr>
          <w:lang w:eastAsia="en-US"/>
        </w:rPr>
        <w:t>and their workers about WHS matters.</w:t>
      </w:r>
      <w:r w:rsidR="003E5145">
        <w:rPr>
          <w:lang w:eastAsia="en-US"/>
        </w:rPr>
        <w:t xml:space="preserve"> </w:t>
      </w:r>
    </w:p>
    <w:tbl>
      <w:tblPr>
        <w:tblStyle w:val="TableGrid"/>
        <w:tblW w:w="0" w:type="auto"/>
        <w:tblLook w:val="04A0" w:firstRow="1" w:lastRow="0" w:firstColumn="1" w:lastColumn="0" w:noHBand="0" w:noVBand="1"/>
        <w:tblCaption w:val="List of relevant Objects and Terms of Reference for this chapter"/>
        <w:tblDescription w:val="Object: Providing for fair and effective workplace representation, consultation, co-operation and issue resolution in relation to work health and safety.&#10;Encouraging unions and employer organisations to take a constructive role in promoting improvements in work health and safety practices, and assisting persons conducting businesses or undertakings and workers to achieve a healthier and safe working environment: s 3((1)(b) and (c).&#10;Term of Reference: Whether the consultation, representation and issue resolution provisions are effective and used by duty holders, and workers are protected where they participate in these processes."/>
      </w:tblPr>
      <w:tblGrid>
        <w:gridCol w:w="2235"/>
        <w:gridCol w:w="6953"/>
      </w:tblGrid>
      <w:tr w:rsidR="00161343" w:rsidTr="00EC7CD4">
        <w:trPr>
          <w:tblHeader/>
        </w:trPr>
        <w:tc>
          <w:tcPr>
            <w:tcW w:w="2235" w:type="dxa"/>
          </w:tcPr>
          <w:p w:rsidR="00AB6D5F" w:rsidRDefault="00161343" w:rsidP="00866B4B">
            <w:pPr>
              <w:pStyle w:val="Heading4"/>
              <w:ind w:left="0" w:firstLine="0"/>
              <w:rPr>
                <w:lang w:val="en-AU"/>
              </w:rPr>
            </w:pPr>
            <w:r w:rsidRPr="00776702">
              <w:rPr>
                <w:lang w:val="en-AU"/>
              </w:rPr>
              <w:t>Object</w:t>
            </w:r>
            <w:r w:rsidR="00AB6D5F">
              <w:rPr>
                <w:lang w:val="en-AU"/>
              </w:rPr>
              <w:t xml:space="preserve"> of the model WHS Act</w:t>
            </w:r>
            <w:r w:rsidR="002D2802">
              <w:rPr>
                <w:lang w:val="en-AU"/>
              </w:rPr>
              <w:t>:</w:t>
            </w:r>
          </w:p>
          <w:p w:rsidR="00161343" w:rsidRPr="00866B4B" w:rsidRDefault="00AB6D5F" w:rsidP="00006581">
            <w:pPr>
              <w:pStyle w:val="Heading4"/>
              <w:rPr>
                <w:b w:val="0"/>
                <w:lang w:val="en-AU"/>
              </w:rPr>
            </w:pPr>
            <w:r w:rsidRPr="00866B4B">
              <w:rPr>
                <w:b w:val="0"/>
                <w:lang w:val="en-AU"/>
              </w:rPr>
              <w:t>(see s </w:t>
            </w:r>
            <w:r w:rsidR="00483928">
              <w:rPr>
                <w:b w:val="0"/>
                <w:lang w:val="en-AU"/>
              </w:rPr>
              <w:t>3</w:t>
            </w:r>
            <w:r w:rsidR="00876FD3">
              <w:rPr>
                <w:b w:val="0"/>
                <w:lang w:val="en-AU"/>
              </w:rPr>
              <w:t>(</w:t>
            </w:r>
            <w:r w:rsidRPr="00866B4B">
              <w:rPr>
                <w:b w:val="0"/>
                <w:lang w:val="en-AU"/>
              </w:rPr>
              <w:t>1)(b) and (c)</w:t>
            </w:r>
            <w:r w:rsidR="00876FD3" w:rsidRPr="00866B4B">
              <w:rPr>
                <w:b w:val="0"/>
                <w:lang w:val="en-AU"/>
              </w:rPr>
              <w:t>)</w:t>
            </w:r>
          </w:p>
        </w:tc>
        <w:tc>
          <w:tcPr>
            <w:tcW w:w="6953" w:type="dxa"/>
          </w:tcPr>
          <w:p w:rsidR="00161343" w:rsidRPr="000A1CFB" w:rsidRDefault="00161343" w:rsidP="00776702">
            <w:pPr>
              <w:rPr>
                <w:lang w:val="en-AU"/>
              </w:rPr>
            </w:pPr>
            <w:r w:rsidRPr="000A1CFB">
              <w:rPr>
                <w:lang w:val="en-AU"/>
              </w:rPr>
              <w:t>Providing for fair and effective workplace representation, consultation, co-operation and issue resolution in relation to work health and safety</w:t>
            </w:r>
            <w:r w:rsidR="00102E00">
              <w:rPr>
                <w:lang w:val="en-AU"/>
              </w:rPr>
              <w:t>.</w:t>
            </w:r>
          </w:p>
          <w:p w:rsidR="00161343" w:rsidRDefault="00161343" w:rsidP="00AB6D5F">
            <w:pPr>
              <w:rPr>
                <w:lang w:val="en-AU"/>
              </w:rPr>
            </w:pPr>
            <w:r w:rsidRPr="000A1CFB">
              <w:rPr>
                <w:lang w:val="en-AU"/>
              </w:rPr>
              <w:t>Encouraging unions and employer organisations to take a constructive role in promoting improvements in work health and safety practices, and assisting persons conducting businesses or undertakings and workers to achieve a healthier and safe working environment</w:t>
            </w:r>
            <w:r w:rsidR="00AB6D5F">
              <w:rPr>
                <w:lang w:val="en-AU"/>
              </w:rPr>
              <w:t>.</w:t>
            </w:r>
          </w:p>
        </w:tc>
      </w:tr>
      <w:tr w:rsidR="00161343" w:rsidTr="005109D9">
        <w:tc>
          <w:tcPr>
            <w:tcW w:w="2235" w:type="dxa"/>
          </w:tcPr>
          <w:p w:rsidR="00161343" w:rsidRPr="00776702" w:rsidRDefault="00161343" w:rsidP="005109D9">
            <w:pPr>
              <w:pStyle w:val="Heading4"/>
              <w:rPr>
                <w:lang w:val="en-AU"/>
              </w:rPr>
            </w:pPr>
            <w:r w:rsidRPr="00776702">
              <w:rPr>
                <w:lang w:val="en-AU"/>
              </w:rPr>
              <w:t>Term of Reference:</w:t>
            </w:r>
          </w:p>
        </w:tc>
        <w:tc>
          <w:tcPr>
            <w:tcW w:w="6953" w:type="dxa"/>
          </w:tcPr>
          <w:p w:rsidR="00161343" w:rsidRDefault="00161343" w:rsidP="00776702">
            <w:pPr>
              <w:rPr>
                <w:lang w:val="en-AU"/>
              </w:rPr>
            </w:pPr>
            <w:r w:rsidRPr="00E034F2">
              <w:rPr>
                <w:lang w:val="en-AU"/>
              </w:rPr>
              <w:t>Whether the consultation, representation and issue resolution provision</w:t>
            </w:r>
            <w:r>
              <w:rPr>
                <w:lang w:val="en-AU"/>
              </w:rPr>
              <w:t xml:space="preserve">s </w:t>
            </w:r>
            <w:r w:rsidRPr="00E034F2">
              <w:rPr>
                <w:lang w:val="en-AU"/>
              </w:rPr>
              <w:t>are effective and used by duty holders, and work</w:t>
            </w:r>
            <w:r>
              <w:rPr>
                <w:lang w:val="en-AU"/>
              </w:rPr>
              <w:t xml:space="preserve">ers are protected </w:t>
            </w:r>
            <w:r w:rsidRPr="00E034F2">
              <w:rPr>
                <w:lang w:val="en-AU"/>
              </w:rPr>
              <w:t>where they participate in these processes.</w:t>
            </w:r>
          </w:p>
        </w:tc>
      </w:tr>
    </w:tbl>
    <w:p w:rsidR="00423E31" w:rsidRPr="00F00C9B" w:rsidRDefault="00C81369" w:rsidP="00F00C9B">
      <w:pPr>
        <w:pStyle w:val="2018ReviewSectionnumberingheading"/>
      </w:pPr>
      <w:bookmarkStart w:id="173" w:name="_Toc506794187"/>
      <w:r w:rsidRPr="00F00C9B">
        <w:t>Consultation with other PCBUs</w:t>
      </w:r>
      <w:bookmarkEnd w:id="173"/>
    </w:p>
    <w:p w:rsidR="00C81369" w:rsidRDefault="009F58D7" w:rsidP="00776702">
      <w:pPr>
        <w:rPr>
          <w:lang w:eastAsia="en-US"/>
        </w:rPr>
      </w:pPr>
      <w:r>
        <w:rPr>
          <w:lang w:eastAsia="en-US"/>
        </w:rPr>
        <w:t>Under</w:t>
      </w:r>
      <w:r w:rsidR="00CD1FA8">
        <w:rPr>
          <w:lang w:eastAsia="en-US"/>
        </w:rPr>
        <w:t xml:space="preserve"> s </w:t>
      </w:r>
      <w:r>
        <w:rPr>
          <w:lang w:eastAsia="en-US"/>
        </w:rPr>
        <w:t xml:space="preserve">46 of the model WHS Act, a PCBU has the duty to consult with any other PCBU who holds a concurrent duty. </w:t>
      </w:r>
      <w:r w:rsidR="0078080C">
        <w:rPr>
          <w:lang w:eastAsia="en-US"/>
        </w:rPr>
        <w:t>An e</w:t>
      </w:r>
      <w:r w:rsidR="00423E31">
        <w:rPr>
          <w:lang w:eastAsia="en-US"/>
        </w:rPr>
        <w:t xml:space="preserve">xample </w:t>
      </w:r>
      <w:r>
        <w:rPr>
          <w:lang w:eastAsia="en-US"/>
        </w:rPr>
        <w:t xml:space="preserve">of this situation includes </w:t>
      </w:r>
      <w:r w:rsidR="00423E31">
        <w:rPr>
          <w:lang w:eastAsia="en-US"/>
        </w:rPr>
        <w:t>construction projects where there are likely to be a range of businesses, labour hire firms, contractors and sub-contractors involved in co</w:t>
      </w:r>
      <w:r w:rsidR="001D09F3">
        <w:rPr>
          <w:lang w:eastAsia="en-US"/>
        </w:rPr>
        <w:t xml:space="preserve">mpleting </w:t>
      </w:r>
      <w:r w:rsidR="001A7BED">
        <w:rPr>
          <w:lang w:eastAsia="en-US"/>
        </w:rPr>
        <w:t>a</w:t>
      </w:r>
      <w:r w:rsidR="001D09F3">
        <w:rPr>
          <w:lang w:eastAsia="en-US"/>
        </w:rPr>
        <w:t xml:space="preserve"> project</w:t>
      </w:r>
      <w:r w:rsidR="00423E31">
        <w:rPr>
          <w:lang w:eastAsia="en-US"/>
        </w:rPr>
        <w:t>.</w:t>
      </w:r>
    </w:p>
    <w:p w:rsidR="0012006D" w:rsidRDefault="00423E31" w:rsidP="00776702">
      <w:pPr>
        <w:rPr>
          <w:lang w:eastAsia="en-US"/>
        </w:rPr>
      </w:pPr>
      <w:r>
        <w:rPr>
          <w:lang w:eastAsia="en-US"/>
        </w:rPr>
        <w:t>Each PCBU in these situations retains a primary duty of care for all workers involved in the project.</w:t>
      </w:r>
      <w:r w:rsidR="0084095F">
        <w:rPr>
          <w:lang w:eastAsia="en-US"/>
        </w:rPr>
        <w:t xml:space="preserve"> </w:t>
      </w:r>
      <w:r>
        <w:rPr>
          <w:lang w:eastAsia="en-US"/>
        </w:rPr>
        <w:t>However, each PCBU will have a</w:t>
      </w:r>
      <w:r w:rsidR="00C81369" w:rsidRPr="000A1CFB">
        <w:rPr>
          <w:lang w:eastAsia="en-US"/>
        </w:rPr>
        <w:t xml:space="preserve"> particular role and </w:t>
      </w:r>
      <w:r w:rsidR="00BE5225">
        <w:rPr>
          <w:lang w:eastAsia="en-US"/>
        </w:rPr>
        <w:t xml:space="preserve">specific </w:t>
      </w:r>
      <w:r w:rsidR="00C81369" w:rsidRPr="000A1CFB">
        <w:rPr>
          <w:lang w:eastAsia="en-US"/>
        </w:rPr>
        <w:t xml:space="preserve">ability to influence or direct particular matters relevant to health and safety. To avoid duplication of effort and/or </w:t>
      </w:r>
      <w:r w:rsidR="00DA0280">
        <w:rPr>
          <w:lang w:eastAsia="en-US"/>
        </w:rPr>
        <w:t xml:space="preserve">an absence of </w:t>
      </w:r>
      <w:r w:rsidR="00C81369" w:rsidRPr="000A1CFB">
        <w:rPr>
          <w:lang w:eastAsia="en-US"/>
        </w:rPr>
        <w:t>effort due to presumptions that other PCBUs are managing risks,</w:t>
      </w:r>
      <w:r w:rsidR="00CD1FA8">
        <w:rPr>
          <w:lang w:eastAsia="en-US"/>
        </w:rPr>
        <w:t xml:space="preserve"> s </w:t>
      </w:r>
      <w:r w:rsidR="00C81369" w:rsidRPr="000A1CFB">
        <w:rPr>
          <w:lang w:eastAsia="en-US"/>
        </w:rPr>
        <w:t xml:space="preserve">46 </w:t>
      </w:r>
      <w:r w:rsidR="00C81369">
        <w:rPr>
          <w:lang w:eastAsia="en-US"/>
        </w:rPr>
        <w:t xml:space="preserve">of the model WHS Act </w:t>
      </w:r>
      <w:r w:rsidR="00C81369" w:rsidRPr="000A1CFB">
        <w:rPr>
          <w:lang w:eastAsia="en-US"/>
        </w:rPr>
        <w:t>places a duty on multiple duty holders to properly consult, co-operate and co-ordinate their activities to ensure the health and safety of workers and other persons affected by the work of the project.</w:t>
      </w:r>
    </w:p>
    <w:p w:rsidR="00BE5225" w:rsidRDefault="0012006D" w:rsidP="00776702">
      <w:pPr>
        <w:rPr>
          <w:lang w:eastAsia="en-US"/>
        </w:rPr>
      </w:pPr>
      <w:r>
        <w:rPr>
          <w:lang w:eastAsia="en-US"/>
        </w:rPr>
        <w:t>I</w:t>
      </w:r>
      <w:r w:rsidR="00C81369" w:rsidRPr="000A1CFB">
        <w:rPr>
          <w:lang w:eastAsia="en-US"/>
        </w:rPr>
        <w:t xml:space="preserve">n </w:t>
      </w:r>
      <w:r w:rsidR="00C81369" w:rsidRPr="000A1CFB">
        <w:rPr>
          <w:i/>
          <w:lang w:eastAsia="en-US"/>
        </w:rPr>
        <w:t>Boland v Big Mars Pty Ltd</w:t>
      </w:r>
      <w:r>
        <w:rPr>
          <w:lang w:eastAsia="en-US"/>
        </w:rPr>
        <w:t>,</w:t>
      </w:r>
      <w:r w:rsidR="00C81369" w:rsidRPr="000A1CFB">
        <w:rPr>
          <w:lang w:eastAsia="en-US"/>
        </w:rPr>
        <w:t xml:space="preserve"> a labour hire company was convicted for breaching</w:t>
      </w:r>
      <w:r w:rsidR="00CD1FA8">
        <w:rPr>
          <w:lang w:eastAsia="en-US"/>
        </w:rPr>
        <w:t xml:space="preserve"> s </w:t>
      </w:r>
      <w:r w:rsidR="00C81369" w:rsidRPr="000A1CFB">
        <w:rPr>
          <w:lang w:eastAsia="en-US"/>
        </w:rPr>
        <w:t xml:space="preserve">46 of the </w:t>
      </w:r>
      <w:r w:rsidR="00C81369">
        <w:rPr>
          <w:lang w:eastAsia="en-US"/>
        </w:rPr>
        <w:t xml:space="preserve">SA </w:t>
      </w:r>
      <w:r w:rsidR="00CD59DE">
        <w:rPr>
          <w:lang w:eastAsia="en-US"/>
        </w:rPr>
        <w:t xml:space="preserve">Act by failing to consult with the host business </w:t>
      </w:r>
      <w:r w:rsidR="00C81369" w:rsidRPr="000A1CFB">
        <w:rPr>
          <w:lang w:eastAsia="en-US"/>
        </w:rPr>
        <w:t>to identify the</w:t>
      </w:r>
      <w:r w:rsidR="00C81369" w:rsidRPr="000A1CFB">
        <w:t xml:space="preserve"> tasks and activities </w:t>
      </w:r>
      <w:r w:rsidR="00DA0280">
        <w:t>a</w:t>
      </w:r>
      <w:r w:rsidR="00DA0280" w:rsidRPr="000A1CFB">
        <w:t xml:space="preserve"> </w:t>
      </w:r>
      <w:r w:rsidR="00CD59DE">
        <w:t xml:space="preserve">labour hire </w:t>
      </w:r>
      <w:r w:rsidR="00C81369" w:rsidRPr="000A1CFB">
        <w:t xml:space="preserve">worker would be required to undertake so as to ensure </w:t>
      </w:r>
      <w:r w:rsidR="00C81369" w:rsidRPr="000A1CFB">
        <w:rPr>
          <w:lang w:eastAsia="en-US"/>
        </w:rPr>
        <w:t xml:space="preserve">sufficient training had been provided </w:t>
      </w:r>
      <w:r w:rsidR="00CD59DE">
        <w:rPr>
          <w:lang w:eastAsia="en-US"/>
        </w:rPr>
        <w:t xml:space="preserve">for the worker </w:t>
      </w:r>
      <w:r w:rsidR="00C81369" w:rsidRPr="000A1CFB">
        <w:rPr>
          <w:lang w:eastAsia="en-US"/>
        </w:rPr>
        <w:t>to safely undertake those tasks.</w:t>
      </w:r>
      <w:r w:rsidR="00954560">
        <w:rPr>
          <w:rStyle w:val="FootnoteReference"/>
          <w:lang w:eastAsia="en-US"/>
        </w:rPr>
        <w:footnoteReference w:id="38"/>
      </w:r>
    </w:p>
    <w:p w:rsidR="0012006D" w:rsidRPr="0008187F" w:rsidRDefault="0012006D" w:rsidP="00776702">
      <w:pPr>
        <w:rPr>
          <w:lang w:eastAsia="en-US"/>
        </w:rPr>
      </w:pPr>
      <w:r>
        <w:rPr>
          <w:lang w:eastAsia="en-US"/>
        </w:rPr>
        <w:t>At the end of 2017, a Queensland Court confirmed that consultation between PCBUs should be proactive.</w:t>
      </w:r>
      <w:r w:rsidR="0084095F">
        <w:rPr>
          <w:lang w:eastAsia="en-US"/>
        </w:rPr>
        <w:t xml:space="preserve"> </w:t>
      </w:r>
      <w:r>
        <w:rPr>
          <w:lang w:eastAsia="en-US"/>
        </w:rPr>
        <w:t xml:space="preserve">In this case, a </w:t>
      </w:r>
      <w:r w:rsidR="00ED24B5">
        <w:rPr>
          <w:lang w:eastAsia="en-US"/>
        </w:rPr>
        <w:t xml:space="preserve">company which provided geotechnical advice to a construction project </w:t>
      </w:r>
      <w:r>
        <w:rPr>
          <w:lang w:eastAsia="en-US"/>
        </w:rPr>
        <w:t>was prosecuted and fined for breaching</w:t>
      </w:r>
      <w:r w:rsidR="00CD1FA8">
        <w:rPr>
          <w:lang w:eastAsia="en-US"/>
        </w:rPr>
        <w:t xml:space="preserve"> s </w:t>
      </w:r>
      <w:r>
        <w:rPr>
          <w:lang w:eastAsia="en-US"/>
        </w:rPr>
        <w:t>46</w:t>
      </w:r>
      <w:r w:rsidR="005A6C8F">
        <w:rPr>
          <w:lang w:eastAsia="en-US"/>
        </w:rPr>
        <w:t xml:space="preserve"> of the </w:t>
      </w:r>
      <w:proofErr w:type="spellStart"/>
      <w:r w:rsidR="005A6C8F">
        <w:rPr>
          <w:lang w:eastAsia="en-US"/>
        </w:rPr>
        <w:t>Q</w:t>
      </w:r>
      <w:r w:rsidR="007C609B">
        <w:rPr>
          <w:lang w:eastAsia="en-US"/>
        </w:rPr>
        <w:t>ld</w:t>
      </w:r>
      <w:proofErr w:type="spellEnd"/>
      <w:r w:rsidR="005A6C8F">
        <w:rPr>
          <w:lang w:eastAsia="en-US"/>
        </w:rPr>
        <w:t xml:space="preserve"> Act</w:t>
      </w:r>
      <w:r w:rsidR="00C8079B">
        <w:rPr>
          <w:lang w:eastAsia="en-US"/>
        </w:rPr>
        <w:t>,</w:t>
      </w:r>
      <w:r>
        <w:rPr>
          <w:lang w:eastAsia="en-US"/>
        </w:rPr>
        <w:t xml:space="preserve"> with the Court </w:t>
      </w:r>
      <w:r w:rsidR="007B23E7">
        <w:rPr>
          <w:lang w:eastAsia="en-US"/>
        </w:rPr>
        <w:t xml:space="preserve">noting that </w:t>
      </w:r>
      <w:r w:rsidR="00ED24B5">
        <w:rPr>
          <w:lang w:eastAsia="en-US"/>
        </w:rPr>
        <w:t>its</w:t>
      </w:r>
      <w:r w:rsidR="007B23E7">
        <w:rPr>
          <w:lang w:eastAsia="en-US"/>
        </w:rPr>
        <w:t xml:space="preserve"> consultation and co-ordination with the PCBU responsible for site management was reactive, falling short of what was reasonable.</w:t>
      </w:r>
      <w:r>
        <w:rPr>
          <w:rStyle w:val="FootnoteReference"/>
          <w:rFonts w:asciiTheme="minorHAnsi" w:hAnsiTheme="minorHAnsi"/>
          <w:sz w:val="22"/>
          <w:szCs w:val="22"/>
          <w:lang w:eastAsia="en-US"/>
        </w:rPr>
        <w:footnoteReference w:id="39"/>
      </w:r>
    </w:p>
    <w:p w:rsidR="00C81369" w:rsidRPr="000A1CFB" w:rsidRDefault="00D90E7C" w:rsidP="00776702">
      <w:pPr>
        <w:rPr>
          <w:lang w:eastAsia="en-US"/>
        </w:rPr>
      </w:pPr>
      <w:r>
        <w:rPr>
          <w:lang w:eastAsia="en-US"/>
        </w:rPr>
        <w:t>Research</w:t>
      </w:r>
      <w:r w:rsidR="00C81369" w:rsidRPr="000A1CFB">
        <w:rPr>
          <w:lang w:eastAsia="en-US"/>
        </w:rPr>
        <w:t xml:space="preserve"> about the perceptions of the model </w:t>
      </w:r>
      <w:r w:rsidR="00BE5225">
        <w:rPr>
          <w:lang w:eastAsia="en-US"/>
        </w:rPr>
        <w:t xml:space="preserve">WHS </w:t>
      </w:r>
      <w:r w:rsidR="00C81369" w:rsidRPr="000A1CFB">
        <w:rPr>
          <w:lang w:eastAsia="en-US"/>
        </w:rPr>
        <w:t xml:space="preserve">laws found that the laws appeared to have improved WHS awareness for those businesses subject to requirements from their supply chain (for example, small businesses noted that they were required by their government or large businesses clients to provide Safe Work Method Statements, inductions and proof of competency documentation </w:t>
      </w:r>
      <w:r w:rsidR="00C81369" w:rsidRPr="000A1CFB">
        <w:rPr>
          <w:lang w:eastAsia="en-US"/>
        </w:rPr>
        <w:lastRenderedPageBreak/>
        <w:t>for tenders and contracts).</w:t>
      </w:r>
      <w:r w:rsidR="0084095F">
        <w:rPr>
          <w:lang w:eastAsia="en-US"/>
        </w:rPr>
        <w:t xml:space="preserve"> </w:t>
      </w:r>
      <w:r w:rsidR="00C81369" w:rsidRPr="000A1CFB">
        <w:rPr>
          <w:lang w:eastAsia="en-US"/>
        </w:rPr>
        <w:t xml:space="preserve">However, there was also a view that </w:t>
      </w:r>
      <w:r w:rsidR="00DA0280">
        <w:rPr>
          <w:lang w:eastAsia="en-US"/>
        </w:rPr>
        <w:t xml:space="preserve">meeting </w:t>
      </w:r>
      <w:r w:rsidR="00C81369" w:rsidRPr="000A1CFB">
        <w:rPr>
          <w:lang w:eastAsia="en-US"/>
        </w:rPr>
        <w:t xml:space="preserve">these requirements often focused </w:t>
      </w:r>
      <w:r w:rsidR="00DA0280">
        <w:rPr>
          <w:lang w:eastAsia="en-US"/>
        </w:rPr>
        <w:t xml:space="preserve">primarily </w:t>
      </w:r>
      <w:r w:rsidR="00C81369" w:rsidRPr="000A1CFB">
        <w:rPr>
          <w:lang w:eastAsia="en-US"/>
        </w:rPr>
        <w:t xml:space="preserve">on </w:t>
      </w:r>
      <w:r w:rsidR="00DA0280">
        <w:rPr>
          <w:lang w:eastAsia="en-US"/>
        </w:rPr>
        <w:t xml:space="preserve">completing </w:t>
      </w:r>
      <w:r w:rsidR="00C81369" w:rsidRPr="000A1CFB">
        <w:rPr>
          <w:lang w:eastAsia="en-US"/>
        </w:rPr>
        <w:t>paperwork.</w:t>
      </w:r>
      <w:r w:rsidR="003B07BD" w:rsidRPr="003B07BD">
        <w:rPr>
          <w:rFonts w:eastAsia="Calibri" w:cs="Times New Roman"/>
          <w:vertAlign w:val="superscript"/>
          <w:lang w:eastAsia="en-US"/>
        </w:rPr>
        <w:t xml:space="preserve"> </w:t>
      </w:r>
      <w:r w:rsidR="003B07BD" w:rsidRPr="003B07BD">
        <w:rPr>
          <w:rFonts w:eastAsia="Calibri" w:cs="Times New Roman"/>
          <w:vertAlign w:val="superscript"/>
          <w:lang w:eastAsia="en-US"/>
        </w:rPr>
        <w:footnoteReference w:id="40"/>
      </w:r>
    </w:p>
    <w:p w:rsidR="00C81369" w:rsidRDefault="00C81369" w:rsidP="00776702">
      <w:r w:rsidRPr="000A1CFB">
        <w:rPr>
          <w:lang w:eastAsia="en-US"/>
        </w:rPr>
        <w:t xml:space="preserve">In 2017, the Centre for Construction Work Health and Safety Research issued its </w:t>
      </w:r>
      <w:r w:rsidRPr="008C5DFC">
        <w:rPr>
          <w:i/>
          <w:lang w:eastAsia="en-US"/>
        </w:rPr>
        <w:t>Final Report into</w:t>
      </w:r>
      <w:r w:rsidRPr="000A1CFB">
        <w:rPr>
          <w:lang w:eastAsia="en-US"/>
        </w:rPr>
        <w:t xml:space="preserve"> </w:t>
      </w:r>
      <w:r w:rsidRPr="000A1CFB">
        <w:rPr>
          <w:i/>
          <w:lang w:eastAsia="en-US"/>
        </w:rPr>
        <w:t>Work Health and Safety Culture in the ACT Construction Industry</w:t>
      </w:r>
      <w:r w:rsidRPr="000A1CFB">
        <w:rPr>
          <w:lang w:eastAsia="en-US"/>
        </w:rPr>
        <w:t xml:space="preserve"> </w:t>
      </w:r>
      <w:r>
        <w:rPr>
          <w:lang w:eastAsia="en-US"/>
        </w:rPr>
        <w:t xml:space="preserve">where it </w:t>
      </w:r>
      <w:r w:rsidRPr="000A1CFB">
        <w:rPr>
          <w:lang w:eastAsia="en-US"/>
        </w:rPr>
        <w:t xml:space="preserve">found </w:t>
      </w:r>
      <w:r w:rsidRPr="000A1CFB">
        <w:t>participants perceived that principal contractors could do more to help subcontractors to improve their WHS capability and drive performance improv</w:t>
      </w:r>
      <w:r w:rsidR="00D93382">
        <w:t>ements in their supply networks</w:t>
      </w:r>
      <w:r w:rsidRPr="000A1CFB">
        <w:t>.</w:t>
      </w:r>
      <w:r w:rsidRPr="000A1CFB">
        <w:rPr>
          <w:rStyle w:val="FootnoteReference"/>
          <w:rFonts w:asciiTheme="minorHAnsi" w:hAnsiTheme="minorHAnsi"/>
          <w:sz w:val="22"/>
          <w:szCs w:val="22"/>
        </w:rPr>
        <w:footnoteReference w:id="41"/>
      </w:r>
      <w:r w:rsidR="0084095F">
        <w:t xml:space="preserve"> </w:t>
      </w:r>
    </w:p>
    <w:p w:rsidR="005A6C8F" w:rsidRDefault="005A6C8F" w:rsidP="00776702"/>
    <w:p w:rsidR="00C81369" w:rsidRPr="00084EE3" w:rsidRDefault="00B05288" w:rsidP="00146A76">
      <w:pPr>
        <w:pStyle w:val="ReviewSubmissionQuestions"/>
      </w:pPr>
      <w:r w:rsidRPr="00B05288">
        <w:t>H</w:t>
      </w:r>
      <w:r w:rsidR="00672AE9" w:rsidRPr="00B05288">
        <w:t xml:space="preserve">ave you any comments on the practical application of the </w:t>
      </w:r>
      <w:r w:rsidR="00D35939" w:rsidRPr="00B05288">
        <w:t>WHS consultation duties where there are multiple duty holders operating as part of a supply chain or network?</w:t>
      </w:r>
    </w:p>
    <w:p w:rsidR="00C81369" w:rsidRPr="00F00C9B" w:rsidRDefault="00C81369" w:rsidP="00F00C9B">
      <w:pPr>
        <w:pStyle w:val="2018ReviewSectionnumberingheading"/>
      </w:pPr>
      <w:bookmarkStart w:id="174" w:name="_Toc506794188"/>
      <w:r w:rsidRPr="00F00C9B">
        <w:t>Consultation with workers</w:t>
      </w:r>
      <w:bookmarkEnd w:id="174"/>
    </w:p>
    <w:p w:rsidR="00C81369" w:rsidRPr="00F24697" w:rsidRDefault="007A6675" w:rsidP="00776702">
      <w:pPr>
        <w:rPr>
          <w:rFonts w:cs="Arial"/>
        </w:rPr>
      </w:pPr>
      <w:r w:rsidRPr="00F24697">
        <w:rPr>
          <w:rFonts w:cs="Arial"/>
          <w:lang w:eastAsia="en-US"/>
        </w:rPr>
        <w:t xml:space="preserve">A PCBU </w:t>
      </w:r>
      <w:r w:rsidR="00227AF8" w:rsidRPr="00F24697">
        <w:rPr>
          <w:rFonts w:cs="Arial"/>
          <w:lang w:eastAsia="en-US"/>
        </w:rPr>
        <w:t>has</w:t>
      </w:r>
      <w:r w:rsidRPr="00F24697">
        <w:rPr>
          <w:rFonts w:cs="Arial"/>
          <w:lang w:eastAsia="en-US"/>
        </w:rPr>
        <w:t xml:space="preserve"> </w:t>
      </w:r>
      <w:r w:rsidR="00227AF8" w:rsidRPr="00F24697">
        <w:rPr>
          <w:rFonts w:cs="Arial"/>
          <w:lang w:eastAsia="en-US"/>
        </w:rPr>
        <w:t>a duty</w:t>
      </w:r>
      <w:r w:rsidRPr="00F24697">
        <w:rPr>
          <w:rFonts w:cs="Arial"/>
          <w:lang w:eastAsia="en-US"/>
        </w:rPr>
        <w:t xml:space="preserve"> to consult with workers </w:t>
      </w:r>
      <w:r w:rsidR="002C17C1" w:rsidRPr="00F24697">
        <w:rPr>
          <w:rFonts w:cs="Arial"/>
          <w:lang w:eastAsia="en-US"/>
        </w:rPr>
        <w:t>and HSRs</w:t>
      </w:r>
      <w:r w:rsidR="002C17C1" w:rsidRPr="00F24697">
        <w:rPr>
          <w:rStyle w:val="FootnoteReference"/>
          <w:rFonts w:cs="Arial"/>
          <w:lang w:eastAsia="en-US"/>
        </w:rPr>
        <w:footnoteReference w:id="42"/>
      </w:r>
      <w:r w:rsidR="002C17C1" w:rsidRPr="00F24697">
        <w:rPr>
          <w:rFonts w:cs="Arial"/>
          <w:lang w:eastAsia="en-US"/>
        </w:rPr>
        <w:t xml:space="preserve"> </w:t>
      </w:r>
      <w:r w:rsidRPr="00F24697">
        <w:rPr>
          <w:rFonts w:cs="Arial"/>
          <w:lang w:eastAsia="en-US"/>
        </w:rPr>
        <w:t xml:space="preserve">who carry out work for it and who are likely to be directly affected by a health and safety matter arising from the work. </w:t>
      </w:r>
      <w:r w:rsidR="00C81369" w:rsidRPr="00F24697">
        <w:rPr>
          <w:rFonts w:cs="Arial"/>
          <w:lang w:eastAsia="en-US"/>
        </w:rPr>
        <w:t xml:space="preserve">That consultation can take many forms </w:t>
      </w:r>
      <w:r w:rsidR="00C234E0" w:rsidRPr="00F24697">
        <w:rPr>
          <w:rFonts w:cs="Arial"/>
          <w:lang w:eastAsia="en-US"/>
        </w:rPr>
        <w:t>as</w:t>
      </w:r>
      <w:r w:rsidR="00C81369" w:rsidRPr="00F24697">
        <w:rPr>
          <w:rFonts w:cs="Arial"/>
          <w:lang w:eastAsia="en-US"/>
        </w:rPr>
        <w:t xml:space="preserve"> long as it is consistent with the relevant provisions of the </w:t>
      </w:r>
      <w:r w:rsidR="00227AF8" w:rsidRPr="00F24697">
        <w:rPr>
          <w:rFonts w:cs="Arial"/>
          <w:lang w:eastAsia="en-US"/>
        </w:rPr>
        <w:t xml:space="preserve">model WHS </w:t>
      </w:r>
      <w:r w:rsidR="00C81369" w:rsidRPr="00F24697">
        <w:rPr>
          <w:rFonts w:cs="Arial"/>
          <w:lang w:eastAsia="en-US"/>
        </w:rPr>
        <w:t xml:space="preserve">Act and </w:t>
      </w:r>
      <w:r w:rsidR="00227AF8" w:rsidRPr="00F24697">
        <w:rPr>
          <w:rFonts w:cs="Arial"/>
          <w:lang w:eastAsia="en-US"/>
        </w:rPr>
        <w:t>model WHS Regu</w:t>
      </w:r>
      <w:r w:rsidR="00785828" w:rsidRPr="00F24697">
        <w:rPr>
          <w:rFonts w:cs="Arial"/>
          <w:lang w:eastAsia="en-US"/>
        </w:rPr>
        <w:t>lations</w:t>
      </w:r>
      <w:r w:rsidR="00227AF8" w:rsidRPr="00F24697">
        <w:rPr>
          <w:rFonts w:cs="Arial"/>
          <w:lang w:eastAsia="en-US"/>
        </w:rPr>
        <w:t xml:space="preserve">. </w:t>
      </w:r>
      <w:r w:rsidR="00C81369" w:rsidRPr="00F24697">
        <w:rPr>
          <w:rFonts w:cs="Arial"/>
          <w:lang w:eastAsia="en-US"/>
        </w:rPr>
        <w:t>The duty to consult</w:t>
      </w:r>
      <w:r w:rsidR="00C81369" w:rsidRPr="00F24697">
        <w:rPr>
          <w:rFonts w:cs="Arial"/>
        </w:rPr>
        <w:t xml:space="preserve"> is qualified by the term ‘so far as is reasonably practicable’.</w:t>
      </w:r>
    </w:p>
    <w:p w:rsidR="00434B9D" w:rsidRPr="00F24697" w:rsidRDefault="00D90E7C" w:rsidP="00800E5E">
      <w:pPr>
        <w:rPr>
          <w:rFonts w:cs="Arial"/>
          <w:lang w:eastAsia="en-US"/>
        </w:rPr>
      </w:pPr>
      <w:r>
        <w:rPr>
          <w:rFonts w:cs="Arial"/>
          <w:lang w:eastAsia="en-US"/>
        </w:rPr>
        <w:t>R</w:t>
      </w:r>
      <w:r w:rsidR="00434B9D" w:rsidRPr="00800E5E">
        <w:rPr>
          <w:rFonts w:cs="Arial"/>
          <w:lang w:eastAsia="en-US"/>
        </w:rPr>
        <w:t xml:space="preserve">esearch </w:t>
      </w:r>
      <w:r>
        <w:rPr>
          <w:rFonts w:cs="Arial"/>
          <w:lang w:eastAsia="en-US"/>
        </w:rPr>
        <w:t>on the model WHS laws found that</w:t>
      </w:r>
      <w:r w:rsidR="00434B9D" w:rsidRPr="00800E5E">
        <w:rPr>
          <w:rFonts w:cs="Arial"/>
          <w:lang w:eastAsia="en-US"/>
        </w:rPr>
        <w:t xml:space="preserve"> consultation between managers and workers about health and safety decisions occurs in many but not all businesses</w:t>
      </w:r>
      <w:r w:rsidR="007262D1" w:rsidRPr="00F24697">
        <w:rPr>
          <w:rFonts w:cs="Arial"/>
          <w:lang w:eastAsia="en-US"/>
        </w:rPr>
        <w:t>.</w:t>
      </w:r>
      <w:r w:rsidR="00F80429">
        <w:rPr>
          <w:rStyle w:val="FootnoteReference"/>
          <w:rFonts w:cs="Arial"/>
          <w:lang w:eastAsia="en-US"/>
        </w:rPr>
        <w:footnoteReference w:id="43"/>
      </w:r>
    </w:p>
    <w:p w:rsidR="002B60E9" w:rsidRPr="00F24697" w:rsidRDefault="007263E2" w:rsidP="00776702">
      <w:pPr>
        <w:rPr>
          <w:rFonts w:cs="Arial"/>
          <w:lang w:eastAsia="en-US"/>
        </w:rPr>
      </w:pPr>
      <w:r w:rsidRPr="00F24697">
        <w:rPr>
          <w:rFonts w:cs="Arial"/>
          <w:lang w:eastAsia="en-US"/>
        </w:rPr>
        <w:t xml:space="preserve">The model WHS Act reinforces the value of worker participation and representation in improving health and safety </w:t>
      </w:r>
      <w:r w:rsidR="00C81369" w:rsidRPr="00F24697">
        <w:rPr>
          <w:rFonts w:cs="Arial"/>
          <w:lang w:eastAsia="en-US"/>
        </w:rPr>
        <w:t>performance at the workplace.</w:t>
      </w:r>
      <w:r w:rsidRPr="00F24697">
        <w:rPr>
          <w:rFonts w:cs="Arial"/>
          <w:lang w:eastAsia="en-US"/>
        </w:rPr>
        <w:t xml:space="preserve"> Processes and procedures supporting effective consultation with workers through the election </w:t>
      </w:r>
      <w:r w:rsidR="00785828" w:rsidRPr="00F24697">
        <w:rPr>
          <w:rFonts w:cs="Arial"/>
          <w:lang w:eastAsia="en-US"/>
        </w:rPr>
        <w:t xml:space="preserve">and training </w:t>
      </w:r>
      <w:r w:rsidRPr="00F24697">
        <w:rPr>
          <w:rFonts w:cs="Arial"/>
          <w:lang w:eastAsia="en-US"/>
        </w:rPr>
        <w:t xml:space="preserve">of </w:t>
      </w:r>
      <w:r w:rsidR="00F93D02" w:rsidRPr="00F24697">
        <w:rPr>
          <w:rFonts w:cs="Arial"/>
          <w:lang w:eastAsia="en-US"/>
        </w:rPr>
        <w:t>HSRs</w:t>
      </w:r>
      <w:r w:rsidR="00C81369" w:rsidRPr="00F24697">
        <w:rPr>
          <w:rFonts w:cs="Arial"/>
          <w:lang w:eastAsia="en-US"/>
        </w:rPr>
        <w:t xml:space="preserve"> </w:t>
      </w:r>
      <w:r w:rsidRPr="00F24697">
        <w:rPr>
          <w:rFonts w:cs="Arial"/>
          <w:lang w:eastAsia="en-US"/>
        </w:rPr>
        <w:t xml:space="preserve">and the establishment of </w:t>
      </w:r>
      <w:r w:rsidR="008919A8">
        <w:rPr>
          <w:rFonts w:cs="Arial"/>
          <w:lang w:eastAsia="en-US"/>
        </w:rPr>
        <w:t>HSCs</w:t>
      </w:r>
      <w:r w:rsidRPr="00F24697">
        <w:rPr>
          <w:rFonts w:cs="Arial"/>
          <w:lang w:eastAsia="en-US"/>
        </w:rPr>
        <w:t xml:space="preserve"> are contained in the </w:t>
      </w:r>
      <w:r w:rsidR="00533133" w:rsidRPr="00F24697">
        <w:rPr>
          <w:rFonts w:cs="Arial"/>
          <w:lang w:eastAsia="en-US"/>
        </w:rPr>
        <w:t>m</w:t>
      </w:r>
      <w:r w:rsidRPr="00F24697">
        <w:rPr>
          <w:rFonts w:cs="Arial"/>
          <w:lang w:eastAsia="en-US"/>
        </w:rPr>
        <w:t>odel WHS Act and model WHS Regulations</w:t>
      </w:r>
      <w:r w:rsidR="00CC1548" w:rsidRPr="00F24697">
        <w:rPr>
          <w:rFonts w:cs="Arial"/>
          <w:lang w:eastAsia="en-US"/>
        </w:rPr>
        <w:t>, and are</w:t>
      </w:r>
      <w:r w:rsidRPr="00F24697">
        <w:rPr>
          <w:rFonts w:cs="Arial"/>
          <w:lang w:eastAsia="en-US"/>
        </w:rPr>
        <w:t xml:space="preserve"> supported by a model Code</w:t>
      </w:r>
      <w:r w:rsidR="00533133" w:rsidRPr="00F24697">
        <w:rPr>
          <w:rFonts w:cs="Arial"/>
          <w:lang w:eastAsia="en-US"/>
        </w:rPr>
        <w:t>.</w:t>
      </w:r>
      <w:r w:rsidR="00AD739B" w:rsidRPr="00F24697">
        <w:rPr>
          <w:rStyle w:val="FootnoteReference"/>
          <w:rFonts w:cs="Arial"/>
          <w:bCs/>
          <w:color w:val="000000"/>
          <w:sz w:val="22"/>
          <w:szCs w:val="22"/>
          <w:lang w:eastAsia="en-US"/>
        </w:rPr>
        <w:footnoteReference w:id="44"/>
      </w:r>
      <w:r w:rsidR="0084095F">
        <w:rPr>
          <w:rFonts w:cs="Arial"/>
          <w:lang w:eastAsia="en-US"/>
        </w:rPr>
        <w:t xml:space="preserve"> </w:t>
      </w:r>
      <w:r w:rsidR="00270F87" w:rsidRPr="00F24697">
        <w:rPr>
          <w:rFonts w:cs="Arial"/>
          <w:lang w:eastAsia="en-US"/>
        </w:rPr>
        <w:t>While all jurisdictions had provision for HSRs</w:t>
      </w:r>
      <w:r w:rsidR="0078080C" w:rsidRPr="00F24697">
        <w:rPr>
          <w:rFonts w:cs="Arial"/>
          <w:lang w:eastAsia="en-US"/>
        </w:rPr>
        <w:t xml:space="preserve"> before</w:t>
      </w:r>
      <w:r w:rsidR="00270F87" w:rsidRPr="00F24697">
        <w:rPr>
          <w:rFonts w:cs="Arial"/>
          <w:lang w:eastAsia="en-US"/>
        </w:rPr>
        <w:t xml:space="preserve"> </w:t>
      </w:r>
      <w:r w:rsidR="0078080C" w:rsidRPr="00F24697">
        <w:rPr>
          <w:rFonts w:cs="Arial"/>
          <w:lang w:eastAsia="en-US"/>
        </w:rPr>
        <w:t xml:space="preserve">implementing </w:t>
      </w:r>
      <w:r w:rsidR="00270F87" w:rsidRPr="00F24697">
        <w:rPr>
          <w:rFonts w:cs="Arial"/>
          <w:lang w:eastAsia="en-US"/>
        </w:rPr>
        <w:t>the model WHS laws, there w</w:t>
      </w:r>
      <w:r w:rsidR="0078080C" w:rsidRPr="00F24697">
        <w:rPr>
          <w:rFonts w:cs="Arial"/>
          <w:lang w:eastAsia="en-US"/>
        </w:rPr>
        <w:t xml:space="preserve">ere differences </w:t>
      </w:r>
      <w:r w:rsidR="00270F87" w:rsidRPr="00F24697">
        <w:rPr>
          <w:rFonts w:cs="Arial"/>
          <w:lang w:eastAsia="en-US"/>
        </w:rPr>
        <w:t>in their functions, rights and powers.</w:t>
      </w:r>
      <w:r w:rsidR="0084095F">
        <w:rPr>
          <w:rFonts w:cs="Arial"/>
          <w:lang w:eastAsia="en-US"/>
        </w:rPr>
        <w:t xml:space="preserve"> </w:t>
      </w:r>
      <w:r w:rsidR="00270F87" w:rsidRPr="00F24697">
        <w:rPr>
          <w:rFonts w:cs="Arial"/>
          <w:lang w:eastAsia="en-US"/>
        </w:rPr>
        <w:t>Provision for the establishment of work groups was new to N</w:t>
      </w:r>
      <w:r w:rsidR="00CC1548" w:rsidRPr="00F24697">
        <w:rPr>
          <w:rFonts w:cs="Arial"/>
          <w:lang w:eastAsia="en-US"/>
        </w:rPr>
        <w:t xml:space="preserve">ew </w:t>
      </w:r>
      <w:r w:rsidR="00270F87" w:rsidRPr="00F24697">
        <w:rPr>
          <w:rFonts w:cs="Arial"/>
          <w:lang w:eastAsia="en-US"/>
        </w:rPr>
        <w:t>S</w:t>
      </w:r>
      <w:r w:rsidR="00CC1548" w:rsidRPr="00F24697">
        <w:rPr>
          <w:rFonts w:cs="Arial"/>
          <w:lang w:eastAsia="en-US"/>
        </w:rPr>
        <w:t xml:space="preserve">outh </w:t>
      </w:r>
      <w:r w:rsidR="00270F87" w:rsidRPr="00F24697">
        <w:rPr>
          <w:rFonts w:cs="Arial"/>
          <w:lang w:eastAsia="en-US"/>
        </w:rPr>
        <w:t>W</w:t>
      </w:r>
      <w:r w:rsidR="00CC1548" w:rsidRPr="00F24697">
        <w:rPr>
          <w:rFonts w:cs="Arial"/>
          <w:lang w:eastAsia="en-US"/>
        </w:rPr>
        <w:t>ales</w:t>
      </w:r>
      <w:r w:rsidR="00270F87" w:rsidRPr="00F24697">
        <w:rPr>
          <w:rFonts w:cs="Arial"/>
          <w:lang w:eastAsia="en-US"/>
        </w:rPr>
        <w:t>, W</w:t>
      </w:r>
      <w:r w:rsidR="00CC1548" w:rsidRPr="00F24697">
        <w:rPr>
          <w:rFonts w:cs="Arial"/>
          <w:lang w:eastAsia="en-US"/>
        </w:rPr>
        <w:t>estern Australia</w:t>
      </w:r>
      <w:r w:rsidR="00270F87" w:rsidRPr="00F24697">
        <w:rPr>
          <w:rFonts w:cs="Arial"/>
          <w:lang w:eastAsia="en-US"/>
        </w:rPr>
        <w:t xml:space="preserve"> and Tas</w:t>
      </w:r>
      <w:r w:rsidR="00CC1548" w:rsidRPr="00F24697">
        <w:rPr>
          <w:rFonts w:cs="Arial"/>
          <w:lang w:eastAsia="en-US"/>
        </w:rPr>
        <w:t>mania</w:t>
      </w:r>
      <w:r w:rsidR="00270F87" w:rsidRPr="00F24697">
        <w:rPr>
          <w:rFonts w:cs="Arial"/>
          <w:lang w:eastAsia="en-US"/>
        </w:rPr>
        <w:t>.</w:t>
      </w:r>
    </w:p>
    <w:p w:rsidR="00434B9D" w:rsidRPr="00F24697" w:rsidRDefault="002B5453" w:rsidP="00776702">
      <w:pPr>
        <w:rPr>
          <w:rFonts w:cs="Arial"/>
          <w:lang w:eastAsia="en-US"/>
        </w:rPr>
      </w:pPr>
      <w:r>
        <w:rPr>
          <w:rFonts w:cs="Arial"/>
          <w:lang w:eastAsia="en-US"/>
        </w:rPr>
        <w:t>R</w:t>
      </w:r>
      <w:r w:rsidR="00D90E7C">
        <w:rPr>
          <w:rFonts w:cs="Arial"/>
          <w:lang w:eastAsia="en-US"/>
        </w:rPr>
        <w:t>esearch also</w:t>
      </w:r>
      <w:r w:rsidR="00434B9D" w:rsidRPr="00F24697">
        <w:rPr>
          <w:rFonts w:cs="Arial"/>
          <w:lang w:eastAsia="en-US"/>
        </w:rPr>
        <w:t xml:space="preserve"> suggests that a majority of medium-sized and large businesses, but only a minority of small businesses, have a</w:t>
      </w:r>
      <w:r w:rsidR="004B5962">
        <w:rPr>
          <w:rFonts w:cs="Arial"/>
          <w:lang w:eastAsia="en-US"/>
        </w:rPr>
        <w:t>n</w:t>
      </w:r>
      <w:r w:rsidR="00434B9D" w:rsidRPr="00F24697">
        <w:rPr>
          <w:rFonts w:cs="Arial"/>
          <w:lang w:eastAsia="en-US"/>
        </w:rPr>
        <w:t xml:space="preserve"> HSR</w:t>
      </w:r>
      <w:r w:rsidR="007262D1" w:rsidRPr="00F24697">
        <w:rPr>
          <w:rFonts w:cs="Arial"/>
          <w:lang w:eastAsia="en-US"/>
        </w:rPr>
        <w:t>.</w:t>
      </w:r>
      <w:r w:rsidR="00434B9D" w:rsidRPr="00F24697">
        <w:rPr>
          <w:rStyle w:val="FootnoteReference"/>
          <w:rFonts w:cs="Arial"/>
          <w:bCs/>
          <w:color w:val="000000"/>
          <w:sz w:val="22"/>
          <w:szCs w:val="22"/>
          <w:lang w:eastAsia="en-US"/>
        </w:rPr>
        <w:footnoteReference w:id="45"/>
      </w:r>
      <w:r w:rsidR="00434B9D" w:rsidRPr="00F24697">
        <w:rPr>
          <w:rFonts w:cs="Arial"/>
          <w:lang w:eastAsia="en-US"/>
        </w:rPr>
        <w:t xml:space="preserve"> </w:t>
      </w:r>
    </w:p>
    <w:p w:rsidR="00785828" w:rsidRPr="00F24697" w:rsidRDefault="003906F5" w:rsidP="00776702">
      <w:pPr>
        <w:rPr>
          <w:rFonts w:cs="Arial"/>
          <w:lang w:eastAsia="en-US"/>
        </w:rPr>
      </w:pPr>
      <w:r w:rsidRPr="00F24697">
        <w:rPr>
          <w:rFonts w:cs="Arial"/>
          <w:lang w:eastAsia="en-US"/>
        </w:rPr>
        <w:t>HSRs have a rang</w:t>
      </w:r>
      <w:r w:rsidR="00483129" w:rsidRPr="00F24697">
        <w:rPr>
          <w:rFonts w:cs="Arial"/>
          <w:lang w:eastAsia="en-US"/>
        </w:rPr>
        <w:t xml:space="preserve">e of powers and functions </w:t>
      </w:r>
      <w:r w:rsidRPr="00F24697">
        <w:rPr>
          <w:rFonts w:cs="Arial"/>
          <w:lang w:eastAsia="en-US"/>
        </w:rPr>
        <w:t>which enable them to fulfil their representative role</w:t>
      </w:r>
      <w:r w:rsidR="00B32B9F" w:rsidRPr="00F24697">
        <w:rPr>
          <w:rFonts w:cs="Arial"/>
          <w:lang w:eastAsia="en-US"/>
        </w:rPr>
        <w:t xml:space="preserve">; including the power to issue </w:t>
      </w:r>
      <w:r w:rsidR="00270F87" w:rsidRPr="00F24697">
        <w:rPr>
          <w:rFonts w:cs="Arial"/>
          <w:lang w:eastAsia="en-US"/>
        </w:rPr>
        <w:t xml:space="preserve">PINs and to direct unsafe work to cease </w:t>
      </w:r>
      <w:r w:rsidR="00B32B9F" w:rsidRPr="00F24697">
        <w:rPr>
          <w:rFonts w:cs="Arial"/>
          <w:lang w:eastAsia="en-US"/>
        </w:rPr>
        <w:t>in certain circumstances</w:t>
      </w:r>
      <w:r w:rsidR="00434675" w:rsidRPr="00F24697">
        <w:rPr>
          <w:rFonts w:cs="Arial"/>
          <w:lang w:eastAsia="en-US"/>
        </w:rPr>
        <w:t>, once they have completed approved training</w:t>
      </w:r>
      <w:r w:rsidR="007262D1" w:rsidRPr="00F24697">
        <w:rPr>
          <w:rFonts w:cs="Arial"/>
          <w:lang w:eastAsia="en-US"/>
        </w:rPr>
        <w:t>.</w:t>
      </w:r>
      <w:r w:rsidR="00AD739B" w:rsidRPr="00F24697">
        <w:rPr>
          <w:rStyle w:val="FootnoteReference"/>
          <w:rFonts w:cs="Arial"/>
          <w:bCs/>
          <w:color w:val="000000"/>
          <w:sz w:val="22"/>
          <w:szCs w:val="22"/>
          <w:lang w:eastAsia="en-US"/>
        </w:rPr>
        <w:footnoteReference w:id="46"/>
      </w:r>
    </w:p>
    <w:p w:rsidR="002B60E9" w:rsidRPr="00F24697" w:rsidRDefault="00CC1548" w:rsidP="00776702">
      <w:pPr>
        <w:rPr>
          <w:rFonts w:cs="Arial"/>
          <w:lang w:eastAsia="en-US"/>
        </w:rPr>
      </w:pPr>
      <w:r w:rsidRPr="00F24697">
        <w:rPr>
          <w:rFonts w:cs="Arial"/>
          <w:lang w:eastAsia="en-US"/>
        </w:rPr>
        <w:t xml:space="preserve">The </w:t>
      </w:r>
      <w:r w:rsidR="002B60E9" w:rsidRPr="00F24697">
        <w:rPr>
          <w:rFonts w:cs="Arial"/>
          <w:lang w:eastAsia="en-US"/>
        </w:rPr>
        <w:t>2014</w:t>
      </w:r>
      <w:r w:rsidRPr="00F24697">
        <w:rPr>
          <w:rFonts w:cs="Arial"/>
          <w:lang w:eastAsia="en-US"/>
        </w:rPr>
        <w:t xml:space="preserve"> COAG review asked jurisdictions to examine</w:t>
      </w:r>
      <w:r w:rsidR="007262D1" w:rsidRPr="00F24697">
        <w:rPr>
          <w:rFonts w:cs="Arial"/>
          <w:lang w:eastAsia="en-US"/>
        </w:rPr>
        <w:t xml:space="preserve"> </w:t>
      </w:r>
      <w:r w:rsidR="002B60E9" w:rsidRPr="00F24697">
        <w:rPr>
          <w:rFonts w:cs="Arial"/>
          <w:lang w:eastAsia="en-US"/>
        </w:rPr>
        <w:t>HSR powers to direct unsafe work to cease and the</w:t>
      </w:r>
      <w:r w:rsidRPr="00F24697">
        <w:rPr>
          <w:rFonts w:cs="Arial"/>
          <w:lang w:eastAsia="en-US"/>
        </w:rPr>
        <w:t>ir</w:t>
      </w:r>
      <w:r w:rsidR="002B60E9" w:rsidRPr="00F24697">
        <w:rPr>
          <w:rFonts w:cs="Arial"/>
          <w:lang w:eastAsia="en-US"/>
        </w:rPr>
        <w:t xml:space="preserve"> ability</w:t>
      </w:r>
      <w:r w:rsidR="00C8079B" w:rsidRPr="00F24697">
        <w:rPr>
          <w:rFonts w:cs="Arial"/>
          <w:lang w:eastAsia="en-US"/>
        </w:rPr>
        <w:t xml:space="preserve"> under</w:t>
      </w:r>
      <w:r w:rsidR="00CD1FA8">
        <w:rPr>
          <w:rFonts w:cs="Arial"/>
          <w:lang w:eastAsia="en-US"/>
        </w:rPr>
        <w:t xml:space="preserve"> s </w:t>
      </w:r>
      <w:r w:rsidR="00C8079B" w:rsidRPr="00F24697">
        <w:rPr>
          <w:rFonts w:cs="Arial"/>
          <w:lang w:eastAsia="en-US"/>
        </w:rPr>
        <w:t>68(2)(g)</w:t>
      </w:r>
      <w:r w:rsidR="002B60E9" w:rsidRPr="00F24697">
        <w:rPr>
          <w:rFonts w:cs="Arial"/>
          <w:lang w:eastAsia="en-US"/>
        </w:rPr>
        <w:t xml:space="preserve"> to request assistance from ‘any person’</w:t>
      </w:r>
      <w:r w:rsidR="002B60E9" w:rsidRPr="00F24697">
        <w:rPr>
          <w:rFonts w:cs="Arial"/>
        </w:rPr>
        <w:t>.</w:t>
      </w:r>
      <w:r w:rsidR="002B60E9" w:rsidRPr="00F24697">
        <w:rPr>
          <w:rStyle w:val="FootnoteReference"/>
          <w:rFonts w:cs="Arial"/>
          <w:bCs/>
          <w:color w:val="000000"/>
          <w:sz w:val="22"/>
          <w:szCs w:val="22"/>
        </w:rPr>
        <w:footnoteReference w:id="47"/>
      </w:r>
      <w:r w:rsidRPr="00F24697">
        <w:rPr>
          <w:rFonts w:cs="Arial"/>
        </w:rPr>
        <w:t xml:space="preserve"> </w:t>
      </w:r>
      <w:r w:rsidR="002B60E9" w:rsidRPr="00F24697">
        <w:rPr>
          <w:rFonts w:cs="Arial"/>
          <w:lang w:eastAsia="en-US"/>
        </w:rPr>
        <w:t xml:space="preserve">The </w:t>
      </w:r>
      <w:r w:rsidR="005203C0">
        <w:rPr>
          <w:rFonts w:cs="Arial"/>
          <w:lang w:eastAsia="en-US"/>
        </w:rPr>
        <w:t xml:space="preserve">2014 </w:t>
      </w:r>
      <w:r w:rsidR="002B60E9" w:rsidRPr="00F24697">
        <w:rPr>
          <w:rFonts w:cs="Arial"/>
          <w:lang w:eastAsia="en-US"/>
        </w:rPr>
        <w:t>COAG review led to an amendment to</w:t>
      </w:r>
      <w:r w:rsidR="00CD1FA8">
        <w:rPr>
          <w:rFonts w:cs="Arial"/>
          <w:lang w:eastAsia="en-US"/>
        </w:rPr>
        <w:t xml:space="preserve"> s </w:t>
      </w:r>
      <w:r w:rsidR="002B60E9" w:rsidRPr="00F24697">
        <w:rPr>
          <w:rFonts w:cs="Arial"/>
          <w:lang w:eastAsia="en-US"/>
        </w:rPr>
        <w:t xml:space="preserve">68 </w:t>
      </w:r>
      <w:r w:rsidR="00BE5225" w:rsidRPr="00F24697">
        <w:rPr>
          <w:rFonts w:cs="Arial"/>
          <w:lang w:eastAsia="en-US"/>
        </w:rPr>
        <w:t xml:space="preserve">of the model WHS Act </w:t>
      </w:r>
      <w:r w:rsidR="002B60E9" w:rsidRPr="00F24697">
        <w:rPr>
          <w:rFonts w:cs="Arial"/>
          <w:lang w:eastAsia="en-US"/>
        </w:rPr>
        <w:t>to include new s</w:t>
      </w:r>
      <w:r w:rsidR="00F7083A">
        <w:rPr>
          <w:rFonts w:cs="Arial"/>
          <w:lang w:eastAsia="en-US"/>
        </w:rPr>
        <w:t>ection</w:t>
      </w:r>
      <w:r w:rsidR="002B60E9" w:rsidRPr="00F24697">
        <w:rPr>
          <w:rFonts w:cs="Arial"/>
          <w:lang w:eastAsia="en-US"/>
        </w:rPr>
        <w:t>s</w:t>
      </w:r>
      <w:r w:rsidR="00C8079B" w:rsidRPr="00F24697">
        <w:rPr>
          <w:rFonts w:cs="Arial"/>
          <w:lang w:eastAsia="en-US"/>
        </w:rPr>
        <w:t> </w:t>
      </w:r>
      <w:r w:rsidR="002B60E9" w:rsidRPr="00F24697">
        <w:rPr>
          <w:rFonts w:cs="Arial"/>
          <w:lang w:eastAsia="en-US"/>
        </w:rPr>
        <w:t xml:space="preserve">3A and 3B and a new </w:t>
      </w:r>
      <w:r w:rsidR="0078080C" w:rsidRPr="00F24697">
        <w:rPr>
          <w:rFonts w:cs="Arial"/>
          <w:lang w:eastAsia="en-US"/>
        </w:rPr>
        <w:lastRenderedPageBreak/>
        <w:t>r</w:t>
      </w:r>
      <w:r w:rsidR="002B60E9" w:rsidRPr="00F24697">
        <w:rPr>
          <w:rFonts w:cs="Arial"/>
          <w:lang w:eastAsia="en-US"/>
        </w:rPr>
        <w:t>egulation (20A) which require a person assisting a</w:t>
      </w:r>
      <w:r w:rsidR="004B5962">
        <w:rPr>
          <w:rFonts w:cs="Arial"/>
          <w:lang w:eastAsia="en-US"/>
        </w:rPr>
        <w:t>n</w:t>
      </w:r>
      <w:r w:rsidR="002B60E9" w:rsidRPr="00F24697">
        <w:rPr>
          <w:rFonts w:cs="Arial"/>
          <w:lang w:eastAsia="en-US"/>
        </w:rPr>
        <w:t xml:space="preserve"> HSR under</w:t>
      </w:r>
      <w:r w:rsidR="00CD1FA8">
        <w:rPr>
          <w:rFonts w:cs="Arial"/>
          <w:lang w:eastAsia="en-US"/>
        </w:rPr>
        <w:t xml:space="preserve"> s </w:t>
      </w:r>
      <w:r w:rsidR="002B60E9" w:rsidRPr="00F24697">
        <w:rPr>
          <w:rFonts w:cs="Arial"/>
          <w:lang w:eastAsia="en-US"/>
        </w:rPr>
        <w:t xml:space="preserve">68(2)(g) to give at least 24 hours’ notice of their entry with a failure to provide this notice representing a reasonable ground for a PCBU to refuse entry. </w:t>
      </w:r>
    </w:p>
    <w:p w:rsidR="002B60E9" w:rsidRPr="00610434" w:rsidRDefault="00785828" w:rsidP="00866B4B">
      <w:pPr>
        <w:rPr>
          <w:rFonts w:cs="Arial"/>
        </w:rPr>
      </w:pPr>
      <w:r w:rsidRPr="00610434">
        <w:rPr>
          <w:rFonts w:cs="Arial"/>
          <w:lang w:val="en-AU"/>
        </w:rPr>
        <w:t xml:space="preserve">Other amendments to the model WHS Act relevant to HSRs are the </w:t>
      </w:r>
      <w:r w:rsidR="0078080C" w:rsidRPr="00610434">
        <w:rPr>
          <w:rFonts w:cs="Arial"/>
          <w:lang w:val="en-AU"/>
        </w:rPr>
        <w:t xml:space="preserve">removal </w:t>
      </w:r>
      <w:r w:rsidRPr="00004DBE">
        <w:rPr>
          <w:rFonts w:cs="Arial"/>
          <w:lang w:val="en-AU"/>
        </w:rPr>
        <w:t>of</w:t>
      </w:r>
      <w:r w:rsidR="00CD1FA8" w:rsidRPr="00082498">
        <w:rPr>
          <w:rFonts w:cs="Arial"/>
          <w:lang w:val="en-AU"/>
        </w:rPr>
        <w:t xml:space="preserve"> s </w:t>
      </w:r>
      <w:r w:rsidRPr="00645C61">
        <w:rPr>
          <w:rFonts w:cs="Arial"/>
          <w:lang w:val="en-AU"/>
        </w:rPr>
        <w:t>74(2) which means that</w:t>
      </w:r>
      <w:r w:rsidRPr="00EB5F42">
        <w:rPr>
          <w:rFonts w:cs="Arial"/>
        </w:rPr>
        <w:t xml:space="preserve"> PCBUs would no longer be required to provide lists of elected HSRs to the </w:t>
      </w:r>
      <w:r w:rsidR="003B55FD" w:rsidRPr="00EB5F42">
        <w:rPr>
          <w:rFonts w:cs="Arial"/>
        </w:rPr>
        <w:t>r</w:t>
      </w:r>
      <w:r w:rsidRPr="00B379AD">
        <w:rPr>
          <w:rFonts w:cs="Arial"/>
        </w:rPr>
        <w:t xml:space="preserve">egulator and </w:t>
      </w:r>
      <w:r w:rsidRPr="00ED2C1D">
        <w:rPr>
          <w:rFonts w:cs="Arial"/>
          <w:lang w:val="en-AU"/>
        </w:rPr>
        <w:t>an amendment to</w:t>
      </w:r>
      <w:r w:rsidR="00CD1FA8" w:rsidRPr="00ED2C1D">
        <w:rPr>
          <w:rFonts w:cs="Arial"/>
          <w:lang w:val="en-AU"/>
        </w:rPr>
        <w:t xml:space="preserve"> s </w:t>
      </w:r>
      <w:r w:rsidRPr="00ED2C1D">
        <w:rPr>
          <w:rFonts w:cs="Arial"/>
          <w:lang w:val="en-AU"/>
        </w:rPr>
        <w:t>93 with HSRs</w:t>
      </w:r>
      <w:r w:rsidRPr="00982FBB">
        <w:rPr>
          <w:rFonts w:cs="Arial"/>
          <w:lang w:val="en-AU"/>
        </w:rPr>
        <w:t xml:space="preserve"> no longer having the ability to include directions but only recommendations on the PINs they issue to a PCBU. None of these amendments </w:t>
      </w:r>
      <w:r w:rsidR="0078080C" w:rsidRPr="00087567">
        <w:rPr>
          <w:rFonts w:cs="Arial"/>
          <w:lang w:val="en-AU"/>
        </w:rPr>
        <w:t>to the model WHS laws have been implemented by the jurisdictions</w:t>
      </w:r>
      <w:r w:rsidR="001B7815" w:rsidRPr="009C0809">
        <w:rPr>
          <w:lang w:val="en-AU"/>
        </w:rPr>
        <w:t>.</w:t>
      </w:r>
      <w:r w:rsidR="00BD73A3" w:rsidRPr="00F24697">
        <w:rPr>
          <w:rStyle w:val="FootnoteReference"/>
          <w:rFonts w:cs="Arial"/>
          <w:bCs/>
          <w:color w:val="000000"/>
          <w:sz w:val="22"/>
          <w:szCs w:val="22"/>
        </w:rPr>
        <w:footnoteReference w:id="48"/>
      </w:r>
    </w:p>
    <w:p w:rsidR="00C81369" w:rsidRPr="000A1CFB" w:rsidRDefault="00C81369" w:rsidP="00776702">
      <w:r w:rsidRPr="000A1CFB">
        <w:t xml:space="preserve">The HSR </w:t>
      </w:r>
      <w:r w:rsidR="003906F5">
        <w:t xml:space="preserve">and HSC </w:t>
      </w:r>
      <w:r w:rsidRPr="000A1CFB">
        <w:t>model of consultation came out of the traditional workplace where there were relatively stable groups of employees who worked for a single employer. The effectiveness of the HSR framework is being challenged in an environment of changing work arrangements wh</w:t>
      </w:r>
      <w:r w:rsidR="00CC1548">
        <w:t xml:space="preserve">ere many </w:t>
      </w:r>
      <w:r w:rsidRPr="000A1CFB">
        <w:t xml:space="preserve">workers are not permanently employed by a single employer, </w:t>
      </w:r>
      <w:r w:rsidR="000A5FC1">
        <w:t xml:space="preserve">flying in and out of </w:t>
      </w:r>
      <w:r w:rsidR="00CC1548">
        <w:t xml:space="preserve">their </w:t>
      </w:r>
      <w:r w:rsidR="000A5FC1">
        <w:t xml:space="preserve">workplaces </w:t>
      </w:r>
      <w:r w:rsidR="00CC1548">
        <w:t xml:space="preserve">or </w:t>
      </w:r>
      <w:r w:rsidRPr="000A1CFB">
        <w:t>hav</w:t>
      </w:r>
      <w:r w:rsidR="0078080C">
        <w:t xml:space="preserve">ing </w:t>
      </w:r>
      <w:r w:rsidRPr="000A1CFB">
        <w:t>minimal contact with other workers or the PCBU which engaged them.</w:t>
      </w:r>
      <w:r w:rsidR="0084095F">
        <w:t xml:space="preserve"> </w:t>
      </w:r>
    </w:p>
    <w:p w:rsidR="00C81369" w:rsidRPr="000A1CFB" w:rsidRDefault="00C81369" w:rsidP="00C81369">
      <w:pPr>
        <w:tabs>
          <w:tab w:val="num" w:pos="709"/>
        </w:tabs>
        <w:autoSpaceDE w:val="0"/>
        <w:autoSpaceDN w:val="0"/>
        <w:adjustRightInd w:val="0"/>
        <w:spacing w:before="120"/>
        <w:jc w:val="both"/>
        <w:rPr>
          <w:bCs/>
          <w:color w:val="000000"/>
          <w:sz w:val="22"/>
          <w:szCs w:val="22"/>
        </w:rPr>
      </w:pPr>
    </w:p>
    <w:p w:rsidR="00C81369" w:rsidRPr="00B05288" w:rsidRDefault="00385BD4" w:rsidP="00146A76">
      <w:pPr>
        <w:pStyle w:val="ReviewSubmissionQuestions"/>
      </w:pPr>
      <w:r w:rsidRPr="00B05288">
        <w:t xml:space="preserve">Have you any </w:t>
      </w:r>
      <w:r w:rsidR="00B14DDD" w:rsidRPr="00B05288">
        <w:t>comments on</w:t>
      </w:r>
      <w:r w:rsidRPr="00B05288">
        <w:t xml:space="preserve"> the </w:t>
      </w:r>
      <w:r w:rsidR="00776CE4" w:rsidRPr="00B05288">
        <w:t xml:space="preserve">role of the </w:t>
      </w:r>
      <w:r w:rsidR="00BD73A3" w:rsidRPr="00B05288">
        <w:t xml:space="preserve">consultation, representation and participation provisions </w:t>
      </w:r>
      <w:r w:rsidRPr="00B05288">
        <w:t xml:space="preserve">in </w:t>
      </w:r>
      <w:r w:rsidR="00B14DDD" w:rsidRPr="00B05288">
        <w:t xml:space="preserve">supporting the objective of the model WHS laws to ensure fair and effective </w:t>
      </w:r>
      <w:r w:rsidR="00C81369" w:rsidRPr="00B05288">
        <w:t>consultation with workers in relation to work health and safety?</w:t>
      </w:r>
      <w:r w:rsidR="0084095F" w:rsidRPr="00B05288">
        <w:t xml:space="preserve"> </w:t>
      </w:r>
    </w:p>
    <w:p w:rsidR="00C81369" w:rsidRPr="00B05288" w:rsidRDefault="00C81369" w:rsidP="006D7214">
      <w:pPr>
        <w:pStyle w:val="ReviewSubmissionQuestions"/>
        <w:numPr>
          <w:ilvl w:val="0"/>
          <w:numId w:val="0"/>
        </w:numPr>
        <w:ind w:left="1928"/>
      </w:pPr>
    </w:p>
    <w:p w:rsidR="00C81369" w:rsidRPr="00B05288" w:rsidRDefault="00C81369" w:rsidP="00146A76">
      <w:pPr>
        <w:pStyle w:val="ReviewSubmissionQuestions"/>
      </w:pPr>
      <w:r w:rsidRPr="00B05288">
        <w:t xml:space="preserve">Are there classes of workers for whom </w:t>
      </w:r>
      <w:r w:rsidR="00F7083A">
        <w:t xml:space="preserve">the </w:t>
      </w:r>
      <w:r w:rsidRPr="00B05288">
        <w:t>current consultation requirements are not effective and if so</w:t>
      </w:r>
      <w:r w:rsidR="008670E5">
        <w:t>,</w:t>
      </w:r>
      <w:r w:rsidRPr="00B05288">
        <w:t xml:space="preserve"> how could consultation requirements for these workers be made more effective? </w:t>
      </w:r>
    </w:p>
    <w:p w:rsidR="00404378" w:rsidRPr="00B05288" w:rsidRDefault="00404378" w:rsidP="006D7214">
      <w:pPr>
        <w:pStyle w:val="ReviewSubmissionQuestions"/>
        <w:numPr>
          <w:ilvl w:val="0"/>
          <w:numId w:val="0"/>
        </w:numPr>
        <w:ind w:left="1928"/>
      </w:pPr>
    </w:p>
    <w:p w:rsidR="00C81369" w:rsidRPr="00B05288" w:rsidRDefault="00776CE4" w:rsidP="00146A76">
      <w:pPr>
        <w:pStyle w:val="ReviewSubmissionQuestions"/>
      </w:pPr>
      <w:r w:rsidRPr="00B05288">
        <w:t xml:space="preserve">Have you any comments on the </w:t>
      </w:r>
      <w:r w:rsidR="008A5B31" w:rsidRPr="00B05288">
        <w:t xml:space="preserve">continuing </w:t>
      </w:r>
      <w:r w:rsidRPr="00B05288">
        <w:t xml:space="preserve">effectiveness of </w:t>
      </w:r>
      <w:r w:rsidR="00404378" w:rsidRPr="00B05288">
        <w:t xml:space="preserve">the functions and powers of HSRs in the context of the changing nature of work? </w:t>
      </w:r>
    </w:p>
    <w:p w:rsidR="00C81369" w:rsidRPr="00F00C9B" w:rsidRDefault="00C81369" w:rsidP="00F00C9B">
      <w:pPr>
        <w:pStyle w:val="2018ReviewSectionnumberingheading"/>
      </w:pPr>
      <w:bookmarkStart w:id="175" w:name="_Toc506794189"/>
      <w:r w:rsidRPr="00F00C9B">
        <w:t>Issue resolution</w:t>
      </w:r>
      <w:bookmarkEnd w:id="175"/>
    </w:p>
    <w:p w:rsidR="00B05288" w:rsidRDefault="00E14143" w:rsidP="00776702">
      <w:r>
        <w:t xml:space="preserve">There will be times when WHS issues raised at a workplace cannot be resolved through </w:t>
      </w:r>
      <w:r w:rsidR="005029BA">
        <w:t xml:space="preserve">the HSR, </w:t>
      </w:r>
      <w:r>
        <w:t xml:space="preserve">HSC </w:t>
      </w:r>
      <w:r w:rsidR="005029BA">
        <w:t xml:space="preserve">or other </w:t>
      </w:r>
      <w:r>
        <w:t>consultation processes.</w:t>
      </w:r>
      <w:r w:rsidR="0084095F">
        <w:t xml:space="preserve"> </w:t>
      </w:r>
      <w:r>
        <w:t xml:space="preserve">To assist in resolving </w:t>
      </w:r>
      <w:r w:rsidR="00AB6D5F">
        <w:t>issues</w:t>
      </w:r>
      <w:r>
        <w:t xml:space="preserve">, the model WHS Act provides </w:t>
      </w:r>
      <w:r w:rsidR="00C50354">
        <w:t xml:space="preserve">that a PCBU, </w:t>
      </w:r>
      <w:r>
        <w:t xml:space="preserve">worker or their representative </w:t>
      </w:r>
      <w:r w:rsidR="00C50354">
        <w:t>may</w:t>
      </w:r>
      <w:r>
        <w:t xml:space="preserve"> ask for an inspector’s assistance</w:t>
      </w:r>
      <w:r w:rsidR="005029BA">
        <w:t>.</w:t>
      </w:r>
      <w:r w:rsidR="0084095F">
        <w:t xml:space="preserve"> </w:t>
      </w:r>
      <w:r w:rsidR="00C50354">
        <w:t>Prior to requesting the attendance of an inspector, it is expected that the parties will make reasonable efforts to resolve the issue</w:t>
      </w:r>
      <w:r w:rsidR="005029BA">
        <w:t xml:space="preserve"> themselves</w:t>
      </w:r>
      <w:r w:rsidR="00C50354">
        <w:t>.</w:t>
      </w:r>
      <w:r w:rsidR="0084095F">
        <w:t xml:space="preserve"> </w:t>
      </w:r>
      <w:r w:rsidR="00C50354">
        <w:t>Where a workplace has not developed its own WHS issue resolution procedure, a default process is provided in the model WHS Regulations</w:t>
      </w:r>
      <w:r w:rsidR="00C8079B">
        <w:t>.</w:t>
      </w:r>
      <w:r w:rsidR="00C50354">
        <w:rPr>
          <w:rStyle w:val="FootnoteReference"/>
          <w:rFonts w:cs="Arial"/>
          <w:color w:val="000000"/>
          <w:sz w:val="22"/>
          <w:szCs w:val="22"/>
        </w:rPr>
        <w:footnoteReference w:id="49"/>
      </w:r>
      <w:r w:rsidR="0084095F">
        <w:t xml:space="preserve"> </w:t>
      </w:r>
      <w:r w:rsidR="006319A6">
        <w:t>Prior to the implementation of the model WHS laws, most jurisdictions had requirements to resolve WHS issues within the workplace</w:t>
      </w:r>
      <w:r w:rsidR="005029BA">
        <w:t>,</w:t>
      </w:r>
      <w:r w:rsidR="006319A6">
        <w:t xml:space="preserve"> however</w:t>
      </w:r>
      <w:r w:rsidR="007E631B">
        <w:t>,</w:t>
      </w:r>
      <w:r w:rsidR="006319A6">
        <w:t xml:space="preserve"> the processes for doing so differed</w:t>
      </w:r>
      <w:r w:rsidR="005029BA">
        <w:t>.</w:t>
      </w:r>
    </w:p>
    <w:p w:rsidR="00ED2952" w:rsidRDefault="00ED2952" w:rsidP="00776702"/>
    <w:p w:rsidR="002420B7" w:rsidRDefault="00C81369" w:rsidP="00146A76">
      <w:pPr>
        <w:pStyle w:val="ReviewSubmissionQuestions"/>
      </w:pPr>
      <w:r w:rsidRPr="00B05288">
        <w:t xml:space="preserve">Have you </w:t>
      </w:r>
      <w:r w:rsidR="00B82F06" w:rsidRPr="00B05288">
        <w:t xml:space="preserve">any comments on the effectiveness of the </w:t>
      </w:r>
      <w:r w:rsidRPr="00B05288">
        <w:t xml:space="preserve">issue resolution </w:t>
      </w:r>
      <w:r w:rsidR="00B82F06" w:rsidRPr="00B05288">
        <w:t>procedures in the model WHS laws</w:t>
      </w:r>
      <w:r w:rsidRPr="00B05288">
        <w:t>?</w:t>
      </w:r>
      <w:r w:rsidR="0084095F" w:rsidRPr="00B05288">
        <w:t xml:space="preserve"> </w:t>
      </w:r>
    </w:p>
    <w:p w:rsidR="002420B7" w:rsidRDefault="002420B7">
      <w:pPr>
        <w:spacing w:after="200" w:line="276" w:lineRule="auto"/>
        <w:rPr>
          <w:b/>
          <w:color w:val="145B85"/>
          <w:szCs w:val="20"/>
          <w:lang w:val="en-AU"/>
        </w:rPr>
      </w:pPr>
      <w:r>
        <w:br w:type="page"/>
      </w:r>
    </w:p>
    <w:p w:rsidR="00C81369" w:rsidRPr="00F00C9B" w:rsidRDefault="00C81369" w:rsidP="00F00C9B">
      <w:pPr>
        <w:pStyle w:val="2018ReviewSectionnumberingheading"/>
      </w:pPr>
      <w:bookmarkStart w:id="176" w:name="_Toc506794190"/>
      <w:r w:rsidRPr="00F00C9B">
        <w:lastRenderedPageBreak/>
        <w:t>Discriminatory, coercive and m</w:t>
      </w:r>
      <w:r w:rsidR="004C20FD" w:rsidRPr="00F00C9B">
        <w:t>isleading c</w:t>
      </w:r>
      <w:r w:rsidRPr="00F00C9B">
        <w:t>onduct</w:t>
      </w:r>
      <w:bookmarkEnd w:id="176"/>
    </w:p>
    <w:p w:rsidR="00C81369" w:rsidRPr="000A1CFB" w:rsidRDefault="00A625B1" w:rsidP="00776702">
      <w:pPr>
        <w:rPr>
          <w:lang w:val="en-AU"/>
        </w:rPr>
      </w:pPr>
      <w:r>
        <w:rPr>
          <w:lang w:val="en-AU"/>
        </w:rPr>
        <w:t>T</w:t>
      </w:r>
      <w:r w:rsidR="00C81369" w:rsidRPr="000A1CFB">
        <w:rPr>
          <w:lang w:val="en-AU"/>
        </w:rPr>
        <w:t xml:space="preserve">he </w:t>
      </w:r>
      <w:r w:rsidR="00C81369">
        <w:rPr>
          <w:lang w:val="en-AU"/>
        </w:rPr>
        <w:t>m</w:t>
      </w:r>
      <w:r w:rsidR="00C81369" w:rsidRPr="000A1CFB">
        <w:rPr>
          <w:lang w:val="en-AU"/>
        </w:rPr>
        <w:t>odel WHS Act aims to protect workers and encourage</w:t>
      </w:r>
      <w:r w:rsidR="00BC44A4">
        <w:rPr>
          <w:lang w:val="en-AU"/>
        </w:rPr>
        <w:t xml:space="preserve"> them to be involved as HSRs or</w:t>
      </w:r>
      <w:r>
        <w:rPr>
          <w:lang w:val="en-AU"/>
        </w:rPr>
        <w:t xml:space="preserve"> HSC members </w:t>
      </w:r>
      <w:r w:rsidR="00C81369" w:rsidRPr="000A1CFB">
        <w:rPr>
          <w:lang w:val="en-AU"/>
        </w:rPr>
        <w:t>or to raise WHS issues a</w:t>
      </w:r>
      <w:r w:rsidR="005029BA">
        <w:rPr>
          <w:lang w:val="en-AU"/>
        </w:rPr>
        <w:t>s they arise.</w:t>
      </w:r>
      <w:r w:rsidR="0084095F">
        <w:rPr>
          <w:lang w:val="en-AU"/>
        </w:rPr>
        <w:t xml:space="preserve"> </w:t>
      </w:r>
      <w:r w:rsidR="005029BA">
        <w:rPr>
          <w:lang w:val="en-AU"/>
        </w:rPr>
        <w:t xml:space="preserve">It does this </w:t>
      </w:r>
      <w:r w:rsidR="00C81369" w:rsidRPr="000A1CFB">
        <w:rPr>
          <w:lang w:val="en-AU"/>
        </w:rPr>
        <w:t xml:space="preserve">by prohibiting discrimination, victimisation and coercion </w:t>
      </w:r>
      <w:r w:rsidR="005029BA">
        <w:rPr>
          <w:lang w:val="en-AU"/>
        </w:rPr>
        <w:t>of workers because they have been involved in or raised WHS issues</w:t>
      </w:r>
      <w:r w:rsidR="00C8079B">
        <w:rPr>
          <w:lang w:val="en-AU"/>
        </w:rPr>
        <w:t>.</w:t>
      </w:r>
      <w:r>
        <w:rPr>
          <w:rStyle w:val="FootnoteReference"/>
          <w:color w:val="000000" w:themeColor="text1"/>
          <w:sz w:val="22"/>
          <w:szCs w:val="22"/>
          <w:lang w:val="en-AU"/>
        </w:rPr>
        <w:footnoteReference w:id="50"/>
      </w:r>
      <w:r w:rsidR="0084095F">
        <w:rPr>
          <w:lang w:val="en-AU"/>
        </w:rPr>
        <w:t xml:space="preserve"> </w:t>
      </w:r>
      <w:r w:rsidR="00E26ED3">
        <w:rPr>
          <w:lang w:val="en-AU"/>
        </w:rPr>
        <w:t xml:space="preserve">Such </w:t>
      </w:r>
      <w:r w:rsidR="005029BA">
        <w:rPr>
          <w:lang w:val="en-AU"/>
        </w:rPr>
        <w:t xml:space="preserve">prohibited </w:t>
      </w:r>
      <w:r w:rsidR="00E26ED3">
        <w:rPr>
          <w:lang w:val="en-AU"/>
        </w:rPr>
        <w:t xml:space="preserve">conduct can be addressed through civil or criminal proceedings and is </w:t>
      </w:r>
      <w:r w:rsidR="00C81369" w:rsidRPr="000A1CFB">
        <w:rPr>
          <w:lang w:val="en-AU"/>
        </w:rPr>
        <w:t>subject to fines up to $</w:t>
      </w:r>
      <w:r w:rsidR="00251094">
        <w:rPr>
          <w:lang w:val="en-AU"/>
        </w:rPr>
        <w:t>500,000</w:t>
      </w:r>
      <w:r w:rsidR="00C81369" w:rsidRPr="000A1CFB">
        <w:rPr>
          <w:lang w:val="en-AU"/>
        </w:rPr>
        <w:t xml:space="preserve"> in the case of corporate bodies and $</w:t>
      </w:r>
      <w:r w:rsidR="00251094">
        <w:rPr>
          <w:lang w:val="en-AU"/>
        </w:rPr>
        <w:t>100,000</w:t>
      </w:r>
      <w:r w:rsidR="00C81369" w:rsidRPr="000A1CFB">
        <w:rPr>
          <w:lang w:val="en-AU"/>
        </w:rPr>
        <w:t xml:space="preserve"> in the case of individuals.</w:t>
      </w:r>
      <w:r w:rsidR="0084095F">
        <w:rPr>
          <w:lang w:val="en-AU"/>
        </w:rPr>
        <w:t xml:space="preserve"> </w:t>
      </w:r>
      <w:r w:rsidR="00C81369" w:rsidRPr="000A1CFB">
        <w:rPr>
          <w:lang w:val="en-AU"/>
        </w:rPr>
        <w:t>A</w:t>
      </w:r>
      <w:r w:rsidR="007221D2">
        <w:rPr>
          <w:lang w:val="en-AU"/>
        </w:rPr>
        <w:t> </w:t>
      </w:r>
      <w:r w:rsidR="00C81369" w:rsidRPr="000A1CFB">
        <w:rPr>
          <w:lang w:val="en-AU"/>
        </w:rPr>
        <w:t>court may also make remedial orders, including compensation and re-employment or re-engagement</w:t>
      </w:r>
      <w:r w:rsidR="00E26ED3">
        <w:rPr>
          <w:lang w:val="en-AU"/>
        </w:rPr>
        <w:t xml:space="preserve"> of a worker.</w:t>
      </w:r>
    </w:p>
    <w:p w:rsidR="00541300" w:rsidRDefault="00100383" w:rsidP="00C8079B">
      <w:pPr>
        <w:pStyle w:val="CommentText"/>
      </w:pPr>
      <w:r>
        <w:rPr>
          <w:lang w:val="en-AU"/>
        </w:rPr>
        <w:t xml:space="preserve">There is a question about </w:t>
      </w:r>
      <w:r w:rsidR="00AE06F6">
        <w:rPr>
          <w:lang w:val="en-AU"/>
        </w:rPr>
        <w:t xml:space="preserve">limitations </w:t>
      </w:r>
      <w:r w:rsidR="00BC1036">
        <w:rPr>
          <w:lang w:val="en-AU"/>
        </w:rPr>
        <w:t xml:space="preserve">associated </w:t>
      </w:r>
      <w:r w:rsidR="00AE06F6">
        <w:rPr>
          <w:lang w:val="en-AU"/>
        </w:rPr>
        <w:t xml:space="preserve">with </w:t>
      </w:r>
      <w:r>
        <w:rPr>
          <w:lang w:val="en-AU"/>
        </w:rPr>
        <w:t xml:space="preserve">the existing provisions. </w:t>
      </w:r>
      <w:r w:rsidR="00541300">
        <w:rPr>
          <w:lang w:val="en-AU"/>
        </w:rPr>
        <w:t>In proceedings relati</w:t>
      </w:r>
      <w:r w:rsidR="004C20FD">
        <w:rPr>
          <w:lang w:val="en-AU"/>
        </w:rPr>
        <w:t>ng to a claim of discriminatory</w:t>
      </w:r>
      <w:r w:rsidR="00541300">
        <w:rPr>
          <w:lang w:val="en-AU"/>
        </w:rPr>
        <w:t xml:space="preserve"> conduct in South Australia, the Court held that it</w:t>
      </w:r>
      <w:r w:rsidR="00541300">
        <w:t xml:space="preserve"> </w:t>
      </w:r>
      <w:r w:rsidR="00541300" w:rsidRPr="000A1CFB">
        <w:t>can only make a declaratory order</w:t>
      </w:r>
      <w:r w:rsidR="004C20FD">
        <w:t xml:space="preserve"> in discrimination proceedings</w:t>
      </w:r>
      <w:r w:rsidR="00541300" w:rsidRPr="000A1CFB">
        <w:t xml:space="preserve"> if Parliament expressly conferred that power</w:t>
      </w:r>
      <w:r w:rsidR="00AB6D5F">
        <w:t>. Section</w:t>
      </w:r>
      <w:r w:rsidR="00CD1FA8">
        <w:t> </w:t>
      </w:r>
      <w:r w:rsidR="00541300" w:rsidRPr="000A1CFB">
        <w:t xml:space="preserve">112 </w:t>
      </w:r>
      <w:r w:rsidR="00541300">
        <w:t xml:space="preserve">of the model WHS Act </w:t>
      </w:r>
      <w:r w:rsidR="004716FC">
        <w:t>does</w:t>
      </w:r>
      <w:r w:rsidR="004716FC" w:rsidRPr="000A1CFB">
        <w:t xml:space="preserve"> </w:t>
      </w:r>
      <w:r w:rsidR="00541300" w:rsidRPr="000A1CFB">
        <w:t>not expressly confer such a power</w:t>
      </w:r>
      <w:r w:rsidR="00C8079B">
        <w:t>.</w:t>
      </w:r>
      <w:r w:rsidR="00541300">
        <w:rPr>
          <w:rStyle w:val="FootnoteReference"/>
          <w:sz w:val="22"/>
          <w:szCs w:val="22"/>
        </w:rPr>
        <w:footnoteReference w:id="51"/>
      </w:r>
      <w:r w:rsidR="00541300" w:rsidRPr="000A1CFB">
        <w:t xml:space="preserve"> </w:t>
      </w:r>
      <w:r w:rsidR="00BC1036">
        <w:t>Effectively, the court cannot hear an application that is solely seeking a ruling on a person having been discriminated against. To be heard, the person must also seek compensation, or something else that the court could grant as a remedy, for that discrimination.</w:t>
      </w:r>
    </w:p>
    <w:p w:rsidR="00B05288" w:rsidRDefault="00B05288" w:rsidP="00C8079B">
      <w:pPr>
        <w:pStyle w:val="CommentText"/>
        <w:rPr>
          <w:color w:val="000000" w:themeColor="text1"/>
          <w:sz w:val="22"/>
          <w:szCs w:val="22"/>
          <w:lang w:val="en-AU"/>
        </w:rPr>
      </w:pPr>
    </w:p>
    <w:p w:rsidR="00C81369" w:rsidRDefault="0044052A" w:rsidP="00146A76">
      <w:pPr>
        <w:pStyle w:val="ReviewSubmissionQuestions"/>
      </w:pPr>
      <w:r w:rsidRPr="00B05288">
        <w:t>Have you any comments on the effectiveness of</w:t>
      </w:r>
      <w:r w:rsidR="00C81369" w:rsidRPr="00B05288">
        <w:t xml:space="preserve"> the provisions relating to discriminatory, coercive and misleading conduct </w:t>
      </w:r>
      <w:r w:rsidRPr="00B05288">
        <w:t>in protecting</w:t>
      </w:r>
      <w:r w:rsidR="00C81369" w:rsidRPr="00B05288">
        <w:t xml:space="preserve"> those workers who take on a representative role under the model WHS Act, for example as a</w:t>
      </w:r>
      <w:r w:rsidR="004B5962">
        <w:t>n</w:t>
      </w:r>
      <w:r w:rsidR="00C81369" w:rsidRPr="00B05288">
        <w:t xml:space="preserve"> HSR or member of a</w:t>
      </w:r>
      <w:r w:rsidR="004B5962">
        <w:t>n</w:t>
      </w:r>
      <w:r w:rsidR="00C81369" w:rsidRPr="00B05288">
        <w:t xml:space="preserve"> HSC</w:t>
      </w:r>
      <w:r w:rsidRPr="00B05288">
        <w:t>, or who raise WHS issues in their workplace</w:t>
      </w:r>
      <w:r w:rsidR="00C81369" w:rsidRPr="00B05288">
        <w:t>?</w:t>
      </w:r>
    </w:p>
    <w:p w:rsidR="00C81369" w:rsidRPr="00F00C9B" w:rsidRDefault="00C81369" w:rsidP="00F00C9B">
      <w:pPr>
        <w:pStyle w:val="2018ReviewSectionnumberingheading"/>
      </w:pPr>
      <w:bookmarkStart w:id="177" w:name="_Toc506794191"/>
      <w:r w:rsidRPr="00F00C9B">
        <w:t>Workplace entry by WHS entry permit holders</w:t>
      </w:r>
      <w:bookmarkEnd w:id="177"/>
    </w:p>
    <w:p w:rsidR="00C81369" w:rsidRPr="000A1CFB" w:rsidRDefault="00780529" w:rsidP="00776702">
      <w:pPr>
        <w:rPr>
          <w:rFonts w:cs="Times"/>
          <w:color w:val="000000"/>
        </w:rPr>
      </w:pPr>
      <w:r>
        <w:rPr>
          <w:lang w:val="en-AU"/>
        </w:rPr>
        <w:t xml:space="preserve">The model WHS laws recognise that involvement by unions in WHS matters at the workplace remains important for the effective operation of </w:t>
      </w:r>
      <w:r w:rsidR="005D4138">
        <w:rPr>
          <w:lang w:val="en-AU"/>
        </w:rPr>
        <w:t xml:space="preserve">consultation and participation mechanisms for workers. </w:t>
      </w:r>
    </w:p>
    <w:p w:rsidR="00C81369" w:rsidRPr="000A1CFB" w:rsidRDefault="005D4138" w:rsidP="00776702">
      <w:pPr>
        <w:rPr>
          <w:lang w:val="en-AU"/>
        </w:rPr>
      </w:pPr>
      <w:r>
        <w:rPr>
          <w:lang w:val="en-AU"/>
        </w:rPr>
        <w:t>T</w:t>
      </w:r>
      <w:r w:rsidR="00C81369" w:rsidRPr="000A1CFB">
        <w:rPr>
          <w:lang w:val="en-AU"/>
        </w:rPr>
        <w:t xml:space="preserve">he model WHS Act and </w:t>
      </w:r>
      <w:r w:rsidR="00C81369">
        <w:rPr>
          <w:lang w:val="en-AU"/>
        </w:rPr>
        <w:t xml:space="preserve">model WHS </w:t>
      </w:r>
      <w:r w:rsidR="00C81369" w:rsidRPr="000A1CFB">
        <w:rPr>
          <w:lang w:val="en-AU"/>
        </w:rPr>
        <w:t>Regulations outline the requirements and processes for workplace entry by WHS entry permit holders and the power</w:t>
      </w:r>
      <w:r w:rsidR="00C8079B">
        <w:rPr>
          <w:lang w:val="en-AU"/>
        </w:rPr>
        <w:t>s</w:t>
      </w:r>
      <w:r w:rsidR="00C81369" w:rsidRPr="000A1CFB">
        <w:rPr>
          <w:lang w:val="en-AU"/>
        </w:rPr>
        <w:t xml:space="preserve"> of a WHS entry permit holder on entry</w:t>
      </w:r>
      <w:r w:rsidR="00BF6DFE">
        <w:rPr>
          <w:lang w:val="en-AU"/>
        </w:rPr>
        <w:t>.</w:t>
      </w:r>
      <w:r>
        <w:rPr>
          <w:rStyle w:val="FootnoteReference"/>
          <w:color w:val="000000" w:themeColor="text1"/>
          <w:sz w:val="22"/>
          <w:szCs w:val="22"/>
          <w:lang w:val="en-AU"/>
        </w:rPr>
        <w:footnoteReference w:id="52"/>
      </w:r>
    </w:p>
    <w:p w:rsidR="00C81369" w:rsidRPr="000A1CFB" w:rsidRDefault="00C81369" w:rsidP="00776702">
      <w:pPr>
        <w:rPr>
          <w:lang w:val="en-AU"/>
        </w:rPr>
      </w:pPr>
      <w:r w:rsidRPr="000A1CFB">
        <w:rPr>
          <w:lang w:val="en-AU"/>
        </w:rPr>
        <w:t>A permit holder may enter a workplace to:</w:t>
      </w:r>
    </w:p>
    <w:p w:rsidR="00C81369" w:rsidRPr="000A1CFB" w:rsidRDefault="002B5453" w:rsidP="00776702">
      <w:pPr>
        <w:pStyle w:val="2018ReviewBullets"/>
        <w:rPr>
          <w:lang w:val="en-AU"/>
        </w:rPr>
      </w:pPr>
      <w:r>
        <w:rPr>
          <w:lang w:val="en-AU"/>
        </w:rPr>
        <w:t>e</w:t>
      </w:r>
      <w:r w:rsidR="00C81369" w:rsidRPr="000A1CFB">
        <w:rPr>
          <w:lang w:val="en-AU"/>
        </w:rPr>
        <w:t xml:space="preserve">nquire into a suspected contravention of the </w:t>
      </w:r>
      <w:r w:rsidR="00C81369">
        <w:rPr>
          <w:lang w:val="en-AU"/>
        </w:rPr>
        <w:t>m</w:t>
      </w:r>
      <w:r w:rsidR="00C81369" w:rsidRPr="000A1CFB">
        <w:rPr>
          <w:lang w:val="en-AU"/>
        </w:rPr>
        <w:t>odel WHS Act that relates to or affects a relevant worker</w:t>
      </w:r>
    </w:p>
    <w:p w:rsidR="00C81369" w:rsidRPr="000A1CFB" w:rsidRDefault="002B5453" w:rsidP="00776702">
      <w:pPr>
        <w:pStyle w:val="2018ReviewBullets"/>
        <w:rPr>
          <w:lang w:val="en-AU"/>
        </w:rPr>
      </w:pPr>
      <w:r>
        <w:rPr>
          <w:lang w:val="en-AU"/>
        </w:rPr>
        <w:t>i</w:t>
      </w:r>
      <w:r w:rsidR="00C81369" w:rsidRPr="000A1CFB">
        <w:rPr>
          <w:lang w:val="en-AU"/>
        </w:rPr>
        <w:t>nspect employee records or other documents that are directly relevant to the suspected contravention</w:t>
      </w:r>
      <w:r w:rsidR="00C8079B">
        <w:rPr>
          <w:lang w:val="en-AU"/>
        </w:rPr>
        <w:t>, and</w:t>
      </w:r>
    </w:p>
    <w:p w:rsidR="00C81369" w:rsidRPr="006D6CDC" w:rsidRDefault="002B5453" w:rsidP="00776702">
      <w:pPr>
        <w:pStyle w:val="2018ReviewBullets"/>
        <w:rPr>
          <w:lang w:val="en-AU"/>
        </w:rPr>
      </w:pPr>
      <w:r>
        <w:rPr>
          <w:lang w:val="en-AU"/>
        </w:rPr>
        <w:t>c</w:t>
      </w:r>
      <w:r w:rsidR="00C81369" w:rsidRPr="000A1CFB">
        <w:rPr>
          <w:lang w:val="en-AU"/>
        </w:rPr>
        <w:t>onsult and advise relevant workers on WHS matters.</w:t>
      </w:r>
    </w:p>
    <w:p w:rsidR="00C61ED4" w:rsidRPr="00EC76A9" w:rsidRDefault="00C81369" w:rsidP="006D7214">
      <w:pPr>
        <w:rPr>
          <w:lang w:val="en-AU"/>
        </w:rPr>
      </w:pPr>
      <w:r w:rsidRPr="000A1CFB">
        <w:rPr>
          <w:lang w:val="en-AU"/>
        </w:rPr>
        <w:t>The model WHS Act places limits on when entry may be sought</w:t>
      </w:r>
      <w:r w:rsidR="00100383">
        <w:rPr>
          <w:lang w:val="en-AU"/>
        </w:rPr>
        <w:t>,</w:t>
      </w:r>
      <w:r w:rsidR="004716FC">
        <w:rPr>
          <w:lang w:val="en-AU"/>
        </w:rPr>
        <w:t xml:space="preserve"> and</w:t>
      </w:r>
      <w:r w:rsidR="00100383">
        <w:rPr>
          <w:lang w:val="en-AU"/>
        </w:rPr>
        <w:t xml:space="preserve"> </w:t>
      </w:r>
      <w:r w:rsidRPr="000A1CFB">
        <w:rPr>
          <w:lang w:val="en-AU"/>
        </w:rPr>
        <w:t>require</w:t>
      </w:r>
      <w:r w:rsidR="00100383">
        <w:rPr>
          <w:lang w:val="en-AU"/>
        </w:rPr>
        <w:t>s</w:t>
      </w:r>
      <w:r w:rsidRPr="000A1CFB">
        <w:rPr>
          <w:lang w:val="en-AU"/>
        </w:rPr>
        <w:t xml:space="preserve"> at least 24 hours’ notice </w:t>
      </w:r>
      <w:r w:rsidR="00100383">
        <w:rPr>
          <w:lang w:val="en-AU"/>
        </w:rPr>
        <w:t xml:space="preserve">ahead of entry </w:t>
      </w:r>
      <w:r w:rsidRPr="000A1CFB">
        <w:rPr>
          <w:lang w:val="en-AU"/>
        </w:rPr>
        <w:t>to inspect records and to consult and advise workers</w:t>
      </w:r>
      <w:r w:rsidR="004A6353">
        <w:rPr>
          <w:lang w:val="en-AU"/>
        </w:rPr>
        <w:t>.</w:t>
      </w:r>
      <w:r w:rsidR="00C61ED4" w:rsidRPr="00EC76A9">
        <w:rPr>
          <w:lang w:val="en-AU"/>
        </w:rPr>
        <w:t xml:space="preserve"> It also specifies</w:t>
      </w:r>
      <w:r w:rsidR="0084095F" w:rsidRPr="00EC76A9">
        <w:rPr>
          <w:lang w:val="en-AU"/>
        </w:rPr>
        <w:t xml:space="preserve"> </w:t>
      </w:r>
      <w:r w:rsidR="00C61ED4" w:rsidRPr="00EC76A9">
        <w:rPr>
          <w:lang w:val="en-AU"/>
        </w:rPr>
        <w:t>where a WHS permit holder may go on exercising the right of entry and how he or she must behave</w:t>
      </w:r>
      <w:r w:rsidR="007578AB" w:rsidRPr="00EC76A9">
        <w:rPr>
          <w:lang w:val="en-AU"/>
        </w:rPr>
        <w:t>.</w:t>
      </w:r>
      <w:r w:rsidR="00C61ED4" w:rsidRPr="00EC76A9">
        <w:rPr>
          <w:vertAlign w:val="superscript"/>
        </w:rPr>
        <w:footnoteReference w:id="53"/>
      </w:r>
    </w:p>
    <w:p w:rsidR="00C81369" w:rsidRPr="000A1CFB" w:rsidRDefault="00100383" w:rsidP="00776702">
      <w:pPr>
        <w:rPr>
          <w:lang w:val="en-AU"/>
        </w:rPr>
      </w:pPr>
      <w:r>
        <w:rPr>
          <w:lang w:val="en-AU"/>
        </w:rPr>
        <w:t xml:space="preserve">Workplace access by </w:t>
      </w:r>
      <w:r w:rsidR="00C81369" w:rsidRPr="000A1CFB">
        <w:rPr>
          <w:lang w:val="en-AU"/>
        </w:rPr>
        <w:t xml:space="preserve">a WHS entry permit holder is supported by prohibitions </w:t>
      </w:r>
      <w:r w:rsidR="00A10028">
        <w:rPr>
          <w:lang w:val="en-AU"/>
        </w:rPr>
        <w:t>on</w:t>
      </w:r>
      <w:r w:rsidR="00C81369" w:rsidRPr="000A1CFB">
        <w:rPr>
          <w:lang w:val="en-AU"/>
        </w:rPr>
        <w:t xml:space="preserve"> a person who is </w:t>
      </w:r>
      <w:r w:rsidR="00A10028">
        <w:rPr>
          <w:lang w:val="en-AU"/>
        </w:rPr>
        <w:t xml:space="preserve">unreasonably </w:t>
      </w:r>
      <w:r w:rsidR="00C81369" w:rsidRPr="000A1CFB">
        <w:rPr>
          <w:lang w:val="en-AU"/>
        </w:rPr>
        <w:t>refusing</w:t>
      </w:r>
      <w:r w:rsidR="00A10028">
        <w:rPr>
          <w:lang w:val="en-AU"/>
        </w:rPr>
        <w:t>,</w:t>
      </w:r>
      <w:r w:rsidR="00C81369" w:rsidRPr="000A1CFB">
        <w:rPr>
          <w:lang w:val="en-AU"/>
        </w:rPr>
        <w:t xml:space="preserve"> delaying</w:t>
      </w:r>
      <w:r w:rsidR="00A10028">
        <w:rPr>
          <w:lang w:val="en-AU"/>
        </w:rPr>
        <w:t>,</w:t>
      </w:r>
      <w:r w:rsidR="00A10028" w:rsidRPr="00A10028">
        <w:t xml:space="preserve"> </w:t>
      </w:r>
      <w:r w:rsidR="00A10028" w:rsidRPr="00A10028">
        <w:rPr>
          <w:lang w:val="en-AU"/>
        </w:rPr>
        <w:t>hindering or obstructing</w:t>
      </w:r>
      <w:r w:rsidR="00C81369" w:rsidRPr="000A1CFB">
        <w:rPr>
          <w:lang w:val="en-AU"/>
        </w:rPr>
        <w:t xml:space="preserve"> entry.</w:t>
      </w:r>
      <w:r w:rsidR="0084095F">
        <w:rPr>
          <w:lang w:val="en-AU"/>
        </w:rPr>
        <w:t xml:space="preserve"> </w:t>
      </w:r>
      <w:r w:rsidR="00C81369" w:rsidRPr="000A1CFB">
        <w:rPr>
          <w:lang w:val="en-AU"/>
        </w:rPr>
        <w:t>There are also prohibitions against a WHS entry permit holder intentionally and unreasonably delaying, hindering or obstructing any person or disrupting work at a workplace and using or disclosing information for a purpose that is not related to the WHS enquiry or rectification of the WHS contravention</w:t>
      </w:r>
      <w:r w:rsidR="00C81369" w:rsidRPr="007C514B">
        <w:rPr>
          <w:lang w:val="en-AU"/>
        </w:rPr>
        <w:t>.</w:t>
      </w:r>
      <w:r w:rsidR="0084095F">
        <w:rPr>
          <w:lang w:val="en-AU"/>
        </w:rPr>
        <w:t xml:space="preserve"> </w:t>
      </w:r>
      <w:r w:rsidR="00C81369" w:rsidRPr="007C514B">
        <w:rPr>
          <w:lang w:val="en-AU"/>
        </w:rPr>
        <w:t>Penalties for breaches of these provisions are civil penalties.</w:t>
      </w:r>
      <w:r w:rsidR="0084095F">
        <w:rPr>
          <w:lang w:val="en-AU"/>
        </w:rPr>
        <w:t xml:space="preserve"> </w:t>
      </w:r>
      <w:r w:rsidR="007C514B" w:rsidRPr="007C514B">
        <w:rPr>
          <w:lang w:val="en-AU"/>
        </w:rPr>
        <w:t>Civil penalty provisions relating to W</w:t>
      </w:r>
      <w:r w:rsidR="007C514B" w:rsidRPr="000A1CFB">
        <w:rPr>
          <w:lang w:val="en-AU"/>
        </w:rPr>
        <w:t xml:space="preserve">HS entry permits are consistent with the national workplace relations laws generally, with prohibitions attracting maximum civil penalties of $10,000 in the case of an individual and $50,000 in the case of a body corporate. The exception is if a </w:t>
      </w:r>
      <w:r w:rsidR="007C514B" w:rsidRPr="000A1CFB">
        <w:rPr>
          <w:lang w:val="en-AU"/>
        </w:rPr>
        <w:lastRenderedPageBreak/>
        <w:t>WHS entry permit holder contravenes the conditions of the WHS entry permit, which can result in a maximum civil penalty of $20,000 in the case an individual.</w:t>
      </w:r>
      <w:r>
        <w:rPr>
          <w:lang w:val="en-AU"/>
        </w:rPr>
        <w:t xml:space="preserve"> </w:t>
      </w:r>
      <w:r w:rsidR="00C81369" w:rsidRPr="000A1CFB">
        <w:rPr>
          <w:lang w:val="en-AU"/>
        </w:rPr>
        <w:t>Disputes about WHS entry</w:t>
      </w:r>
      <w:r w:rsidR="005029BA">
        <w:rPr>
          <w:lang w:val="en-AU"/>
        </w:rPr>
        <w:t xml:space="preserve"> by WHS entry permit holders may</w:t>
      </w:r>
      <w:r w:rsidR="00C81369" w:rsidRPr="000A1CFB">
        <w:rPr>
          <w:lang w:val="en-AU"/>
        </w:rPr>
        <w:t xml:space="preserve"> be referred to an inspector or the authorising authority</w:t>
      </w:r>
      <w:r w:rsidR="00BF6DFE">
        <w:rPr>
          <w:lang w:val="en-AU"/>
        </w:rPr>
        <w:t>.</w:t>
      </w:r>
      <w:r w:rsidR="005029BA">
        <w:rPr>
          <w:rStyle w:val="FootnoteReference"/>
          <w:color w:val="000000" w:themeColor="text1"/>
          <w:sz w:val="22"/>
          <w:szCs w:val="22"/>
          <w:lang w:val="en-AU"/>
        </w:rPr>
        <w:footnoteReference w:id="54"/>
      </w:r>
    </w:p>
    <w:p w:rsidR="007A775B" w:rsidRDefault="00100383" w:rsidP="005109D9">
      <w:pPr>
        <w:rPr>
          <w:bCs/>
          <w:color w:val="000000"/>
        </w:rPr>
      </w:pPr>
      <w:r w:rsidRPr="00776702">
        <w:t xml:space="preserve">The </w:t>
      </w:r>
      <w:r w:rsidR="003012D0" w:rsidRPr="00776702">
        <w:t>2014</w:t>
      </w:r>
      <w:r w:rsidRPr="00776702">
        <w:t xml:space="preserve"> </w:t>
      </w:r>
      <w:r w:rsidR="003012D0" w:rsidRPr="00776702">
        <w:t xml:space="preserve">COAG </w:t>
      </w:r>
      <w:r w:rsidRPr="00776702">
        <w:t>r</w:t>
      </w:r>
      <w:r w:rsidR="003012D0" w:rsidRPr="00776702">
        <w:t>eview</w:t>
      </w:r>
      <w:r w:rsidR="00C81369" w:rsidRPr="00776702">
        <w:t xml:space="preserve"> noted that</w:t>
      </w:r>
      <w:r w:rsidR="007A775B">
        <w:t>:</w:t>
      </w:r>
      <w:r w:rsidR="00C81369" w:rsidRPr="000A1CFB">
        <w:rPr>
          <w:bCs/>
          <w:color w:val="000000"/>
        </w:rPr>
        <w:t xml:space="preserve"> </w:t>
      </w:r>
    </w:p>
    <w:p w:rsidR="00C81369" w:rsidRPr="000A1CFB" w:rsidRDefault="00C81369" w:rsidP="00B72CD7">
      <w:pPr>
        <w:ind w:left="720"/>
        <w:rPr>
          <w:bCs/>
          <w:color w:val="000000"/>
          <w:sz w:val="22"/>
          <w:szCs w:val="22"/>
        </w:rPr>
      </w:pPr>
      <w:r w:rsidRPr="00776702">
        <w:rPr>
          <w:rStyle w:val="QuoteChar"/>
          <w:rFonts w:eastAsiaTheme="minorHAnsi"/>
        </w:rPr>
        <w:t>WHS Ministers have been asked to consider the powers of union officials under the model WHS laws and whether they should be subject to further limitations.</w:t>
      </w:r>
      <w:r w:rsidR="0084095F">
        <w:rPr>
          <w:rStyle w:val="QuoteChar"/>
          <w:rFonts w:eastAsiaTheme="minorHAnsi"/>
        </w:rPr>
        <w:t xml:space="preserve"> </w:t>
      </w:r>
      <w:r w:rsidRPr="00776702">
        <w:rPr>
          <w:rStyle w:val="QuoteChar"/>
          <w:rFonts w:eastAsiaTheme="minorHAnsi"/>
        </w:rPr>
        <w:t>This follows allegations of misuse of union powers under the WHS Act in some jurisdictions, including Queensland, which recently amended its WHS laws to address some of the perceived issues</w:t>
      </w:r>
      <w:r w:rsidR="00BF6DFE">
        <w:rPr>
          <w:rStyle w:val="QuoteChar"/>
          <w:rFonts w:eastAsiaTheme="minorHAnsi"/>
        </w:rPr>
        <w:t>.</w:t>
      </w:r>
      <w:r w:rsidRPr="000A1CFB">
        <w:rPr>
          <w:rStyle w:val="FootnoteReference"/>
          <w:bCs/>
          <w:color w:val="000000"/>
          <w:sz w:val="22"/>
          <w:szCs w:val="22"/>
        </w:rPr>
        <w:footnoteReference w:id="55"/>
      </w:r>
    </w:p>
    <w:p w:rsidR="00C81369" w:rsidRPr="000A1CFB" w:rsidRDefault="00C81369" w:rsidP="00776702">
      <w:pPr>
        <w:rPr>
          <w:bCs/>
          <w:color w:val="000000"/>
          <w:sz w:val="22"/>
          <w:szCs w:val="22"/>
        </w:rPr>
      </w:pPr>
      <w:r w:rsidRPr="000A1CFB">
        <w:t xml:space="preserve">The COAG review led to an amendment </w:t>
      </w:r>
      <w:r>
        <w:t>to</w:t>
      </w:r>
      <w:r w:rsidRPr="000A1CFB">
        <w:t xml:space="preserve"> the </w:t>
      </w:r>
      <w:r>
        <w:t>m</w:t>
      </w:r>
      <w:r w:rsidRPr="000A1CFB">
        <w:t xml:space="preserve">odel WHS </w:t>
      </w:r>
      <w:r w:rsidR="00617406">
        <w:t>A</w:t>
      </w:r>
      <w:r w:rsidRPr="000A1CFB">
        <w:t>ct to require at least 24 hours’ notice for entry to enquire into a suspected contravention and another amendment that increases penalties for contravening WHS permit conditions to $</w:t>
      </w:r>
      <w:r w:rsidR="002F14A0">
        <w:t>20,</w:t>
      </w:r>
      <w:r w:rsidRPr="000A1CFB">
        <w:t>000</w:t>
      </w:r>
      <w:r w:rsidR="00BF6DFE">
        <w:t>.</w:t>
      </w:r>
      <w:r w:rsidR="00A26F37">
        <w:t xml:space="preserve"> </w:t>
      </w:r>
      <w:r w:rsidR="00A26F37" w:rsidRPr="007C5183">
        <w:t>No jurisdictions</w:t>
      </w:r>
      <w:r w:rsidR="007C5183">
        <w:rPr>
          <w:rStyle w:val="FootnoteReference"/>
          <w:bCs/>
          <w:color w:val="000000"/>
          <w:sz w:val="22"/>
          <w:szCs w:val="22"/>
        </w:rPr>
        <w:footnoteReference w:id="56"/>
      </w:r>
      <w:r w:rsidR="007C5183">
        <w:t xml:space="preserve"> </w:t>
      </w:r>
      <w:r w:rsidR="00A26F37" w:rsidRPr="007C5183">
        <w:t xml:space="preserve"> have </w:t>
      </w:r>
      <w:r w:rsidR="00482CD5" w:rsidRPr="007C5183">
        <w:t>implemented</w:t>
      </w:r>
      <w:r w:rsidR="007C5183" w:rsidRPr="007C5183">
        <w:t xml:space="preserve"> these</w:t>
      </w:r>
      <w:r w:rsidR="00A26F37" w:rsidRPr="007C5183">
        <w:t xml:space="preserve"> amendment</w:t>
      </w:r>
      <w:r w:rsidR="007C5183" w:rsidRPr="007C5183">
        <w:t>s</w:t>
      </w:r>
      <w:r w:rsidR="00A26F37" w:rsidRPr="007C5183">
        <w:t>.</w:t>
      </w:r>
      <w:r w:rsidR="009F58D7" w:rsidRPr="007C5183">
        <w:t xml:space="preserve"> Queensland had amended </w:t>
      </w:r>
      <w:r w:rsidR="00783BDA" w:rsidRPr="007C5183">
        <w:t xml:space="preserve">the </w:t>
      </w:r>
      <w:r w:rsidR="00102E00" w:rsidRPr="007C5183">
        <w:rPr>
          <w:i/>
          <w:lang w:val="en-AU"/>
        </w:rPr>
        <w:t>Work</w:t>
      </w:r>
      <w:r w:rsidR="00102E00" w:rsidRPr="00127C85">
        <w:rPr>
          <w:i/>
          <w:lang w:val="en-AU"/>
        </w:rPr>
        <w:t xml:space="preserve"> Health and Safety Act 2011</w:t>
      </w:r>
      <w:r w:rsidR="00102E00" w:rsidRPr="00127C85">
        <w:rPr>
          <w:lang w:val="en-AU"/>
        </w:rPr>
        <w:t xml:space="preserve"> (Qld) (Qld Act)</w:t>
      </w:r>
      <w:r w:rsidR="009F3828">
        <w:rPr>
          <w:lang w:val="en-AU"/>
        </w:rPr>
        <w:t xml:space="preserve"> </w:t>
      </w:r>
      <w:r w:rsidR="009F58D7" w:rsidRPr="000A1CFB">
        <w:t>to require at least 24</w:t>
      </w:r>
      <w:r w:rsidR="009F58D7">
        <w:t> </w:t>
      </w:r>
      <w:r w:rsidR="009F58D7" w:rsidRPr="000A1CFB">
        <w:t xml:space="preserve">hours’ notice for entry to enquire into a suspected contravention (it subsequently repealed that provision taking its law back to the original </w:t>
      </w:r>
      <w:r w:rsidR="009F58D7">
        <w:t>m</w:t>
      </w:r>
      <w:r w:rsidR="009F58D7" w:rsidRPr="000A1CFB">
        <w:t>odel provision).</w:t>
      </w:r>
    </w:p>
    <w:p w:rsidR="00C81369" w:rsidRPr="000A1CFB" w:rsidRDefault="00391167" w:rsidP="00776702">
      <w:r>
        <w:t xml:space="preserve">A number of </w:t>
      </w:r>
      <w:r w:rsidR="009E0A0F">
        <w:t xml:space="preserve">court </w:t>
      </w:r>
      <w:r>
        <w:t xml:space="preserve">cases have raised issues </w:t>
      </w:r>
      <w:r w:rsidR="005C1EF1">
        <w:t>relating</w:t>
      </w:r>
      <w:r>
        <w:t xml:space="preserve"> to WHS entry permit holders</w:t>
      </w:r>
      <w:r w:rsidR="001A6554">
        <w:t xml:space="preserve"> since the implementation of the model WHS laws</w:t>
      </w:r>
      <w:r>
        <w:t>.</w:t>
      </w:r>
      <w:r w:rsidR="0084095F">
        <w:t xml:space="preserve"> </w:t>
      </w:r>
      <w:r w:rsidRPr="000A1CFB">
        <w:t xml:space="preserve">In </w:t>
      </w:r>
      <w:r w:rsidRPr="000A1CFB">
        <w:rPr>
          <w:i/>
        </w:rPr>
        <w:t>Construction, Forestry, Mining and Energy Union (CFMEU) v Bechtel Construction (Australia) Pty Ltd</w:t>
      </w:r>
      <w:r w:rsidRPr="000A1CFB">
        <w:t xml:space="preserve"> the Federal Court </w:t>
      </w:r>
      <w:r>
        <w:t xml:space="preserve">highlighted </w:t>
      </w:r>
      <w:r w:rsidR="00617406">
        <w:t xml:space="preserve">a ‘serious issue’ in the interaction of the </w:t>
      </w:r>
      <w:r w:rsidR="00617406" w:rsidRPr="00617406">
        <w:rPr>
          <w:i/>
        </w:rPr>
        <w:t>Fair Work Act 2009</w:t>
      </w:r>
      <w:r w:rsidR="00617406">
        <w:t xml:space="preserve"> </w:t>
      </w:r>
      <w:r w:rsidR="00BF6DFE">
        <w:t>(</w:t>
      </w:r>
      <w:proofErr w:type="spellStart"/>
      <w:r w:rsidR="00BF6DFE">
        <w:t>Cth</w:t>
      </w:r>
      <w:proofErr w:type="spellEnd"/>
      <w:r w:rsidR="00BF6DFE">
        <w:t xml:space="preserve">) </w:t>
      </w:r>
      <w:r w:rsidR="00C8079B">
        <w:t xml:space="preserve">(Fair Work Act) </w:t>
      </w:r>
      <w:r w:rsidR="00617406">
        <w:t>and the model WHS Act</w:t>
      </w:r>
      <w:r w:rsidR="00A10028">
        <w:t xml:space="preserve">. The court questioned whether a WHS permit holder who has entered a site under </w:t>
      </w:r>
      <w:r w:rsidR="006E18B2">
        <w:t>Fair Work Act</w:t>
      </w:r>
      <w:r w:rsidR="00A10028">
        <w:t xml:space="preserve"> provisions would need to physically leave and re-enter a site under WHS provisions to investigate a suspected WHS contravention</w:t>
      </w:r>
      <w:r w:rsidR="00617406">
        <w:t>.</w:t>
      </w:r>
      <w:r w:rsidR="00617406">
        <w:rPr>
          <w:rStyle w:val="FootnoteReference"/>
          <w:bCs/>
          <w:color w:val="000000"/>
          <w:sz w:val="22"/>
          <w:szCs w:val="22"/>
        </w:rPr>
        <w:footnoteReference w:id="57"/>
      </w:r>
    </w:p>
    <w:p w:rsidR="00B05288" w:rsidRDefault="00C81369" w:rsidP="00776702">
      <w:pPr>
        <w:rPr>
          <w:rFonts w:cs="Arial"/>
          <w:color w:val="333333"/>
          <w:szCs w:val="20"/>
        </w:rPr>
      </w:pPr>
      <w:r w:rsidRPr="000A1CFB">
        <w:t xml:space="preserve">In </w:t>
      </w:r>
      <w:r w:rsidRPr="000A1CFB">
        <w:rPr>
          <w:i/>
        </w:rPr>
        <w:t xml:space="preserve">Ramsay &amp; Anor v </w:t>
      </w:r>
      <w:proofErr w:type="spellStart"/>
      <w:r w:rsidRPr="000A1CFB">
        <w:rPr>
          <w:i/>
        </w:rPr>
        <w:t>Menso</w:t>
      </w:r>
      <w:proofErr w:type="spellEnd"/>
      <w:r w:rsidRPr="000A1CFB">
        <w:rPr>
          <w:i/>
        </w:rPr>
        <w:t xml:space="preserve"> &amp; Anor</w:t>
      </w:r>
      <w:r w:rsidR="00472954">
        <w:t xml:space="preserve">, </w:t>
      </w:r>
      <w:r w:rsidR="005C1EF1">
        <w:t>the Court</w:t>
      </w:r>
      <w:r w:rsidRPr="000A1CFB">
        <w:t xml:space="preserve"> found </w:t>
      </w:r>
      <w:r>
        <w:t>that WHS inspectors did not have the power to adjudicate or make a decision on the proper interpretation of the legislation when assisting parties to resolve a WHS right of entry dispute</w:t>
      </w:r>
      <w:r w:rsidR="00472954">
        <w:t>.</w:t>
      </w:r>
      <w:r w:rsidR="00391167">
        <w:rPr>
          <w:rStyle w:val="FootnoteReference"/>
          <w:bCs/>
          <w:color w:val="000000"/>
          <w:sz w:val="22"/>
          <w:szCs w:val="22"/>
        </w:rPr>
        <w:footnoteReference w:id="58"/>
      </w:r>
      <w:r w:rsidR="0084095F">
        <w:rPr>
          <w:rFonts w:cs="Arial"/>
          <w:szCs w:val="20"/>
        </w:rPr>
        <w:t xml:space="preserve"> </w:t>
      </w:r>
      <w:r w:rsidR="005C1EF1" w:rsidRPr="00776702">
        <w:rPr>
          <w:rFonts w:cs="Arial"/>
          <w:szCs w:val="20"/>
        </w:rPr>
        <w:t>I</w:t>
      </w:r>
      <w:r w:rsidR="00391167" w:rsidRPr="00776702">
        <w:rPr>
          <w:rFonts w:cs="Arial"/>
          <w:szCs w:val="20"/>
        </w:rPr>
        <w:t xml:space="preserve">n </w:t>
      </w:r>
      <w:hyperlink r:id="rId20" w:tgtFrame="_blank" w:history="1">
        <w:r w:rsidR="00391167" w:rsidRPr="00D5767B">
          <w:rPr>
            <w:rFonts w:cs="Arial"/>
            <w:i/>
            <w:color w:val="000000" w:themeColor="text1"/>
            <w:szCs w:val="20"/>
            <w:lang w:eastAsia="en-GB"/>
          </w:rPr>
          <w:t>A</w:t>
        </w:r>
        <w:r w:rsidR="00391167" w:rsidRPr="00776702">
          <w:rPr>
            <w:rFonts w:cs="Arial"/>
            <w:i/>
            <w:color w:val="000000" w:themeColor="text1"/>
            <w:szCs w:val="20"/>
            <w:lang w:eastAsia="en-GB"/>
          </w:rPr>
          <w:t>ustralian Building and Construction Commissioner v Powell</w:t>
        </w:r>
        <w:r w:rsidR="00472954">
          <w:rPr>
            <w:rFonts w:cs="Arial"/>
            <w:color w:val="000000" w:themeColor="text1"/>
            <w:szCs w:val="20"/>
            <w:lang w:eastAsia="en-GB"/>
          </w:rPr>
          <w:t>,</w:t>
        </w:r>
      </w:hyperlink>
      <w:r w:rsidR="00391167" w:rsidRPr="00776702">
        <w:rPr>
          <w:rFonts w:cs="Arial"/>
          <w:color w:val="000000" w:themeColor="text1"/>
          <w:szCs w:val="20"/>
          <w:lang w:eastAsia="en-GB"/>
        </w:rPr>
        <w:t xml:space="preserve"> </w:t>
      </w:r>
      <w:r w:rsidR="00BA3333">
        <w:rPr>
          <w:rFonts w:cs="Arial"/>
          <w:color w:val="000000" w:themeColor="text1"/>
          <w:szCs w:val="20"/>
          <w:lang w:eastAsia="en-GB"/>
        </w:rPr>
        <w:t xml:space="preserve">the </w:t>
      </w:r>
      <w:r w:rsidR="00BA3333">
        <w:rPr>
          <w:rFonts w:cs="Arial"/>
          <w:color w:val="333333"/>
          <w:szCs w:val="20"/>
        </w:rPr>
        <w:t>F</w:t>
      </w:r>
      <w:r w:rsidR="00391167" w:rsidRPr="00776702">
        <w:rPr>
          <w:rFonts w:cs="Arial"/>
          <w:color w:val="333333"/>
          <w:szCs w:val="20"/>
        </w:rPr>
        <w:t xml:space="preserve">ull Federal Court </w:t>
      </w:r>
      <w:r w:rsidR="00BA3333">
        <w:rPr>
          <w:rFonts w:cs="Arial"/>
          <w:color w:val="333333"/>
          <w:szCs w:val="20"/>
        </w:rPr>
        <w:t>held</w:t>
      </w:r>
      <w:r w:rsidR="00391167" w:rsidRPr="00776702">
        <w:rPr>
          <w:rFonts w:cs="Arial"/>
          <w:color w:val="333333"/>
          <w:szCs w:val="20"/>
        </w:rPr>
        <w:t xml:space="preserve"> that </w:t>
      </w:r>
      <w:r w:rsidR="00BA3333">
        <w:rPr>
          <w:rFonts w:cs="Arial"/>
          <w:color w:val="333333"/>
          <w:szCs w:val="20"/>
        </w:rPr>
        <w:t xml:space="preserve">a </w:t>
      </w:r>
      <w:r w:rsidR="00391167" w:rsidRPr="00776702">
        <w:rPr>
          <w:rFonts w:cs="Arial"/>
          <w:color w:val="333333"/>
          <w:szCs w:val="20"/>
        </w:rPr>
        <w:t>union official</w:t>
      </w:r>
      <w:r w:rsidR="00BA3333">
        <w:rPr>
          <w:rFonts w:cs="Arial"/>
          <w:color w:val="333333"/>
          <w:szCs w:val="20"/>
        </w:rPr>
        <w:t xml:space="preserve"> must have an </w:t>
      </w:r>
      <w:r w:rsidR="00391167" w:rsidRPr="00776702">
        <w:rPr>
          <w:rFonts w:cs="Arial"/>
          <w:color w:val="333333"/>
          <w:szCs w:val="20"/>
        </w:rPr>
        <w:t>entry permit</w:t>
      </w:r>
      <w:r w:rsidR="00BA3333">
        <w:rPr>
          <w:rFonts w:cs="Arial"/>
          <w:color w:val="333333"/>
          <w:szCs w:val="20"/>
        </w:rPr>
        <w:t xml:space="preserve"> under the </w:t>
      </w:r>
      <w:r w:rsidR="006E18B2">
        <w:rPr>
          <w:rFonts w:cs="Arial"/>
          <w:color w:val="333333"/>
          <w:szCs w:val="20"/>
        </w:rPr>
        <w:t>Fair Work Act</w:t>
      </w:r>
      <w:r w:rsidR="00391167" w:rsidRPr="00776702">
        <w:rPr>
          <w:rFonts w:cs="Arial"/>
          <w:color w:val="333333"/>
          <w:szCs w:val="20"/>
        </w:rPr>
        <w:t xml:space="preserve"> to enter </w:t>
      </w:r>
      <w:r w:rsidR="00BA3333">
        <w:rPr>
          <w:rFonts w:cs="Arial"/>
          <w:color w:val="333333"/>
          <w:szCs w:val="20"/>
        </w:rPr>
        <w:t xml:space="preserve">a </w:t>
      </w:r>
      <w:r w:rsidR="00391167" w:rsidRPr="00776702">
        <w:rPr>
          <w:rFonts w:cs="Arial"/>
          <w:color w:val="333333"/>
          <w:szCs w:val="20"/>
        </w:rPr>
        <w:t xml:space="preserve">workplace to assist </w:t>
      </w:r>
      <w:r w:rsidR="00BA3333">
        <w:rPr>
          <w:rFonts w:cs="Arial"/>
          <w:color w:val="333333"/>
          <w:szCs w:val="20"/>
        </w:rPr>
        <w:t>a</w:t>
      </w:r>
      <w:r w:rsidR="004B5962">
        <w:rPr>
          <w:rFonts w:cs="Arial"/>
          <w:color w:val="333333"/>
          <w:szCs w:val="20"/>
        </w:rPr>
        <w:t>n</w:t>
      </w:r>
      <w:r w:rsidR="00BA3333">
        <w:rPr>
          <w:rFonts w:cs="Arial"/>
          <w:color w:val="333333"/>
          <w:szCs w:val="20"/>
        </w:rPr>
        <w:t xml:space="preserve"> HSR </w:t>
      </w:r>
      <w:r w:rsidR="00BA3333" w:rsidRPr="00BA3333">
        <w:rPr>
          <w:rFonts w:cs="Arial"/>
          <w:color w:val="333333"/>
          <w:szCs w:val="20"/>
        </w:rPr>
        <w:t xml:space="preserve">under the </w:t>
      </w:r>
      <w:r w:rsidR="00BA3333" w:rsidRPr="005109D9">
        <w:rPr>
          <w:rFonts w:cs="Arial"/>
          <w:i/>
          <w:color w:val="333333"/>
          <w:szCs w:val="20"/>
        </w:rPr>
        <w:t>Occupational Health and Safety Act 2004</w:t>
      </w:r>
      <w:r w:rsidR="006E18B2" w:rsidRPr="00D5767B">
        <w:rPr>
          <w:rFonts w:cs="Arial"/>
          <w:color w:val="333333"/>
          <w:szCs w:val="20"/>
        </w:rPr>
        <w:t xml:space="preserve"> (Vic)</w:t>
      </w:r>
      <w:r w:rsidR="00BF6DFE">
        <w:rPr>
          <w:rFonts w:cs="Arial"/>
          <w:color w:val="333333"/>
          <w:szCs w:val="20"/>
        </w:rPr>
        <w:t>.</w:t>
      </w:r>
      <w:r w:rsidR="005C1EF1" w:rsidRPr="00776702">
        <w:rPr>
          <w:rStyle w:val="FootnoteReference"/>
          <w:rFonts w:cs="Arial"/>
          <w:color w:val="333333"/>
          <w:szCs w:val="20"/>
        </w:rPr>
        <w:footnoteReference w:id="59"/>
      </w:r>
      <w:r w:rsidR="00BA3333">
        <w:rPr>
          <w:rFonts w:cs="Arial"/>
          <w:color w:val="333333"/>
          <w:szCs w:val="20"/>
        </w:rPr>
        <w:t xml:space="preserve"> </w:t>
      </w:r>
      <w:r w:rsidR="00BA3333" w:rsidRPr="00BA3333">
        <w:rPr>
          <w:rFonts w:cs="Arial"/>
          <w:color w:val="333333"/>
          <w:szCs w:val="20"/>
        </w:rPr>
        <w:t>This appears to have implications for the model WHS Act given it contains similar provisions to the Victorian legislation.</w:t>
      </w:r>
    </w:p>
    <w:p w:rsidR="00391167" w:rsidRDefault="00391167" w:rsidP="00776702">
      <w:pPr>
        <w:rPr>
          <w:rStyle w:val="apple-converted-space"/>
          <w:rFonts w:cs="Arial"/>
          <w:color w:val="333333"/>
          <w:szCs w:val="20"/>
        </w:rPr>
      </w:pPr>
    </w:p>
    <w:p w:rsidR="00617406" w:rsidRPr="00276486" w:rsidRDefault="008C2980" w:rsidP="00866B4B">
      <w:pPr>
        <w:pStyle w:val="ReviewSubmissionQuestions"/>
      </w:pPr>
      <w:r w:rsidRPr="00B05288">
        <w:t xml:space="preserve">Have you any comments on </w:t>
      </w:r>
      <w:r w:rsidR="00C81369" w:rsidRPr="00B05288">
        <w:t xml:space="preserve">the </w:t>
      </w:r>
      <w:r w:rsidRPr="00B05288">
        <w:t xml:space="preserve">effectiveness of the </w:t>
      </w:r>
      <w:r w:rsidR="00C81369" w:rsidRPr="00B05288">
        <w:t>provisions for WHS entry by WHS entry permit holders to support the object of the model WHS laws?</w:t>
      </w:r>
      <w:r w:rsidR="0084095F" w:rsidRPr="00B05288">
        <w:t xml:space="preserve"> </w:t>
      </w:r>
    </w:p>
    <w:p w:rsidR="001F6DA5" w:rsidRPr="00F00C9B" w:rsidRDefault="00FA783A" w:rsidP="00F00C9B">
      <w:pPr>
        <w:pStyle w:val="2018ReviewWhiteHeading"/>
        <w:numPr>
          <w:ilvl w:val="0"/>
          <w:numId w:val="34"/>
        </w:numPr>
        <w:ind w:left="357" w:hanging="357"/>
      </w:pPr>
      <w:bookmarkStart w:id="178" w:name="_Toc506794192"/>
      <w:r w:rsidRPr="00F00C9B">
        <w:lastRenderedPageBreak/>
        <w:t xml:space="preserve">Compliance and </w:t>
      </w:r>
      <w:r w:rsidR="003B55FD">
        <w:t>e</w:t>
      </w:r>
      <w:r w:rsidRPr="00F00C9B">
        <w:t>nforcement</w:t>
      </w:r>
      <w:bookmarkEnd w:id="178"/>
    </w:p>
    <w:p w:rsidR="00617406" w:rsidRPr="006F6067" w:rsidRDefault="006F6067" w:rsidP="00776702">
      <w:pPr>
        <w:rPr>
          <w:lang w:val="en-AU"/>
        </w:rPr>
      </w:pPr>
      <w:r w:rsidRPr="006F6067">
        <w:rPr>
          <w:lang w:val="en-AU"/>
        </w:rPr>
        <w:t>Securing compliance and enforcement is central to the effective regulation of WHS. This chapter examines the compliance and enforcement options available under the model WHS laws</w:t>
      </w:r>
      <w:r w:rsidR="00FC4E01">
        <w:rPr>
          <w:lang w:val="en-AU"/>
        </w:rPr>
        <w:t xml:space="preserve"> and presents some recent data on compliance and enforcement activities</w:t>
      </w:r>
      <w:r w:rsidRPr="006F6067">
        <w:rPr>
          <w:lang w:val="en-AU"/>
        </w:rPr>
        <w:t>.</w:t>
      </w:r>
    </w:p>
    <w:tbl>
      <w:tblPr>
        <w:tblStyle w:val="TableGrid"/>
        <w:tblW w:w="0" w:type="auto"/>
        <w:tblLook w:val="04A0" w:firstRow="1" w:lastRow="0" w:firstColumn="1" w:lastColumn="0" w:noHBand="0" w:noVBand="1"/>
        <w:tblCaption w:val="List of relevant Objects and Terms of Reference for this chapter"/>
        <w:tblDescription w:val="Object: Promoting the provision of advice, information, education and training in relation to work health and safety.&#10;Securing compliance with the model WHS Act through effective and appropriate compliance and enforcement measures.&#10;Ensuring appropriate scrutiny and review of actions taken by persons exercising powers and performing functions under the model WHS Act.&#10;Providing a framework for continuous improvement and progressively higher standards of health and safety.&#10;Maintaining and strengthening the national harmonisation of laws relating to work health and safety and to facilitate a consistent national approach to work health and safety in this jurisdiction: s 3(1)((d)-(h).&#10;Term of Reference: Whether the compliance and enforcement provisions are effective and sufficient to deter non-compliance with the WHS legislation."/>
      </w:tblPr>
      <w:tblGrid>
        <w:gridCol w:w="2660"/>
        <w:gridCol w:w="6576"/>
      </w:tblGrid>
      <w:tr w:rsidR="00617406" w:rsidTr="00EC7CD4">
        <w:trPr>
          <w:tblHeader/>
        </w:trPr>
        <w:tc>
          <w:tcPr>
            <w:tcW w:w="2660" w:type="dxa"/>
          </w:tcPr>
          <w:p w:rsidR="00617406" w:rsidRDefault="00617406" w:rsidP="00866B4B">
            <w:pPr>
              <w:pStyle w:val="Heading4"/>
              <w:ind w:left="0" w:firstLine="0"/>
            </w:pPr>
            <w:r w:rsidRPr="005109D9">
              <w:t>Object</w:t>
            </w:r>
            <w:r w:rsidR="00D02190">
              <w:t xml:space="preserve"> of the model WHS Act</w:t>
            </w:r>
            <w:r w:rsidR="00CA301B">
              <w:t>:</w:t>
            </w:r>
          </w:p>
          <w:p w:rsidR="00D02190" w:rsidRPr="004721A0" w:rsidRDefault="00D02190" w:rsidP="00866B4B">
            <w:r>
              <w:rPr>
                <w:lang w:val="en-AU"/>
              </w:rPr>
              <w:t>(see s </w:t>
            </w:r>
            <w:r w:rsidRPr="00EC56A1">
              <w:rPr>
                <w:lang w:val="en-AU"/>
              </w:rPr>
              <w:t>3(1)((d)-(h)</w:t>
            </w:r>
            <w:r>
              <w:rPr>
                <w:lang w:val="en-AU"/>
              </w:rPr>
              <w:t>)</w:t>
            </w:r>
            <w:r w:rsidR="00006581">
              <w:rPr>
                <w:lang w:val="en-AU"/>
              </w:rPr>
              <w:t>)</w:t>
            </w:r>
          </w:p>
        </w:tc>
        <w:tc>
          <w:tcPr>
            <w:tcW w:w="6576" w:type="dxa"/>
          </w:tcPr>
          <w:p w:rsidR="00617406" w:rsidRPr="00EC56A1" w:rsidRDefault="00617406" w:rsidP="00776702">
            <w:pPr>
              <w:rPr>
                <w:lang w:val="en-AU"/>
              </w:rPr>
            </w:pPr>
            <w:r w:rsidRPr="00EC56A1">
              <w:rPr>
                <w:lang w:val="en-AU"/>
              </w:rPr>
              <w:t>Promoting the provision of advice, information, education and training in relation to work health and safety.</w:t>
            </w:r>
          </w:p>
          <w:p w:rsidR="00617406" w:rsidRPr="00EC56A1" w:rsidRDefault="00617406" w:rsidP="00776702">
            <w:pPr>
              <w:rPr>
                <w:lang w:val="en-AU"/>
              </w:rPr>
            </w:pPr>
            <w:r w:rsidRPr="00EC56A1">
              <w:rPr>
                <w:lang w:val="en-AU"/>
              </w:rPr>
              <w:t xml:space="preserve">Securing </w:t>
            </w:r>
            <w:r>
              <w:rPr>
                <w:lang w:val="en-AU"/>
              </w:rPr>
              <w:t>compliance with the</w:t>
            </w:r>
            <w:r w:rsidRPr="00EC56A1">
              <w:rPr>
                <w:lang w:val="en-AU"/>
              </w:rPr>
              <w:t xml:space="preserve"> </w:t>
            </w:r>
            <w:r>
              <w:rPr>
                <w:lang w:val="en-AU"/>
              </w:rPr>
              <w:t xml:space="preserve">model WHS </w:t>
            </w:r>
            <w:r w:rsidRPr="00EC56A1">
              <w:rPr>
                <w:lang w:val="en-AU"/>
              </w:rPr>
              <w:t>Act through effective and appropriate compliance and enforcement measures</w:t>
            </w:r>
            <w:r>
              <w:rPr>
                <w:lang w:val="en-AU"/>
              </w:rPr>
              <w:t>.</w:t>
            </w:r>
          </w:p>
          <w:p w:rsidR="00617406" w:rsidRDefault="00617406" w:rsidP="00776702">
            <w:pPr>
              <w:rPr>
                <w:lang w:val="en-AU"/>
              </w:rPr>
            </w:pPr>
            <w:r w:rsidRPr="00EC56A1">
              <w:rPr>
                <w:lang w:val="en-AU"/>
              </w:rPr>
              <w:t>Ensuring appropriate scrutiny and review of actions taken by persons exercising powers and</w:t>
            </w:r>
            <w:r>
              <w:rPr>
                <w:lang w:val="en-AU"/>
              </w:rPr>
              <w:t xml:space="preserve"> performing functions under the</w:t>
            </w:r>
            <w:r w:rsidRPr="00EC56A1">
              <w:rPr>
                <w:lang w:val="en-AU"/>
              </w:rPr>
              <w:t xml:space="preserve"> </w:t>
            </w:r>
            <w:r>
              <w:rPr>
                <w:lang w:val="en-AU"/>
              </w:rPr>
              <w:t xml:space="preserve">model WHS </w:t>
            </w:r>
            <w:r w:rsidRPr="00EC56A1">
              <w:rPr>
                <w:lang w:val="en-AU"/>
              </w:rPr>
              <w:t>Act</w:t>
            </w:r>
            <w:r>
              <w:rPr>
                <w:lang w:val="en-AU"/>
              </w:rPr>
              <w:t>.</w:t>
            </w:r>
          </w:p>
          <w:p w:rsidR="00617406" w:rsidRDefault="00617406" w:rsidP="00776702">
            <w:pPr>
              <w:rPr>
                <w:lang w:val="en-AU"/>
              </w:rPr>
            </w:pPr>
            <w:r>
              <w:rPr>
                <w:lang w:val="en-AU"/>
              </w:rPr>
              <w:t>Providing a framework for continuous improvement and progressively higher standards of health and safety</w:t>
            </w:r>
            <w:r w:rsidR="008F57B8">
              <w:rPr>
                <w:lang w:val="en-AU"/>
              </w:rPr>
              <w:t>.</w:t>
            </w:r>
          </w:p>
          <w:p w:rsidR="00617406" w:rsidRPr="00617406" w:rsidRDefault="00617406" w:rsidP="00776702">
            <w:pPr>
              <w:rPr>
                <w:lang w:val="en-AU"/>
              </w:rPr>
            </w:pPr>
            <w:r>
              <w:rPr>
                <w:lang w:val="en-AU"/>
              </w:rPr>
              <w:t>Maintaining and strengthening the national harmonisation of laws relating to work health and safety and to facilitate a consistent national approach to work health and safety in this jurisdiction</w:t>
            </w:r>
            <w:r w:rsidR="00D02190">
              <w:rPr>
                <w:lang w:val="en-AU"/>
              </w:rPr>
              <w:t>.</w:t>
            </w:r>
          </w:p>
        </w:tc>
      </w:tr>
      <w:tr w:rsidR="00617406" w:rsidTr="00617406">
        <w:tc>
          <w:tcPr>
            <w:tcW w:w="2660" w:type="dxa"/>
          </w:tcPr>
          <w:p w:rsidR="00617406" w:rsidRPr="005109D9" w:rsidRDefault="00617406" w:rsidP="00472954">
            <w:pPr>
              <w:pStyle w:val="Heading4"/>
            </w:pPr>
            <w:r w:rsidRPr="005109D9">
              <w:t>Term of Reference:</w:t>
            </w:r>
          </w:p>
        </w:tc>
        <w:tc>
          <w:tcPr>
            <w:tcW w:w="6576" w:type="dxa"/>
          </w:tcPr>
          <w:p w:rsidR="00617406" w:rsidRDefault="00617406" w:rsidP="00776702">
            <w:pPr>
              <w:rPr>
                <w:lang w:val="en-AU"/>
              </w:rPr>
            </w:pPr>
            <w:r w:rsidRPr="000A1CFB">
              <w:rPr>
                <w:lang w:val="en-AU"/>
              </w:rPr>
              <w:t xml:space="preserve">Whether the compliance and enforcement provisions are effective and sufficient to deter non-compliance with the </w:t>
            </w:r>
            <w:r>
              <w:rPr>
                <w:lang w:val="en-AU"/>
              </w:rPr>
              <w:t xml:space="preserve">WHS </w:t>
            </w:r>
            <w:r w:rsidRPr="000A1CFB">
              <w:rPr>
                <w:lang w:val="en-AU"/>
              </w:rPr>
              <w:t>legislation.</w:t>
            </w:r>
          </w:p>
        </w:tc>
      </w:tr>
    </w:tbl>
    <w:p w:rsidR="00D743AD" w:rsidRPr="00F00C9B" w:rsidRDefault="00D743AD" w:rsidP="00F00C9B">
      <w:pPr>
        <w:pStyle w:val="2018ReviewSectionnumberingheading"/>
      </w:pPr>
      <w:bookmarkStart w:id="179" w:name="_Toc503884312"/>
      <w:bookmarkStart w:id="180" w:name="_Toc503885032"/>
      <w:bookmarkStart w:id="181" w:name="_Toc503884313"/>
      <w:bookmarkStart w:id="182" w:name="_Toc503885033"/>
      <w:bookmarkStart w:id="183" w:name="_Toc503884314"/>
      <w:bookmarkStart w:id="184" w:name="_Toc503885034"/>
      <w:bookmarkStart w:id="185" w:name="_Toc503884315"/>
      <w:bookmarkStart w:id="186" w:name="_Toc503885035"/>
      <w:bookmarkStart w:id="187" w:name="_Toc503884316"/>
      <w:bookmarkStart w:id="188" w:name="_Toc503885036"/>
      <w:bookmarkStart w:id="189" w:name="_Toc503884317"/>
      <w:bookmarkStart w:id="190" w:name="_Toc503885037"/>
      <w:bookmarkStart w:id="191" w:name="_Toc503942265"/>
      <w:bookmarkStart w:id="192" w:name="_Toc503943220"/>
      <w:bookmarkStart w:id="193" w:name="_Toc503884318"/>
      <w:bookmarkStart w:id="194" w:name="_Toc503885038"/>
      <w:bookmarkStart w:id="195" w:name="_Toc503942266"/>
      <w:bookmarkStart w:id="196" w:name="_Toc503943221"/>
      <w:bookmarkStart w:id="197" w:name="_Toc506794193"/>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00C9B">
        <w:t>Regulator functions</w:t>
      </w:r>
      <w:bookmarkEnd w:id="197"/>
    </w:p>
    <w:p w:rsidR="003C2E95" w:rsidRPr="000A1CFB" w:rsidRDefault="001107B0" w:rsidP="00CA5EB3">
      <w:r>
        <w:rPr>
          <w:lang w:val="en-AU"/>
        </w:rPr>
        <w:t xml:space="preserve">Parts 8-12 of the model WHS Act set out the </w:t>
      </w:r>
      <w:r w:rsidR="003B55FD">
        <w:rPr>
          <w:lang w:val="en-AU"/>
        </w:rPr>
        <w:t>r</w:t>
      </w:r>
      <w:r w:rsidR="00024101" w:rsidRPr="000A1CFB">
        <w:rPr>
          <w:lang w:val="en-AU"/>
        </w:rPr>
        <w:t xml:space="preserve">egulator’s functions </w:t>
      </w:r>
      <w:r w:rsidR="006156F6">
        <w:rPr>
          <w:lang w:val="en-AU"/>
        </w:rPr>
        <w:t xml:space="preserve">and powers </w:t>
      </w:r>
      <w:r w:rsidR="00153F51">
        <w:rPr>
          <w:lang w:val="en-AU"/>
        </w:rPr>
        <w:t>and</w:t>
      </w:r>
      <w:r w:rsidR="00024101" w:rsidRPr="000A1CFB">
        <w:rPr>
          <w:lang w:val="en-AU"/>
        </w:rPr>
        <w:t xml:space="preserve"> identify the </w:t>
      </w:r>
      <w:r w:rsidR="006156F6" w:rsidRPr="00017B86">
        <w:rPr>
          <w:lang w:val="en-AU"/>
        </w:rPr>
        <w:t>circumstances in which the powers may be used in the performance of those functions</w:t>
      </w:r>
      <w:r w:rsidR="00024101" w:rsidRPr="000A1CFB">
        <w:rPr>
          <w:lang w:val="en-AU"/>
        </w:rPr>
        <w:t>.</w:t>
      </w:r>
    </w:p>
    <w:p w:rsidR="003C2E95" w:rsidRDefault="003C2E95" w:rsidP="00CA5EB3">
      <w:r w:rsidRPr="000A1CFB">
        <w:t>There has been continued debate about how much emphasis the regulator should place on its various functions; most notably balancing the education function with the compliance and enforcement function.</w:t>
      </w:r>
    </w:p>
    <w:p w:rsidR="006E18B2" w:rsidRDefault="00D90E7C" w:rsidP="00CA5EB3">
      <w:r>
        <w:t>Research on the views of</w:t>
      </w:r>
      <w:r w:rsidR="009A2A8C" w:rsidRPr="009A2A8C">
        <w:t xml:space="preserve"> many small and medium-sized businesses </w:t>
      </w:r>
      <w:r>
        <w:t xml:space="preserve">has found that they </w:t>
      </w:r>
      <w:r w:rsidR="009A2A8C" w:rsidRPr="009A2A8C">
        <w:t xml:space="preserve">would prefer a more collaborative relationship with the regulator, including an incremental approach to achieving </w:t>
      </w:r>
      <w:r w:rsidR="009A2A8C">
        <w:t>WHS</w:t>
      </w:r>
      <w:r w:rsidR="009A2A8C" w:rsidRPr="009A2A8C">
        <w:t xml:space="preserve"> compliance</w:t>
      </w:r>
      <w:r w:rsidR="00472954">
        <w:t>.</w:t>
      </w:r>
      <w:r w:rsidR="009A2A8C">
        <w:rPr>
          <w:rStyle w:val="FootnoteReference"/>
          <w:sz w:val="22"/>
          <w:szCs w:val="22"/>
        </w:rPr>
        <w:footnoteReference w:id="60"/>
      </w:r>
      <w:r w:rsidR="009A2A8C">
        <w:t xml:space="preserve"> Similarly, m</w:t>
      </w:r>
      <w:r w:rsidR="00D743AD">
        <w:t xml:space="preserve">any </w:t>
      </w:r>
      <w:r w:rsidR="00472F69">
        <w:t xml:space="preserve">participants </w:t>
      </w:r>
      <w:r w:rsidR="00D743AD">
        <w:t xml:space="preserve">in </w:t>
      </w:r>
      <w:r w:rsidR="003C2E95" w:rsidRPr="000A1CFB">
        <w:t xml:space="preserve">the 2014 review of the </w:t>
      </w:r>
      <w:r w:rsidR="003C2E95">
        <w:t>SA Act</w:t>
      </w:r>
      <w:r w:rsidR="003C2E95" w:rsidRPr="000A1CFB">
        <w:t xml:space="preserve"> reported that </w:t>
      </w:r>
      <w:r w:rsidR="00D743AD">
        <w:t xml:space="preserve">they </w:t>
      </w:r>
      <w:r w:rsidR="003C2E95" w:rsidRPr="000A1CFB">
        <w:t>were unclear about how to meet their duties particularly where there were multiple duty holders.</w:t>
      </w:r>
      <w:r w:rsidR="0084095F">
        <w:t xml:space="preserve"> </w:t>
      </w:r>
      <w:r w:rsidR="003C2E95" w:rsidRPr="000A1CFB">
        <w:t xml:space="preserve">Underpinning this concern was uncertainty about how the </w:t>
      </w:r>
      <w:r w:rsidR="003B55FD">
        <w:t>r</w:t>
      </w:r>
      <w:r w:rsidR="003C2E95" w:rsidRPr="000A1CFB">
        <w:t>egulator would apply the relevant provisions in practice</w:t>
      </w:r>
      <w:r w:rsidR="00127D7A">
        <w:t>.</w:t>
      </w:r>
      <w:r w:rsidR="003C2E95" w:rsidRPr="000A1CFB">
        <w:rPr>
          <w:rStyle w:val="FootnoteReference"/>
          <w:sz w:val="22"/>
          <w:szCs w:val="22"/>
        </w:rPr>
        <w:footnoteReference w:id="61"/>
      </w:r>
      <w:r w:rsidR="003C2E95" w:rsidRPr="000A1CFB">
        <w:t xml:space="preserve"> </w:t>
      </w:r>
      <w:r w:rsidR="00D743AD">
        <w:t>In response, the r</w:t>
      </w:r>
      <w:r w:rsidR="003C2E95" w:rsidRPr="000A1CFB">
        <w:t xml:space="preserve">eview proposed that the South Australian regulator be given the power to issue non-binding guidelines on how it sees the legislation applying to a class of persons or set of circumstances. </w:t>
      </w:r>
    </w:p>
    <w:p w:rsidR="003C2E95" w:rsidRPr="000A1CFB" w:rsidRDefault="003C2E95" w:rsidP="00CA5EB3">
      <w:proofErr w:type="spellStart"/>
      <w:r w:rsidRPr="000A1CFB">
        <w:t>SafeWork</w:t>
      </w:r>
      <w:proofErr w:type="spellEnd"/>
      <w:r w:rsidRPr="000A1CFB">
        <w:t xml:space="preserve"> </w:t>
      </w:r>
      <w:proofErr w:type="spellStart"/>
      <w:r w:rsidRPr="000A1CFB">
        <w:t>SA’s</w:t>
      </w:r>
      <w:proofErr w:type="spellEnd"/>
      <w:r w:rsidRPr="000A1CFB">
        <w:t xml:space="preserve"> functions were </w:t>
      </w:r>
      <w:r w:rsidR="00D743AD">
        <w:t xml:space="preserve">also </w:t>
      </w:r>
      <w:r w:rsidRPr="000A1CFB">
        <w:t>clearly split between ‘</w:t>
      </w:r>
      <w:r w:rsidR="005202D8">
        <w:t>the Regulator’</w:t>
      </w:r>
      <w:r w:rsidR="005202D8" w:rsidRPr="000A1CFB">
        <w:t xml:space="preserve"> </w:t>
      </w:r>
      <w:r w:rsidRPr="000A1CFB">
        <w:t>and ‘</w:t>
      </w:r>
      <w:r w:rsidR="005202D8">
        <w:t xml:space="preserve">the </w:t>
      </w:r>
      <w:r w:rsidRPr="000A1CFB">
        <w:t>Educator’</w:t>
      </w:r>
      <w:r w:rsidR="00D743AD">
        <w:t>,</w:t>
      </w:r>
      <w:r w:rsidRPr="000A1CFB">
        <w:t xml:space="preserve"> with </w:t>
      </w:r>
      <w:r w:rsidR="00D743AD">
        <w:t xml:space="preserve">the </w:t>
      </w:r>
      <w:r w:rsidRPr="000A1CFB">
        <w:t>education functions being provided by officers who were not inspectors.</w:t>
      </w:r>
      <w:r w:rsidR="0084095F">
        <w:t xml:space="preserve"> </w:t>
      </w:r>
      <w:r w:rsidRPr="000A1CFB">
        <w:t>Th</w:t>
      </w:r>
      <w:r w:rsidR="00D743AD">
        <w:t>is sought to overcome any hesitancy</w:t>
      </w:r>
      <w:r w:rsidRPr="000A1CFB">
        <w:t xml:space="preserve"> businesses </w:t>
      </w:r>
      <w:r w:rsidR="00D743AD">
        <w:t xml:space="preserve">might have to ask </w:t>
      </w:r>
      <w:r w:rsidRPr="000A1CFB">
        <w:t xml:space="preserve">inspectors for advice </w:t>
      </w:r>
      <w:r w:rsidR="00D743AD">
        <w:t xml:space="preserve">in case it prompted </w:t>
      </w:r>
      <w:r w:rsidRPr="000A1CFB">
        <w:t>compliance action once an inspector visited a workplace.</w:t>
      </w:r>
      <w:r w:rsidR="0084095F">
        <w:t xml:space="preserve"> </w:t>
      </w:r>
      <w:r w:rsidRPr="000A1CFB">
        <w:t xml:space="preserve">The </w:t>
      </w:r>
      <w:r w:rsidR="004716FC">
        <w:t>South Australian</w:t>
      </w:r>
      <w:r w:rsidR="004716FC" w:rsidRPr="000A1CFB">
        <w:t xml:space="preserve"> </w:t>
      </w:r>
      <w:r w:rsidRPr="000A1CFB">
        <w:t xml:space="preserve">model freed up inspectors to focus purely on compliance and enforcement action </w:t>
      </w:r>
      <w:r w:rsidR="00D743AD">
        <w:t xml:space="preserve">– but did not prevent inspectors </w:t>
      </w:r>
      <w:r w:rsidRPr="000A1CFB">
        <w:t>providing advice on how to comply with the laws consistent with the national compliance and enforcement policy</w:t>
      </w:r>
      <w:r w:rsidR="00127D7A">
        <w:t>.</w:t>
      </w:r>
    </w:p>
    <w:p w:rsidR="003C2E95" w:rsidRPr="000A1CFB" w:rsidRDefault="00D743AD" w:rsidP="00C4415D">
      <w:r>
        <w:t>Alternatively, t</w:t>
      </w:r>
      <w:r w:rsidR="003C2E95" w:rsidRPr="000A1CFB">
        <w:t xml:space="preserve">he </w:t>
      </w:r>
      <w:r>
        <w:t>2017</w:t>
      </w:r>
      <w:r w:rsidR="003C2E95" w:rsidRPr="000A1CFB">
        <w:t xml:space="preserve"> </w:t>
      </w:r>
      <w:r w:rsidR="003C2E95">
        <w:t>Q</w:t>
      </w:r>
      <w:r>
        <w:t>ueensland</w:t>
      </w:r>
      <w:r w:rsidR="003C2E95" w:rsidRPr="000A1CFB">
        <w:t xml:space="preserve"> review </w:t>
      </w:r>
      <w:r>
        <w:t xml:space="preserve">recommended </w:t>
      </w:r>
      <w:r w:rsidR="003C2E95" w:rsidRPr="000A1CFB">
        <w:t xml:space="preserve">that there should be less emphasis by the </w:t>
      </w:r>
      <w:r w:rsidR="003B55FD">
        <w:t>r</w:t>
      </w:r>
      <w:r w:rsidR="003C2E95" w:rsidRPr="000A1CFB">
        <w:t>egulator on education and more emphasis on what it termed ‘hard compliance’</w:t>
      </w:r>
      <w:r w:rsidR="00127D7A">
        <w:t>.</w:t>
      </w:r>
      <w:r w:rsidR="003C2E95" w:rsidRPr="000A1CFB">
        <w:rPr>
          <w:rStyle w:val="FootnoteReference"/>
          <w:sz w:val="22"/>
          <w:szCs w:val="22"/>
        </w:rPr>
        <w:footnoteReference w:id="62"/>
      </w:r>
    </w:p>
    <w:p w:rsidR="003C2E95" w:rsidRPr="00B05288" w:rsidRDefault="003C2E95" w:rsidP="00D90E7C"/>
    <w:p w:rsidR="003C2E95" w:rsidRPr="00B05288" w:rsidRDefault="005716DF" w:rsidP="00146A76">
      <w:pPr>
        <w:pStyle w:val="ReviewSubmissionQuestions"/>
      </w:pPr>
      <w:r w:rsidRPr="00B05288">
        <w:lastRenderedPageBreak/>
        <w:t xml:space="preserve">Have you any comments on the effectiveness, sufficiency and appropriateness of the </w:t>
      </w:r>
      <w:r w:rsidR="003C2E95" w:rsidRPr="00B05288">
        <w:t xml:space="preserve">functions </w:t>
      </w:r>
      <w:r w:rsidR="00B313D1" w:rsidRPr="00B05288">
        <w:t xml:space="preserve">and powers of the </w:t>
      </w:r>
      <w:r w:rsidR="003B55FD" w:rsidRPr="00B05288">
        <w:t>r</w:t>
      </w:r>
      <w:r w:rsidR="00B313D1" w:rsidRPr="00B05288">
        <w:t>egulator (</w:t>
      </w:r>
      <w:proofErr w:type="spellStart"/>
      <w:r w:rsidR="003C2E95" w:rsidRPr="00B05288">
        <w:t>ss</w:t>
      </w:r>
      <w:proofErr w:type="spellEnd"/>
      <w:r w:rsidR="00472954" w:rsidRPr="00B05288">
        <w:t> </w:t>
      </w:r>
      <w:r w:rsidR="003C2E95" w:rsidRPr="00B05288">
        <w:t>152 and 153</w:t>
      </w:r>
      <w:r w:rsidR="00B313D1" w:rsidRPr="00B05288">
        <w:t>)</w:t>
      </w:r>
      <w:r w:rsidR="003C2E95" w:rsidRPr="00B05288">
        <w:t xml:space="preserve"> to ensure compliance with the model WHS laws?</w:t>
      </w:r>
    </w:p>
    <w:p w:rsidR="003C2E95" w:rsidRPr="00F00C9B" w:rsidRDefault="003C2E95" w:rsidP="00F00C9B">
      <w:pPr>
        <w:pStyle w:val="2018ReviewSectionnumberingheading"/>
      </w:pPr>
      <w:bookmarkStart w:id="198" w:name="_Toc506794194"/>
      <w:r w:rsidRPr="00F00C9B">
        <w:t>Inspectors’ powers and functions</w:t>
      </w:r>
      <w:bookmarkEnd w:id="198"/>
    </w:p>
    <w:p w:rsidR="003C2E95" w:rsidRPr="000A1CFB" w:rsidRDefault="003C2E95" w:rsidP="00CA5EB3">
      <w:r w:rsidRPr="000A1CFB">
        <w:t xml:space="preserve">Parts 9 and 10 of the </w:t>
      </w:r>
      <w:r>
        <w:t xml:space="preserve">model </w:t>
      </w:r>
      <w:r w:rsidRPr="000A1CFB">
        <w:t>WHS Act</w:t>
      </w:r>
      <w:r>
        <w:t xml:space="preserve"> </w:t>
      </w:r>
      <w:r w:rsidRPr="000A1CFB">
        <w:t xml:space="preserve">provide for the appointment of inspectors and for their functions and powers. </w:t>
      </w:r>
      <w:r>
        <w:t xml:space="preserve">The 2008 National </w:t>
      </w:r>
      <w:r w:rsidR="005828E0">
        <w:t>r</w:t>
      </w:r>
      <w:r>
        <w:t xml:space="preserve">eview </w:t>
      </w:r>
      <w:r w:rsidRPr="000A1CFB">
        <w:t>summarised what it saw as the minimum range of functions required for inspectors to enable them to ensure compliance with the model legislation:</w:t>
      </w:r>
    </w:p>
    <w:p w:rsidR="003C2E95" w:rsidRPr="000A1CFB" w:rsidRDefault="003C2E95" w:rsidP="00A237FA">
      <w:pPr>
        <w:pStyle w:val="Quote"/>
      </w:pPr>
      <w:r w:rsidRPr="000A1CFB">
        <w:t xml:space="preserve">We consider that the model Act should explicitly recognise (preferably in one place) at least the following roles and functions of an inspector: </w:t>
      </w:r>
    </w:p>
    <w:p w:rsidR="003C2E95" w:rsidRPr="0047274B" w:rsidRDefault="003C2E95" w:rsidP="00A237FA">
      <w:pPr>
        <w:pStyle w:val="2018ReviewBullets"/>
      </w:pPr>
      <w:r w:rsidRPr="005109D9">
        <w:rPr>
          <w:i/>
        </w:rPr>
        <w:t xml:space="preserve">providing information and advice to duty holders; </w:t>
      </w:r>
      <w:r w:rsidRPr="005109D9">
        <w:rPr>
          <w:rFonts w:ascii="MS Mincho" w:eastAsia="MS Mincho" w:hAnsi="MS Mincho" w:cs="MS Mincho"/>
          <w:i/>
        </w:rPr>
        <w:t> </w:t>
      </w:r>
    </w:p>
    <w:p w:rsidR="003C2E95" w:rsidRPr="0047274B" w:rsidRDefault="003C2E95" w:rsidP="00A237FA">
      <w:pPr>
        <w:pStyle w:val="2018ReviewBullets"/>
      </w:pPr>
      <w:r w:rsidRPr="005109D9">
        <w:rPr>
          <w:i/>
        </w:rPr>
        <w:t xml:space="preserve">undertaking specific industry, occupational or hazard and risk based --interventions (e.g. advice, risk management and enforcement in relation to the industry, occupation or hazard and risk concerned); </w:t>
      </w:r>
      <w:r w:rsidRPr="005109D9">
        <w:rPr>
          <w:rFonts w:ascii="MS Mincho" w:eastAsia="MS Mincho" w:hAnsi="MS Mincho" w:cs="MS Mincho"/>
          <w:i/>
        </w:rPr>
        <w:t> </w:t>
      </w:r>
    </w:p>
    <w:p w:rsidR="003C2E95" w:rsidRPr="0047274B" w:rsidRDefault="003C2E95" w:rsidP="00A237FA">
      <w:pPr>
        <w:pStyle w:val="2018ReviewBullets"/>
      </w:pPr>
      <w:r w:rsidRPr="005109D9">
        <w:rPr>
          <w:i/>
        </w:rPr>
        <w:t xml:space="preserve">assisting in the resolution of issues at workplaces; </w:t>
      </w:r>
      <w:r w:rsidRPr="005109D9">
        <w:rPr>
          <w:rFonts w:ascii="MS Mincho" w:eastAsia="MS Mincho" w:hAnsi="MS Mincho" w:cs="MS Mincho"/>
          <w:i/>
        </w:rPr>
        <w:t> </w:t>
      </w:r>
    </w:p>
    <w:p w:rsidR="003C2E95" w:rsidRPr="0047274B" w:rsidRDefault="003C2E95" w:rsidP="00A237FA">
      <w:pPr>
        <w:pStyle w:val="2018ReviewBullets"/>
      </w:pPr>
      <w:r w:rsidRPr="005109D9">
        <w:rPr>
          <w:i/>
        </w:rPr>
        <w:t>reviewing PINs and the appropriateness of work stoppage on safety grounds;</w:t>
      </w:r>
    </w:p>
    <w:p w:rsidR="003C2E95" w:rsidRPr="0047274B" w:rsidRDefault="003C2E95" w:rsidP="00A237FA">
      <w:pPr>
        <w:pStyle w:val="2018ReviewBullets"/>
      </w:pPr>
      <w:r w:rsidRPr="005109D9">
        <w:rPr>
          <w:i/>
        </w:rPr>
        <w:t>securing compliance with the model Act and regulations through the exercise of various powers, including the issuing of notices and giving directions; and</w:t>
      </w:r>
    </w:p>
    <w:p w:rsidR="003C2E95" w:rsidRPr="0047274B" w:rsidRDefault="003C2E95" w:rsidP="00A237FA">
      <w:pPr>
        <w:pStyle w:val="2018ReviewBullets"/>
      </w:pPr>
      <w:r w:rsidRPr="005109D9">
        <w:rPr>
          <w:i/>
        </w:rPr>
        <w:t>investigating suspected breaches and assisting in the prosecution of offences</w:t>
      </w:r>
      <w:r w:rsidR="002C6D7E">
        <w:rPr>
          <w:i/>
        </w:rPr>
        <w:t>.</w:t>
      </w:r>
      <w:r w:rsidRPr="005109D9">
        <w:rPr>
          <w:i/>
        </w:rPr>
        <w:t>’</w:t>
      </w:r>
      <w:r w:rsidRPr="005109D9">
        <w:rPr>
          <w:rStyle w:val="FootnoteReference"/>
          <w:i/>
        </w:rPr>
        <w:footnoteReference w:id="63"/>
      </w:r>
    </w:p>
    <w:p w:rsidR="003C2E95" w:rsidRPr="000A1CFB" w:rsidRDefault="004E7CCC" w:rsidP="00CA5EB3">
      <w:r>
        <w:t>Both the N</w:t>
      </w:r>
      <w:r w:rsidR="00744633">
        <w:t xml:space="preserve">ew </w:t>
      </w:r>
      <w:r>
        <w:t>S</w:t>
      </w:r>
      <w:r w:rsidR="00744633">
        <w:t xml:space="preserve">outh </w:t>
      </w:r>
      <w:r>
        <w:t>W</w:t>
      </w:r>
      <w:r w:rsidR="00744633">
        <w:t>ales</w:t>
      </w:r>
      <w:r>
        <w:t xml:space="preserve"> </w:t>
      </w:r>
      <w:r w:rsidR="00744633">
        <w:t>r</w:t>
      </w:r>
      <w:r>
        <w:t>eview</w:t>
      </w:r>
      <w:r w:rsidR="003C2E95">
        <w:t xml:space="preserve"> </w:t>
      </w:r>
      <w:r w:rsidR="003C2E95" w:rsidRPr="000A1CFB">
        <w:t>and the Q</w:t>
      </w:r>
      <w:r w:rsidR="00744633">
        <w:t>ueensland</w:t>
      </w:r>
      <w:r w:rsidR="003C2E95" w:rsidRPr="000A1CFB">
        <w:t xml:space="preserve"> </w:t>
      </w:r>
      <w:r w:rsidR="00744633">
        <w:t>r</w:t>
      </w:r>
      <w:r w:rsidR="003C2E95" w:rsidRPr="000A1CFB">
        <w:t>eview made recommendations relevant to inspectors’ functions and powers.</w:t>
      </w:r>
      <w:r w:rsidR="0084095F">
        <w:t xml:space="preserve"> </w:t>
      </w:r>
      <w:r w:rsidR="003C2E95" w:rsidRPr="000A1CFB">
        <w:t xml:space="preserve">The </w:t>
      </w:r>
      <w:r w:rsidR="00744633">
        <w:t xml:space="preserve">New South Wales review </w:t>
      </w:r>
      <w:r>
        <w:t xml:space="preserve">recommended that the </w:t>
      </w:r>
      <w:r w:rsidRPr="009F58D7">
        <w:t>NSW Act</w:t>
      </w:r>
      <w:r w:rsidR="003C2E95" w:rsidRPr="009F58D7">
        <w:t xml:space="preserve"> be</w:t>
      </w:r>
      <w:r w:rsidR="003C2E95" w:rsidRPr="000A1CFB">
        <w:t xml:space="preserve"> amended to permit the recording of interviews by the </w:t>
      </w:r>
      <w:r w:rsidR="003B55FD">
        <w:t>r</w:t>
      </w:r>
      <w:r w:rsidR="003C2E95" w:rsidRPr="000A1CFB">
        <w:t>egulator without consent, subject to the interviewee being given notice that his or h</w:t>
      </w:r>
      <w:r w:rsidR="00CA5EB3">
        <w:t>er interview is being recorded.</w:t>
      </w:r>
    </w:p>
    <w:p w:rsidR="003C2E95" w:rsidRPr="000A1CFB" w:rsidRDefault="003C2E95" w:rsidP="00CA5EB3">
      <w:r w:rsidRPr="000A1CFB">
        <w:t xml:space="preserve">The </w:t>
      </w:r>
      <w:r w:rsidR="00744633" w:rsidRPr="000A1CFB">
        <w:t>Q</w:t>
      </w:r>
      <w:r w:rsidR="00744633">
        <w:t>ueensland</w:t>
      </w:r>
      <w:r w:rsidR="00744633" w:rsidRPr="000A1CFB">
        <w:t xml:space="preserve"> </w:t>
      </w:r>
      <w:r w:rsidR="00744633">
        <w:t>r</w:t>
      </w:r>
      <w:r w:rsidRPr="000A1CFB">
        <w:t xml:space="preserve">eview found that the </w:t>
      </w:r>
      <w:r w:rsidR="00B313D1">
        <w:t>wording of the power to require production of documents or answers to questions</w:t>
      </w:r>
      <w:r w:rsidR="00B313D1" w:rsidRPr="000A1CFB">
        <w:t xml:space="preserve"> </w:t>
      </w:r>
      <w:r w:rsidR="00B313D1">
        <w:t>(</w:t>
      </w:r>
      <w:r w:rsidRPr="000A1CFB">
        <w:t>s</w:t>
      </w:r>
      <w:r w:rsidR="00127D7A">
        <w:t> </w:t>
      </w:r>
      <w:r w:rsidRPr="000A1CFB">
        <w:t>171</w:t>
      </w:r>
      <w:r w:rsidR="00B313D1">
        <w:t>)</w:t>
      </w:r>
      <w:r w:rsidRPr="000A1CFB">
        <w:t xml:space="preserve"> has raised some practical issues and may have unintended consequences about how </w:t>
      </w:r>
      <w:r w:rsidR="00EB56A9">
        <w:t>inspectors’</w:t>
      </w:r>
      <w:r w:rsidRPr="000A1CFB">
        <w:t xml:space="preserve"> powers are used.</w:t>
      </w:r>
      <w:r w:rsidR="0084095F">
        <w:t xml:space="preserve"> </w:t>
      </w:r>
      <w:r w:rsidRPr="000A1CFB">
        <w:t xml:space="preserve">It recommended that the </w:t>
      </w:r>
      <w:proofErr w:type="spellStart"/>
      <w:r w:rsidRPr="000A1CFB">
        <w:t>Q</w:t>
      </w:r>
      <w:r w:rsidR="00CE5815">
        <w:t>ld</w:t>
      </w:r>
      <w:proofErr w:type="spellEnd"/>
      <w:r w:rsidRPr="000A1CFB">
        <w:t xml:space="preserve"> Act be amended to provide tha</w:t>
      </w:r>
      <w:r w:rsidR="00E55CA1">
        <w:t>t</w:t>
      </w:r>
      <w:r w:rsidRPr="000A1CFB">
        <w:t>:</w:t>
      </w:r>
    </w:p>
    <w:p w:rsidR="003C2E95" w:rsidRPr="000A1CFB" w:rsidRDefault="00E55CA1" w:rsidP="001C1F47">
      <w:pPr>
        <w:pStyle w:val="2018ReviewBullets"/>
      </w:pPr>
      <w:r>
        <w:t>t</w:t>
      </w:r>
      <w:r w:rsidR="003B3C43">
        <w:t>he exercise of the power</w:t>
      </w:r>
      <w:r w:rsidR="003C2E95" w:rsidRPr="000A1CFB">
        <w:t xml:space="preserve"> extended to an inspector who has entered a workplace on a previous occasion</w:t>
      </w:r>
    </w:p>
    <w:p w:rsidR="003C2E95" w:rsidRPr="000A1CFB" w:rsidRDefault="00E55CA1" w:rsidP="001C1F47">
      <w:pPr>
        <w:pStyle w:val="2018ReviewBullets"/>
      </w:pPr>
      <w:r>
        <w:t>t</w:t>
      </w:r>
      <w:r w:rsidR="0042631A">
        <w:t>he requirement to produce a document</w:t>
      </w:r>
      <w:r w:rsidR="003C2E95" w:rsidRPr="000A1CFB">
        <w:t xml:space="preserve"> apply where a document is located at any place, not just the workplace</w:t>
      </w:r>
    </w:p>
    <w:p w:rsidR="003C2E95" w:rsidRPr="000A1CFB" w:rsidRDefault="00E55CA1" w:rsidP="001C1F47">
      <w:pPr>
        <w:pStyle w:val="2018ReviewBullets"/>
      </w:pPr>
      <w:r>
        <w:t xml:space="preserve">the </w:t>
      </w:r>
      <w:r w:rsidR="003C2E95" w:rsidRPr="000A1CFB">
        <w:t>production of the document to be made at any place, not just the workplace</w:t>
      </w:r>
    </w:p>
    <w:p w:rsidR="003C2E95" w:rsidRPr="000A1CFB" w:rsidRDefault="003C2E95" w:rsidP="001C1F47">
      <w:pPr>
        <w:pStyle w:val="2018ReviewBullets"/>
      </w:pPr>
      <w:r w:rsidRPr="000A1CFB">
        <w:t xml:space="preserve">a relevant person </w:t>
      </w:r>
      <w:r w:rsidR="00E55CA1">
        <w:t xml:space="preserve">be required </w:t>
      </w:r>
      <w:r w:rsidRPr="000A1CFB">
        <w:t>to answer questions at any time and place convenient</w:t>
      </w:r>
      <w:r w:rsidR="00E55CA1">
        <w:t>,</w:t>
      </w:r>
      <w:r w:rsidRPr="000A1CFB">
        <w:t xml:space="preserve"> and </w:t>
      </w:r>
    </w:p>
    <w:p w:rsidR="003C2E95" w:rsidRPr="000A1CFB" w:rsidRDefault="003C2E95" w:rsidP="001C1F47">
      <w:pPr>
        <w:pStyle w:val="2018ReviewBullets"/>
      </w:pPr>
      <w:r w:rsidRPr="000A1CFB">
        <w:t>anything done by an inspector who has not entered a workplace is lawfully done if another inspector has entered the workplace.</w:t>
      </w:r>
    </w:p>
    <w:p w:rsidR="003C2E95" w:rsidRDefault="00EB783F" w:rsidP="00CA5EB3">
      <w:r w:rsidRPr="000A1CFB">
        <w:t>The relationship between sections 155 and 171 (</w:t>
      </w:r>
      <w:r>
        <w:t xml:space="preserve">the </w:t>
      </w:r>
      <w:r w:rsidR="003B55FD">
        <w:t>r</w:t>
      </w:r>
      <w:r>
        <w:t xml:space="preserve">egulator’s </w:t>
      </w:r>
      <w:r w:rsidRPr="000A1CFB">
        <w:t xml:space="preserve">power to </w:t>
      </w:r>
      <w:r>
        <w:t>obtain information</w:t>
      </w:r>
      <w:r w:rsidRPr="000A1CFB">
        <w:t xml:space="preserve"> and</w:t>
      </w:r>
      <w:r>
        <w:t xml:space="preserve"> the inspectors’ power to require </w:t>
      </w:r>
      <w:r w:rsidRPr="000A1CFB">
        <w:t>answers to questions</w:t>
      </w:r>
      <w:r>
        <w:t xml:space="preserve"> respectively</w:t>
      </w:r>
      <w:r w:rsidRPr="000A1CFB">
        <w:t xml:space="preserve">) was examined in </w:t>
      </w:r>
      <w:hyperlink r:id="rId21" w:tgtFrame="_blank" w:history="1">
        <w:r w:rsidRPr="000A1CFB">
          <w:rPr>
            <w:i/>
          </w:rPr>
          <w:t>Hunter Quarries Pty Ltd v State of New South Wales (Department of Trade &amp; Investment)</w:t>
        </w:r>
      </w:hyperlink>
      <w:r>
        <w:t>.</w:t>
      </w:r>
      <w:r w:rsidR="00E55CA1">
        <w:rPr>
          <w:rStyle w:val="FootnoteReference"/>
          <w:sz w:val="22"/>
          <w:szCs w:val="22"/>
        </w:rPr>
        <w:footnoteReference w:id="64"/>
      </w:r>
      <w:r w:rsidR="0084095F">
        <w:t xml:space="preserve"> </w:t>
      </w:r>
      <w:r>
        <w:t>The Court</w:t>
      </w:r>
      <w:r w:rsidRPr="000A1CFB">
        <w:t xml:space="preserve"> </w:t>
      </w:r>
      <w:r>
        <w:t>confirmed that an inspector could interview witnesses under</w:t>
      </w:r>
      <w:r w:rsidR="00CD1FA8">
        <w:t xml:space="preserve"> s </w:t>
      </w:r>
      <w:r>
        <w:t xml:space="preserve">171 before the </w:t>
      </w:r>
      <w:r w:rsidR="003B55FD">
        <w:t>r</w:t>
      </w:r>
      <w:r>
        <w:t>egulator issued written notices under</w:t>
      </w:r>
      <w:r w:rsidR="00CD1FA8">
        <w:t xml:space="preserve"> s </w:t>
      </w:r>
      <w:r>
        <w:t>155, reinforcing the broad application of inspectors’ powers under</w:t>
      </w:r>
      <w:r w:rsidR="00CD1FA8">
        <w:t xml:space="preserve"> s </w:t>
      </w:r>
      <w:r>
        <w:t>171</w:t>
      </w:r>
      <w:r w:rsidR="00127D7A">
        <w:t>.</w:t>
      </w:r>
    </w:p>
    <w:p w:rsidR="00B05288" w:rsidRPr="000A1CFB" w:rsidRDefault="005202D8" w:rsidP="005202D8">
      <w:r w:rsidRPr="000A1CFB">
        <w:lastRenderedPageBreak/>
        <w:t xml:space="preserve">In South Australia, a review into the investigation and prosecution arrangements for offences under the </w:t>
      </w:r>
      <w:r>
        <w:t>SA</w:t>
      </w:r>
      <w:r w:rsidRPr="000A1CFB">
        <w:t xml:space="preserve"> Act </w:t>
      </w:r>
      <w:r>
        <w:t xml:space="preserve">raised questions around the ability to use </w:t>
      </w:r>
      <w:r w:rsidR="000A0CCC">
        <w:t>15</w:t>
      </w:r>
      <w:r>
        <w:t xml:space="preserve"> powers once proceedings for a breach of the WHS laws had commenced</w:t>
      </w:r>
      <w:r w:rsidR="002C6D7E">
        <w:t>.</w:t>
      </w:r>
      <w:r w:rsidRPr="000A1CFB">
        <w:rPr>
          <w:rStyle w:val="FootnoteReference"/>
          <w:rFonts w:asciiTheme="minorHAnsi" w:hAnsiTheme="minorHAnsi" w:cstheme="minorHAnsi"/>
          <w:i/>
          <w:sz w:val="22"/>
          <w:szCs w:val="22"/>
          <w:lang w:val="en"/>
        </w:rPr>
        <w:footnoteReference w:id="65"/>
      </w:r>
    </w:p>
    <w:p w:rsidR="005202D8" w:rsidRPr="000A1CFB" w:rsidRDefault="005202D8" w:rsidP="00CA5EB3"/>
    <w:p w:rsidR="007B7AA4" w:rsidRDefault="00960610" w:rsidP="00146A76">
      <w:pPr>
        <w:pStyle w:val="ReviewSubmissionQuestions"/>
      </w:pPr>
      <w:r w:rsidRPr="00B05288">
        <w:t>Have you any comments on the effectiveness, sufficiency and appropriateness of</w:t>
      </w:r>
      <w:r w:rsidR="003C2E95" w:rsidRPr="00B05288">
        <w:t xml:space="preserve"> the functions and powers provided to inspectors in the model WHS Act to ensure compliance with the model WHS legislation?</w:t>
      </w:r>
    </w:p>
    <w:p w:rsidR="003C2E95" w:rsidRPr="00F00C9B" w:rsidRDefault="003C2E95" w:rsidP="00F00C9B">
      <w:pPr>
        <w:pStyle w:val="2018ReviewSectionnumberingheading"/>
      </w:pPr>
      <w:bookmarkStart w:id="199" w:name="_Toc504468727"/>
      <w:bookmarkStart w:id="200" w:name="_Toc506794195"/>
      <w:bookmarkEnd w:id="199"/>
      <w:r w:rsidRPr="00F00C9B">
        <w:t>Internal and external review of decisions</w:t>
      </w:r>
      <w:bookmarkEnd w:id="200"/>
    </w:p>
    <w:p w:rsidR="003C2E95" w:rsidRPr="000A1CFB" w:rsidRDefault="003C2E95" w:rsidP="00CA5EB3">
      <w:r w:rsidRPr="000A1CFB">
        <w:t xml:space="preserve">Part 12 of the </w:t>
      </w:r>
      <w:r>
        <w:t xml:space="preserve">model WHS </w:t>
      </w:r>
      <w:r w:rsidRPr="000A1CFB">
        <w:t xml:space="preserve">Act and Part 11.1 of the </w:t>
      </w:r>
      <w:r>
        <w:t xml:space="preserve">model WHS </w:t>
      </w:r>
      <w:r w:rsidRPr="000A1CFB">
        <w:t xml:space="preserve">Regulations establish the procedures for the review of decisions that are made under the </w:t>
      </w:r>
      <w:r>
        <w:t>m</w:t>
      </w:r>
      <w:r w:rsidRPr="000A1CFB">
        <w:t xml:space="preserve">odel WHS </w:t>
      </w:r>
      <w:r w:rsidR="00482CD5" w:rsidRPr="000A1CFB">
        <w:t>l</w:t>
      </w:r>
      <w:r w:rsidR="00482CD5">
        <w:t>aws</w:t>
      </w:r>
      <w:r w:rsidRPr="000A1CFB">
        <w:t xml:space="preserve">. In general, reviewable decisions under the </w:t>
      </w:r>
      <w:r>
        <w:t xml:space="preserve">model WHS </w:t>
      </w:r>
      <w:r w:rsidRPr="000A1CFB">
        <w:t>Act are those that are made by:</w:t>
      </w:r>
    </w:p>
    <w:p w:rsidR="003C2E95" w:rsidRPr="000A1CFB" w:rsidRDefault="003C2E95" w:rsidP="00CA5EB3">
      <w:pPr>
        <w:pStyle w:val="2018ReviewBullets"/>
      </w:pPr>
      <w:r w:rsidRPr="000A1CFB">
        <w:t>inspectors—these are reviewable by the regulator internally at first instance, and then may go on to external review, and</w:t>
      </w:r>
    </w:p>
    <w:p w:rsidR="003C2E95" w:rsidRPr="000A1CFB" w:rsidRDefault="003C2E95" w:rsidP="00CA5EB3">
      <w:pPr>
        <w:pStyle w:val="2018ReviewBullets"/>
      </w:pPr>
      <w:r w:rsidRPr="000A1CFB">
        <w:t>the regulator—these go directly to external review</w:t>
      </w:r>
      <w:r w:rsidR="00F47951">
        <w:t>.</w:t>
      </w:r>
      <w:r w:rsidRPr="000A1CFB">
        <w:rPr>
          <w:rStyle w:val="FootnoteReference"/>
          <w:sz w:val="22"/>
          <w:szCs w:val="22"/>
        </w:rPr>
        <w:footnoteReference w:id="66"/>
      </w:r>
    </w:p>
    <w:p w:rsidR="003C2E95" w:rsidRPr="000A1CFB" w:rsidRDefault="003C2E95" w:rsidP="00CA5EB3">
      <w:r w:rsidRPr="000A1CFB">
        <w:t xml:space="preserve">Reviewable decisions under the </w:t>
      </w:r>
      <w:r>
        <w:t xml:space="preserve">model WHS </w:t>
      </w:r>
      <w:r w:rsidRPr="000A1CFB">
        <w:t>Regulations primarily deal with decisions about licensing, authorisation and exemption applications.</w:t>
      </w:r>
      <w:r w:rsidR="0084095F">
        <w:t xml:space="preserve"> </w:t>
      </w:r>
    </w:p>
    <w:p w:rsidR="003C2E95" w:rsidRDefault="006D3098" w:rsidP="005109D9">
      <w:r>
        <w:t>Internal and external reviews are merits reviews, which mean they are</w:t>
      </w:r>
      <w:r w:rsidRPr="006D3098">
        <w:t xml:space="preserve"> </w:t>
      </w:r>
      <w:r w:rsidRPr="000A1CFB">
        <w:t>a hearing de novo, in which the reviewer ‘stands in the shoes’ of the decision-maker and may only exercise those powers that were available to that decision-maker. The reviewer is not restricted to the facts and law which existed at the date of the original decision, and the parties are entitled to begin again and adduce new evidence</w:t>
      </w:r>
      <w:r w:rsidR="00E55CA1">
        <w:t>.</w:t>
      </w:r>
      <w:r w:rsidR="0084095F">
        <w:t xml:space="preserve"> </w:t>
      </w:r>
      <w:r>
        <w:t>This has been confirmed in multiple decisions</w:t>
      </w:r>
      <w:r w:rsidR="00856E0C">
        <w:t>.</w:t>
      </w:r>
      <w:r w:rsidR="00856E0C">
        <w:rPr>
          <w:rStyle w:val="FootnoteReference"/>
        </w:rPr>
        <w:footnoteReference w:id="67"/>
      </w:r>
      <w:r w:rsidR="00856E0C">
        <w:t xml:space="preserve"> </w:t>
      </w:r>
    </w:p>
    <w:p w:rsidR="00B05288" w:rsidRPr="000A1CFB" w:rsidRDefault="00B05288" w:rsidP="005109D9">
      <w:pPr>
        <w:rPr>
          <w:sz w:val="22"/>
          <w:szCs w:val="22"/>
          <w:lang w:val="en-AU"/>
        </w:rPr>
      </w:pPr>
    </w:p>
    <w:p w:rsidR="003C2E95" w:rsidRPr="00B05288" w:rsidRDefault="003C2E95" w:rsidP="00146A76">
      <w:pPr>
        <w:pStyle w:val="ReviewSubmissionQuestions"/>
      </w:pPr>
      <w:r w:rsidRPr="00B05288">
        <w:t>Have you experience of an internal or external review process under the model WHS laws? Do you consider that the provisions for review are appropriate and working effectively?</w:t>
      </w:r>
    </w:p>
    <w:p w:rsidR="003C2E95" w:rsidRPr="00F00C9B" w:rsidRDefault="003C2E95" w:rsidP="00F00C9B">
      <w:pPr>
        <w:pStyle w:val="2018ReviewSectionnumberingheading"/>
      </w:pPr>
      <w:bookmarkStart w:id="201" w:name="_Toc506794196"/>
      <w:r w:rsidRPr="00F00C9B">
        <w:t>Exemptions</w:t>
      </w:r>
      <w:bookmarkEnd w:id="201"/>
    </w:p>
    <w:p w:rsidR="003C2E95" w:rsidRDefault="003C2E95" w:rsidP="00856E0C">
      <w:pPr>
        <w:rPr>
          <w:lang w:val="en-AU"/>
        </w:rPr>
      </w:pPr>
      <w:r w:rsidRPr="000A1CFB">
        <w:rPr>
          <w:lang w:val="en-AU"/>
        </w:rPr>
        <w:t xml:space="preserve">Part 11.2 of the </w:t>
      </w:r>
      <w:r>
        <w:rPr>
          <w:lang w:val="en-AU"/>
        </w:rPr>
        <w:t>m</w:t>
      </w:r>
      <w:r w:rsidRPr="000A1CFB">
        <w:rPr>
          <w:lang w:val="en-AU"/>
        </w:rPr>
        <w:t xml:space="preserve">odel WHS Regulations provides capacity for the </w:t>
      </w:r>
      <w:r w:rsidR="003B55FD">
        <w:rPr>
          <w:lang w:val="en-AU"/>
        </w:rPr>
        <w:t>r</w:t>
      </w:r>
      <w:r w:rsidRPr="000A1CFB">
        <w:rPr>
          <w:lang w:val="en-AU"/>
        </w:rPr>
        <w:t xml:space="preserve">egulator to exempt a person or class of persons from compliance with any of the </w:t>
      </w:r>
      <w:r>
        <w:rPr>
          <w:lang w:val="en-AU"/>
        </w:rPr>
        <w:t>m</w:t>
      </w:r>
      <w:r w:rsidRPr="000A1CFB">
        <w:rPr>
          <w:lang w:val="en-AU"/>
        </w:rPr>
        <w:t xml:space="preserve">odel </w:t>
      </w:r>
      <w:r>
        <w:rPr>
          <w:lang w:val="en-AU"/>
        </w:rPr>
        <w:t xml:space="preserve">WHS </w:t>
      </w:r>
      <w:r w:rsidRPr="000A1CFB">
        <w:rPr>
          <w:lang w:val="en-AU"/>
        </w:rPr>
        <w:t>Regulations, either on its own initiative or on the written application from one or more persons.</w:t>
      </w:r>
    </w:p>
    <w:p w:rsidR="00B05288" w:rsidRPr="000A1CFB" w:rsidRDefault="00B05288" w:rsidP="00856E0C">
      <w:pPr>
        <w:rPr>
          <w:sz w:val="22"/>
          <w:szCs w:val="22"/>
          <w:lang w:val="en-AU"/>
        </w:rPr>
      </w:pPr>
    </w:p>
    <w:p w:rsidR="002420B7" w:rsidRDefault="003C2E95" w:rsidP="00146A76">
      <w:pPr>
        <w:pStyle w:val="ReviewSubmissionQuestions"/>
      </w:pPr>
      <w:r w:rsidRPr="00B05288">
        <w:t>Have you experience of an exemption application under the model WHS Regulations? Do you consider that the provisions for exemptions are appropriate and working effectively?</w:t>
      </w:r>
    </w:p>
    <w:p w:rsidR="002420B7" w:rsidRDefault="002420B7">
      <w:pPr>
        <w:spacing w:after="200" w:line="276" w:lineRule="auto"/>
        <w:rPr>
          <w:b/>
          <w:color w:val="145B85"/>
          <w:szCs w:val="20"/>
          <w:lang w:val="en-AU"/>
        </w:rPr>
      </w:pPr>
      <w:r>
        <w:br w:type="page"/>
      </w:r>
    </w:p>
    <w:p w:rsidR="001115FE" w:rsidRPr="00F00C9B" w:rsidRDefault="003C2E95" w:rsidP="00F00C9B">
      <w:pPr>
        <w:pStyle w:val="2018ReviewSectionnumberingheading"/>
      </w:pPr>
      <w:bookmarkStart w:id="202" w:name="_Toc506794197"/>
      <w:r w:rsidRPr="00F00C9B">
        <w:lastRenderedPageBreak/>
        <w:t>Cross-jurisdictional co-operation</w:t>
      </w:r>
      <w:bookmarkEnd w:id="202"/>
    </w:p>
    <w:p w:rsidR="00B05288" w:rsidRDefault="003C2E95" w:rsidP="005109D9">
      <w:pPr>
        <w:rPr>
          <w:lang w:val="en-AU"/>
        </w:rPr>
      </w:pPr>
      <w:r w:rsidRPr="00E450CF">
        <w:rPr>
          <w:lang w:val="en-AU"/>
        </w:rPr>
        <w:t xml:space="preserve">Currently, cross border co-operation </w:t>
      </w:r>
      <w:r w:rsidR="001115FE" w:rsidRPr="00E450CF">
        <w:rPr>
          <w:lang w:val="en-AU"/>
        </w:rPr>
        <w:t xml:space="preserve">between </w:t>
      </w:r>
      <w:r w:rsidR="003B55FD">
        <w:rPr>
          <w:lang w:val="en-AU"/>
        </w:rPr>
        <w:t>r</w:t>
      </w:r>
      <w:r w:rsidR="001115FE" w:rsidRPr="00E450CF">
        <w:rPr>
          <w:lang w:val="en-AU"/>
        </w:rPr>
        <w:t xml:space="preserve">egulators </w:t>
      </w:r>
      <w:r w:rsidRPr="00E450CF">
        <w:rPr>
          <w:lang w:val="en-AU"/>
        </w:rPr>
        <w:t>appears to rely on the use of</w:t>
      </w:r>
      <w:r w:rsidR="00CD1FA8">
        <w:rPr>
          <w:lang w:val="en-AU"/>
        </w:rPr>
        <w:t xml:space="preserve"> s </w:t>
      </w:r>
      <w:r w:rsidRPr="00E450CF">
        <w:rPr>
          <w:lang w:val="en-AU"/>
        </w:rPr>
        <w:t>156(d) (Appointment of Inspectors) and</w:t>
      </w:r>
      <w:r w:rsidR="00CD1FA8">
        <w:rPr>
          <w:lang w:val="en-AU"/>
        </w:rPr>
        <w:t xml:space="preserve"> s </w:t>
      </w:r>
      <w:r w:rsidRPr="00E450CF">
        <w:rPr>
          <w:lang w:val="en-AU"/>
        </w:rPr>
        <w:t xml:space="preserve">271 (Confidentiality of Information) of the model WHS </w:t>
      </w:r>
      <w:r w:rsidR="001115FE" w:rsidRPr="00E450CF">
        <w:rPr>
          <w:lang w:val="en-AU"/>
        </w:rPr>
        <w:t>Act.</w:t>
      </w:r>
      <w:r w:rsidR="0084095F">
        <w:rPr>
          <w:lang w:val="en-AU"/>
        </w:rPr>
        <w:t xml:space="preserve"> </w:t>
      </w:r>
      <w:r w:rsidR="00FC79EE" w:rsidRPr="00E450CF">
        <w:rPr>
          <w:lang w:val="en-AU"/>
        </w:rPr>
        <w:t>Inspectors</w:t>
      </w:r>
      <w:r w:rsidRPr="00E450CF">
        <w:rPr>
          <w:lang w:val="en-AU"/>
        </w:rPr>
        <w:t xml:space="preserve"> from other jurisdictions may be appointed under</w:t>
      </w:r>
      <w:r w:rsidR="00CD1FA8">
        <w:rPr>
          <w:lang w:val="en-AU"/>
        </w:rPr>
        <w:t xml:space="preserve"> s </w:t>
      </w:r>
      <w:r w:rsidRPr="00E450CF">
        <w:rPr>
          <w:lang w:val="en-AU"/>
        </w:rPr>
        <w:t xml:space="preserve">156(d) of the model WHS Act (as a person who is appointed as an inspector under a corresponding WHS law), and information may be shared </w:t>
      </w:r>
      <w:r w:rsidR="001115FE" w:rsidRPr="00E450CF">
        <w:rPr>
          <w:lang w:val="en-AU"/>
        </w:rPr>
        <w:t xml:space="preserve">across jurisdictions </w:t>
      </w:r>
      <w:r w:rsidRPr="00E450CF">
        <w:rPr>
          <w:lang w:val="en-AU"/>
        </w:rPr>
        <w:t>under</w:t>
      </w:r>
      <w:r w:rsidR="00CD1FA8">
        <w:rPr>
          <w:lang w:val="en-AU"/>
        </w:rPr>
        <w:t xml:space="preserve"> s </w:t>
      </w:r>
      <w:r w:rsidRPr="00E450CF">
        <w:rPr>
          <w:lang w:val="en-AU"/>
        </w:rPr>
        <w:t>271(3)(v) (being required for the exercise of a power or function</w:t>
      </w:r>
      <w:r w:rsidR="001115FE" w:rsidRPr="00E450CF">
        <w:rPr>
          <w:lang w:val="en-AU"/>
        </w:rPr>
        <w:t xml:space="preserve"> under a corresponding WHS law).</w:t>
      </w:r>
      <w:r w:rsidR="0084095F">
        <w:rPr>
          <w:lang w:val="en-AU"/>
        </w:rPr>
        <w:t xml:space="preserve"> </w:t>
      </w:r>
      <w:r w:rsidR="001115FE" w:rsidRPr="00E450CF">
        <w:rPr>
          <w:lang w:val="en-AU"/>
        </w:rPr>
        <w:t xml:space="preserve">Whilst there are many positive examples of cooperative compliance and enforcement activities between WHS regulators across jurisdictions (both geographic and industry specific), </w:t>
      </w:r>
      <w:r w:rsidR="00692C09">
        <w:rPr>
          <w:lang w:val="en-AU"/>
        </w:rPr>
        <w:t xml:space="preserve">from a legal perspective there is no clear authority for </w:t>
      </w:r>
      <w:r w:rsidRPr="00E450CF">
        <w:rPr>
          <w:lang w:val="en-AU"/>
        </w:rPr>
        <w:t xml:space="preserve">inspectors in one jurisdiction </w:t>
      </w:r>
      <w:r w:rsidR="00692C09">
        <w:rPr>
          <w:lang w:val="en-AU"/>
        </w:rPr>
        <w:t xml:space="preserve">to use </w:t>
      </w:r>
      <w:r w:rsidRPr="00E450CF">
        <w:rPr>
          <w:lang w:val="en-AU"/>
        </w:rPr>
        <w:t xml:space="preserve">their powers in another. </w:t>
      </w:r>
    </w:p>
    <w:p w:rsidR="001115FE" w:rsidRPr="000A1CFB" w:rsidRDefault="001115FE" w:rsidP="005109D9">
      <w:pPr>
        <w:rPr>
          <w:sz w:val="22"/>
          <w:szCs w:val="22"/>
        </w:rPr>
      </w:pPr>
    </w:p>
    <w:p w:rsidR="003C2E95" w:rsidRPr="00B05288" w:rsidRDefault="00B74D4C" w:rsidP="00146A76">
      <w:pPr>
        <w:pStyle w:val="ReviewSubmissionQuestions"/>
      </w:pPr>
      <w:r w:rsidRPr="00B05288">
        <w:t xml:space="preserve">Have you any comments on the </w:t>
      </w:r>
      <w:r w:rsidR="003C2E95" w:rsidRPr="00B05288">
        <w:t xml:space="preserve">provisions that </w:t>
      </w:r>
      <w:r w:rsidRPr="00B05288">
        <w:t>support</w:t>
      </w:r>
      <w:r w:rsidR="00C14A8F">
        <w:t xml:space="preserve"> </w:t>
      </w:r>
      <w:r w:rsidR="003C2E95" w:rsidRPr="00B05288">
        <w:t xml:space="preserve">co-operation and use of regulator and inspector powers and functions </w:t>
      </w:r>
      <w:r w:rsidR="00D42142" w:rsidRPr="00B05288">
        <w:t xml:space="preserve">across </w:t>
      </w:r>
      <w:r w:rsidR="003C2E95" w:rsidRPr="00B05288">
        <w:t xml:space="preserve">jurisdictions </w:t>
      </w:r>
      <w:r w:rsidR="00D42142" w:rsidRPr="00B05288">
        <w:t xml:space="preserve">and their effectiveness in assisting with </w:t>
      </w:r>
      <w:r w:rsidR="003C2E95" w:rsidRPr="00B05288">
        <w:t>the compliance and enforcement objective of the model WHS legislation?</w:t>
      </w:r>
    </w:p>
    <w:p w:rsidR="00FA783A" w:rsidRPr="00186542" w:rsidRDefault="00186542" w:rsidP="00F00C9B">
      <w:pPr>
        <w:pStyle w:val="2018ReviewSectionnumberingheading"/>
        <w:rPr>
          <w:b w:val="0"/>
          <w:i/>
        </w:rPr>
      </w:pPr>
      <w:bookmarkStart w:id="203" w:name="_Toc506794198"/>
      <w:r w:rsidRPr="00F00C9B">
        <w:t xml:space="preserve">Incident </w:t>
      </w:r>
      <w:r w:rsidR="003B55FD">
        <w:t>n</w:t>
      </w:r>
      <w:r w:rsidRPr="00F00C9B">
        <w:t>otification</w:t>
      </w:r>
      <w:bookmarkEnd w:id="203"/>
    </w:p>
    <w:p w:rsidR="00186542" w:rsidRPr="000A1CFB" w:rsidRDefault="00186542" w:rsidP="00CA5EB3">
      <w:pPr>
        <w:rPr>
          <w:b/>
          <w:color w:val="000000" w:themeColor="text1"/>
        </w:rPr>
      </w:pPr>
      <w:r w:rsidRPr="000A1CFB">
        <w:rPr>
          <w:bCs/>
        </w:rPr>
        <w:t xml:space="preserve">Section 35 </w:t>
      </w:r>
      <w:r w:rsidRPr="000A1CFB">
        <w:t xml:space="preserve">defines the kinds of workplace incidents that must be notified to the </w:t>
      </w:r>
      <w:r w:rsidR="003B55FD">
        <w:t>r</w:t>
      </w:r>
      <w:r w:rsidRPr="000A1CFB">
        <w:t>egulator.</w:t>
      </w:r>
      <w:r w:rsidR="0084095F">
        <w:t xml:space="preserve"> </w:t>
      </w:r>
      <w:r w:rsidRPr="000A1CFB">
        <w:t>A ‘notifiable incident’ is an incident involving the death of a person, ‘serious injury or illness’ of a person or a ‘dangerous incident’.</w:t>
      </w:r>
      <w:r w:rsidR="009F1DFF">
        <w:rPr>
          <w:rStyle w:val="FootnoteReference"/>
        </w:rPr>
        <w:footnoteReference w:id="68"/>
      </w:r>
    </w:p>
    <w:p w:rsidR="00186542" w:rsidRPr="000A1CFB" w:rsidRDefault="00186542" w:rsidP="00CA5EB3">
      <w:pPr>
        <w:rPr>
          <w:bCs/>
        </w:rPr>
      </w:pPr>
      <w:r w:rsidRPr="000A1CFB">
        <w:rPr>
          <w:bCs/>
        </w:rPr>
        <w:t xml:space="preserve">The duty to report notifiable incidents </w:t>
      </w:r>
      <w:r w:rsidR="009F1DFF">
        <w:rPr>
          <w:bCs/>
        </w:rPr>
        <w:t>under</w:t>
      </w:r>
      <w:r w:rsidR="00CD1FA8">
        <w:rPr>
          <w:bCs/>
        </w:rPr>
        <w:t xml:space="preserve"> s </w:t>
      </w:r>
      <w:r w:rsidRPr="000A1CFB">
        <w:rPr>
          <w:bCs/>
        </w:rPr>
        <w:t>38 is linked to the duty</w:t>
      </w:r>
      <w:r w:rsidR="00473EF0">
        <w:rPr>
          <w:bCs/>
        </w:rPr>
        <w:t xml:space="preserve"> under</w:t>
      </w:r>
      <w:r w:rsidR="00CD1FA8">
        <w:rPr>
          <w:bCs/>
        </w:rPr>
        <w:t xml:space="preserve"> s </w:t>
      </w:r>
      <w:r w:rsidR="00473EF0">
        <w:rPr>
          <w:bCs/>
        </w:rPr>
        <w:t>29</w:t>
      </w:r>
      <w:r w:rsidRPr="000A1CFB">
        <w:rPr>
          <w:bCs/>
        </w:rPr>
        <w:t xml:space="preserve"> to preserve an incident site until an inspector arrives or otherwise directs so that evidence is not compromised.</w:t>
      </w:r>
    </w:p>
    <w:p w:rsidR="00186542" w:rsidRDefault="00186542" w:rsidP="00CA5EB3">
      <w:r w:rsidRPr="000A1CFB">
        <w:t>Failure to notify</w:t>
      </w:r>
      <w:r w:rsidR="00692C09">
        <w:t xml:space="preserve"> or to preserve a site </w:t>
      </w:r>
      <w:r w:rsidRPr="000A1CFB">
        <w:t>is an offence.</w:t>
      </w:r>
    </w:p>
    <w:p w:rsidR="00B05288" w:rsidRDefault="00B05288" w:rsidP="00CA5EB3"/>
    <w:p w:rsidR="00186542" w:rsidRPr="00B05288" w:rsidRDefault="00AF2836" w:rsidP="00146A76">
      <w:pPr>
        <w:pStyle w:val="ReviewSubmissionQuestions"/>
      </w:pPr>
      <w:r w:rsidRPr="00B05288">
        <w:t xml:space="preserve">Have you any comments on the </w:t>
      </w:r>
      <w:r w:rsidR="00186542" w:rsidRPr="00B05288">
        <w:t>incident notification provisions?</w:t>
      </w:r>
    </w:p>
    <w:p w:rsidR="00FC4E01" w:rsidRPr="00F00C9B" w:rsidRDefault="00FC4E01" w:rsidP="00F00C9B">
      <w:pPr>
        <w:pStyle w:val="2018ReviewSectionnumberingheading"/>
      </w:pPr>
      <w:bookmarkStart w:id="204" w:name="_Toc506794199"/>
      <w:r w:rsidRPr="00F00C9B">
        <w:t>National compliance and enforcement data</w:t>
      </w:r>
      <w:bookmarkEnd w:id="204"/>
    </w:p>
    <w:p w:rsidR="00FC4E01" w:rsidRDefault="00FC4E01" w:rsidP="00CA5EB3">
      <w:r w:rsidRPr="00EF2B46">
        <w:t xml:space="preserve">WHS </w:t>
      </w:r>
      <w:r w:rsidR="003B55FD">
        <w:t>r</w:t>
      </w:r>
      <w:r w:rsidRPr="00EF2B46">
        <w:t xml:space="preserve">egulators encourage compliance with WHS laws using a variety of mechanisms ranging from education, advice and information through to prosecution. Inspectors appointed under </w:t>
      </w:r>
      <w:r w:rsidR="00BD61EE">
        <w:t>the model WHS laws</w:t>
      </w:r>
      <w:r w:rsidR="00BD61EE" w:rsidRPr="00EF2B46">
        <w:t xml:space="preserve"> </w:t>
      </w:r>
      <w:r w:rsidRPr="00EF2B46">
        <w:t xml:space="preserve">may visit workplaces for the purpose of providing information, presentations, training and advice, investigating incidents or dangerous occurrences and ensuring compliance with </w:t>
      </w:r>
      <w:r w:rsidR="00F5771C">
        <w:t>WHS</w:t>
      </w:r>
      <w:r w:rsidRPr="00EF2B46">
        <w:t xml:space="preserve"> legislation. Where breaches are detected, the inspector, based on risk, may issue notices or escalate the action</w:t>
      </w:r>
      <w:r w:rsidRPr="00F6708A">
        <w:t xml:space="preserve"> </w:t>
      </w:r>
      <w:r w:rsidRPr="00EF2B46">
        <w:t>to formal procedures that are addressed through the courts for serious contravention of the legislation.</w:t>
      </w:r>
    </w:p>
    <w:p w:rsidR="00FC4E01" w:rsidRDefault="00FC4E01" w:rsidP="00FC4E01">
      <w:pPr>
        <w:rPr>
          <w:b/>
          <w:sz w:val="22"/>
          <w:szCs w:val="22"/>
        </w:rPr>
      </w:pPr>
      <w:r w:rsidRPr="001E687F">
        <w:t xml:space="preserve">Data compiled by Safe Work Australia for the Comparative Performance Monitoring program show that the number of </w:t>
      </w:r>
      <w:r w:rsidR="00F5771C" w:rsidRPr="001E687F">
        <w:t>field</w:t>
      </w:r>
      <w:r w:rsidR="00F5771C">
        <w:t>-</w:t>
      </w:r>
      <w:r w:rsidRPr="001E687F">
        <w:t xml:space="preserve">active WHS inspectors employed around Australia has remained relatively stable at or around 1,100 since 2008-09, as shown in Figure </w:t>
      </w:r>
      <w:r>
        <w:t>3</w:t>
      </w:r>
      <w:r w:rsidRPr="001E687F">
        <w:t xml:space="preserve"> below. </w:t>
      </w:r>
    </w:p>
    <w:p w:rsidR="00FC4E01" w:rsidRPr="001E687F" w:rsidRDefault="00FC4E01" w:rsidP="00CA5EB3">
      <w:pPr>
        <w:pStyle w:val="2018ReviewTableheader"/>
      </w:pPr>
      <w:r w:rsidRPr="001E687F">
        <w:lastRenderedPageBreak/>
        <w:t xml:space="preserve">Figure </w:t>
      </w:r>
      <w:r>
        <w:t>3</w:t>
      </w:r>
      <w:r w:rsidRPr="001E687F">
        <w:t>: Number of field active WHS in</w:t>
      </w:r>
      <w:r w:rsidR="00982FBB">
        <w:t>spectors</w:t>
      </w:r>
      <w:r w:rsidRPr="001E687F">
        <w:t>, Australia, 2006-07 to 2015-16</w:t>
      </w:r>
    </w:p>
    <w:p w:rsidR="00FC4E01" w:rsidRDefault="00FC4E01" w:rsidP="00FC4E01">
      <w:pPr>
        <w:rPr>
          <w:sz w:val="22"/>
          <w:szCs w:val="22"/>
        </w:rPr>
      </w:pPr>
      <w:r w:rsidRPr="00E0399F">
        <w:rPr>
          <w:noProof/>
          <w:sz w:val="22"/>
          <w:szCs w:val="22"/>
          <w:lang w:val="en-AU"/>
        </w:rPr>
        <w:drawing>
          <wp:inline distT="0" distB="0" distL="0" distR="0" wp14:anchorId="3D40A5F9" wp14:editId="742C1CCB">
            <wp:extent cx="5877531" cy="2452494"/>
            <wp:effectExtent l="0" t="0" r="0" b="5080"/>
            <wp:docPr id="9" name="Chart 9" descr="Line graph showing increase of field active WHS inspectors from 1,055 in 2006-07 to 1,114 in 2015-16.  Most growth in the number of inspectors occurred in 2008." title="Number of field active WHS inspectors, Australia, 2006-07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2FBB" w:rsidRPr="00866B4B" w:rsidRDefault="00982FBB" w:rsidP="00FC4E01">
      <w:pPr>
        <w:rPr>
          <w:sz w:val="18"/>
          <w:szCs w:val="22"/>
        </w:rPr>
      </w:pPr>
      <w:r w:rsidRPr="00866B4B">
        <w:rPr>
          <w:sz w:val="18"/>
          <w:szCs w:val="22"/>
        </w:rPr>
        <w:t>Source: Safe Work Australia, Comparative Performance Monitoring program</w:t>
      </w:r>
    </w:p>
    <w:p w:rsidR="00FC4E01" w:rsidRDefault="00FC4E01" w:rsidP="00CA5EB3">
      <w:r w:rsidRPr="001E687F">
        <w:t xml:space="preserve">Each year </w:t>
      </w:r>
      <w:r w:rsidR="003B55FD">
        <w:t>r</w:t>
      </w:r>
      <w:r w:rsidR="00F5771C">
        <w:t>egulators</w:t>
      </w:r>
      <w:r w:rsidRPr="001E687F">
        <w:t xml:space="preserve"> conduct thousands of workplace interventions to promote WHS compliance and respond to WHS incidents. In 2015–16, overall </w:t>
      </w:r>
      <w:r w:rsidR="003B55FD">
        <w:t>r</w:t>
      </w:r>
      <w:r w:rsidR="00F5771C">
        <w:t>egulators</w:t>
      </w:r>
      <w:r w:rsidRPr="001E687F">
        <w:t xml:space="preserve"> undertook over 20</w:t>
      </w:r>
      <w:r w:rsidR="00F5771C">
        <w:t>0,000</w:t>
      </w:r>
      <w:r w:rsidRPr="001E687F">
        <w:t xml:space="preserve"> workplace interventions, of which </w:t>
      </w:r>
      <w:r w:rsidR="00F5771C">
        <w:t>almost 90,000</w:t>
      </w:r>
      <w:r w:rsidRPr="001E687F">
        <w:t xml:space="preserve"> were proactive workplace visits</w:t>
      </w:r>
      <w:r w:rsidR="0014595F">
        <w:t xml:space="preserve"> (visits not related to an incident or complaint)</w:t>
      </w:r>
      <w:r w:rsidRPr="001E687F">
        <w:t xml:space="preserve"> and </w:t>
      </w:r>
      <w:r w:rsidR="00F5771C">
        <w:t>around 60,000</w:t>
      </w:r>
      <w:r w:rsidRPr="001E687F">
        <w:t xml:space="preserve"> were reactive workplace visits</w:t>
      </w:r>
      <w:r w:rsidR="00087567">
        <w:t xml:space="preserve"> (visit</w:t>
      </w:r>
      <w:r w:rsidR="0014595F">
        <w:t>s</w:t>
      </w:r>
      <w:r w:rsidR="00087567">
        <w:t xml:space="preserve"> related to an incident or complaint)</w:t>
      </w:r>
      <w:r w:rsidRPr="001E687F">
        <w:t xml:space="preserve">. </w:t>
      </w:r>
      <w:r w:rsidR="00087567">
        <w:t>In addition, o</w:t>
      </w:r>
      <w:r w:rsidR="00F5771C">
        <w:t>n the education front,</w:t>
      </w:r>
      <w:r w:rsidR="0084095F">
        <w:t xml:space="preserve"> </w:t>
      </w:r>
      <w:r w:rsidR="003B55FD">
        <w:t>r</w:t>
      </w:r>
      <w:r w:rsidR="00F5771C">
        <w:t xml:space="preserve">egulators gave over </w:t>
      </w:r>
      <w:r w:rsidRPr="001E687F">
        <w:t>13,</w:t>
      </w:r>
      <w:r w:rsidR="00F5771C">
        <w:t>000</w:t>
      </w:r>
      <w:r w:rsidRPr="001E687F">
        <w:t xml:space="preserve"> proactive workshops, presentations or seminars</w:t>
      </w:r>
      <w:r w:rsidR="00087567">
        <w:t xml:space="preserve">, and undertook over 40,000 other reactive activities such as </w:t>
      </w:r>
      <w:r w:rsidR="00087567" w:rsidRPr="001A7009">
        <w:t xml:space="preserve">desk based audits, meetings, telephone advice and written correspondence </w:t>
      </w:r>
      <w:r w:rsidR="00087567">
        <w:t xml:space="preserve">required to </w:t>
      </w:r>
      <w:r w:rsidR="00087567" w:rsidRPr="001A7009">
        <w:t>resol</w:t>
      </w:r>
      <w:r w:rsidR="00087567">
        <w:t>ve</w:t>
      </w:r>
      <w:r w:rsidR="00087567" w:rsidRPr="001A7009">
        <w:t xml:space="preserve"> an incident or complaint</w:t>
      </w:r>
      <w:r w:rsidRPr="001E687F">
        <w:t>.</w:t>
      </w:r>
      <w:r w:rsidR="00087567">
        <w:t xml:space="preserve"> </w:t>
      </w:r>
    </w:p>
    <w:p w:rsidR="00FC4E01" w:rsidRDefault="00FC4E01" w:rsidP="00FC4E01">
      <w:r w:rsidRPr="001E687F">
        <w:t xml:space="preserve">As shown in Figure </w:t>
      </w:r>
      <w:r>
        <w:t>4</w:t>
      </w:r>
      <w:r w:rsidRPr="001E687F">
        <w:t xml:space="preserve"> below, the total number of workplace interventions has remained relatively stable over the last seven years</w:t>
      </w:r>
      <w:r w:rsidR="009F1DFF">
        <w:t>,</w:t>
      </w:r>
      <w:r w:rsidRPr="001E687F">
        <w:t xml:space="preserve"> however, there has been a slight increase in the proportion of these interventions which are proactive in nature.</w:t>
      </w:r>
    </w:p>
    <w:p w:rsidR="00473EF0" w:rsidRDefault="00473EF0" w:rsidP="00FC4E01">
      <w:pPr>
        <w:rPr>
          <w:b/>
          <w:sz w:val="22"/>
          <w:szCs w:val="22"/>
        </w:rPr>
      </w:pPr>
    </w:p>
    <w:p w:rsidR="00FC4E01" w:rsidRPr="001E687F" w:rsidRDefault="00FC4E01" w:rsidP="00CA5EB3">
      <w:pPr>
        <w:pStyle w:val="2018ReviewTableheader"/>
      </w:pPr>
      <w:r w:rsidRPr="001E687F">
        <w:t xml:space="preserve">Figure </w:t>
      </w:r>
      <w:r>
        <w:t>4</w:t>
      </w:r>
      <w:r w:rsidRPr="001E687F">
        <w:t>: Number of workplace WHS regulator interventions, proactive and reactive, Australia, 2006-07 to 2015-16</w:t>
      </w:r>
    </w:p>
    <w:p w:rsidR="00FC4E01" w:rsidRDefault="00FC4E01" w:rsidP="00FC4E01">
      <w:r>
        <w:rPr>
          <w:noProof/>
          <w:lang w:val="en-AU"/>
        </w:rPr>
        <w:drawing>
          <wp:inline distT="0" distB="0" distL="0" distR="0" wp14:anchorId="793D5D5D" wp14:editId="4233B47E">
            <wp:extent cx="5791200" cy="2543175"/>
            <wp:effectExtent l="0" t="0" r="0" b="0"/>
            <wp:docPr id="10" name="Chart 10" descr="Line graph showing increase in number of both practive activities and reactive activities from around 70,000 to just over 100,000.  Total workplace interventions increased from around 140,000 to approximately 205,000." title="Line graph displaying increase in number of workplace WHS regulator interventions, proactive and reactive, Australia, 2006-07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82FBB" w:rsidRPr="00866B4B" w:rsidRDefault="00982FBB" w:rsidP="00982FBB">
      <w:pPr>
        <w:rPr>
          <w:sz w:val="18"/>
          <w:szCs w:val="22"/>
        </w:rPr>
      </w:pPr>
      <w:r w:rsidRPr="00866B4B">
        <w:rPr>
          <w:sz w:val="18"/>
          <w:szCs w:val="22"/>
        </w:rPr>
        <w:t>Source: Safe Work Australia, Comparative Performance Monitoring program</w:t>
      </w:r>
    </w:p>
    <w:p w:rsidR="00FC4E01" w:rsidRPr="00DB4633" w:rsidRDefault="00FC4E01" w:rsidP="006D7214">
      <w:r w:rsidRPr="00DB4633">
        <w:t xml:space="preserve">Where inspectors identify a breach under their </w:t>
      </w:r>
      <w:r w:rsidR="00473EF0">
        <w:t>WHS</w:t>
      </w:r>
      <w:r w:rsidRPr="00DB4633">
        <w:t xml:space="preserve"> legislation a notice may be issued. In 2015-16, jurisdictional WHS authorities issued 43,025 notices, comprising 166 infringement notices, 3,032</w:t>
      </w:r>
      <w:r w:rsidR="00437808">
        <w:t> </w:t>
      </w:r>
      <w:r w:rsidRPr="00DB4633">
        <w:t>prohibition notices and 39,827 improvement notices.</w:t>
      </w:r>
    </w:p>
    <w:p w:rsidR="00482CD5" w:rsidRDefault="00FC4E01" w:rsidP="006D7214">
      <w:pPr>
        <w:rPr>
          <w:sz w:val="22"/>
          <w:szCs w:val="22"/>
        </w:rPr>
      </w:pPr>
      <w:r w:rsidRPr="00DB4633">
        <w:lastRenderedPageBreak/>
        <w:t>It is difficult to compare data on notices across jurisdictions as notices are issued differently in each. For example, in some instances a single notice may be issued for multiple breaches of the legislation, while in other instances separate notices are issued for each identified breach. At the national level, Figure 5 below shows that over the last 10 years there has been a general decline in the number of each type of notice issued.</w:t>
      </w:r>
    </w:p>
    <w:p w:rsidR="00FC4E01" w:rsidRPr="003C457E" w:rsidRDefault="00FC4E01" w:rsidP="00473EF0">
      <w:pPr>
        <w:pStyle w:val="2018ReviewTableheader"/>
      </w:pPr>
      <w:r w:rsidRPr="003C457E">
        <w:t xml:space="preserve">Figure </w:t>
      </w:r>
      <w:r>
        <w:t>5</w:t>
      </w:r>
      <w:r w:rsidRPr="003C457E">
        <w:t>: Notices issued by type of notice, Australia, 2006-07 to 2015-16</w:t>
      </w:r>
      <w:r w:rsidRPr="00E0399F">
        <w:rPr>
          <w:noProof/>
          <w:lang w:val="en-AU" w:eastAsia="en-AU"/>
        </w:rPr>
        <w:drawing>
          <wp:inline distT="0" distB="0" distL="0" distR="0" wp14:anchorId="252CA5EE" wp14:editId="3CE66497">
            <wp:extent cx="6141720" cy="2849880"/>
            <wp:effectExtent l="0" t="0" r="0" b="7620"/>
            <wp:docPr id="11" name="Chart 11" descr="Line graph showing number of improvement notices issued, number of infringement notices issued, and number of prohibition notices issued.  &#10;Number of improvement notices dropped from around 54,000 in 2006-07 to 50,000 in 2007-08, and then rose to approximately 56,000 in 2009-10, before dropping to just under 40,000 by 2015-16.&#10;Number of infringement notices dropped from around 1,500 2006-07 to 166 in 2015-16.&#10;Number of prohibition notices dropped from 6,700 in 2006-07 to just over 3,000 in 2015-16." title="Notices issued by type of notice, Australia, 2006-07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6067" w:rsidRPr="00866B4B" w:rsidRDefault="00982FBB">
      <w:pPr>
        <w:rPr>
          <w:szCs w:val="22"/>
        </w:rPr>
      </w:pPr>
      <w:r w:rsidRPr="00866B4B">
        <w:rPr>
          <w:sz w:val="18"/>
          <w:szCs w:val="22"/>
        </w:rPr>
        <w:t>Source: Safe Work Australia, Comparative Performance Monitoring program</w:t>
      </w:r>
      <w:r w:rsidR="006F6067">
        <w:rPr>
          <w:b/>
          <w:sz w:val="22"/>
          <w:szCs w:val="22"/>
          <w:lang w:val="en-AU"/>
        </w:rPr>
        <w:br w:type="page"/>
      </w:r>
    </w:p>
    <w:p w:rsidR="006C2043" w:rsidRPr="00F00C9B" w:rsidRDefault="006C2043" w:rsidP="00F00C9B">
      <w:pPr>
        <w:pStyle w:val="2018ReviewWhiteHeading"/>
        <w:numPr>
          <w:ilvl w:val="0"/>
          <w:numId w:val="34"/>
        </w:numPr>
        <w:ind w:left="357" w:hanging="357"/>
      </w:pPr>
      <w:bookmarkStart w:id="205" w:name="_Toc506794200"/>
      <w:r w:rsidRPr="00F00C9B">
        <w:lastRenderedPageBreak/>
        <w:t>National compliance and enforcement policy</w:t>
      </w:r>
      <w:bookmarkEnd w:id="205"/>
    </w:p>
    <w:p w:rsidR="00744633" w:rsidRDefault="005B423E" w:rsidP="00CA5EB3">
      <w:pPr>
        <w:rPr>
          <w:lang w:val="en-AU"/>
        </w:rPr>
      </w:pPr>
      <w:r>
        <w:rPr>
          <w:lang w:val="en-AU"/>
        </w:rPr>
        <w:t>The NCEP is a key element of the model WHS laws framework.</w:t>
      </w:r>
      <w:r w:rsidR="0009689F">
        <w:rPr>
          <w:rStyle w:val="FootnoteReference"/>
          <w:lang w:val="en-AU"/>
        </w:rPr>
        <w:footnoteReference w:id="69"/>
      </w:r>
      <w:r>
        <w:rPr>
          <w:lang w:val="en-AU"/>
        </w:rPr>
        <w:t xml:space="preserve"> It is a ‘model policy’ that jurisdictions can refer to and/or adopt as their own.</w:t>
      </w:r>
    </w:p>
    <w:tbl>
      <w:tblPr>
        <w:tblStyle w:val="TableGrid"/>
        <w:tblW w:w="0" w:type="auto"/>
        <w:tblLook w:val="04A0" w:firstRow="1" w:lastRow="0" w:firstColumn="1" w:lastColumn="0" w:noHBand="0" w:noVBand="1"/>
        <w:tblCaption w:val="List of relevant Objects and Terms of Reference for this chapter"/>
        <w:tblDescription w:val="Object: Maintaining and strengthening the national harmonisation of laws relating to work health and safety and to facilitate a consistent national approach to work health and safety in this jurisdiction: &#10;s 3(1h).&#10;Term of Reference: The national compliance and enforcement policy adequately supports the object of the model WHS Act."/>
      </w:tblPr>
      <w:tblGrid>
        <w:gridCol w:w="2943"/>
        <w:gridCol w:w="6293"/>
      </w:tblGrid>
      <w:tr w:rsidR="005B423E" w:rsidTr="00EC7CD4">
        <w:trPr>
          <w:tblHeader/>
        </w:trPr>
        <w:tc>
          <w:tcPr>
            <w:tcW w:w="2943" w:type="dxa"/>
          </w:tcPr>
          <w:p w:rsidR="00D02190" w:rsidRDefault="005B423E" w:rsidP="00866B4B">
            <w:pPr>
              <w:pStyle w:val="Heading4"/>
              <w:ind w:left="0" w:firstLine="0"/>
              <w:rPr>
                <w:lang w:val="en-AU"/>
              </w:rPr>
            </w:pPr>
            <w:r w:rsidRPr="000A1CFB">
              <w:rPr>
                <w:lang w:val="en-AU"/>
              </w:rPr>
              <w:t>Object</w:t>
            </w:r>
            <w:r w:rsidR="00D02190">
              <w:rPr>
                <w:lang w:val="en-AU"/>
              </w:rPr>
              <w:t xml:space="preserve"> of the model WHS Act</w:t>
            </w:r>
            <w:r w:rsidR="00CA301B">
              <w:rPr>
                <w:lang w:val="en-AU"/>
              </w:rPr>
              <w:t>:</w:t>
            </w:r>
          </w:p>
          <w:p w:rsidR="005B423E" w:rsidRPr="00866B4B" w:rsidRDefault="00D02190" w:rsidP="00CA5EB3">
            <w:pPr>
              <w:pStyle w:val="Heading4"/>
              <w:rPr>
                <w:b w:val="0"/>
                <w:lang w:val="en-AU"/>
              </w:rPr>
            </w:pPr>
            <w:r w:rsidRPr="00866B4B">
              <w:rPr>
                <w:b w:val="0"/>
                <w:lang w:val="en-AU"/>
              </w:rPr>
              <w:t>(see s 3(</w:t>
            </w:r>
            <w:r w:rsidR="000A0CCC" w:rsidRPr="00866B4B">
              <w:rPr>
                <w:b w:val="0"/>
                <w:lang w:val="en-AU"/>
              </w:rPr>
              <w:t>1</w:t>
            </w:r>
            <w:r w:rsidR="000A0CCC">
              <w:rPr>
                <w:b w:val="0"/>
                <w:lang w:val="en-AU"/>
              </w:rPr>
              <w:t>)(</w:t>
            </w:r>
            <w:r w:rsidR="000A0CCC" w:rsidRPr="00866B4B">
              <w:rPr>
                <w:b w:val="0"/>
                <w:lang w:val="en-AU"/>
              </w:rPr>
              <w:t>h</w:t>
            </w:r>
            <w:r w:rsidRPr="00866B4B">
              <w:rPr>
                <w:b w:val="0"/>
                <w:lang w:val="en-AU"/>
              </w:rPr>
              <w:t>))</w:t>
            </w:r>
          </w:p>
        </w:tc>
        <w:tc>
          <w:tcPr>
            <w:tcW w:w="6293" w:type="dxa"/>
          </w:tcPr>
          <w:p w:rsidR="005B423E" w:rsidRDefault="005B423E" w:rsidP="00D02190">
            <w:pPr>
              <w:rPr>
                <w:lang w:val="en-AU"/>
              </w:rPr>
            </w:pPr>
            <w:r>
              <w:rPr>
                <w:lang w:val="en-AU"/>
              </w:rPr>
              <w:t>M</w:t>
            </w:r>
            <w:r w:rsidRPr="000A1CFB">
              <w:rPr>
                <w:lang w:val="en-AU"/>
              </w:rPr>
              <w:t>aintaining and strengthening the national harmonisation of laws relating to work health and safety and to facilitate a consistent national approach to work health and safety in this jurisdiction</w:t>
            </w:r>
            <w:r w:rsidR="00D02190">
              <w:rPr>
                <w:lang w:val="en-AU"/>
              </w:rPr>
              <w:t>.</w:t>
            </w:r>
            <w:r>
              <w:rPr>
                <w:lang w:val="en-AU"/>
              </w:rPr>
              <w:t xml:space="preserve"> </w:t>
            </w:r>
            <w:r w:rsidR="00482CD5">
              <w:rPr>
                <w:lang w:val="en-AU"/>
              </w:rPr>
              <w:br/>
            </w:r>
          </w:p>
        </w:tc>
      </w:tr>
      <w:tr w:rsidR="005B423E" w:rsidTr="005C1DD7">
        <w:tc>
          <w:tcPr>
            <w:tcW w:w="2943" w:type="dxa"/>
          </w:tcPr>
          <w:p w:rsidR="005B423E" w:rsidRDefault="005B423E" w:rsidP="00CA5EB3">
            <w:pPr>
              <w:pStyle w:val="Heading4"/>
              <w:rPr>
                <w:lang w:val="en-AU"/>
              </w:rPr>
            </w:pPr>
            <w:r w:rsidRPr="000A1CFB">
              <w:rPr>
                <w:lang w:val="en-AU"/>
              </w:rPr>
              <w:t>Term of Reference:</w:t>
            </w:r>
          </w:p>
        </w:tc>
        <w:tc>
          <w:tcPr>
            <w:tcW w:w="6293" w:type="dxa"/>
          </w:tcPr>
          <w:p w:rsidR="005B423E" w:rsidRDefault="005B423E" w:rsidP="00CA5EB3">
            <w:pPr>
              <w:rPr>
                <w:lang w:val="en-AU"/>
              </w:rPr>
            </w:pPr>
            <w:r w:rsidRPr="000A1CFB">
              <w:rPr>
                <w:lang w:val="en-AU"/>
              </w:rPr>
              <w:t xml:space="preserve">The </w:t>
            </w:r>
            <w:r>
              <w:rPr>
                <w:lang w:val="en-AU"/>
              </w:rPr>
              <w:t>n</w:t>
            </w:r>
            <w:r w:rsidRPr="000A1CFB">
              <w:rPr>
                <w:lang w:val="en-AU"/>
              </w:rPr>
              <w:t xml:space="preserve">ational compliance and enforcement policy adequately supports the object of the </w:t>
            </w:r>
            <w:r>
              <w:rPr>
                <w:lang w:val="en-AU"/>
              </w:rPr>
              <w:t>m</w:t>
            </w:r>
            <w:r w:rsidRPr="000A1CFB">
              <w:rPr>
                <w:lang w:val="en-AU"/>
              </w:rPr>
              <w:t>odel WHS Act.</w:t>
            </w:r>
          </w:p>
        </w:tc>
      </w:tr>
    </w:tbl>
    <w:p w:rsidR="006C2043" w:rsidRPr="000A1CFB" w:rsidRDefault="006C2043" w:rsidP="00896B09">
      <w:pPr>
        <w:spacing w:before="120"/>
        <w:rPr>
          <w:iCs/>
        </w:rPr>
      </w:pPr>
      <w:r w:rsidRPr="000A1CFB">
        <w:rPr>
          <w:iCs/>
        </w:rPr>
        <w:t xml:space="preserve">Prior to implementing the model WHS laws, </w:t>
      </w:r>
      <w:r w:rsidR="003B55FD">
        <w:rPr>
          <w:iCs/>
        </w:rPr>
        <w:t>r</w:t>
      </w:r>
      <w:r w:rsidRPr="000A1CFB">
        <w:rPr>
          <w:iCs/>
        </w:rPr>
        <w:t xml:space="preserve">egulators across jurisdictions had common approaches to enforcement and compliance but there were considerable inconsistencies in the level of penalties for breaching the laws and in enforcement and prosecution strategies. Compliance and enforcement policies were often not made public and so it was unclear to duty holders how a </w:t>
      </w:r>
      <w:r w:rsidR="003B55FD">
        <w:rPr>
          <w:iCs/>
        </w:rPr>
        <w:t>r</w:t>
      </w:r>
      <w:r w:rsidRPr="000A1CFB">
        <w:rPr>
          <w:iCs/>
        </w:rPr>
        <w:t>egulator would enforce occupational health and safety laws in different circumstances.</w:t>
      </w:r>
      <w:r w:rsidR="0084095F">
        <w:rPr>
          <w:iCs/>
        </w:rPr>
        <w:t xml:space="preserve"> </w:t>
      </w:r>
    </w:p>
    <w:p w:rsidR="006C2043" w:rsidRPr="000A1CFB" w:rsidRDefault="006C2043" w:rsidP="00CA5EB3">
      <w:pPr>
        <w:rPr>
          <w:iCs/>
        </w:rPr>
      </w:pPr>
      <w:r w:rsidRPr="000A1CFB">
        <w:rPr>
          <w:iCs/>
        </w:rPr>
        <w:t>The IGA commit</w:t>
      </w:r>
      <w:r w:rsidR="005B423E">
        <w:rPr>
          <w:iCs/>
        </w:rPr>
        <w:t>ted</w:t>
      </w:r>
      <w:r w:rsidRPr="000A1CFB">
        <w:rPr>
          <w:iCs/>
        </w:rPr>
        <w:t xml:space="preserve"> to the development of a NCEP </w:t>
      </w:r>
      <w:r w:rsidR="00A14A57">
        <w:rPr>
          <w:iCs/>
        </w:rPr>
        <w:t xml:space="preserve">as a means of </w:t>
      </w:r>
      <w:r w:rsidRPr="000A1CFB">
        <w:rPr>
          <w:iCs/>
        </w:rPr>
        <w:t>ensur</w:t>
      </w:r>
      <w:r w:rsidR="00A14A57">
        <w:rPr>
          <w:iCs/>
        </w:rPr>
        <w:t>ing</w:t>
      </w:r>
      <w:r w:rsidRPr="000A1CFB">
        <w:rPr>
          <w:iCs/>
        </w:rPr>
        <w:t xml:space="preserve"> a consistent regulatory approach to support the intention and efficacy of harmonisation. </w:t>
      </w:r>
    </w:p>
    <w:p w:rsidR="006C2043" w:rsidRPr="000A1CFB" w:rsidRDefault="006C2043" w:rsidP="00CA5EB3">
      <w:pPr>
        <w:rPr>
          <w:iCs/>
        </w:rPr>
      </w:pPr>
      <w:r w:rsidRPr="000A1CFB">
        <w:t xml:space="preserve">The NCEP is a high-level document that sets </w:t>
      </w:r>
      <w:r w:rsidRPr="000A1CFB">
        <w:rPr>
          <w:iCs/>
        </w:rPr>
        <w:t xml:space="preserve">out the principles that underpin how WHS </w:t>
      </w:r>
      <w:r w:rsidR="005B423E">
        <w:rPr>
          <w:iCs/>
        </w:rPr>
        <w:t>R</w:t>
      </w:r>
      <w:r w:rsidRPr="000A1CFB">
        <w:rPr>
          <w:iCs/>
        </w:rPr>
        <w:t xml:space="preserve">egulators </w:t>
      </w:r>
      <w:r w:rsidR="00A14A57">
        <w:rPr>
          <w:iCs/>
        </w:rPr>
        <w:t>should</w:t>
      </w:r>
      <w:r w:rsidR="00A14A57" w:rsidRPr="000A1CFB">
        <w:rPr>
          <w:iCs/>
        </w:rPr>
        <w:t xml:space="preserve"> </w:t>
      </w:r>
      <w:r w:rsidRPr="000A1CFB">
        <w:rPr>
          <w:iCs/>
        </w:rPr>
        <w:t xml:space="preserve">monitor and enforce compliance. It operates alongside other nationally agreed policies and procedures governing the use of specific regulatory tools and jurisdiction-specific approaches to criminal justice. The NCEP was endorsed by </w:t>
      </w:r>
      <w:r w:rsidR="005B423E">
        <w:rPr>
          <w:iCs/>
        </w:rPr>
        <w:t>WHS m</w:t>
      </w:r>
      <w:r w:rsidR="00FC4E01">
        <w:rPr>
          <w:iCs/>
        </w:rPr>
        <w:t>inisters</w:t>
      </w:r>
      <w:r w:rsidR="0084095F">
        <w:rPr>
          <w:iCs/>
        </w:rPr>
        <w:t xml:space="preserve"> </w:t>
      </w:r>
      <w:r w:rsidR="005B423E">
        <w:rPr>
          <w:iCs/>
        </w:rPr>
        <w:t>in</w:t>
      </w:r>
      <w:r w:rsidRPr="000A1CFB">
        <w:rPr>
          <w:iCs/>
        </w:rPr>
        <w:t> August 2011.</w:t>
      </w:r>
    </w:p>
    <w:p w:rsidR="006C2043" w:rsidRPr="000A1CFB" w:rsidRDefault="006C2043" w:rsidP="00CA5EB3">
      <w:pPr>
        <w:rPr>
          <w:iCs/>
        </w:rPr>
      </w:pPr>
      <w:r w:rsidRPr="000A1CFB">
        <w:rPr>
          <w:iCs/>
        </w:rPr>
        <w:t xml:space="preserve">The NCEP specifies nationally agreed: </w:t>
      </w:r>
    </w:p>
    <w:p w:rsidR="006C2043" w:rsidRPr="000A1CFB" w:rsidRDefault="006C2043" w:rsidP="00CA5EB3">
      <w:pPr>
        <w:pStyle w:val="2018ReviewBullets"/>
      </w:pPr>
      <w:r w:rsidRPr="000A1CFB">
        <w:t>aims of compliance and enforcement</w:t>
      </w:r>
    </w:p>
    <w:p w:rsidR="006C2043" w:rsidRPr="000A1CFB" w:rsidRDefault="006C2043" w:rsidP="00CA5EB3">
      <w:pPr>
        <w:pStyle w:val="2018ReviewBullets"/>
      </w:pPr>
      <w:r w:rsidRPr="000A1CFB">
        <w:t>key principles underpinning compliance and enforcement activities</w:t>
      </w:r>
    </w:p>
    <w:p w:rsidR="006C2043" w:rsidRPr="000A1CFB" w:rsidRDefault="006C2043" w:rsidP="00CA5EB3">
      <w:pPr>
        <w:pStyle w:val="2018ReviewBullets"/>
      </w:pPr>
      <w:r w:rsidRPr="000A1CFB">
        <w:t>strategic enforcement priorities</w:t>
      </w:r>
    </w:p>
    <w:p w:rsidR="006C2043" w:rsidRPr="000A1CFB" w:rsidRDefault="006C2043" w:rsidP="00CA5EB3">
      <w:pPr>
        <w:pStyle w:val="2018ReviewBullets"/>
      </w:pPr>
      <w:r w:rsidRPr="000A1CFB">
        <w:t>monitoring and compliance</w:t>
      </w:r>
      <w:r w:rsidR="00327AE8">
        <w:t xml:space="preserve"> approaches</w:t>
      </w:r>
    </w:p>
    <w:p w:rsidR="006C2043" w:rsidRPr="000A1CFB" w:rsidRDefault="006C2043" w:rsidP="00CA5EB3">
      <w:pPr>
        <w:pStyle w:val="2018ReviewBullets"/>
      </w:pPr>
      <w:r w:rsidRPr="000A1CFB">
        <w:t xml:space="preserve">compliance and enforcement tools, and </w:t>
      </w:r>
    </w:p>
    <w:p w:rsidR="006C2043" w:rsidRPr="000A1CFB" w:rsidRDefault="006C2043" w:rsidP="00CA5EB3">
      <w:pPr>
        <w:pStyle w:val="2018ReviewBullets"/>
      </w:pPr>
      <w:r w:rsidRPr="000A1CFB">
        <w:t>information about guidance, enforcement, investigation and prosecution criteria.</w:t>
      </w:r>
    </w:p>
    <w:p w:rsidR="00A14A57" w:rsidRPr="00F00C9B" w:rsidRDefault="00A14A57" w:rsidP="00F00C9B">
      <w:pPr>
        <w:pStyle w:val="2018ReviewSectionnumberingheading"/>
      </w:pPr>
      <w:bookmarkStart w:id="206" w:name="_Toc503884328"/>
      <w:bookmarkStart w:id="207" w:name="_Toc503885048"/>
      <w:bookmarkStart w:id="208" w:name="_Toc503884329"/>
      <w:bookmarkStart w:id="209" w:name="_Toc503885049"/>
      <w:bookmarkStart w:id="210" w:name="_Toc503942277"/>
      <w:bookmarkStart w:id="211" w:name="_Toc503943232"/>
      <w:bookmarkStart w:id="212" w:name="_Toc503884331"/>
      <w:bookmarkStart w:id="213" w:name="_Toc503885051"/>
      <w:bookmarkStart w:id="214" w:name="_Toc503942279"/>
      <w:bookmarkStart w:id="215" w:name="_Toc503943234"/>
      <w:bookmarkStart w:id="216" w:name="_Toc506794201"/>
      <w:bookmarkEnd w:id="206"/>
      <w:bookmarkEnd w:id="207"/>
      <w:bookmarkEnd w:id="208"/>
      <w:bookmarkEnd w:id="209"/>
      <w:bookmarkEnd w:id="210"/>
      <w:bookmarkEnd w:id="211"/>
      <w:bookmarkEnd w:id="212"/>
      <w:bookmarkEnd w:id="213"/>
      <w:bookmarkEnd w:id="214"/>
      <w:bookmarkEnd w:id="215"/>
      <w:r w:rsidRPr="00F00C9B">
        <w:t>Adoption of the NCEP</w:t>
      </w:r>
      <w:bookmarkEnd w:id="216"/>
    </w:p>
    <w:p w:rsidR="008A4BE0" w:rsidRDefault="00856E0C" w:rsidP="00CA5EB3">
      <w:r>
        <w:t>R</w:t>
      </w:r>
      <w:r w:rsidR="006C2043" w:rsidRPr="000A1CFB">
        <w:t>egulators ha</w:t>
      </w:r>
      <w:r w:rsidR="00FC4E01">
        <w:t xml:space="preserve">ve taken </w:t>
      </w:r>
      <w:r w:rsidR="006C2043" w:rsidRPr="000A1CFB">
        <w:t>two distinct approaches to the NCEP.</w:t>
      </w:r>
      <w:r w:rsidR="0084095F">
        <w:t xml:space="preserve"> </w:t>
      </w:r>
      <w:r w:rsidR="006C2043" w:rsidRPr="000A1CFB">
        <w:t>The first is to adopt it in full. The second is to incorporate some elements into the</w:t>
      </w:r>
      <w:r w:rsidR="00FC4E01">
        <w:t>ir jurisdiction’s</w:t>
      </w:r>
      <w:r w:rsidR="006C2043" w:rsidRPr="000A1CFB">
        <w:t xml:space="preserve"> operational policy framework for compliance and enforcement.</w:t>
      </w:r>
      <w:r w:rsidR="00A14A57">
        <w:t xml:space="preserve"> </w:t>
      </w:r>
      <w:r w:rsidR="002B5453">
        <w:t>T</w:t>
      </w:r>
      <w:r w:rsidR="005903D6">
        <w:t>he</w:t>
      </w:r>
      <w:r w:rsidR="006C2043" w:rsidRPr="000A1CFB">
        <w:t xml:space="preserve"> NCEP’s common approaches are, in broad terms, part of the architecture of WHS regulation, but there is by no means uniform adoption and application of it by the WHS regulators in the jurisdictions with harmonised WHS legislation. </w:t>
      </w:r>
      <w:r w:rsidR="004E7DBB">
        <w:t>Despite this</w:t>
      </w:r>
      <w:r w:rsidR="006C2043" w:rsidRPr="000A1CFB">
        <w:t xml:space="preserve">, the approach to compliance and enforcement across jurisdictions which have implemented the </w:t>
      </w:r>
      <w:r w:rsidR="006C2043">
        <w:t>m</w:t>
      </w:r>
      <w:r w:rsidR="006C2043" w:rsidRPr="000A1CFB">
        <w:t xml:space="preserve">odel WHS laws </w:t>
      </w:r>
      <w:r w:rsidR="004E7DBB">
        <w:t xml:space="preserve">is </w:t>
      </w:r>
      <w:r w:rsidR="006C2043" w:rsidRPr="000A1CFB">
        <w:t>relatively consistent.</w:t>
      </w:r>
      <w:r w:rsidR="0084095F">
        <w:t xml:space="preserve"> </w:t>
      </w:r>
      <w:r w:rsidR="004E7DBB">
        <w:t xml:space="preserve">All jurisdictions </w:t>
      </w:r>
      <w:r w:rsidR="006C2043" w:rsidRPr="000A1CFB">
        <w:t xml:space="preserve">continue to </w:t>
      </w:r>
      <w:r w:rsidR="006C2043" w:rsidRPr="008A4BE0">
        <w:t xml:space="preserve">work co-operatively under the auspices of the Heads of Workplace Safety Authorities to develop frameworks, operational protocols and procedures to improve the consistency in the administration, inspection and enforcement of WHS legislation. </w:t>
      </w:r>
    </w:p>
    <w:p w:rsidR="004E7DBB" w:rsidRPr="00F00C9B" w:rsidRDefault="004E7DBB" w:rsidP="00F00C9B">
      <w:pPr>
        <w:pStyle w:val="2018ReviewSectionnumberingheading"/>
      </w:pPr>
      <w:bookmarkStart w:id="217" w:name="_Toc506794202"/>
      <w:r w:rsidRPr="00F00C9B">
        <w:t>The approach to compliance</w:t>
      </w:r>
      <w:bookmarkEnd w:id="217"/>
    </w:p>
    <w:p w:rsidR="006C2043" w:rsidRPr="000A1CFB" w:rsidRDefault="006C2043" w:rsidP="00CA5EB3">
      <w:r w:rsidRPr="000A1CFB">
        <w:t xml:space="preserve">All </w:t>
      </w:r>
      <w:r w:rsidR="003B55FD">
        <w:t>r</w:t>
      </w:r>
      <w:r w:rsidRPr="000A1CFB">
        <w:t>egulators use a triaging system similar to that identified in the NCEP and based on the principles of proportionality and responsiveness</w:t>
      </w:r>
      <w:r w:rsidR="004E7DBB">
        <w:t>. Regulators</w:t>
      </w:r>
      <w:r w:rsidR="0084095F">
        <w:t xml:space="preserve"> </w:t>
      </w:r>
      <w:r w:rsidRPr="000A1CFB">
        <w:t xml:space="preserve">use a mix of positive motivators (for example, provision of advice and support, engaging with stakeholders), compliance monitoring (for example </w:t>
      </w:r>
      <w:r w:rsidRPr="000A1CFB">
        <w:lastRenderedPageBreak/>
        <w:t xml:space="preserve">audits and inspections) and deterrents (for example prosecutions and issuing of infringement notices), to encourage and secure the highest possible levels of compliance with </w:t>
      </w:r>
      <w:r w:rsidR="00473EF0">
        <w:t>WHS</w:t>
      </w:r>
      <w:r w:rsidRPr="000A1CFB">
        <w:t xml:space="preserve"> laws.</w:t>
      </w:r>
      <w:r w:rsidR="008A4BE0">
        <w:rPr>
          <w:rStyle w:val="FootnoteReference"/>
          <w:rFonts w:cs="Arial"/>
          <w:sz w:val="22"/>
          <w:szCs w:val="22"/>
        </w:rPr>
        <w:footnoteReference w:id="70"/>
      </w:r>
    </w:p>
    <w:p w:rsidR="004E7DBB" w:rsidRDefault="006C2043" w:rsidP="00CA5EB3">
      <w:r w:rsidRPr="000A1CFB">
        <w:t xml:space="preserve">Regulators generally take a graduated approach to enforcement consistent with the hierarchy of enforcement measures identified in the pyramid </w:t>
      </w:r>
      <w:r w:rsidR="004E7DBB">
        <w:t xml:space="preserve">and the criteria </w:t>
      </w:r>
      <w:r w:rsidRPr="000A1CFB">
        <w:t>in the NCEP</w:t>
      </w:r>
      <w:r w:rsidR="0009689F">
        <w:t>.</w:t>
      </w:r>
      <w:r w:rsidRPr="000A1CFB">
        <w:rPr>
          <w:rStyle w:val="FootnoteReference"/>
          <w:sz w:val="22"/>
          <w:szCs w:val="22"/>
        </w:rPr>
        <w:footnoteReference w:id="71"/>
      </w:r>
      <w:r w:rsidR="004E7DBB">
        <w:t xml:space="preserve"> </w:t>
      </w:r>
      <w:r w:rsidR="00FC4E01">
        <w:t>When deciding on what</w:t>
      </w:r>
      <w:r w:rsidR="004E7DBB">
        <w:t xml:space="preserve"> </w:t>
      </w:r>
      <w:r w:rsidRPr="000A1CFB">
        <w:rPr>
          <w:color w:val="000000" w:themeColor="text1"/>
        </w:rPr>
        <w:t xml:space="preserve">action to take when faced with a breach of the </w:t>
      </w:r>
      <w:r>
        <w:rPr>
          <w:color w:val="000000" w:themeColor="text1"/>
        </w:rPr>
        <w:t>m</w:t>
      </w:r>
      <w:r w:rsidRPr="000A1CFB">
        <w:rPr>
          <w:color w:val="000000" w:themeColor="text1"/>
        </w:rPr>
        <w:t>odel WHS legislation</w:t>
      </w:r>
      <w:r w:rsidR="00FC4E01">
        <w:rPr>
          <w:color w:val="000000" w:themeColor="text1"/>
        </w:rPr>
        <w:t xml:space="preserve">, </w:t>
      </w:r>
      <w:r w:rsidR="003B55FD">
        <w:rPr>
          <w:color w:val="000000" w:themeColor="text1"/>
        </w:rPr>
        <w:t>r</w:t>
      </w:r>
      <w:r w:rsidR="00FC4E01">
        <w:rPr>
          <w:color w:val="000000" w:themeColor="text1"/>
        </w:rPr>
        <w:t xml:space="preserve">egulators typically consider </w:t>
      </w:r>
      <w:r w:rsidRPr="000A1CFB">
        <w:rPr>
          <w:color w:val="000000" w:themeColor="text1"/>
        </w:rPr>
        <w:t>the seriousness of the breach, the culpability of the duty holder, the impact of enforcement on encouragement or deterrence and any mitigating circumstances</w:t>
      </w:r>
      <w:r w:rsidR="008A4BE0">
        <w:t>.</w:t>
      </w:r>
      <w:r w:rsidR="0084095F">
        <w:t xml:space="preserve"> </w:t>
      </w:r>
    </w:p>
    <w:p w:rsidR="008A4BE0" w:rsidRPr="000A1CFB" w:rsidRDefault="008A4BE0" w:rsidP="00CA5EB3">
      <w:r>
        <w:t>The</w:t>
      </w:r>
      <w:r w:rsidRPr="000A1CFB">
        <w:t xml:space="preserve"> </w:t>
      </w:r>
      <w:r>
        <w:t xml:space="preserve">compliance tools available to the </w:t>
      </w:r>
      <w:r w:rsidR="003B55FD">
        <w:t>r</w:t>
      </w:r>
      <w:r>
        <w:t xml:space="preserve">egulator </w:t>
      </w:r>
      <w:r w:rsidRPr="000A1CFB">
        <w:t>are:</w:t>
      </w:r>
    </w:p>
    <w:p w:rsidR="008A4BE0" w:rsidRPr="000A1CFB" w:rsidRDefault="008A4BE0" w:rsidP="00CA5EB3">
      <w:pPr>
        <w:pStyle w:val="2018ReviewBullets"/>
      </w:pPr>
      <w:r w:rsidRPr="000A1CFB">
        <w:t>Advice or guidance</w:t>
      </w:r>
    </w:p>
    <w:p w:rsidR="008A4BE0" w:rsidRPr="000A1CFB" w:rsidRDefault="008A4BE0" w:rsidP="00CA5EB3">
      <w:pPr>
        <w:pStyle w:val="2018ReviewBullets"/>
      </w:pPr>
      <w:r w:rsidRPr="000A1CFB">
        <w:t>Improvement or prohibition notices</w:t>
      </w:r>
    </w:p>
    <w:p w:rsidR="008A4BE0" w:rsidRPr="000A1CFB" w:rsidRDefault="008A4BE0" w:rsidP="00CA5EB3">
      <w:pPr>
        <w:pStyle w:val="2018ReviewBullets"/>
      </w:pPr>
      <w:r w:rsidRPr="000A1CFB">
        <w:t>Injunctions</w:t>
      </w:r>
    </w:p>
    <w:p w:rsidR="008A4BE0" w:rsidRPr="000A1CFB" w:rsidRDefault="008A4BE0" w:rsidP="00CA5EB3">
      <w:pPr>
        <w:pStyle w:val="2018ReviewBullets"/>
      </w:pPr>
      <w:r w:rsidRPr="000A1CFB">
        <w:t>Infringement notices</w:t>
      </w:r>
    </w:p>
    <w:p w:rsidR="008A4BE0" w:rsidRPr="000A1CFB" w:rsidRDefault="008A4BE0" w:rsidP="00CA5EB3">
      <w:pPr>
        <w:pStyle w:val="2018ReviewBullets"/>
      </w:pPr>
      <w:r w:rsidRPr="000A1CFB">
        <w:t>Civil proceedings – breaches of right of entry powers</w:t>
      </w:r>
    </w:p>
    <w:p w:rsidR="008A4BE0" w:rsidRPr="000A1CFB" w:rsidRDefault="008A4BE0" w:rsidP="00CA5EB3">
      <w:pPr>
        <w:pStyle w:val="2018ReviewBullets"/>
      </w:pPr>
      <w:r w:rsidRPr="000A1CFB">
        <w:t>Enforceable undertakings</w:t>
      </w:r>
    </w:p>
    <w:p w:rsidR="008A4BE0" w:rsidRPr="000A1CFB" w:rsidRDefault="008A4BE0" w:rsidP="00CA5EB3">
      <w:pPr>
        <w:pStyle w:val="2018ReviewBullets"/>
      </w:pPr>
      <w:r w:rsidRPr="000A1CFB">
        <w:t>Prosecutions</w:t>
      </w:r>
    </w:p>
    <w:p w:rsidR="008A4BE0" w:rsidRPr="000A1CFB" w:rsidRDefault="008A4BE0" w:rsidP="00CA5EB3">
      <w:pPr>
        <w:pStyle w:val="2018ReviewBullets"/>
      </w:pPr>
      <w:r w:rsidRPr="000A1CFB">
        <w:t>Revoking, suspending or cancelling authorisations</w:t>
      </w:r>
    </w:p>
    <w:p w:rsidR="005B423E" w:rsidRPr="005C1DD7" w:rsidRDefault="008A4BE0" w:rsidP="005C1DD7">
      <w:pPr>
        <w:pStyle w:val="2018ReviewBullets"/>
        <w:rPr>
          <w:rFonts w:cs="Arial"/>
          <w:color w:val="000000" w:themeColor="text1"/>
          <w:sz w:val="22"/>
          <w:szCs w:val="22"/>
        </w:rPr>
      </w:pPr>
      <w:r w:rsidRPr="000A1CFB">
        <w:t>Publishing enforcement actions and outcomes</w:t>
      </w:r>
      <w:r w:rsidR="0009689F">
        <w:t>.</w:t>
      </w:r>
      <w:r w:rsidRPr="000A1CFB">
        <w:rPr>
          <w:rStyle w:val="FootnoteReference"/>
          <w:sz w:val="22"/>
          <w:szCs w:val="22"/>
        </w:rPr>
        <w:footnoteReference w:id="72"/>
      </w:r>
    </w:p>
    <w:p w:rsidR="006C2043" w:rsidRPr="000A1CFB" w:rsidRDefault="005B423E" w:rsidP="00CA5EB3">
      <w:r>
        <w:t>I</w:t>
      </w:r>
      <w:r w:rsidR="006C2043" w:rsidRPr="000A1CFB">
        <w:t>n practice, the use of the pyramid does not necessarily lead to an unfolding process, with active escalation from the lower base to the top point.</w:t>
      </w:r>
      <w:r w:rsidR="0084095F">
        <w:t xml:space="preserve"> </w:t>
      </w:r>
      <w:r w:rsidR="006C2043" w:rsidRPr="000A1CFB">
        <w:t xml:space="preserve">Rather, when a fatality or serious injury occurs, </w:t>
      </w:r>
      <w:r w:rsidR="003B55FD">
        <w:t>r</w:t>
      </w:r>
      <w:r w:rsidR="006C2043" w:rsidRPr="000A1CFB">
        <w:t>egulators generally move immediately to the top of the pyramid and conduct an investigation with a view to prosecution.</w:t>
      </w:r>
      <w:r w:rsidR="0084095F">
        <w:t xml:space="preserve"> </w:t>
      </w:r>
      <w:r w:rsidR="006C2043" w:rsidRPr="000A1CFB">
        <w:t>Where a contravention is found but no injury occurs, enforcement action is generally confined to the lower levels of the pyramid</w:t>
      </w:r>
      <w:r w:rsidR="0009689F">
        <w:t>.</w:t>
      </w:r>
      <w:r w:rsidR="006C2043" w:rsidRPr="000A1CFB">
        <w:rPr>
          <w:rStyle w:val="FootnoteReference"/>
          <w:color w:val="000000" w:themeColor="text1"/>
          <w:sz w:val="22"/>
          <w:szCs w:val="22"/>
        </w:rPr>
        <w:footnoteReference w:id="73"/>
      </w:r>
    </w:p>
    <w:p w:rsidR="006C2043" w:rsidRPr="000A1CFB" w:rsidRDefault="006C2043" w:rsidP="006C2043">
      <w:pPr>
        <w:jc w:val="both"/>
        <w:rPr>
          <w:rFonts w:cs="Arial"/>
          <w:sz w:val="22"/>
          <w:szCs w:val="22"/>
        </w:rPr>
      </w:pPr>
    </w:p>
    <w:p w:rsidR="00B05288" w:rsidRPr="001F344A" w:rsidRDefault="00EF6674" w:rsidP="00146A76">
      <w:pPr>
        <w:pStyle w:val="ReviewSubmissionQuestions"/>
      </w:pPr>
      <w:r w:rsidRPr="00146A76">
        <w:t xml:space="preserve">Have you any comments on the effectiveness of the </w:t>
      </w:r>
      <w:r w:rsidR="000C0BEB" w:rsidRPr="00146A76">
        <w:t xml:space="preserve">National Compliance and Enforcement Policy </w:t>
      </w:r>
      <w:r w:rsidRPr="00146A76">
        <w:t xml:space="preserve">in </w:t>
      </w:r>
      <w:r w:rsidR="000C0BEB" w:rsidRPr="00146A76">
        <w:t>support</w:t>
      </w:r>
      <w:r w:rsidRPr="00146A76">
        <w:t>ing</w:t>
      </w:r>
      <w:r w:rsidR="000C0BEB" w:rsidRPr="00146A76">
        <w:t xml:space="preserve"> the object of the model WHS Act?</w:t>
      </w:r>
      <w:r w:rsidR="0084095F" w:rsidRPr="00146A76">
        <w:t xml:space="preserve"> </w:t>
      </w:r>
    </w:p>
    <w:p w:rsidR="000C0BEB" w:rsidRPr="00B05288" w:rsidRDefault="000C0BEB" w:rsidP="006D7214">
      <w:pPr>
        <w:pStyle w:val="ReviewSubmissionQuestions"/>
        <w:numPr>
          <w:ilvl w:val="0"/>
          <w:numId w:val="0"/>
        </w:numPr>
        <w:ind w:left="1928"/>
      </w:pPr>
    </w:p>
    <w:p w:rsidR="002C39AB" w:rsidRPr="00B05288" w:rsidRDefault="002C39AB" w:rsidP="00146A76">
      <w:pPr>
        <w:pStyle w:val="ReviewSubmissionQuestions"/>
      </w:pPr>
      <w:r w:rsidRPr="00B05288">
        <w:t>Have you any comments in relation to your experience of the exercise of inspector’s powers since the introduction of the model WHS laws</w:t>
      </w:r>
      <w:r w:rsidR="00EF6674" w:rsidRPr="00B05288">
        <w:t xml:space="preserve"> within the context of applying the graduated compliance and enforcement principle</w:t>
      </w:r>
      <w:r w:rsidRPr="00B05288">
        <w:t>?</w:t>
      </w:r>
    </w:p>
    <w:p w:rsidR="00540F13" w:rsidRDefault="00540F13" w:rsidP="006C2043">
      <w:pPr>
        <w:rPr>
          <w:b/>
          <w:sz w:val="22"/>
          <w:szCs w:val="22"/>
        </w:rPr>
      </w:pPr>
    </w:p>
    <w:p w:rsidR="00E002BD" w:rsidRDefault="00E002BD">
      <w:pPr>
        <w:rPr>
          <w:b/>
          <w:sz w:val="22"/>
          <w:szCs w:val="22"/>
        </w:rPr>
      </w:pPr>
      <w:r>
        <w:rPr>
          <w:b/>
          <w:sz w:val="22"/>
          <w:szCs w:val="22"/>
        </w:rPr>
        <w:br w:type="page"/>
      </w:r>
    </w:p>
    <w:p w:rsidR="006C2043" w:rsidRPr="00F00C9B" w:rsidRDefault="006F633C" w:rsidP="00F00C9B">
      <w:pPr>
        <w:pStyle w:val="2018ReviewWhiteHeading"/>
        <w:numPr>
          <w:ilvl w:val="0"/>
          <w:numId w:val="34"/>
        </w:numPr>
        <w:ind w:left="357" w:hanging="357"/>
      </w:pPr>
      <w:bookmarkStart w:id="218" w:name="_Toc503884334"/>
      <w:bookmarkStart w:id="219" w:name="_Toc503885054"/>
      <w:bookmarkStart w:id="220" w:name="_Toc503942282"/>
      <w:bookmarkStart w:id="221" w:name="_Toc503943237"/>
      <w:bookmarkStart w:id="222" w:name="_Toc503884335"/>
      <w:bookmarkStart w:id="223" w:name="_Toc503885055"/>
      <w:bookmarkStart w:id="224" w:name="_Toc503942283"/>
      <w:bookmarkStart w:id="225" w:name="_Toc503943238"/>
      <w:bookmarkStart w:id="226" w:name="_Toc503884336"/>
      <w:bookmarkStart w:id="227" w:name="_Toc503885056"/>
      <w:bookmarkStart w:id="228" w:name="_Toc503942284"/>
      <w:bookmarkStart w:id="229" w:name="_Toc503943239"/>
      <w:bookmarkStart w:id="230" w:name="_Toc503884337"/>
      <w:bookmarkStart w:id="231" w:name="_Toc503885057"/>
      <w:bookmarkStart w:id="232" w:name="_Toc503942285"/>
      <w:bookmarkStart w:id="233" w:name="_Toc503943240"/>
      <w:bookmarkStart w:id="234" w:name="_Toc503884338"/>
      <w:bookmarkStart w:id="235" w:name="_Toc503885058"/>
      <w:bookmarkStart w:id="236" w:name="_Toc503942286"/>
      <w:bookmarkStart w:id="237" w:name="_Toc503943241"/>
      <w:bookmarkStart w:id="238" w:name="_Toc503884339"/>
      <w:bookmarkStart w:id="239" w:name="_Toc503885059"/>
      <w:bookmarkStart w:id="240" w:name="_Toc503942287"/>
      <w:bookmarkStart w:id="241" w:name="_Toc503943242"/>
      <w:bookmarkStart w:id="242" w:name="_Toc503884340"/>
      <w:bookmarkStart w:id="243" w:name="_Toc503885060"/>
      <w:bookmarkStart w:id="244" w:name="_Toc503942288"/>
      <w:bookmarkStart w:id="245" w:name="_Toc503943243"/>
      <w:bookmarkStart w:id="246" w:name="_Toc503884341"/>
      <w:bookmarkStart w:id="247" w:name="_Toc503885061"/>
      <w:bookmarkStart w:id="248" w:name="_Toc503942289"/>
      <w:bookmarkStart w:id="249" w:name="_Toc503943244"/>
      <w:bookmarkStart w:id="250" w:name="_Toc503884342"/>
      <w:bookmarkStart w:id="251" w:name="_Toc503885062"/>
      <w:bookmarkStart w:id="252" w:name="_Toc503942290"/>
      <w:bookmarkStart w:id="253" w:name="_Toc503943245"/>
      <w:bookmarkStart w:id="254" w:name="_Toc503884343"/>
      <w:bookmarkStart w:id="255" w:name="_Toc503885063"/>
      <w:bookmarkStart w:id="256" w:name="_Toc503942291"/>
      <w:bookmarkStart w:id="257" w:name="_Toc503943246"/>
      <w:bookmarkStart w:id="258" w:name="_Toc503884344"/>
      <w:bookmarkStart w:id="259" w:name="_Toc503885064"/>
      <w:bookmarkStart w:id="260" w:name="_Toc503942292"/>
      <w:bookmarkStart w:id="261" w:name="_Toc503943247"/>
      <w:bookmarkStart w:id="262" w:name="_Toc503884345"/>
      <w:bookmarkStart w:id="263" w:name="_Toc503885065"/>
      <w:bookmarkStart w:id="264" w:name="_Toc503942293"/>
      <w:bookmarkStart w:id="265" w:name="_Toc503943248"/>
      <w:bookmarkStart w:id="266" w:name="_Toc503884346"/>
      <w:bookmarkStart w:id="267" w:name="_Toc503885066"/>
      <w:bookmarkStart w:id="268" w:name="_Toc503942294"/>
      <w:bookmarkStart w:id="269" w:name="_Toc503943249"/>
      <w:bookmarkStart w:id="270" w:name="_Toc503884347"/>
      <w:bookmarkStart w:id="271" w:name="_Toc503885067"/>
      <w:bookmarkStart w:id="272" w:name="_Toc503942295"/>
      <w:bookmarkStart w:id="273" w:name="_Toc503943250"/>
      <w:bookmarkStart w:id="274" w:name="_Toc503884348"/>
      <w:bookmarkStart w:id="275" w:name="_Toc503885068"/>
      <w:bookmarkStart w:id="276" w:name="_Toc503942296"/>
      <w:bookmarkStart w:id="277" w:name="_Toc503943251"/>
      <w:bookmarkStart w:id="278" w:name="_Toc503884349"/>
      <w:bookmarkStart w:id="279" w:name="_Toc503885069"/>
      <w:bookmarkStart w:id="280" w:name="_Toc503942297"/>
      <w:bookmarkStart w:id="281" w:name="_Toc503943252"/>
      <w:bookmarkStart w:id="282" w:name="_Toc503884350"/>
      <w:bookmarkStart w:id="283" w:name="_Toc503885070"/>
      <w:bookmarkStart w:id="284" w:name="_Toc503942298"/>
      <w:bookmarkStart w:id="285" w:name="_Toc503943253"/>
      <w:bookmarkStart w:id="286" w:name="_Toc503884351"/>
      <w:bookmarkStart w:id="287" w:name="_Toc503885071"/>
      <w:bookmarkStart w:id="288" w:name="_Toc503942299"/>
      <w:bookmarkStart w:id="289" w:name="_Toc503943254"/>
      <w:bookmarkStart w:id="290" w:name="_Toc503884352"/>
      <w:bookmarkStart w:id="291" w:name="_Toc503885072"/>
      <w:bookmarkStart w:id="292" w:name="_Toc503942300"/>
      <w:bookmarkStart w:id="293" w:name="_Toc503943255"/>
      <w:bookmarkStart w:id="294" w:name="_Toc503884353"/>
      <w:bookmarkStart w:id="295" w:name="_Toc503885073"/>
      <w:bookmarkStart w:id="296" w:name="_Toc503942301"/>
      <w:bookmarkStart w:id="297" w:name="_Toc503943256"/>
      <w:bookmarkStart w:id="298" w:name="_Toc503884354"/>
      <w:bookmarkStart w:id="299" w:name="_Toc503885074"/>
      <w:bookmarkStart w:id="300" w:name="_Toc503942302"/>
      <w:bookmarkStart w:id="301" w:name="_Toc503943257"/>
      <w:bookmarkStart w:id="302" w:name="_Toc503884355"/>
      <w:bookmarkStart w:id="303" w:name="_Toc503885075"/>
      <w:bookmarkStart w:id="304" w:name="_Toc503942303"/>
      <w:bookmarkStart w:id="305" w:name="_Toc503943258"/>
      <w:bookmarkStart w:id="306" w:name="_Toc503884356"/>
      <w:bookmarkStart w:id="307" w:name="_Toc503885076"/>
      <w:bookmarkStart w:id="308" w:name="_Toc503942304"/>
      <w:bookmarkStart w:id="309" w:name="_Toc503943259"/>
      <w:bookmarkStart w:id="310" w:name="_Toc503884357"/>
      <w:bookmarkStart w:id="311" w:name="_Toc503885077"/>
      <w:bookmarkStart w:id="312" w:name="_Toc503942305"/>
      <w:bookmarkStart w:id="313" w:name="_Toc503943260"/>
      <w:bookmarkStart w:id="314" w:name="_Toc503884358"/>
      <w:bookmarkStart w:id="315" w:name="_Toc503885078"/>
      <w:bookmarkStart w:id="316" w:name="_Toc503942306"/>
      <w:bookmarkStart w:id="317" w:name="_Toc503943261"/>
      <w:bookmarkStart w:id="318" w:name="_Toc503884359"/>
      <w:bookmarkStart w:id="319" w:name="_Toc503885079"/>
      <w:bookmarkStart w:id="320" w:name="_Toc503942307"/>
      <w:bookmarkStart w:id="321" w:name="_Toc503943262"/>
      <w:bookmarkStart w:id="322" w:name="_Toc503884360"/>
      <w:bookmarkStart w:id="323" w:name="_Toc503885080"/>
      <w:bookmarkStart w:id="324" w:name="_Toc503942308"/>
      <w:bookmarkStart w:id="325" w:name="_Toc503943263"/>
      <w:bookmarkStart w:id="326" w:name="_Toc503884361"/>
      <w:bookmarkStart w:id="327" w:name="_Toc503885081"/>
      <w:bookmarkStart w:id="328" w:name="_Toc503942309"/>
      <w:bookmarkStart w:id="329" w:name="_Toc503943264"/>
      <w:bookmarkStart w:id="330" w:name="_Toc503884362"/>
      <w:bookmarkStart w:id="331" w:name="_Toc503885082"/>
      <w:bookmarkStart w:id="332" w:name="_Toc503942310"/>
      <w:bookmarkStart w:id="333" w:name="_Toc503943265"/>
      <w:bookmarkStart w:id="334" w:name="_Toc503884363"/>
      <w:bookmarkStart w:id="335" w:name="_Toc503885083"/>
      <w:bookmarkStart w:id="336" w:name="_Toc503942311"/>
      <w:bookmarkStart w:id="337" w:name="_Toc503943266"/>
      <w:bookmarkStart w:id="338" w:name="_Toc503884364"/>
      <w:bookmarkStart w:id="339" w:name="_Toc503885084"/>
      <w:bookmarkStart w:id="340" w:name="_Toc503942312"/>
      <w:bookmarkStart w:id="341" w:name="_Toc503943267"/>
      <w:bookmarkStart w:id="342" w:name="_Toc503884365"/>
      <w:bookmarkStart w:id="343" w:name="_Toc503885085"/>
      <w:bookmarkStart w:id="344" w:name="_Toc503942313"/>
      <w:bookmarkStart w:id="345" w:name="_Toc503943268"/>
      <w:bookmarkStart w:id="346" w:name="_Toc50679420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F00C9B">
        <w:lastRenderedPageBreak/>
        <w:t xml:space="preserve">Prosecutions and </w:t>
      </w:r>
      <w:r w:rsidR="002246B4">
        <w:t>l</w:t>
      </w:r>
      <w:r w:rsidRPr="00F00C9B">
        <w:t xml:space="preserve">egal </w:t>
      </w:r>
      <w:r w:rsidR="002246B4">
        <w:t>p</w:t>
      </w:r>
      <w:r w:rsidRPr="00F00C9B">
        <w:t>roceedings</w:t>
      </w:r>
      <w:bookmarkEnd w:id="346"/>
    </w:p>
    <w:p w:rsidR="00E002BD" w:rsidRDefault="00E002BD" w:rsidP="00CA5EB3">
      <w:r>
        <w:t xml:space="preserve">This chapter examines the penalty system underlying the model WHS laws, who can initiate legal action and the </w:t>
      </w:r>
      <w:r w:rsidR="00327AE8">
        <w:t xml:space="preserve">expansion of </w:t>
      </w:r>
      <w:r>
        <w:t xml:space="preserve">sentencing options. </w:t>
      </w:r>
    </w:p>
    <w:tbl>
      <w:tblPr>
        <w:tblStyle w:val="TableGrid"/>
        <w:tblW w:w="0" w:type="auto"/>
        <w:tblLook w:val="04A0" w:firstRow="1" w:lastRow="0" w:firstColumn="1" w:lastColumn="0" w:noHBand="0" w:noVBand="1"/>
        <w:tblCaption w:val="List of relevant Objects and Terms of Reference for this chapter"/>
        <w:tblDescription w:val="Object: Securing compliance with this Act through effective and appropriate compliance and enforcement measures: s 3(e).&#10;Term of Reference: Whether the compliance and enforcement provisions, such as penalties and enforceable undertakings, are effective and sufficient to deter non-compliance with the legislation."/>
      </w:tblPr>
      <w:tblGrid>
        <w:gridCol w:w="2802"/>
        <w:gridCol w:w="6434"/>
      </w:tblGrid>
      <w:tr w:rsidR="00E002BD" w:rsidTr="00EC7CD4">
        <w:trPr>
          <w:tblHeader/>
        </w:trPr>
        <w:tc>
          <w:tcPr>
            <w:tcW w:w="2802" w:type="dxa"/>
          </w:tcPr>
          <w:p w:rsidR="00E002BD" w:rsidRDefault="00E002BD" w:rsidP="00866B4B">
            <w:pPr>
              <w:pStyle w:val="Heading4"/>
              <w:ind w:left="0" w:firstLine="0"/>
              <w:rPr>
                <w:lang w:val="en-AU"/>
              </w:rPr>
            </w:pPr>
            <w:r w:rsidRPr="000A1CFB">
              <w:rPr>
                <w:lang w:val="en-AU"/>
              </w:rPr>
              <w:t>Object</w:t>
            </w:r>
            <w:r w:rsidR="00645AAE">
              <w:rPr>
                <w:lang w:val="en-AU"/>
              </w:rPr>
              <w:t xml:space="preserve"> of the model WHS Act</w:t>
            </w:r>
            <w:r w:rsidR="00570F21">
              <w:rPr>
                <w:lang w:val="en-AU"/>
              </w:rPr>
              <w:t>:</w:t>
            </w:r>
          </w:p>
          <w:p w:rsidR="00645AAE" w:rsidRPr="00866B4B" w:rsidRDefault="00645AAE" w:rsidP="00866B4B">
            <w:pPr>
              <w:rPr>
                <w:lang w:val="en-AU"/>
              </w:rPr>
            </w:pPr>
            <w:r w:rsidRPr="00276486">
              <w:rPr>
                <w:rFonts w:eastAsiaTheme="majorEastAsia" w:cstheme="majorBidi"/>
                <w:spacing w:val="-3"/>
                <w:szCs w:val="22"/>
                <w:lang w:val="en-AU" w:eastAsia="en-US"/>
              </w:rPr>
              <w:t>(</w:t>
            </w:r>
            <w:r w:rsidR="00570F21">
              <w:rPr>
                <w:rFonts w:eastAsiaTheme="majorEastAsia" w:cstheme="majorBidi"/>
                <w:spacing w:val="-3"/>
                <w:szCs w:val="22"/>
                <w:lang w:val="en-AU" w:eastAsia="en-US"/>
              </w:rPr>
              <w:t>see</w:t>
            </w:r>
            <w:r w:rsidRPr="00BB4976">
              <w:rPr>
                <w:lang w:val="en-AU"/>
              </w:rPr>
              <w:t xml:space="preserve"> s </w:t>
            </w:r>
            <w:r w:rsidRPr="003B4D43">
              <w:rPr>
                <w:lang w:val="en-AU"/>
              </w:rPr>
              <w:t>3(e))</w:t>
            </w:r>
          </w:p>
        </w:tc>
        <w:tc>
          <w:tcPr>
            <w:tcW w:w="6434" w:type="dxa"/>
          </w:tcPr>
          <w:p w:rsidR="00E002BD" w:rsidRDefault="00E002BD" w:rsidP="00CA5EB3">
            <w:pPr>
              <w:rPr>
                <w:lang w:val="en-AU"/>
              </w:rPr>
            </w:pPr>
            <w:r>
              <w:rPr>
                <w:lang w:val="en-AU"/>
              </w:rPr>
              <w:t>Securing compliance with this</w:t>
            </w:r>
            <w:r w:rsidRPr="000A1CFB">
              <w:rPr>
                <w:lang w:val="en-AU"/>
              </w:rPr>
              <w:t xml:space="preserve"> Act through effective and appropriate compliance and enforcement measure</w:t>
            </w:r>
            <w:r>
              <w:rPr>
                <w:lang w:val="en-AU"/>
              </w:rPr>
              <w:t>s.</w:t>
            </w:r>
          </w:p>
          <w:p w:rsidR="00E002BD" w:rsidRDefault="00E002BD" w:rsidP="00CA5EB3"/>
        </w:tc>
      </w:tr>
      <w:tr w:rsidR="00E002BD" w:rsidTr="005C1DD7">
        <w:tc>
          <w:tcPr>
            <w:tcW w:w="2802" w:type="dxa"/>
          </w:tcPr>
          <w:p w:rsidR="00E002BD" w:rsidRDefault="00E002BD" w:rsidP="00CA5EB3">
            <w:pPr>
              <w:pStyle w:val="Heading4"/>
            </w:pPr>
            <w:r w:rsidRPr="000A1CFB">
              <w:rPr>
                <w:lang w:val="en-AU"/>
              </w:rPr>
              <w:t>Term of Reference:</w:t>
            </w:r>
          </w:p>
        </w:tc>
        <w:tc>
          <w:tcPr>
            <w:tcW w:w="6434" w:type="dxa"/>
          </w:tcPr>
          <w:p w:rsidR="00E002BD" w:rsidRDefault="00E002BD" w:rsidP="00CA5EB3">
            <w:r>
              <w:rPr>
                <w:lang w:val="en-AU"/>
              </w:rPr>
              <w:t xml:space="preserve">Whether </w:t>
            </w:r>
            <w:r w:rsidRPr="000A1CFB">
              <w:rPr>
                <w:lang w:val="en-AU"/>
              </w:rPr>
              <w:t>the compliance and enforcement provisions, such as penalties and enforceable undertakings, are effective and sufficient to deter non-compliance with the legislation</w:t>
            </w:r>
            <w:r>
              <w:rPr>
                <w:lang w:val="en-AU"/>
              </w:rPr>
              <w:t>.</w:t>
            </w:r>
          </w:p>
        </w:tc>
      </w:tr>
    </w:tbl>
    <w:p w:rsidR="006F633C" w:rsidRPr="00F00C9B" w:rsidRDefault="006F633C" w:rsidP="00F00C9B">
      <w:pPr>
        <w:pStyle w:val="2018ReviewSectionnumberingheading"/>
      </w:pPr>
      <w:bookmarkStart w:id="347" w:name="_Toc503884367"/>
      <w:bookmarkStart w:id="348" w:name="_Toc503885087"/>
      <w:bookmarkStart w:id="349" w:name="_Toc503884368"/>
      <w:bookmarkStart w:id="350" w:name="_Toc503885088"/>
      <w:bookmarkStart w:id="351" w:name="_Toc503884369"/>
      <w:bookmarkStart w:id="352" w:name="_Toc503885089"/>
      <w:bookmarkStart w:id="353" w:name="_Toc503942317"/>
      <w:bookmarkStart w:id="354" w:name="_Toc503943272"/>
      <w:bookmarkStart w:id="355" w:name="_Toc506794204"/>
      <w:bookmarkEnd w:id="347"/>
      <w:bookmarkEnd w:id="348"/>
      <w:bookmarkEnd w:id="349"/>
      <w:bookmarkEnd w:id="350"/>
      <w:bookmarkEnd w:id="351"/>
      <w:bookmarkEnd w:id="352"/>
      <w:bookmarkEnd w:id="353"/>
      <w:bookmarkEnd w:id="354"/>
      <w:r w:rsidRPr="00F00C9B">
        <w:t xml:space="preserve">Offences and </w:t>
      </w:r>
      <w:r w:rsidR="000055AB">
        <w:t>p</w:t>
      </w:r>
      <w:r w:rsidRPr="00F00C9B">
        <w:t>enalties</w:t>
      </w:r>
      <w:bookmarkEnd w:id="355"/>
    </w:p>
    <w:p w:rsidR="006F633C" w:rsidRPr="000A1CFB" w:rsidRDefault="004D0BA3" w:rsidP="00CA5EB3">
      <w:r>
        <w:t>A</w:t>
      </w:r>
      <w:r w:rsidR="00CA6822" w:rsidRPr="00CA6822">
        <w:t xml:space="preserve"> </w:t>
      </w:r>
      <w:r w:rsidR="00C270CB">
        <w:t xml:space="preserve">key </w:t>
      </w:r>
      <w:r w:rsidR="00CA6822" w:rsidRPr="00CA6822">
        <w:t xml:space="preserve">policy intention behind the model WHS laws </w:t>
      </w:r>
      <w:r w:rsidR="00E002BD">
        <w:t>wa</w:t>
      </w:r>
      <w:r w:rsidR="00CA6822" w:rsidRPr="00CA6822">
        <w:t xml:space="preserve">s to align penalties across jurisdictions for those who fail to meet their </w:t>
      </w:r>
      <w:r w:rsidR="00E002BD">
        <w:t>WHS</w:t>
      </w:r>
      <w:r w:rsidR="00CA6822" w:rsidRPr="00CA6822">
        <w:t xml:space="preserve"> obligations.</w:t>
      </w:r>
      <w:r w:rsidR="0084095F">
        <w:t xml:space="preserve"> </w:t>
      </w:r>
      <w:r w:rsidR="00C270CB">
        <w:t>This objective was achieved by introducing</w:t>
      </w:r>
      <w:r w:rsidR="00CA6822">
        <w:t xml:space="preserve"> </w:t>
      </w:r>
      <w:r w:rsidR="00CA6822" w:rsidRPr="00CA6822">
        <w:t>three categories of penalties based on the degree of culpability, risk and harm.</w:t>
      </w:r>
      <w:r w:rsidR="00D064A1">
        <w:rPr>
          <w:rStyle w:val="FootnoteReference"/>
          <w:rFonts w:cstheme="minorHAnsi"/>
          <w:sz w:val="22"/>
          <w:szCs w:val="22"/>
        </w:rPr>
        <w:footnoteReference w:id="74"/>
      </w:r>
      <w:r w:rsidR="0084095F">
        <w:t xml:space="preserve"> </w:t>
      </w:r>
      <w:r w:rsidR="00CA6822" w:rsidRPr="00CA6822">
        <w:t xml:space="preserve"> </w:t>
      </w:r>
    </w:p>
    <w:p w:rsidR="006F633C" w:rsidRPr="000A1CFB" w:rsidRDefault="006F633C" w:rsidP="00CA5EB3">
      <w:r w:rsidRPr="000A1CFB">
        <w:t>Category 1 offence</w:t>
      </w:r>
      <w:r w:rsidR="003946C4">
        <w:t>s</w:t>
      </w:r>
      <w:r w:rsidRPr="000A1CFB">
        <w:t xml:space="preserve"> relate to the most serious cases of non-compliance, involving recklessness in exposing an individual to whom a duty of care is owed to the risk of death, serious illness or injury.</w:t>
      </w:r>
      <w:r w:rsidR="0084095F">
        <w:t xml:space="preserve"> </w:t>
      </w:r>
      <w:r w:rsidRPr="000A1CFB">
        <w:t>Category 2 offence</w:t>
      </w:r>
      <w:r w:rsidR="003946C4">
        <w:t>s</w:t>
      </w:r>
      <w:r w:rsidRPr="000A1CFB">
        <w:t xml:space="preserve"> relate to a person who fails to comply with their health and safety duty and in doing so exposes an individual to a risk of death or serious injury or illness.</w:t>
      </w:r>
      <w:r w:rsidR="0084095F">
        <w:t xml:space="preserve"> </w:t>
      </w:r>
      <w:r w:rsidRPr="000A1CFB">
        <w:t>Category 3 offence</w:t>
      </w:r>
      <w:r w:rsidR="003946C4">
        <w:t>s</w:t>
      </w:r>
      <w:r w:rsidRPr="000A1CFB">
        <w:t xml:space="preserve"> relate to a person who fails to comply with their health and safety duty without the aggravating factors present in the first two categories.</w:t>
      </w:r>
      <w:r w:rsidR="0084095F">
        <w:t xml:space="preserve"> </w:t>
      </w:r>
    </w:p>
    <w:p w:rsidR="004D0BA3" w:rsidRDefault="006F633C" w:rsidP="00CA5EB3">
      <w:r w:rsidRPr="000A1CFB">
        <w:t xml:space="preserve">The </w:t>
      </w:r>
      <w:r w:rsidR="00692C09" w:rsidRPr="00692C09">
        <w:t xml:space="preserve">physical elements of these </w:t>
      </w:r>
      <w:r w:rsidRPr="000A1CFB">
        <w:t xml:space="preserve">three offences are </w:t>
      </w:r>
      <w:r w:rsidR="00692C09" w:rsidRPr="00692C09">
        <w:t>drafted consistently with strict liability</w:t>
      </w:r>
      <w:r w:rsidRPr="000A1CFB">
        <w:t>, which means no proof of mental element is required and no defence of honest and reasonable mistake is allowed.</w:t>
      </w:r>
      <w:r w:rsidR="0084095F">
        <w:t xml:space="preserve"> </w:t>
      </w:r>
      <w:r w:rsidRPr="000A1CFB">
        <w:t xml:space="preserve">However, </w:t>
      </w:r>
      <w:r w:rsidR="00692C09" w:rsidRPr="00692C09">
        <w:t>it was left to jurisdictions to clarify where all or part of an offence attracts strict or absolute liability.</w:t>
      </w:r>
      <w:r w:rsidR="0084095F">
        <w:t xml:space="preserve"> </w:t>
      </w:r>
      <w:r w:rsidR="00692C09" w:rsidRPr="00692C09">
        <w:t xml:space="preserve">The duties of care are also </w:t>
      </w:r>
      <w:r w:rsidRPr="000A1CFB">
        <w:t xml:space="preserve">subject to the qualifiers of ‘so far as is reasonably practicable’, </w:t>
      </w:r>
      <w:r w:rsidR="00692C09">
        <w:t xml:space="preserve">‘reasonable steps’ and </w:t>
      </w:r>
      <w:r w:rsidRPr="000A1CFB">
        <w:t>‘reasonable care’ depending on the status of the duty holder (PCBU, officer and worker</w:t>
      </w:r>
      <w:r w:rsidR="003946C4">
        <w:t xml:space="preserve"> or </w:t>
      </w:r>
      <w:r w:rsidRPr="000A1CFB">
        <w:t>other person at a workplace</w:t>
      </w:r>
      <w:r w:rsidR="003946C4">
        <w:t>,</w:t>
      </w:r>
      <w:r w:rsidRPr="000A1CFB">
        <w:t xml:space="preserve"> respectively).</w:t>
      </w:r>
      <w:r w:rsidR="0084095F">
        <w:t xml:space="preserve"> </w:t>
      </w:r>
    </w:p>
    <w:p w:rsidR="004D0BA3" w:rsidRPr="000A1CFB" w:rsidRDefault="006F633C" w:rsidP="00CA5EB3">
      <w:r w:rsidRPr="000A1CFB">
        <w:t>Importantly, the offences are focussed on the culpability of the offender and the level of risk and not merely the actual consequences/outcomes of the breach.</w:t>
      </w:r>
      <w:r w:rsidR="0084095F">
        <w:t xml:space="preserve"> </w:t>
      </w:r>
      <w:r w:rsidRPr="000A1CFB">
        <w:t xml:space="preserve">This approach was considered by the </w:t>
      </w:r>
      <w:r w:rsidR="004D0BA3">
        <w:t xml:space="preserve">2008 National </w:t>
      </w:r>
      <w:r w:rsidR="005828E0">
        <w:t>r</w:t>
      </w:r>
      <w:r w:rsidR="004D0BA3">
        <w:t xml:space="preserve">eview </w:t>
      </w:r>
      <w:r w:rsidRPr="000A1CFB">
        <w:t>to be more effective for deterrence.</w:t>
      </w:r>
      <w:r w:rsidR="0084095F">
        <w:t xml:space="preserve"> </w:t>
      </w:r>
      <w:r w:rsidR="00692C09" w:rsidRPr="00692C09">
        <w:t xml:space="preserve">It was recommended that the most serious offences be </w:t>
      </w:r>
      <w:r w:rsidRPr="000A1CFB">
        <w:t>indictable offences parallel with the most serious breaches of the criminal law</w:t>
      </w:r>
      <w:r w:rsidR="00A36BB9">
        <w:t>;</w:t>
      </w:r>
      <w:r w:rsidRPr="000A1CFB">
        <w:t xml:space="preserve"> the intention being to maintain public confidence in the administration of justice in the worker safety area</w:t>
      </w:r>
      <w:r w:rsidR="003946C4">
        <w:t>.</w:t>
      </w:r>
      <w:r w:rsidRPr="000A1CFB">
        <w:rPr>
          <w:rStyle w:val="FootnoteReference"/>
          <w:rFonts w:cstheme="minorHAnsi"/>
          <w:sz w:val="22"/>
          <w:szCs w:val="22"/>
        </w:rPr>
        <w:footnoteReference w:id="75"/>
      </w:r>
      <w:r w:rsidR="004D0BA3">
        <w:t xml:space="preserve"> It was also intended that this approach would </w:t>
      </w:r>
      <w:r w:rsidR="004D0BA3" w:rsidRPr="00CA6822">
        <w:t>reinforce that offences against the model WHS laws are ‘real offences’ under the criminal law in order to strengthen their deterrent effect.</w:t>
      </w:r>
    </w:p>
    <w:p w:rsidR="00FB68F2" w:rsidRDefault="006F633C" w:rsidP="00CA5EB3">
      <w:pPr>
        <w:rPr>
          <w:lang w:val="en-AU"/>
        </w:rPr>
      </w:pPr>
      <w:r w:rsidRPr="000A1CFB">
        <w:t xml:space="preserve">Under the model WHS laws the financial penalties for WHS offences increased for all jurisdictions, with the maximum penalty of $3 million (for a Category 1 offence by a body corporate) almost double the highest previously available. </w:t>
      </w:r>
    </w:p>
    <w:p w:rsidR="00E47CA6" w:rsidRDefault="00540F13" w:rsidP="00CA5EB3">
      <w:pPr>
        <w:rPr>
          <w:lang w:val="en-AU"/>
        </w:rPr>
      </w:pPr>
      <w:r w:rsidRPr="000A1CFB">
        <w:rPr>
          <w:lang w:val="en-AU"/>
        </w:rPr>
        <w:t xml:space="preserve">While the </w:t>
      </w:r>
      <w:r>
        <w:rPr>
          <w:lang w:val="en-AU"/>
        </w:rPr>
        <w:t xml:space="preserve">2008 National </w:t>
      </w:r>
      <w:r w:rsidR="005828E0">
        <w:rPr>
          <w:lang w:val="en-AU"/>
        </w:rPr>
        <w:t>r</w:t>
      </w:r>
      <w:r>
        <w:rPr>
          <w:lang w:val="en-AU"/>
        </w:rPr>
        <w:t>eview</w:t>
      </w:r>
      <w:r w:rsidRPr="000A1CFB">
        <w:rPr>
          <w:lang w:val="en-AU"/>
        </w:rPr>
        <w:t xml:space="preserve"> recommended that ‘gross negligence’ be included in the Category</w:t>
      </w:r>
      <w:r w:rsidR="00E92E8A">
        <w:rPr>
          <w:lang w:val="en-AU"/>
        </w:rPr>
        <w:t> </w:t>
      </w:r>
      <w:r w:rsidRPr="000A1CFB">
        <w:rPr>
          <w:lang w:val="en-AU"/>
        </w:rPr>
        <w:t xml:space="preserve">1 offence, </w:t>
      </w:r>
      <w:r w:rsidR="00E002BD">
        <w:rPr>
          <w:lang w:val="en-AU"/>
        </w:rPr>
        <w:t>WHS m</w:t>
      </w:r>
      <w:r w:rsidRPr="000A1CFB">
        <w:rPr>
          <w:lang w:val="en-AU"/>
        </w:rPr>
        <w:t xml:space="preserve">inisters agreed to an alternative model on the basis that gross negligence offences should be dealt with outside the model </w:t>
      </w:r>
      <w:r>
        <w:rPr>
          <w:lang w:val="en-AU"/>
        </w:rPr>
        <w:t xml:space="preserve">WHS </w:t>
      </w:r>
      <w:r w:rsidRPr="000A1CFB">
        <w:rPr>
          <w:lang w:val="en-AU"/>
        </w:rPr>
        <w:t>Act as they would otherwise cut across local criminal laws and manslaughter offences</w:t>
      </w:r>
      <w:r w:rsidR="00E47CA6">
        <w:rPr>
          <w:lang w:val="en-AU"/>
        </w:rPr>
        <w:t>.</w:t>
      </w:r>
      <w:r w:rsidRPr="000A1CFB">
        <w:rPr>
          <w:rStyle w:val="FootnoteReference"/>
          <w:sz w:val="22"/>
          <w:szCs w:val="22"/>
          <w:lang w:val="en-AU"/>
        </w:rPr>
        <w:footnoteReference w:id="76"/>
      </w:r>
    </w:p>
    <w:p w:rsidR="00540F13" w:rsidRPr="000A1CFB" w:rsidRDefault="00540F13" w:rsidP="00CA5EB3">
      <w:pPr>
        <w:rPr>
          <w:lang w:val="en-AU"/>
        </w:rPr>
      </w:pPr>
      <w:r w:rsidRPr="000A1CFB">
        <w:rPr>
          <w:lang w:val="en-AU"/>
        </w:rPr>
        <w:t xml:space="preserve">Since the </w:t>
      </w:r>
      <w:r>
        <w:rPr>
          <w:lang w:val="en-AU"/>
        </w:rPr>
        <w:t xml:space="preserve">2008 </w:t>
      </w:r>
      <w:r w:rsidRPr="000A1CFB">
        <w:rPr>
          <w:lang w:val="en-AU"/>
        </w:rPr>
        <w:t xml:space="preserve">National </w:t>
      </w:r>
      <w:r w:rsidR="005828E0">
        <w:rPr>
          <w:lang w:val="en-AU"/>
        </w:rPr>
        <w:t>r</w:t>
      </w:r>
      <w:r w:rsidRPr="000A1CFB">
        <w:rPr>
          <w:lang w:val="en-AU"/>
        </w:rPr>
        <w:t xml:space="preserve">eview and the introduction of the </w:t>
      </w:r>
      <w:r>
        <w:rPr>
          <w:lang w:val="en-AU"/>
        </w:rPr>
        <w:t>m</w:t>
      </w:r>
      <w:r w:rsidRPr="000A1CFB">
        <w:rPr>
          <w:lang w:val="en-AU"/>
        </w:rPr>
        <w:t xml:space="preserve">odel WHS laws, there have been two further considerations of </w:t>
      </w:r>
      <w:r w:rsidR="00FB68F2">
        <w:rPr>
          <w:lang w:val="en-AU"/>
        </w:rPr>
        <w:t>the offences in the model WHS laws,</w:t>
      </w:r>
      <w:r w:rsidRPr="000A1CFB">
        <w:rPr>
          <w:lang w:val="en-AU"/>
        </w:rPr>
        <w:t xml:space="preserve"> in South Australia and Queensland respectively.</w:t>
      </w:r>
    </w:p>
    <w:p w:rsidR="00540F13" w:rsidRPr="000A1CFB" w:rsidRDefault="00540F13" w:rsidP="00CA5EB3">
      <w:pPr>
        <w:rPr>
          <w:lang w:val="en-AU"/>
        </w:rPr>
      </w:pPr>
      <w:r w:rsidRPr="000A1CFB">
        <w:rPr>
          <w:lang w:val="en-AU"/>
        </w:rPr>
        <w:lastRenderedPageBreak/>
        <w:t>In May 2015, South Australian Greens MLC Tammy Franks introduced a private members Bill</w:t>
      </w:r>
      <w:r w:rsidR="003946C4">
        <w:rPr>
          <w:rStyle w:val="FootnoteReference"/>
          <w:lang w:val="en-AU"/>
        </w:rPr>
        <w:footnoteReference w:id="77"/>
      </w:r>
      <w:r w:rsidR="003946C4">
        <w:rPr>
          <w:lang w:val="en-AU"/>
        </w:rPr>
        <w:t xml:space="preserve"> </w:t>
      </w:r>
      <w:r w:rsidRPr="000A1CFB">
        <w:rPr>
          <w:lang w:val="en-AU"/>
        </w:rPr>
        <w:t>which sought to introduce penalties of up to 20 years in prison for company officers who recklessly caused the death of a person.</w:t>
      </w:r>
      <w:r w:rsidR="0084095F">
        <w:rPr>
          <w:lang w:val="en-AU"/>
        </w:rPr>
        <w:t xml:space="preserve"> </w:t>
      </w:r>
      <w:r w:rsidRPr="000A1CFB">
        <w:rPr>
          <w:lang w:val="en-AU"/>
        </w:rPr>
        <w:t xml:space="preserve">The Bill was referred to </w:t>
      </w:r>
      <w:r w:rsidR="001929E8">
        <w:rPr>
          <w:lang w:val="en-AU"/>
        </w:rPr>
        <w:t>c</w:t>
      </w:r>
      <w:r w:rsidRPr="000A1CFB">
        <w:rPr>
          <w:lang w:val="en-AU"/>
        </w:rPr>
        <w:t>ommittee</w:t>
      </w:r>
      <w:r w:rsidR="001929E8">
        <w:rPr>
          <w:lang w:val="en-AU"/>
        </w:rPr>
        <w:t>,</w:t>
      </w:r>
      <w:r w:rsidRPr="000A1CFB">
        <w:rPr>
          <w:lang w:val="en-AU"/>
        </w:rPr>
        <w:t xml:space="preserve"> which </w:t>
      </w:r>
      <w:r w:rsidR="001929E8">
        <w:rPr>
          <w:lang w:val="en-AU"/>
        </w:rPr>
        <w:t xml:space="preserve">rather than support </w:t>
      </w:r>
      <w:r w:rsidRPr="000A1CFB">
        <w:rPr>
          <w:lang w:val="en-AU"/>
        </w:rPr>
        <w:t>the introduction of a new industrial manslaughter offence</w:t>
      </w:r>
      <w:r w:rsidR="0081114A">
        <w:rPr>
          <w:lang w:val="en-AU"/>
        </w:rPr>
        <w:t xml:space="preserve">, recommended that the Director of Public of Public Prosecutions </w:t>
      </w:r>
      <w:r w:rsidR="00D520F7">
        <w:rPr>
          <w:lang w:val="en-AU"/>
        </w:rPr>
        <w:t xml:space="preserve">(DPP) </w:t>
      </w:r>
      <w:r w:rsidR="0081114A">
        <w:rPr>
          <w:lang w:val="en-AU"/>
        </w:rPr>
        <w:t xml:space="preserve">and the Crown Solicitor develop a protocol for initiating work-related manslaughter prosecutions under the </w:t>
      </w:r>
      <w:r w:rsidR="0081114A" w:rsidRPr="00FC1A52">
        <w:rPr>
          <w:i/>
          <w:lang w:val="en-AU"/>
        </w:rPr>
        <w:t>Criminal Law Consolidation Act 1935</w:t>
      </w:r>
      <w:r w:rsidR="0081114A">
        <w:rPr>
          <w:i/>
          <w:lang w:val="en-AU"/>
        </w:rPr>
        <w:t xml:space="preserve"> </w:t>
      </w:r>
      <w:r w:rsidR="0081114A" w:rsidRPr="00FC1A52">
        <w:rPr>
          <w:lang w:val="en-AU"/>
        </w:rPr>
        <w:t>(SA)</w:t>
      </w:r>
      <w:r w:rsidR="0081114A">
        <w:rPr>
          <w:lang w:val="en-AU"/>
        </w:rPr>
        <w:t xml:space="preserve"> (CLCA).</w:t>
      </w:r>
      <w:r w:rsidR="0047274B" w:rsidRPr="0047274B">
        <w:rPr>
          <w:vertAlign w:val="superscript"/>
          <w:lang w:val="en-AU"/>
        </w:rPr>
        <w:footnoteReference w:id="78"/>
      </w:r>
      <w:r w:rsidR="0081114A">
        <w:rPr>
          <w:lang w:val="en-AU"/>
        </w:rPr>
        <w:t xml:space="preserve"> </w:t>
      </w:r>
      <w:r w:rsidRPr="000A1CFB">
        <w:rPr>
          <w:lang w:val="en-AU"/>
        </w:rPr>
        <w:t xml:space="preserve">The </w:t>
      </w:r>
      <w:r w:rsidR="001929E8">
        <w:rPr>
          <w:lang w:val="en-AU"/>
        </w:rPr>
        <w:t>c</w:t>
      </w:r>
      <w:r w:rsidRPr="000A1CFB">
        <w:rPr>
          <w:lang w:val="en-AU"/>
        </w:rPr>
        <w:t xml:space="preserve">ommittee noted that the harmonised WHS laws represented a significant penalty improvement on the former </w:t>
      </w:r>
      <w:r w:rsidR="001929E8">
        <w:rPr>
          <w:lang w:val="en-AU"/>
        </w:rPr>
        <w:t xml:space="preserve">SA Act and </w:t>
      </w:r>
      <w:r w:rsidRPr="000A1CFB">
        <w:rPr>
          <w:lang w:val="en-AU"/>
        </w:rPr>
        <w:t xml:space="preserve">that a South Australian company owner </w:t>
      </w:r>
      <w:r w:rsidR="001929E8">
        <w:rPr>
          <w:lang w:val="en-AU"/>
        </w:rPr>
        <w:t xml:space="preserve">had been successfully prosecuted </w:t>
      </w:r>
      <w:r w:rsidR="001929E8" w:rsidRPr="000A1CFB">
        <w:rPr>
          <w:lang w:val="en-AU"/>
        </w:rPr>
        <w:t>under the CLCA in 2015</w:t>
      </w:r>
      <w:r w:rsidR="001929E8">
        <w:rPr>
          <w:lang w:val="en-AU"/>
        </w:rPr>
        <w:t xml:space="preserve">, receiving a </w:t>
      </w:r>
      <w:r w:rsidRPr="000A1CFB">
        <w:rPr>
          <w:lang w:val="en-AU"/>
        </w:rPr>
        <w:t>jail</w:t>
      </w:r>
      <w:r w:rsidR="001929E8">
        <w:rPr>
          <w:lang w:val="en-AU"/>
        </w:rPr>
        <w:t xml:space="preserve"> sentence of over </w:t>
      </w:r>
      <w:r w:rsidRPr="000A1CFB">
        <w:rPr>
          <w:lang w:val="en-AU"/>
        </w:rPr>
        <w:t>12 years</w:t>
      </w:r>
      <w:r w:rsidR="003946C4">
        <w:rPr>
          <w:lang w:val="en-AU"/>
        </w:rPr>
        <w:t xml:space="preserve"> </w:t>
      </w:r>
      <w:r w:rsidRPr="000A1CFB">
        <w:rPr>
          <w:lang w:val="en-AU"/>
        </w:rPr>
        <w:t xml:space="preserve">for the manslaughter of </w:t>
      </w:r>
      <w:r w:rsidR="001929E8">
        <w:rPr>
          <w:lang w:val="en-AU"/>
        </w:rPr>
        <w:t xml:space="preserve">an </w:t>
      </w:r>
      <w:r w:rsidRPr="000A1CFB">
        <w:rPr>
          <w:lang w:val="en-AU"/>
        </w:rPr>
        <w:t>employee.</w:t>
      </w:r>
    </w:p>
    <w:p w:rsidR="0081114A" w:rsidRDefault="00540F13" w:rsidP="00CA5EB3">
      <w:pPr>
        <w:rPr>
          <w:lang w:val="en-AU"/>
        </w:rPr>
      </w:pPr>
      <w:r w:rsidRPr="000A1CFB">
        <w:rPr>
          <w:lang w:val="en-AU"/>
        </w:rPr>
        <w:t xml:space="preserve">In 2017, </w:t>
      </w:r>
      <w:r>
        <w:rPr>
          <w:lang w:val="en-AU"/>
        </w:rPr>
        <w:t>Q</w:t>
      </w:r>
      <w:r w:rsidR="001929E8">
        <w:rPr>
          <w:lang w:val="en-AU"/>
        </w:rPr>
        <w:t xml:space="preserve">ueensland </w:t>
      </w:r>
      <w:r w:rsidR="00D555FD">
        <w:rPr>
          <w:lang w:val="en-AU"/>
        </w:rPr>
        <w:t xml:space="preserve">passed the </w:t>
      </w:r>
      <w:r w:rsidR="00D555FD" w:rsidRPr="007F7354">
        <w:rPr>
          <w:i/>
        </w:rPr>
        <w:t>Work Health and Safety and other Legislation Amendment Act 2017</w:t>
      </w:r>
      <w:r w:rsidR="003946C4">
        <w:rPr>
          <w:lang w:val="en-AU"/>
        </w:rPr>
        <w:t xml:space="preserve"> </w:t>
      </w:r>
      <w:r w:rsidR="00D555FD">
        <w:rPr>
          <w:lang w:val="en-AU"/>
        </w:rPr>
        <w:t xml:space="preserve">which introduced an </w:t>
      </w:r>
      <w:r w:rsidR="00E92E8A">
        <w:t>industrial</w:t>
      </w:r>
      <w:r w:rsidR="00D555FD">
        <w:t xml:space="preserve"> manslaughter offence</w:t>
      </w:r>
      <w:r w:rsidR="0081114A">
        <w:rPr>
          <w:lang w:val="en-AU"/>
        </w:rPr>
        <w:t>.</w:t>
      </w:r>
    </w:p>
    <w:p w:rsidR="00FB68F2" w:rsidRPr="000A1CFB" w:rsidRDefault="00FB68F2" w:rsidP="00CA5EB3">
      <w:pPr>
        <w:rPr>
          <w:lang w:val="en-AU"/>
        </w:rPr>
      </w:pPr>
      <w:r w:rsidRPr="000A1CFB">
        <w:rPr>
          <w:lang w:val="en-AU"/>
        </w:rPr>
        <w:t xml:space="preserve">There are a number of other offences under the model WHS </w:t>
      </w:r>
      <w:r w:rsidR="00D57F76">
        <w:rPr>
          <w:lang w:val="en-AU"/>
        </w:rPr>
        <w:t>A</w:t>
      </w:r>
      <w:r w:rsidRPr="000A1CFB">
        <w:rPr>
          <w:lang w:val="en-AU"/>
        </w:rPr>
        <w:t>ct that relate to specific requirements and carry their own individual penalties. These i</w:t>
      </w:r>
      <w:r w:rsidR="00CA5EB3">
        <w:rPr>
          <w:lang w:val="en-AU"/>
        </w:rPr>
        <w:t>nclude offences in relation to:</w:t>
      </w:r>
    </w:p>
    <w:p w:rsidR="00FB68F2" w:rsidRPr="000A1CFB" w:rsidRDefault="001929E8" w:rsidP="00CA5EB3">
      <w:pPr>
        <w:pStyle w:val="2018ReviewBullets"/>
        <w:rPr>
          <w:lang w:val="en-AU"/>
        </w:rPr>
      </w:pPr>
      <w:r>
        <w:rPr>
          <w:lang w:val="en-AU"/>
        </w:rPr>
        <w:t>i</w:t>
      </w:r>
      <w:r w:rsidR="00FB68F2" w:rsidRPr="000A1CFB">
        <w:rPr>
          <w:lang w:val="en-AU"/>
        </w:rPr>
        <w:t>ncident notification (for example</w:t>
      </w:r>
      <w:r w:rsidR="00B61B37">
        <w:rPr>
          <w:lang w:val="en-AU"/>
        </w:rPr>
        <w:t>,</w:t>
      </w:r>
      <w:r w:rsidR="00FB68F2" w:rsidRPr="000A1CFB">
        <w:rPr>
          <w:lang w:val="en-AU"/>
        </w:rPr>
        <w:t xml:space="preserve"> failure to notify the regulator of a notifiable incident)</w:t>
      </w:r>
    </w:p>
    <w:p w:rsidR="00FB68F2" w:rsidRPr="000A1CFB" w:rsidRDefault="00FB68F2" w:rsidP="00CA5EB3">
      <w:pPr>
        <w:pStyle w:val="2018ReviewBullets"/>
        <w:rPr>
          <w:lang w:val="en-AU"/>
        </w:rPr>
      </w:pPr>
      <w:r w:rsidRPr="000A1CFB">
        <w:rPr>
          <w:lang w:val="en-AU"/>
        </w:rPr>
        <w:t>authorisations (for example</w:t>
      </w:r>
      <w:r w:rsidR="00B61B37">
        <w:rPr>
          <w:lang w:val="en-AU"/>
        </w:rPr>
        <w:t>,</w:t>
      </w:r>
      <w:r w:rsidRPr="000A1CFB">
        <w:rPr>
          <w:lang w:val="en-AU"/>
        </w:rPr>
        <w:t xml:space="preserve"> using unauthorised plant equipment or substances at a workplace)</w:t>
      </w:r>
    </w:p>
    <w:p w:rsidR="00FB68F2" w:rsidRPr="000A1CFB" w:rsidRDefault="00FB68F2" w:rsidP="00CA5EB3">
      <w:pPr>
        <w:pStyle w:val="2018ReviewBullets"/>
        <w:rPr>
          <w:lang w:val="en-AU"/>
        </w:rPr>
      </w:pPr>
      <w:r w:rsidRPr="000A1CFB">
        <w:rPr>
          <w:lang w:val="en-AU"/>
        </w:rPr>
        <w:t>consultation (for example</w:t>
      </w:r>
      <w:r w:rsidR="00B61B37">
        <w:rPr>
          <w:lang w:val="en-AU"/>
        </w:rPr>
        <w:t>,</w:t>
      </w:r>
      <w:r w:rsidRPr="000A1CFB">
        <w:rPr>
          <w:lang w:val="en-AU"/>
        </w:rPr>
        <w:t xml:space="preserve"> failing to consult other duty holders or workers about WHS matters)</w:t>
      </w:r>
    </w:p>
    <w:p w:rsidR="00FB68F2" w:rsidRPr="000A1CFB" w:rsidRDefault="00FB68F2" w:rsidP="00CA5EB3">
      <w:pPr>
        <w:pStyle w:val="2018ReviewBullets"/>
        <w:rPr>
          <w:lang w:val="en-AU"/>
        </w:rPr>
      </w:pPr>
      <w:r w:rsidRPr="000A1CFB">
        <w:rPr>
          <w:lang w:val="en-AU"/>
        </w:rPr>
        <w:t>the establishment of workgroups (for example</w:t>
      </w:r>
      <w:r w:rsidR="00B61B37">
        <w:rPr>
          <w:lang w:val="en-AU"/>
        </w:rPr>
        <w:t>,</w:t>
      </w:r>
      <w:r w:rsidRPr="000A1CFB">
        <w:rPr>
          <w:lang w:val="en-AU"/>
        </w:rPr>
        <w:t xml:space="preserve"> failing to negotiate with workers or their representative regarding the formation of workgroups)</w:t>
      </w:r>
    </w:p>
    <w:p w:rsidR="00FB68F2" w:rsidRPr="000A1CFB" w:rsidRDefault="00FB68F2" w:rsidP="00CA5EB3">
      <w:pPr>
        <w:pStyle w:val="2018ReviewBullets"/>
        <w:rPr>
          <w:lang w:val="en-AU"/>
        </w:rPr>
      </w:pPr>
      <w:r w:rsidRPr="000A1CFB">
        <w:rPr>
          <w:lang w:val="en-AU"/>
        </w:rPr>
        <w:t>H</w:t>
      </w:r>
      <w:r w:rsidR="00AE4C0F">
        <w:rPr>
          <w:lang w:val="en-AU"/>
        </w:rPr>
        <w:t>SR</w:t>
      </w:r>
      <w:r w:rsidRPr="000A1CFB">
        <w:rPr>
          <w:lang w:val="en-AU"/>
        </w:rPr>
        <w:t>s (for example</w:t>
      </w:r>
      <w:r w:rsidR="00B61B37">
        <w:rPr>
          <w:lang w:val="en-AU"/>
        </w:rPr>
        <w:t>,</w:t>
      </w:r>
      <w:r w:rsidRPr="000A1CFB">
        <w:rPr>
          <w:lang w:val="en-AU"/>
        </w:rPr>
        <w:t xml:space="preserve"> failing to consult with HSRs on WHS matters)</w:t>
      </w:r>
    </w:p>
    <w:p w:rsidR="00FB68F2" w:rsidRPr="000A1CFB" w:rsidRDefault="007A69A2" w:rsidP="00CA5EB3">
      <w:pPr>
        <w:pStyle w:val="2018ReviewBullets"/>
        <w:rPr>
          <w:lang w:val="en-AU"/>
        </w:rPr>
      </w:pPr>
      <w:r>
        <w:rPr>
          <w:lang w:val="en-AU"/>
        </w:rPr>
        <w:t>HSCs</w:t>
      </w:r>
      <w:r w:rsidR="00FB68F2" w:rsidRPr="000A1CFB">
        <w:rPr>
          <w:lang w:val="en-AU"/>
        </w:rPr>
        <w:t xml:space="preserve"> (for example, failing to establish an HSC following a request)</w:t>
      </w:r>
    </w:p>
    <w:p w:rsidR="00FB68F2" w:rsidRPr="000A1CFB" w:rsidRDefault="00FB68F2" w:rsidP="00CA5EB3">
      <w:pPr>
        <w:pStyle w:val="2018ReviewBullets"/>
        <w:rPr>
          <w:lang w:val="en-AU"/>
        </w:rPr>
      </w:pPr>
      <w:r w:rsidRPr="000A1CFB">
        <w:rPr>
          <w:lang w:val="en-AU"/>
        </w:rPr>
        <w:t>discriminatory, coercive or misleading conduct (for example, knowingly or recklessly making a false or misleading representation to another person regarding the rights, obligations or abilities under the model WHS act), and</w:t>
      </w:r>
    </w:p>
    <w:p w:rsidR="00FB68F2" w:rsidRPr="005C1DD7" w:rsidRDefault="00FB68F2" w:rsidP="005C1DD7">
      <w:pPr>
        <w:pStyle w:val="2018ReviewBullets"/>
        <w:rPr>
          <w:sz w:val="22"/>
          <w:szCs w:val="22"/>
          <w:lang w:val="en-AU"/>
        </w:rPr>
      </w:pPr>
      <w:r w:rsidRPr="000A1CFB">
        <w:rPr>
          <w:lang w:val="en-AU"/>
        </w:rPr>
        <w:t>the regulator and inspectors (for example</w:t>
      </w:r>
      <w:r w:rsidR="00B61B37">
        <w:rPr>
          <w:lang w:val="en-AU"/>
        </w:rPr>
        <w:t>,</w:t>
      </w:r>
      <w:r w:rsidRPr="000A1CFB">
        <w:rPr>
          <w:lang w:val="en-AU"/>
        </w:rPr>
        <w:t xml:space="preserve"> impersonating an inspector).</w:t>
      </w:r>
    </w:p>
    <w:p w:rsidR="00FB68F2" w:rsidRPr="004E1BD1" w:rsidRDefault="00FB68F2" w:rsidP="00CA5EB3">
      <w:pPr>
        <w:rPr>
          <w:lang w:val="en-AU"/>
        </w:rPr>
      </w:pPr>
      <w:r w:rsidRPr="000A1CFB">
        <w:rPr>
          <w:lang w:val="en-AU"/>
        </w:rPr>
        <w:t xml:space="preserve">The </w:t>
      </w:r>
      <w:r w:rsidR="001929E8">
        <w:rPr>
          <w:lang w:val="en-AU"/>
        </w:rPr>
        <w:t>m</w:t>
      </w:r>
      <w:r w:rsidRPr="000A1CFB">
        <w:rPr>
          <w:lang w:val="en-AU"/>
        </w:rPr>
        <w:t>odel WHS laws also provide</w:t>
      </w:r>
      <w:r w:rsidR="00D555FD">
        <w:rPr>
          <w:lang w:val="en-AU"/>
        </w:rPr>
        <w:t>s</w:t>
      </w:r>
      <w:r w:rsidR="00D555FD" w:rsidRPr="00D555FD">
        <w:t xml:space="preserve"> </w:t>
      </w:r>
      <w:r w:rsidR="00D555FD" w:rsidRPr="00D555FD">
        <w:rPr>
          <w:lang w:val="en-AU"/>
        </w:rPr>
        <w:t xml:space="preserve">scope for jurisdictions to legislate </w:t>
      </w:r>
      <w:r w:rsidRPr="000A1CFB">
        <w:rPr>
          <w:lang w:val="en-AU"/>
        </w:rPr>
        <w:t>for infringement notices (in effect ‘on the spot’ fines) which inspectors can use as an alternative to prosecution in prescribed circumstances.</w:t>
      </w:r>
      <w:r w:rsidRPr="000A1CFB">
        <w:rPr>
          <w:rStyle w:val="FootnoteReference"/>
          <w:sz w:val="22"/>
          <w:szCs w:val="22"/>
          <w:lang w:val="en-AU"/>
        </w:rPr>
        <w:footnoteReference w:id="79"/>
      </w:r>
    </w:p>
    <w:p w:rsidR="00FB68F2" w:rsidRPr="000A1CFB" w:rsidRDefault="00FB68F2" w:rsidP="006F633C">
      <w:pPr>
        <w:jc w:val="both"/>
        <w:rPr>
          <w:sz w:val="22"/>
          <w:szCs w:val="22"/>
          <w:lang w:val="en-AU"/>
        </w:rPr>
      </w:pPr>
    </w:p>
    <w:p w:rsidR="006F633C" w:rsidRPr="00B05288" w:rsidRDefault="007F7CC8" w:rsidP="00146A76">
      <w:pPr>
        <w:pStyle w:val="ReviewSubmissionQuestions"/>
      </w:pPr>
      <w:r w:rsidRPr="00B05288">
        <w:t xml:space="preserve">Have you any comments on the effectiveness of the </w:t>
      </w:r>
      <w:r w:rsidR="006F633C" w:rsidRPr="00B05288">
        <w:t xml:space="preserve">penalties in the model WHS Act </w:t>
      </w:r>
      <w:r w:rsidRPr="00B05288">
        <w:t xml:space="preserve">as </w:t>
      </w:r>
      <w:r w:rsidR="006F633C" w:rsidRPr="00B05288">
        <w:t>a deterrent to poor health and safety practices?</w:t>
      </w:r>
    </w:p>
    <w:p w:rsidR="006F633C" w:rsidRPr="00F00C9B" w:rsidRDefault="006F633C" w:rsidP="00F00C9B">
      <w:pPr>
        <w:pStyle w:val="2018ReviewSectionnumberingheading"/>
      </w:pPr>
      <w:bookmarkStart w:id="356" w:name="_Toc506794205"/>
      <w:r w:rsidRPr="00F00C9B">
        <w:t>Legal proceedings</w:t>
      </w:r>
      <w:bookmarkEnd w:id="356"/>
    </w:p>
    <w:p w:rsidR="006F633C" w:rsidRPr="000A1CFB" w:rsidRDefault="006F633C" w:rsidP="00CA5EB3">
      <w:pPr>
        <w:rPr>
          <w:lang w:val="en-AU"/>
        </w:rPr>
      </w:pPr>
      <w:r w:rsidRPr="000A1CFB">
        <w:rPr>
          <w:lang w:val="en-AU"/>
        </w:rPr>
        <w:t xml:space="preserve">Proceedings for an offence against the model WHS Act may be brought by a WHS </w:t>
      </w:r>
      <w:r w:rsidR="003B55FD">
        <w:rPr>
          <w:lang w:val="en-AU"/>
        </w:rPr>
        <w:t>r</w:t>
      </w:r>
      <w:r w:rsidRPr="000A1CFB">
        <w:rPr>
          <w:lang w:val="en-AU"/>
        </w:rPr>
        <w:t>egulator or an inspector acting with th</w:t>
      </w:r>
      <w:r w:rsidR="0081114A">
        <w:rPr>
          <w:lang w:val="en-AU"/>
        </w:rPr>
        <w:t xml:space="preserve">e written authorisation of the </w:t>
      </w:r>
      <w:r w:rsidR="003B55FD">
        <w:rPr>
          <w:lang w:val="en-AU"/>
        </w:rPr>
        <w:t>r</w:t>
      </w:r>
      <w:r w:rsidRPr="000A1CFB">
        <w:rPr>
          <w:lang w:val="en-AU"/>
        </w:rPr>
        <w:t xml:space="preserve">egulator as well as the </w:t>
      </w:r>
      <w:r w:rsidR="007A69A2">
        <w:rPr>
          <w:lang w:val="en-AU"/>
        </w:rPr>
        <w:t>DPP</w:t>
      </w:r>
      <w:r w:rsidRPr="000A1CFB">
        <w:rPr>
          <w:lang w:val="en-AU"/>
        </w:rPr>
        <w:t>.</w:t>
      </w:r>
      <w:r w:rsidRPr="000A1CFB">
        <w:rPr>
          <w:rStyle w:val="FootnoteReference"/>
          <w:sz w:val="22"/>
          <w:szCs w:val="22"/>
          <w:lang w:val="en-AU"/>
        </w:rPr>
        <w:footnoteReference w:id="80"/>
      </w:r>
      <w:r w:rsidR="0084095F">
        <w:rPr>
          <w:lang w:val="en-AU"/>
        </w:rPr>
        <w:t xml:space="preserve"> </w:t>
      </w:r>
      <w:r w:rsidR="0081114A">
        <w:rPr>
          <w:lang w:val="en-AU"/>
        </w:rPr>
        <w:t>Allowing only the</w:t>
      </w:r>
      <w:r w:rsidR="002E1B3C">
        <w:rPr>
          <w:lang w:val="en-AU"/>
        </w:rPr>
        <w:t xml:space="preserve">se parties </w:t>
      </w:r>
      <w:r w:rsidRPr="000A1CFB">
        <w:rPr>
          <w:lang w:val="en-AU"/>
        </w:rPr>
        <w:t xml:space="preserve">to prosecute was seen as a means of improving the consistency of enforcement </w:t>
      </w:r>
      <w:r w:rsidR="0081114A">
        <w:rPr>
          <w:lang w:val="en-AU"/>
        </w:rPr>
        <w:t xml:space="preserve">procedures </w:t>
      </w:r>
      <w:r w:rsidRPr="000A1CFB">
        <w:rPr>
          <w:lang w:val="en-AU"/>
        </w:rPr>
        <w:t>and facilitating the process of graduated e</w:t>
      </w:r>
      <w:r w:rsidR="0081114A">
        <w:rPr>
          <w:lang w:val="en-AU"/>
        </w:rPr>
        <w:t>nforcement.</w:t>
      </w:r>
      <w:r w:rsidR="0084095F">
        <w:rPr>
          <w:lang w:val="en-AU"/>
        </w:rPr>
        <w:t xml:space="preserve"> </w:t>
      </w:r>
      <w:r w:rsidR="0081114A">
        <w:rPr>
          <w:lang w:val="en-AU"/>
        </w:rPr>
        <w:t>There is</w:t>
      </w:r>
      <w:r w:rsidR="00D520F7">
        <w:rPr>
          <w:lang w:val="en-AU"/>
        </w:rPr>
        <w:t>,</w:t>
      </w:r>
      <w:r w:rsidR="0081114A">
        <w:rPr>
          <w:lang w:val="en-AU"/>
        </w:rPr>
        <w:t xml:space="preserve"> however</w:t>
      </w:r>
      <w:r w:rsidR="00D520F7">
        <w:rPr>
          <w:lang w:val="en-AU"/>
        </w:rPr>
        <w:t>,</w:t>
      </w:r>
      <w:r w:rsidR="0081114A">
        <w:rPr>
          <w:lang w:val="en-AU"/>
        </w:rPr>
        <w:t xml:space="preserve"> provision for </w:t>
      </w:r>
      <w:r w:rsidRPr="000A1CFB">
        <w:rPr>
          <w:lang w:val="en-AU"/>
        </w:rPr>
        <w:t xml:space="preserve">a person </w:t>
      </w:r>
      <w:r w:rsidR="0081114A">
        <w:rPr>
          <w:lang w:val="en-AU"/>
        </w:rPr>
        <w:t>to request</w:t>
      </w:r>
      <w:r w:rsidRPr="000A1CFB">
        <w:rPr>
          <w:lang w:val="en-AU"/>
        </w:rPr>
        <w:t xml:space="preserve"> that the DPP consider a matter if the </w:t>
      </w:r>
      <w:r w:rsidR="003B55FD">
        <w:rPr>
          <w:lang w:val="en-AU"/>
        </w:rPr>
        <w:t>r</w:t>
      </w:r>
      <w:r w:rsidRPr="000A1CFB">
        <w:rPr>
          <w:lang w:val="en-AU"/>
        </w:rPr>
        <w:t>egulator has decided not to prosecute (s</w:t>
      </w:r>
      <w:r w:rsidR="0047274B">
        <w:rPr>
          <w:lang w:val="en-AU"/>
        </w:rPr>
        <w:t> </w:t>
      </w:r>
      <w:r w:rsidRPr="000A1CFB">
        <w:rPr>
          <w:lang w:val="en-AU"/>
        </w:rPr>
        <w:t>231</w:t>
      </w:r>
      <w:r w:rsidR="00D57F76">
        <w:rPr>
          <w:lang w:val="en-AU"/>
        </w:rPr>
        <w:t xml:space="preserve"> of the model WHS Act refers</w:t>
      </w:r>
      <w:r w:rsidRPr="000A1CFB">
        <w:rPr>
          <w:lang w:val="en-AU"/>
        </w:rPr>
        <w:t>).</w:t>
      </w:r>
    </w:p>
    <w:p w:rsidR="006F633C" w:rsidRPr="000A1CFB" w:rsidRDefault="0081114A" w:rsidP="00CA5EB3">
      <w:pPr>
        <w:rPr>
          <w:rFonts w:cstheme="minorHAnsi"/>
        </w:rPr>
      </w:pPr>
      <w:r>
        <w:rPr>
          <w:lang w:val="en-AU"/>
        </w:rPr>
        <w:lastRenderedPageBreak/>
        <w:t xml:space="preserve">Prior to the implementation of </w:t>
      </w:r>
      <w:r w:rsidR="006F633C" w:rsidRPr="000A1CFB">
        <w:rPr>
          <w:lang w:val="en-AU"/>
        </w:rPr>
        <w:t xml:space="preserve">the model </w:t>
      </w:r>
      <w:r w:rsidR="006F633C">
        <w:rPr>
          <w:lang w:val="en-AU"/>
        </w:rPr>
        <w:t xml:space="preserve">WHS </w:t>
      </w:r>
      <w:r w:rsidR="006F633C" w:rsidRPr="000A1CFB">
        <w:rPr>
          <w:lang w:val="en-AU"/>
        </w:rPr>
        <w:t>laws only New South Wales and Queensland provided for a reverse onus of proof for offences relating to duties of care. In these two jurisdictions, in a prosecution a defendant was required to show that they had done everything reasonably practicable to ensure safety.</w:t>
      </w:r>
      <w:r w:rsidR="0084095F">
        <w:rPr>
          <w:lang w:val="en-AU"/>
        </w:rPr>
        <w:t xml:space="preserve"> </w:t>
      </w:r>
      <w:r w:rsidR="006F633C" w:rsidRPr="000A1CFB">
        <w:rPr>
          <w:rFonts w:cstheme="minorHAnsi"/>
        </w:rPr>
        <w:t xml:space="preserve">In all other jurisdictions, the burden of proof for duty of care offences was placed entirely on the prosecution. The </w:t>
      </w:r>
      <w:r w:rsidR="006F633C">
        <w:rPr>
          <w:rFonts w:cstheme="minorHAnsi"/>
        </w:rPr>
        <w:t xml:space="preserve">2008 National </w:t>
      </w:r>
      <w:r w:rsidR="005828E0">
        <w:rPr>
          <w:rFonts w:cstheme="minorHAnsi"/>
        </w:rPr>
        <w:t>r</w:t>
      </w:r>
      <w:r w:rsidR="006F633C">
        <w:rPr>
          <w:rFonts w:cstheme="minorHAnsi"/>
        </w:rPr>
        <w:t>eview</w:t>
      </w:r>
      <w:r>
        <w:rPr>
          <w:rFonts w:cstheme="minorHAnsi"/>
        </w:rPr>
        <w:t xml:space="preserve"> </w:t>
      </w:r>
      <w:r w:rsidR="006F633C" w:rsidRPr="000A1CFB">
        <w:rPr>
          <w:rFonts w:cstheme="minorHAnsi"/>
        </w:rPr>
        <w:t xml:space="preserve">recommended that in the model WHS Act the prosecution should bear the criminal standard of proof for all elements of a WHS offence. </w:t>
      </w:r>
    </w:p>
    <w:p w:rsidR="006F633C" w:rsidRPr="000A1CFB" w:rsidRDefault="006F633C" w:rsidP="00CA5EB3">
      <w:pPr>
        <w:rPr>
          <w:lang w:val="en-AU"/>
        </w:rPr>
      </w:pPr>
      <w:r w:rsidRPr="000A1CFB">
        <w:rPr>
          <w:lang w:val="en-AU"/>
        </w:rPr>
        <w:t>Those who support the onus of proof being placed on the defendant suggest that</w:t>
      </w:r>
      <w:r w:rsidR="00B61B37">
        <w:rPr>
          <w:lang w:val="en-AU"/>
        </w:rPr>
        <w:t>,</w:t>
      </w:r>
      <w:r w:rsidRPr="000A1CFB">
        <w:rPr>
          <w:lang w:val="en-AU"/>
        </w:rPr>
        <w:t xml:space="preserve"> in this field of regulatory offen</w:t>
      </w:r>
      <w:r w:rsidR="007A69A2">
        <w:rPr>
          <w:lang w:val="en-AU"/>
        </w:rPr>
        <w:t>c</w:t>
      </w:r>
      <w:r w:rsidRPr="000A1CFB">
        <w:rPr>
          <w:lang w:val="en-AU"/>
        </w:rPr>
        <w:t xml:space="preserve">es, employers are in the best position to determine what was done in each situation, and whether what they did was reasonably practicable. In other words, employers and other duty holders know what steps they have taken with respect to risks and hazards and so forth, and accordingly the onus should be placed on them to prove, on a balance of probabilities, that they did all that was reasonably practicable. </w:t>
      </w:r>
      <w:r w:rsidR="002E1B3C">
        <w:rPr>
          <w:lang w:val="en-AU"/>
        </w:rPr>
        <w:t>T</w:t>
      </w:r>
      <w:r w:rsidRPr="000A1CFB">
        <w:rPr>
          <w:lang w:val="en-AU"/>
        </w:rPr>
        <w:t xml:space="preserve">his approach </w:t>
      </w:r>
      <w:r w:rsidR="002E1B3C">
        <w:rPr>
          <w:lang w:val="en-AU"/>
        </w:rPr>
        <w:t>is intended to achieve</w:t>
      </w:r>
      <w:r w:rsidR="0084095F">
        <w:rPr>
          <w:lang w:val="en-AU"/>
        </w:rPr>
        <w:t xml:space="preserve"> </w:t>
      </w:r>
      <w:r w:rsidRPr="000A1CFB">
        <w:rPr>
          <w:lang w:val="en-AU"/>
        </w:rPr>
        <w:t xml:space="preserve">the </w:t>
      </w:r>
      <w:r w:rsidR="002E1B3C">
        <w:rPr>
          <w:lang w:val="en-AU"/>
        </w:rPr>
        <w:t xml:space="preserve">right </w:t>
      </w:r>
      <w:r w:rsidRPr="000A1CFB">
        <w:rPr>
          <w:lang w:val="en-AU"/>
        </w:rPr>
        <w:t>balance between regulatory authorities on the one hand and employers and other duty holders on the other.</w:t>
      </w:r>
      <w:r w:rsidRPr="000A1CFB">
        <w:rPr>
          <w:rStyle w:val="FootnoteReference"/>
          <w:sz w:val="22"/>
          <w:szCs w:val="22"/>
          <w:lang w:val="en-AU"/>
        </w:rPr>
        <w:footnoteReference w:id="81"/>
      </w:r>
    </w:p>
    <w:p w:rsidR="006F633C" w:rsidRPr="000A1CFB" w:rsidRDefault="006F633C" w:rsidP="00CA5EB3">
      <w:pPr>
        <w:rPr>
          <w:rFonts w:cstheme="minorHAnsi"/>
        </w:rPr>
      </w:pPr>
      <w:r w:rsidRPr="000A1CFB">
        <w:rPr>
          <w:rFonts w:cstheme="minorHAnsi"/>
        </w:rPr>
        <w:t>The approach taken in the model WHS Act reflects the view that all duty of care offences are criminal offences and therefore it was considered appropriate that the burden of proof rest with the prosecutors</w:t>
      </w:r>
      <w:r w:rsidR="00D57F76">
        <w:rPr>
          <w:rFonts w:cstheme="minorHAnsi"/>
        </w:rPr>
        <w:t>, particularly</w:t>
      </w:r>
      <w:r w:rsidRPr="000A1CFB">
        <w:rPr>
          <w:rFonts w:cstheme="minorHAnsi"/>
        </w:rPr>
        <w:t xml:space="preserve"> given the substantial increase in the size and range of penalties for WHS offences, including imprisonment</w:t>
      </w:r>
      <w:r w:rsidR="0047274B">
        <w:rPr>
          <w:rFonts w:cstheme="minorHAnsi"/>
        </w:rPr>
        <w:t>.</w:t>
      </w:r>
      <w:r w:rsidRPr="000A1CFB">
        <w:rPr>
          <w:rStyle w:val="FootnoteReference"/>
          <w:rFonts w:cstheme="minorHAnsi"/>
          <w:sz w:val="22"/>
          <w:szCs w:val="22"/>
        </w:rPr>
        <w:footnoteReference w:id="82"/>
      </w:r>
    </w:p>
    <w:p w:rsidR="00B61B37" w:rsidRDefault="006F633C" w:rsidP="00CA5EB3">
      <w:r w:rsidRPr="000A1CFB">
        <w:t>The Q</w:t>
      </w:r>
      <w:r w:rsidR="00D520F7">
        <w:t>ueensland r</w:t>
      </w:r>
      <w:r w:rsidRPr="000A1CFB">
        <w:t>eview considered that</w:t>
      </w:r>
      <w:r w:rsidR="00B61B37">
        <w:t>:</w:t>
      </w:r>
      <w:r w:rsidRPr="000A1CFB">
        <w:t xml:space="preserve"> </w:t>
      </w:r>
    </w:p>
    <w:p w:rsidR="006F633C" w:rsidRPr="000A1CFB" w:rsidRDefault="00B61B37" w:rsidP="00A237FA">
      <w:pPr>
        <w:ind w:left="720"/>
      </w:pPr>
      <w:r>
        <w:rPr>
          <w:rStyle w:val="QuoteChar"/>
          <w:rFonts w:eastAsiaTheme="minorHAnsi"/>
        </w:rPr>
        <w:t>…</w:t>
      </w:r>
      <w:r w:rsidR="006F633C" w:rsidRPr="00CA5EB3">
        <w:rPr>
          <w:rStyle w:val="QuoteChar"/>
          <w:rFonts w:eastAsiaTheme="minorHAnsi"/>
        </w:rPr>
        <w:t>there is a not-insignificant case for the restoration of the reverse onus of proof as an aid to compliance and enforcement and to ensure the positive obligations of persons conducting a business or undertaking to maintain a safe system of work. However, given the issue of onus of proof is a core part of the model work health and safety laws, a change to this requirement is problematic if pursued in Queensland alone and it is appropriate that the matter be considered further as part of the national review of the model work health and safety laws being undertaken in 2018’</w:t>
      </w:r>
      <w:r w:rsidR="00E47CA6">
        <w:rPr>
          <w:rStyle w:val="QuoteChar"/>
          <w:rFonts w:eastAsiaTheme="minorHAnsi"/>
        </w:rPr>
        <w:t>.</w:t>
      </w:r>
      <w:r w:rsidR="006F633C" w:rsidRPr="000A1CFB">
        <w:rPr>
          <w:rStyle w:val="FootnoteReference"/>
          <w:rFonts w:cstheme="minorHAnsi"/>
          <w:sz w:val="22"/>
          <w:szCs w:val="22"/>
        </w:rPr>
        <w:footnoteReference w:id="83"/>
      </w:r>
    </w:p>
    <w:p w:rsidR="00723789" w:rsidRPr="003C457E" w:rsidRDefault="00723789" w:rsidP="00CA5EB3">
      <w:r w:rsidRPr="003C457E">
        <w:t xml:space="preserve">In relation to WHS prosecutions and the resulting fines, Figure </w:t>
      </w:r>
      <w:r w:rsidR="00D520F7">
        <w:t>6</w:t>
      </w:r>
      <w:r w:rsidRPr="003C457E">
        <w:t xml:space="preserve"> shows that nationally over the last 10</w:t>
      </w:r>
      <w:r w:rsidR="009D6F55">
        <w:t> </w:t>
      </w:r>
      <w:r w:rsidRPr="003C457E">
        <w:t xml:space="preserve">years there has been an overall decline in the number of legal proceedings, as well as the total amount of fines issued. </w:t>
      </w:r>
    </w:p>
    <w:p w:rsidR="00723789" w:rsidRPr="003C457E" w:rsidRDefault="00723789" w:rsidP="004435BA">
      <w:pPr>
        <w:pStyle w:val="2018ReviewTableheader"/>
      </w:pPr>
      <w:r w:rsidRPr="003C457E">
        <w:lastRenderedPageBreak/>
        <w:t xml:space="preserve">Figure </w:t>
      </w:r>
      <w:r w:rsidR="00D520F7">
        <w:t>6</w:t>
      </w:r>
      <w:r w:rsidRPr="003C457E">
        <w:t>: WHS prosecutions – number of legal proceedings and fines issued, Australia, 2006-07 to 2015-16</w:t>
      </w:r>
    </w:p>
    <w:p w:rsidR="00723789" w:rsidRDefault="00723789" w:rsidP="00723789">
      <w:pPr>
        <w:pStyle w:val="ListParagraph"/>
        <w:spacing w:before="120"/>
        <w:jc w:val="both"/>
        <w:rPr>
          <w:b/>
          <w:color w:val="C00000"/>
          <w:sz w:val="22"/>
          <w:szCs w:val="22"/>
        </w:rPr>
      </w:pPr>
      <w:r w:rsidRPr="00E0399F">
        <w:rPr>
          <w:noProof/>
          <w:sz w:val="22"/>
          <w:szCs w:val="22"/>
          <w:lang w:val="en-AU"/>
        </w:rPr>
        <w:drawing>
          <wp:inline distT="0" distB="0" distL="0" distR="0" wp14:anchorId="246E7591" wp14:editId="3CA10482">
            <wp:extent cx="5533969" cy="2600490"/>
            <wp:effectExtent l="0" t="0" r="0" b="0"/>
            <wp:docPr id="1" name="Chart 1" descr="Line graph showing number of legal proceedings finalised, number of legal proceedings resulting in a conviction, order or agreement, and total amount of fines awarded by the courts ($m).&#10;Number of legal proceedings finalised fell from 658 in 2006-07 to 275 in 2015-16.  &#10;The number of legal proceedings resulting in a conviction, order or agreement fell from 595 in 2006-07 to 242 in 2015-16.  &#10;The total amount of fines awarded by the courts rose from $18.1 million in 2006-07 to $22.0 million in 2011-12 and then dropped to $12.2 million in 2015-16." title="WHS prosecutions – number of legal proceedings and fines issued, Australia, 2006-07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2FBB" w:rsidRPr="00866B4B" w:rsidRDefault="00982FBB" w:rsidP="00866B4B">
      <w:pPr>
        <w:rPr>
          <w:sz w:val="18"/>
          <w:szCs w:val="22"/>
        </w:rPr>
      </w:pPr>
      <w:r w:rsidRPr="00866B4B">
        <w:rPr>
          <w:sz w:val="18"/>
          <w:szCs w:val="22"/>
        </w:rPr>
        <w:t>Source: Safe Work Australia, Comparative Performance Monitoring program</w:t>
      </w:r>
    </w:p>
    <w:p w:rsidR="00FC2697" w:rsidRPr="00D064A1" w:rsidRDefault="00FC2697" w:rsidP="006D7214">
      <w:pPr>
        <w:pStyle w:val="ReviewSubmissionQuestions"/>
        <w:numPr>
          <w:ilvl w:val="0"/>
          <w:numId w:val="0"/>
        </w:numPr>
        <w:ind w:left="1758"/>
        <w:rPr>
          <w:b w:val="0"/>
          <w:color w:val="auto"/>
          <w:szCs w:val="24"/>
        </w:rPr>
      </w:pPr>
    </w:p>
    <w:p w:rsidR="006F633C" w:rsidRPr="00B05288" w:rsidRDefault="00200B39" w:rsidP="00146A76">
      <w:pPr>
        <w:pStyle w:val="ReviewSubmissionQuestions"/>
      </w:pPr>
      <w:r w:rsidRPr="00B05288">
        <w:t>Have you any comments on the processes and procedures relating to legal proceedings for offences under the model WHS laws?</w:t>
      </w:r>
    </w:p>
    <w:p w:rsidR="006F633C" w:rsidRPr="00F00C9B" w:rsidRDefault="006F633C" w:rsidP="00F00C9B">
      <w:pPr>
        <w:pStyle w:val="2018ReviewSectionnumberingheading"/>
      </w:pPr>
      <w:bookmarkStart w:id="357" w:name="_Toc506794206"/>
      <w:r w:rsidRPr="00F00C9B">
        <w:t>Sentencing</w:t>
      </w:r>
      <w:bookmarkEnd w:id="357"/>
    </w:p>
    <w:p w:rsidR="006F633C" w:rsidRPr="000A1CFB" w:rsidRDefault="006F633C" w:rsidP="00CA5EB3">
      <w:pPr>
        <w:rPr>
          <w:lang w:val="en-AU"/>
        </w:rPr>
      </w:pPr>
      <w:r w:rsidRPr="000A1CFB">
        <w:rPr>
          <w:lang w:val="en-AU"/>
        </w:rPr>
        <w:t>The model WHS laws increased the range of sentencing options available in all jurisdictions.</w:t>
      </w:r>
      <w:r w:rsidR="0084095F">
        <w:rPr>
          <w:lang w:val="en-AU"/>
        </w:rPr>
        <w:t xml:space="preserve"> </w:t>
      </w:r>
      <w:r w:rsidRPr="000A1CFB">
        <w:rPr>
          <w:lang w:val="en-AU"/>
        </w:rPr>
        <w:t>In</w:t>
      </w:r>
      <w:r w:rsidR="00055815">
        <w:rPr>
          <w:lang w:val="en-AU"/>
        </w:rPr>
        <w:t> </w:t>
      </w:r>
      <w:r w:rsidRPr="000A1CFB">
        <w:rPr>
          <w:lang w:val="en-AU"/>
        </w:rPr>
        <w:t>addition to imposing a fine, courts may impose alternative remedies including:</w:t>
      </w:r>
    </w:p>
    <w:p w:rsidR="006F633C" w:rsidRPr="000A1CFB" w:rsidRDefault="006F633C" w:rsidP="00CA5EB3">
      <w:pPr>
        <w:pStyle w:val="2018ReviewBullets"/>
        <w:rPr>
          <w:lang w:val="en-AU"/>
        </w:rPr>
      </w:pPr>
      <w:r w:rsidRPr="000A1CFB">
        <w:rPr>
          <w:lang w:val="en-AU"/>
        </w:rPr>
        <w:t>adverse publicity orders</w:t>
      </w:r>
    </w:p>
    <w:p w:rsidR="006F633C" w:rsidRPr="000A1CFB" w:rsidRDefault="006F633C" w:rsidP="00CA5EB3">
      <w:pPr>
        <w:pStyle w:val="2018ReviewBullets"/>
        <w:rPr>
          <w:lang w:val="en-AU"/>
        </w:rPr>
      </w:pPr>
      <w:r w:rsidRPr="000A1CFB">
        <w:rPr>
          <w:lang w:val="en-AU"/>
        </w:rPr>
        <w:t>restoration orders</w:t>
      </w:r>
    </w:p>
    <w:p w:rsidR="006F633C" w:rsidRPr="000A1CFB" w:rsidRDefault="006F633C" w:rsidP="00CA5EB3">
      <w:pPr>
        <w:pStyle w:val="2018ReviewBullets"/>
        <w:rPr>
          <w:lang w:val="en-AU"/>
        </w:rPr>
      </w:pPr>
      <w:r w:rsidRPr="000A1CFB">
        <w:rPr>
          <w:lang w:val="en-AU"/>
        </w:rPr>
        <w:t>work health and safety project orders</w:t>
      </w:r>
    </w:p>
    <w:p w:rsidR="006F633C" w:rsidRPr="000A1CFB" w:rsidRDefault="00D57F76" w:rsidP="00CA5EB3">
      <w:pPr>
        <w:pStyle w:val="2018ReviewBullets"/>
        <w:rPr>
          <w:lang w:val="en-AU"/>
        </w:rPr>
      </w:pPr>
      <w:r>
        <w:rPr>
          <w:lang w:val="en-AU"/>
        </w:rPr>
        <w:t>c</w:t>
      </w:r>
      <w:r w:rsidR="006F633C" w:rsidRPr="000A1CFB">
        <w:rPr>
          <w:lang w:val="en-AU"/>
        </w:rPr>
        <w:t>ourt ordered work health and safety undertakings</w:t>
      </w:r>
    </w:p>
    <w:p w:rsidR="006F633C" w:rsidRPr="000A1CFB" w:rsidRDefault="006F633C" w:rsidP="00CA5EB3">
      <w:pPr>
        <w:pStyle w:val="2018ReviewBullets"/>
        <w:rPr>
          <w:lang w:val="en-AU"/>
        </w:rPr>
      </w:pPr>
      <w:r w:rsidRPr="000A1CFB">
        <w:rPr>
          <w:lang w:val="en-AU"/>
        </w:rPr>
        <w:t>injunctions, and</w:t>
      </w:r>
    </w:p>
    <w:p w:rsidR="006F633C" w:rsidRPr="005C1DD7" w:rsidRDefault="006F633C" w:rsidP="005C1DD7">
      <w:pPr>
        <w:pStyle w:val="2018ReviewBullets"/>
        <w:rPr>
          <w:sz w:val="22"/>
          <w:szCs w:val="22"/>
          <w:lang w:val="en-AU"/>
        </w:rPr>
      </w:pPr>
      <w:r w:rsidRPr="000A1CFB">
        <w:rPr>
          <w:lang w:val="en-AU"/>
        </w:rPr>
        <w:t>training orders.</w:t>
      </w:r>
    </w:p>
    <w:p w:rsidR="00F725BC" w:rsidRPr="00466AFB" w:rsidRDefault="00F725BC" w:rsidP="00466AFB">
      <w:pPr>
        <w:rPr>
          <w:lang w:val="en-AU"/>
        </w:rPr>
      </w:pPr>
      <w:r>
        <w:rPr>
          <w:lang w:val="en-AU"/>
        </w:rPr>
        <w:t xml:space="preserve">Safe Work Australia has commissioned research into the </w:t>
      </w:r>
      <w:r w:rsidR="002107D7" w:rsidRPr="002107D7">
        <w:rPr>
          <w:lang w:val="en-AU"/>
        </w:rPr>
        <w:t xml:space="preserve">sentencing </w:t>
      </w:r>
      <w:r>
        <w:rPr>
          <w:lang w:val="en-AU"/>
        </w:rPr>
        <w:t>of WHS</w:t>
      </w:r>
      <w:r w:rsidRPr="002107D7">
        <w:rPr>
          <w:lang w:val="en-AU"/>
        </w:rPr>
        <w:t xml:space="preserve"> offenders</w:t>
      </w:r>
      <w:r w:rsidR="00466AFB">
        <w:rPr>
          <w:lang w:val="en-AU"/>
        </w:rPr>
        <w:t>.</w:t>
      </w:r>
      <w:r>
        <w:rPr>
          <w:lang w:val="en-AU"/>
        </w:rPr>
        <w:t xml:space="preserve"> </w:t>
      </w:r>
      <w:r w:rsidR="00466AFB">
        <w:rPr>
          <w:lang w:val="en-AU"/>
        </w:rPr>
        <w:t>T</w:t>
      </w:r>
      <w:r>
        <w:rPr>
          <w:lang w:val="en-AU"/>
        </w:rPr>
        <w:t xml:space="preserve">he </w:t>
      </w:r>
      <w:r w:rsidRPr="002107D7">
        <w:rPr>
          <w:lang w:val="en-AU"/>
        </w:rPr>
        <w:t xml:space="preserve">limited numbers of prosecutions </w:t>
      </w:r>
      <w:r w:rsidR="00466AFB">
        <w:rPr>
          <w:lang w:val="en-AU"/>
        </w:rPr>
        <w:t xml:space="preserve">at the time the research was undertaken </w:t>
      </w:r>
      <w:r w:rsidRPr="002107D7">
        <w:rPr>
          <w:lang w:val="en-AU"/>
        </w:rPr>
        <w:t xml:space="preserve">and the differences in approaches across jurisdictions made it difficult to draw significant </w:t>
      </w:r>
      <w:r w:rsidR="00466AFB">
        <w:rPr>
          <w:lang w:val="en-AU"/>
        </w:rPr>
        <w:t>conclusions</w:t>
      </w:r>
      <w:r w:rsidRPr="002107D7">
        <w:rPr>
          <w:lang w:val="en-AU"/>
        </w:rPr>
        <w:t xml:space="preserve">. </w:t>
      </w:r>
    </w:p>
    <w:p w:rsidR="002107D7" w:rsidRPr="002107D7" w:rsidRDefault="00F725BC" w:rsidP="00F725BC">
      <w:pPr>
        <w:rPr>
          <w:lang w:val="en-AU"/>
        </w:rPr>
      </w:pPr>
      <w:r w:rsidRPr="009E295B">
        <w:rPr>
          <w:lang w:val="en-AU"/>
        </w:rPr>
        <w:t xml:space="preserve">With these caveats, the report </w:t>
      </w:r>
      <w:r w:rsidR="002107D7" w:rsidRPr="009E295B">
        <w:rPr>
          <w:lang w:val="en-AU"/>
        </w:rPr>
        <w:t>found that most prosecutions were for Category 2 offences for breaches of the primary duty of care, with the focus generally on ‘safety incidents’ rather than ‘health issues’.</w:t>
      </w:r>
      <w:r w:rsidR="0084095F" w:rsidRPr="009E295B">
        <w:rPr>
          <w:lang w:val="en-AU"/>
        </w:rPr>
        <w:t xml:space="preserve"> </w:t>
      </w:r>
      <w:r w:rsidR="002107D7" w:rsidRPr="009E295B">
        <w:rPr>
          <w:lang w:val="en-AU"/>
        </w:rPr>
        <w:t>Difficulty</w:t>
      </w:r>
      <w:r w:rsidR="002107D7" w:rsidRPr="002107D7">
        <w:rPr>
          <w:lang w:val="en-AU"/>
        </w:rPr>
        <w:t xml:space="preserve"> in establishing ‘recklessness’ for Category 1 offences, and a lack of clarity around whether a Category 2 offence can be prosecuted in the alternative to Category 1, were common factors across jurisdictions.</w:t>
      </w:r>
      <w:r w:rsidR="0084095F">
        <w:rPr>
          <w:lang w:val="en-AU"/>
        </w:rPr>
        <w:t xml:space="preserve"> </w:t>
      </w:r>
    </w:p>
    <w:p w:rsidR="002107D7" w:rsidRPr="002107D7" w:rsidRDefault="002107D7" w:rsidP="002107D7">
      <w:pPr>
        <w:rPr>
          <w:lang w:val="en-AU"/>
        </w:rPr>
      </w:pPr>
      <w:r w:rsidRPr="002107D7">
        <w:rPr>
          <w:lang w:val="en-AU"/>
        </w:rPr>
        <w:t>Queensland differed from other jurisdictions in that rehabilitation was a more significant sentencing factor.</w:t>
      </w:r>
      <w:r w:rsidR="0084095F">
        <w:rPr>
          <w:lang w:val="en-AU"/>
        </w:rPr>
        <w:t xml:space="preserve"> </w:t>
      </w:r>
      <w:r w:rsidRPr="002107D7">
        <w:rPr>
          <w:lang w:val="en-AU"/>
        </w:rPr>
        <w:t>In the vast majority of</w:t>
      </w:r>
      <w:r w:rsidR="00645AAE">
        <w:rPr>
          <w:lang w:val="en-AU"/>
        </w:rPr>
        <w:t xml:space="preserve"> Queensland</w:t>
      </w:r>
      <w:r w:rsidRPr="002107D7">
        <w:rPr>
          <w:lang w:val="en-AU"/>
        </w:rPr>
        <w:t xml:space="preserve"> cases penalties were applied without conviction, with fines and other non-pecuniary penalties, such as training orders, being applied in the alternative.</w:t>
      </w:r>
      <w:r w:rsidR="0084095F">
        <w:rPr>
          <w:lang w:val="en-AU"/>
        </w:rPr>
        <w:t xml:space="preserve"> </w:t>
      </w:r>
    </w:p>
    <w:p w:rsidR="002107D7" w:rsidRPr="002107D7" w:rsidRDefault="002107D7" w:rsidP="002107D7">
      <w:pPr>
        <w:rPr>
          <w:lang w:val="en-AU"/>
        </w:rPr>
      </w:pPr>
      <w:r w:rsidRPr="002107D7">
        <w:rPr>
          <w:lang w:val="en-AU"/>
        </w:rPr>
        <w:t>The research also identified that there were difficulties in prosecuting PCBUs who went into liquidation after WHS proceedings commenced; discounts for early guilty pleas and other mitigating factors varied greatly; and there was a limited role for victim impact statements in sentencing.</w:t>
      </w:r>
    </w:p>
    <w:p w:rsidR="002107D7" w:rsidRPr="002107D7" w:rsidRDefault="002107D7" w:rsidP="002107D7">
      <w:pPr>
        <w:rPr>
          <w:lang w:val="en-AU"/>
        </w:rPr>
      </w:pPr>
      <w:r w:rsidRPr="002107D7">
        <w:rPr>
          <w:lang w:val="en-AU"/>
        </w:rPr>
        <w:lastRenderedPageBreak/>
        <w:t>These differences ultimately arose from the interaction of the WHS laws with local criminal law frameworks.</w:t>
      </w:r>
      <w:r w:rsidR="00F725BC">
        <w:rPr>
          <w:rStyle w:val="FootnoteReference"/>
          <w:lang w:val="en-AU"/>
        </w:rPr>
        <w:footnoteReference w:id="84"/>
      </w:r>
    </w:p>
    <w:p w:rsidR="006F633C" w:rsidRPr="000A1CFB" w:rsidRDefault="006F633C" w:rsidP="009437D2">
      <w:pPr>
        <w:rPr>
          <w:lang w:val="en-AU"/>
        </w:rPr>
      </w:pPr>
      <w:r w:rsidRPr="000A1CFB">
        <w:rPr>
          <w:lang w:val="en-AU"/>
        </w:rPr>
        <w:t xml:space="preserve">The </w:t>
      </w:r>
      <w:r>
        <w:rPr>
          <w:lang w:val="en-AU"/>
        </w:rPr>
        <w:t xml:space="preserve">2008 National </w:t>
      </w:r>
      <w:r w:rsidR="005828E0">
        <w:rPr>
          <w:lang w:val="en-AU"/>
        </w:rPr>
        <w:t>r</w:t>
      </w:r>
      <w:r>
        <w:rPr>
          <w:lang w:val="en-AU"/>
        </w:rPr>
        <w:t>eview</w:t>
      </w:r>
      <w:r w:rsidRPr="000A1CFB">
        <w:rPr>
          <w:lang w:val="en-AU"/>
        </w:rPr>
        <w:t xml:space="preserve"> recommended that subject to wider criminal justice policy considerations, the model </w:t>
      </w:r>
      <w:r>
        <w:rPr>
          <w:lang w:val="en-AU"/>
        </w:rPr>
        <w:t xml:space="preserve">WHS </w:t>
      </w:r>
      <w:r w:rsidRPr="000A1CFB">
        <w:rPr>
          <w:lang w:val="en-AU"/>
        </w:rPr>
        <w:t>Act should provide for the promulgation of sentencing guidelines or, where there are applicable sentencing guidelines, they should be reviewed for national consistency and compatibility with the OHS regulatory regime</w:t>
      </w:r>
      <w:r w:rsidR="00D57F76">
        <w:rPr>
          <w:lang w:val="en-AU"/>
        </w:rPr>
        <w:t>.</w:t>
      </w:r>
      <w:r w:rsidRPr="000A1CFB">
        <w:rPr>
          <w:rStyle w:val="FootnoteReference"/>
          <w:sz w:val="22"/>
          <w:szCs w:val="22"/>
          <w:lang w:val="en-AU"/>
        </w:rPr>
        <w:footnoteReference w:id="85"/>
      </w:r>
      <w:r w:rsidR="0084095F">
        <w:rPr>
          <w:lang w:val="en-AU"/>
        </w:rPr>
        <w:t xml:space="preserve"> </w:t>
      </w:r>
      <w:r w:rsidR="00D520F7">
        <w:rPr>
          <w:lang w:val="en-AU"/>
        </w:rPr>
        <w:t>WHS m</w:t>
      </w:r>
      <w:r>
        <w:rPr>
          <w:lang w:val="en-AU"/>
        </w:rPr>
        <w:t xml:space="preserve">inisters </w:t>
      </w:r>
      <w:r w:rsidRPr="000A1CFB">
        <w:rPr>
          <w:lang w:val="en-AU"/>
        </w:rPr>
        <w:t>agreed in principle with this recommendation but suggested that this issue should be dealt with outside the model WHS laws on the basis that the provisions for sentencing guidelines differ between jurisdictions and are generally dealt with in the general sentencing law or criminal procedure legislation</w:t>
      </w:r>
      <w:r w:rsidR="00E47CA6">
        <w:rPr>
          <w:lang w:val="en-AU"/>
        </w:rPr>
        <w:t>.</w:t>
      </w:r>
      <w:r w:rsidRPr="000A1CFB">
        <w:rPr>
          <w:rStyle w:val="FootnoteReference"/>
          <w:sz w:val="22"/>
          <w:szCs w:val="22"/>
          <w:lang w:val="en-AU"/>
        </w:rPr>
        <w:footnoteReference w:id="86"/>
      </w:r>
    </w:p>
    <w:p w:rsidR="006F633C" w:rsidRPr="000A1CFB" w:rsidRDefault="006F633C" w:rsidP="00CA5EB3">
      <w:pPr>
        <w:rPr>
          <w:lang w:val="en-AU"/>
        </w:rPr>
      </w:pPr>
      <w:r w:rsidRPr="000A1CFB">
        <w:rPr>
          <w:lang w:val="en-AU"/>
        </w:rPr>
        <w:t xml:space="preserve">Within this context, in </w:t>
      </w:r>
      <w:r w:rsidRPr="000A1CFB">
        <w:rPr>
          <w:i/>
          <w:lang w:val="en-AU"/>
        </w:rPr>
        <w:t>Williamson v VH &amp; MG Imports Pty Ltd</w:t>
      </w:r>
      <w:r w:rsidRPr="000A1CFB">
        <w:rPr>
          <w:lang w:val="en-AU"/>
        </w:rPr>
        <w:t>, the Court found that a Queensland employer’s fatality</w:t>
      </w:r>
      <w:r w:rsidR="00D064A1">
        <w:rPr>
          <w:lang w:val="en-AU"/>
        </w:rPr>
        <w:t>-</w:t>
      </w:r>
      <w:r w:rsidRPr="000A1CFB">
        <w:rPr>
          <w:lang w:val="en-AU"/>
        </w:rPr>
        <w:t>related fine should have been nearly three times higher than the one imposed, after examining cases from other harmonised jurisdictions.</w:t>
      </w:r>
      <w:r w:rsidR="0084095F">
        <w:rPr>
          <w:lang w:val="en-AU"/>
        </w:rPr>
        <w:t xml:space="preserve"> </w:t>
      </w:r>
      <w:r w:rsidRPr="000A1CFB">
        <w:rPr>
          <w:lang w:val="en-AU"/>
        </w:rPr>
        <w:t xml:space="preserve">The District Court accepted Workplace Health and Safety Queensland's submission that the </w:t>
      </w:r>
      <w:r w:rsidR="00142683">
        <w:rPr>
          <w:lang w:val="en-AU"/>
        </w:rPr>
        <w:t>Qld Act</w:t>
      </w:r>
      <w:r w:rsidRPr="000A1CFB">
        <w:rPr>
          <w:lang w:val="en-AU"/>
        </w:rPr>
        <w:t xml:space="preserve"> permitted sentencing courts to have regard to decisions from other harmonised states and territories, given that the main object of the Act in</w:t>
      </w:r>
      <w:r w:rsidR="00CD1FA8">
        <w:rPr>
          <w:lang w:val="en-AU"/>
        </w:rPr>
        <w:t xml:space="preserve"> s </w:t>
      </w:r>
      <w:r w:rsidRPr="000A1CFB">
        <w:rPr>
          <w:lang w:val="en-AU"/>
        </w:rPr>
        <w:t xml:space="preserve">3 was to provide for a balanced and nationally consistent framework </w:t>
      </w:r>
      <w:r w:rsidR="00D57F76">
        <w:rPr>
          <w:lang w:val="en-AU"/>
        </w:rPr>
        <w:t>for</w:t>
      </w:r>
      <w:r w:rsidR="00D57F76" w:rsidRPr="000A1CFB">
        <w:rPr>
          <w:lang w:val="en-AU"/>
        </w:rPr>
        <w:t xml:space="preserve"> </w:t>
      </w:r>
      <w:r w:rsidRPr="000A1CFB">
        <w:rPr>
          <w:lang w:val="en-AU"/>
        </w:rPr>
        <w:t>work safety.</w:t>
      </w:r>
      <w:r w:rsidR="00D63A9B">
        <w:rPr>
          <w:rStyle w:val="FootnoteReference"/>
          <w:lang w:val="en-AU"/>
        </w:rPr>
        <w:footnoteReference w:id="87"/>
      </w:r>
    </w:p>
    <w:p w:rsidR="006F633C" w:rsidRPr="000A1CFB" w:rsidRDefault="006F633C" w:rsidP="00CA5EB3">
      <w:pPr>
        <w:rPr>
          <w:lang w:val="en-AU"/>
        </w:rPr>
      </w:pPr>
      <w:r w:rsidRPr="000A1CFB">
        <w:rPr>
          <w:lang w:val="en-AU"/>
        </w:rPr>
        <w:t>The Q</w:t>
      </w:r>
      <w:r w:rsidR="00D520F7">
        <w:rPr>
          <w:lang w:val="en-AU"/>
        </w:rPr>
        <w:t>ueensland</w:t>
      </w:r>
      <w:r w:rsidRPr="000A1CFB">
        <w:rPr>
          <w:lang w:val="en-AU"/>
        </w:rPr>
        <w:t xml:space="preserve"> review has recommended the development of nationally consistent sentencing guidelines following the </w:t>
      </w:r>
      <w:r w:rsidR="00D57F76">
        <w:rPr>
          <w:lang w:val="en-AU"/>
        </w:rPr>
        <w:t xml:space="preserve">British </w:t>
      </w:r>
      <w:r w:rsidRPr="000A1CFB">
        <w:rPr>
          <w:lang w:val="en-AU"/>
        </w:rPr>
        <w:t>model.</w:t>
      </w:r>
      <w:r w:rsidRPr="000A1CFB">
        <w:rPr>
          <w:rStyle w:val="FootnoteReference"/>
          <w:sz w:val="22"/>
          <w:szCs w:val="22"/>
          <w:lang w:val="en-AU"/>
        </w:rPr>
        <w:footnoteReference w:id="88"/>
      </w:r>
    </w:p>
    <w:p w:rsidR="006F633C" w:rsidRPr="000A1CFB" w:rsidRDefault="006F633C" w:rsidP="006F633C">
      <w:pPr>
        <w:jc w:val="both"/>
        <w:rPr>
          <w:rFonts w:cstheme="minorHAnsi"/>
          <w:sz w:val="22"/>
          <w:szCs w:val="22"/>
        </w:rPr>
      </w:pPr>
    </w:p>
    <w:p w:rsidR="006F633C" w:rsidRPr="00B05288" w:rsidRDefault="00A2301E" w:rsidP="00146A76">
      <w:pPr>
        <w:pStyle w:val="ReviewSubmissionQuestions"/>
      </w:pPr>
      <w:r w:rsidRPr="00B05288">
        <w:t xml:space="preserve">Have you any comments </w:t>
      </w:r>
      <w:r w:rsidR="006F633C" w:rsidRPr="00B05288">
        <w:t xml:space="preserve">on the </w:t>
      </w:r>
      <w:r w:rsidRPr="00B05288">
        <w:t>value of implementing</w:t>
      </w:r>
      <w:r w:rsidR="006F633C" w:rsidRPr="00B05288">
        <w:t xml:space="preserve"> sentencing guidelines for work health and safety offenders?</w:t>
      </w:r>
    </w:p>
    <w:p w:rsidR="006F633C" w:rsidRPr="00F00C9B" w:rsidRDefault="006F633C" w:rsidP="00F00C9B">
      <w:pPr>
        <w:pStyle w:val="2018ReviewSectionnumberingheading"/>
      </w:pPr>
      <w:bookmarkStart w:id="358" w:name="_Toc506794207"/>
      <w:r w:rsidRPr="00F00C9B">
        <w:t>Enforceable undertakings</w:t>
      </w:r>
      <w:bookmarkEnd w:id="358"/>
      <w:r w:rsidRPr="00F00C9B">
        <w:t xml:space="preserve"> </w:t>
      </w:r>
    </w:p>
    <w:p w:rsidR="00462893" w:rsidRDefault="00462893" w:rsidP="00462893">
      <w:r>
        <w:t xml:space="preserve">A key change for many jurisdictions which enacted the model WHS laws was the ability of the regulator to accept </w:t>
      </w:r>
      <w:r w:rsidRPr="00CA6822">
        <w:t>written</w:t>
      </w:r>
      <w:r>
        <w:t>, legally binding</w:t>
      </w:r>
      <w:r w:rsidR="00055815">
        <w:t>,</w:t>
      </w:r>
      <w:r w:rsidRPr="00CA6822">
        <w:t xml:space="preserve"> enforceable undertakings </w:t>
      </w:r>
      <w:r w:rsidRPr="00AC3301">
        <w:t>to take specified action to rectify a breach or to improve performance</w:t>
      </w:r>
      <w:r>
        <w:t xml:space="preserve">, </w:t>
      </w:r>
      <w:r w:rsidRPr="00CA6822">
        <w:t xml:space="preserve">as an alternative to </w:t>
      </w:r>
      <w:r>
        <w:t>prosecution</w:t>
      </w:r>
      <w:r w:rsidRPr="00CA6822">
        <w:t>.</w:t>
      </w:r>
      <w:r w:rsidRPr="00462893">
        <w:rPr>
          <w:szCs w:val="20"/>
          <w:vertAlign w:val="superscript"/>
        </w:rPr>
        <w:t xml:space="preserve"> </w:t>
      </w:r>
    </w:p>
    <w:p w:rsidR="00462893" w:rsidRPr="00462893" w:rsidRDefault="00462893" w:rsidP="00462893">
      <w:r w:rsidRPr="00462893">
        <w:t>The use of enforceable undertakings has considerably increased since the adoption of the model WHS laws, with 35 enforceable undertakings accepted by regulators in 2015–16, compared to 23 in 2014-15 and 10 in 2011–12.</w:t>
      </w:r>
      <w:r w:rsidR="00856E0C">
        <w:rPr>
          <w:rStyle w:val="FootnoteReference"/>
        </w:rPr>
        <w:footnoteReference w:id="89"/>
      </w:r>
    </w:p>
    <w:p w:rsidR="00462893" w:rsidRPr="00462893" w:rsidRDefault="00462893" w:rsidP="00A237FA">
      <w:r w:rsidRPr="00462893">
        <w:t>Whether an enforceable undertaking is the appropriate enforcement tool is dependent on how and when they are used.</w:t>
      </w:r>
      <w:r w:rsidRPr="00AC3301">
        <w:rPr>
          <w:vertAlign w:val="superscript"/>
          <w:lang w:val="en-AU"/>
        </w:rPr>
        <w:footnoteReference w:id="90"/>
      </w:r>
      <w:r w:rsidR="0084095F">
        <w:t xml:space="preserve"> </w:t>
      </w:r>
      <w:r w:rsidRPr="00462893">
        <w:t>Under the model WHS Act, an enforceable undertaking cannot be made in relation to a Category 1 offence.</w:t>
      </w:r>
      <w:r>
        <w:rPr>
          <w:rStyle w:val="FootnoteReference"/>
          <w:szCs w:val="20"/>
        </w:rPr>
        <w:footnoteReference w:id="91"/>
      </w:r>
      <w:r w:rsidR="0084095F">
        <w:t xml:space="preserve"> </w:t>
      </w:r>
      <w:r w:rsidRPr="00462893">
        <w:t xml:space="preserve">Regulator guidelines in </w:t>
      </w:r>
      <w:r w:rsidR="007A69A2">
        <w:t>New South Wales</w:t>
      </w:r>
      <w:r w:rsidRPr="00462893">
        <w:t>, S</w:t>
      </w:r>
      <w:r w:rsidR="007A69A2">
        <w:t xml:space="preserve">outh </w:t>
      </w:r>
      <w:r w:rsidRPr="00462893">
        <w:t>A</w:t>
      </w:r>
      <w:r w:rsidR="007A69A2">
        <w:t>ustralia</w:t>
      </w:r>
      <w:r w:rsidRPr="00462893">
        <w:t xml:space="preserve"> and Queensland require exceptional circumstances before an enforceable undertaking will be made if an </w:t>
      </w:r>
      <w:r w:rsidRPr="00462893">
        <w:lastRenderedPageBreak/>
        <w:t>incident has involved a fatality or very serious injury.</w:t>
      </w:r>
      <w:r w:rsidRPr="00462893">
        <w:rPr>
          <w:vertAlign w:val="superscript"/>
          <w:lang w:val="en-AU"/>
        </w:rPr>
        <w:t xml:space="preserve"> </w:t>
      </w:r>
      <w:r w:rsidRPr="00D50C84">
        <w:rPr>
          <w:vertAlign w:val="superscript"/>
          <w:lang w:val="en-AU"/>
        </w:rPr>
        <w:footnoteReference w:id="92"/>
      </w:r>
      <w:r w:rsidR="0084095F">
        <w:t xml:space="preserve"> </w:t>
      </w:r>
      <w:r w:rsidR="00BE7365">
        <w:t xml:space="preserve">In comparison, </w:t>
      </w:r>
      <w:r w:rsidRPr="00462893">
        <w:t>Victoria</w:t>
      </w:r>
      <w:r w:rsidR="00BE7365">
        <w:t xml:space="preserve">, which has not implemented the model WHS laws, </w:t>
      </w:r>
      <w:r w:rsidRPr="00462893">
        <w:t>goes further</w:t>
      </w:r>
      <w:r w:rsidR="00BE7365">
        <w:t xml:space="preserve"> and</w:t>
      </w:r>
      <w:r w:rsidRPr="00462893">
        <w:t xml:space="preserve"> requir</w:t>
      </w:r>
      <w:r w:rsidR="00BE7365">
        <w:t>es</w:t>
      </w:r>
      <w:r w:rsidRPr="00462893">
        <w:t xml:space="preserve"> exceptional circumstances where</w:t>
      </w:r>
      <w:r w:rsidR="00BE7365">
        <w:t>:</w:t>
      </w:r>
      <w:r w:rsidRPr="00462893">
        <w:t xml:space="preserve"> the contravention was reckless</w:t>
      </w:r>
      <w:r w:rsidR="00BE7365">
        <w:t>;</w:t>
      </w:r>
      <w:r w:rsidRPr="00462893">
        <w:t xml:space="preserve"> </w:t>
      </w:r>
      <w:r w:rsidR="001965B4">
        <w:t xml:space="preserve">the contravention </w:t>
      </w:r>
      <w:r w:rsidRPr="00462893">
        <w:t>involved a fatality</w:t>
      </w:r>
      <w:r w:rsidR="00BE7365">
        <w:t>;</w:t>
      </w:r>
      <w:r w:rsidRPr="00462893">
        <w:t xml:space="preserve"> there was a recent prior conviction relating to a work-related fatality</w:t>
      </w:r>
      <w:r w:rsidR="00BE7365">
        <w:t>;</w:t>
      </w:r>
      <w:r w:rsidRPr="00462893">
        <w:t xml:space="preserve"> or where there </w:t>
      </w:r>
      <w:r w:rsidR="00BE7365">
        <w:t>were</w:t>
      </w:r>
      <w:r w:rsidRPr="00462893">
        <w:t xml:space="preserve"> more than two prior convictions from separate investigations.</w:t>
      </w:r>
      <w:r>
        <w:rPr>
          <w:rStyle w:val="FootnoteReference"/>
        </w:rPr>
        <w:footnoteReference w:id="93"/>
      </w:r>
      <w:r w:rsidRPr="00462893">
        <w:t xml:space="preserve"> </w:t>
      </w:r>
    </w:p>
    <w:p w:rsidR="00462893" w:rsidRPr="00462893" w:rsidRDefault="00462893" w:rsidP="00462893">
      <w:pPr>
        <w:rPr>
          <w:lang w:val="en-AU"/>
        </w:rPr>
      </w:pPr>
      <w:r w:rsidRPr="00462893">
        <w:t>T</w:t>
      </w:r>
      <w:r w:rsidRPr="00462893">
        <w:rPr>
          <w:lang w:val="en-AU"/>
        </w:rPr>
        <w:t xml:space="preserve">he Queensland review raised particular concerns around enforceable undertakings being used for Category 2 offences where there has been a fatality, and recommended amending the </w:t>
      </w:r>
      <w:r w:rsidR="00127432">
        <w:rPr>
          <w:lang w:val="en-AU"/>
        </w:rPr>
        <w:t>Q</w:t>
      </w:r>
      <w:r w:rsidR="008E7E0A">
        <w:rPr>
          <w:lang w:val="en-AU"/>
        </w:rPr>
        <w:t>ld</w:t>
      </w:r>
      <w:r w:rsidRPr="00462893">
        <w:rPr>
          <w:lang w:val="en-AU"/>
        </w:rPr>
        <w:t xml:space="preserve"> Act</w:t>
      </w:r>
      <w:r w:rsidRPr="00462893">
        <w:rPr>
          <w:i/>
          <w:lang w:val="en-AU"/>
        </w:rPr>
        <w:t xml:space="preserve"> </w:t>
      </w:r>
      <w:r w:rsidRPr="00462893">
        <w:rPr>
          <w:lang w:val="en-AU"/>
        </w:rPr>
        <w:t>to expressly prohibit enforceable undertakings in these circumstances.</w:t>
      </w:r>
      <w:r>
        <w:rPr>
          <w:rStyle w:val="FootnoteReference"/>
          <w:lang w:val="en-AU"/>
        </w:rPr>
        <w:footnoteReference w:id="94"/>
      </w:r>
    </w:p>
    <w:p w:rsidR="006F633C" w:rsidRPr="00866B4B" w:rsidRDefault="006F633C" w:rsidP="00866B4B">
      <w:pPr>
        <w:jc w:val="both"/>
        <w:rPr>
          <w:rFonts w:cstheme="minorHAnsi"/>
          <w:sz w:val="22"/>
          <w:szCs w:val="22"/>
        </w:rPr>
      </w:pPr>
    </w:p>
    <w:p w:rsidR="006F633C" w:rsidRPr="00B05288" w:rsidRDefault="00A2301E" w:rsidP="00146A76">
      <w:pPr>
        <w:pStyle w:val="ReviewSubmissionQuestions"/>
      </w:pPr>
      <w:r w:rsidRPr="00B05288">
        <w:t>Have you any comments on the effectiveness of the</w:t>
      </w:r>
      <w:r w:rsidR="00443601" w:rsidRPr="00B05288">
        <w:t xml:space="preserve"> provisions relating to enforceable undertakings </w:t>
      </w:r>
      <w:r w:rsidRPr="00B05288">
        <w:t xml:space="preserve">in </w:t>
      </w:r>
      <w:r w:rsidR="00443601" w:rsidRPr="00B05288">
        <w:t>supporting the objectives of the model WHS laws</w:t>
      </w:r>
      <w:r w:rsidR="006F633C" w:rsidRPr="00B05288">
        <w:t>?</w:t>
      </w:r>
    </w:p>
    <w:p w:rsidR="006F633C" w:rsidRPr="00F00C9B" w:rsidRDefault="006F633C" w:rsidP="00F00C9B">
      <w:pPr>
        <w:pStyle w:val="2018ReviewSectionnumberingheading"/>
      </w:pPr>
      <w:bookmarkStart w:id="359" w:name="_Toc506794208"/>
      <w:r w:rsidRPr="00F00C9B">
        <w:t>Insurance against fines and penalties</w:t>
      </w:r>
      <w:bookmarkEnd w:id="359"/>
    </w:p>
    <w:p w:rsidR="00623506" w:rsidRPr="00CA5EB3" w:rsidRDefault="00623506" w:rsidP="00CA5EB3">
      <w:pPr>
        <w:rPr>
          <w:color w:val="000000"/>
        </w:rPr>
      </w:pPr>
      <w:r>
        <w:t>Key to the model WHS legislative framework is the principle that anyone who can influence a</w:t>
      </w:r>
      <w:r w:rsidR="00D520F7">
        <w:t xml:space="preserve"> WHS</w:t>
      </w:r>
      <w:r>
        <w:t xml:space="preserve"> outcome should use that influence </w:t>
      </w:r>
      <w:r w:rsidR="00D555FD" w:rsidRPr="00D555FD">
        <w:t xml:space="preserve">and should not be able to transfer </w:t>
      </w:r>
      <w:r w:rsidR="007D1DD7">
        <w:t>their</w:t>
      </w:r>
      <w:r w:rsidR="00CA6822" w:rsidRPr="00CA6822">
        <w:t xml:space="preserve"> dut</w:t>
      </w:r>
      <w:r w:rsidR="00D57F76">
        <w:t>y</w:t>
      </w:r>
      <w:r w:rsidR="00CA6822" w:rsidRPr="00CA6822">
        <w:t xml:space="preserve"> of care </w:t>
      </w:r>
      <w:r>
        <w:t>to others.</w:t>
      </w:r>
      <w:r w:rsidR="0084095F">
        <w:rPr>
          <w:rFonts w:cs="Arial"/>
          <w:color w:val="000000"/>
        </w:rPr>
        <w:t xml:space="preserve"> </w:t>
      </w:r>
      <w:r>
        <w:rPr>
          <w:rFonts w:cs="Arial"/>
          <w:color w:val="000000"/>
        </w:rPr>
        <w:t xml:space="preserve">The ability to ‘contract out’ WHS obligations is </w:t>
      </w:r>
      <w:r w:rsidR="007D1DD7">
        <w:rPr>
          <w:rFonts w:cs="Arial"/>
          <w:color w:val="000000"/>
        </w:rPr>
        <w:t>specifically prohibited at</w:t>
      </w:r>
      <w:r w:rsidR="00CD1FA8">
        <w:rPr>
          <w:rFonts w:cs="Arial"/>
          <w:color w:val="000000"/>
        </w:rPr>
        <w:t xml:space="preserve"> s </w:t>
      </w:r>
      <w:r>
        <w:rPr>
          <w:rFonts w:cs="Arial"/>
          <w:color w:val="000000"/>
        </w:rPr>
        <w:t>272 of the model WHS Act.</w:t>
      </w:r>
    </w:p>
    <w:p w:rsidR="00C469CD" w:rsidRDefault="006F633C" w:rsidP="00CA5EB3">
      <w:pPr>
        <w:rPr>
          <w:lang w:val="en-AU"/>
        </w:rPr>
      </w:pPr>
      <w:r w:rsidRPr="000A1CFB">
        <w:rPr>
          <w:lang w:val="en-AU"/>
        </w:rPr>
        <w:t xml:space="preserve">Since 2013, </w:t>
      </w:r>
      <w:r w:rsidR="00D520F7">
        <w:rPr>
          <w:lang w:val="en-AU"/>
        </w:rPr>
        <w:t xml:space="preserve">this </w:t>
      </w:r>
      <w:r w:rsidRPr="000A1CFB">
        <w:rPr>
          <w:lang w:val="en-AU"/>
        </w:rPr>
        <w:t>section has been discussed in the context of the availability of insurance products which indemnify directors of companies against fines and penalties arising from breaches of work health and safety legislation.</w:t>
      </w:r>
      <w:r w:rsidR="0084095F">
        <w:rPr>
          <w:lang w:val="en-AU"/>
        </w:rPr>
        <w:t xml:space="preserve"> </w:t>
      </w:r>
    </w:p>
    <w:p w:rsidR="00014236" w:rsidRDefault="00C469CD" w:rsidP="00CA5EB3">
      <w:pPr>
        <w:rPr>
          <w:lang w:val="en-AU"/>
        </w:rPr>
      </w:pPr>
      <w:r w:rsidRPr="000A1CFB">
        <w:rPr>
          <w:lang w:val="en-AU"/>
        </w:rPr>
        <w:t xml:space="preserve">The availability of insurance to cover </w:t>
      </w:r>
      <w:r w:rsidR="00127432">
        <w:rPr>
          <w:lang w:val="en-AU"/>
        </w:rPr>
        <w:t>OHS</w:t>
      </w:r>
      <w:r w:rsidRPr="000A1CFB">
        <w:rPr>
          <w:lang w:val="en-AU"/>
        </w:rPr>
        <w:t xml:space="preserve"> fines and penalties was highlighted by His Honour, </w:t>
      </w:r>
      <w:r w:rsidR="00D57F76">
        <w:rPr>
          <w:lang w:val="en-AU"/>
        </w:rPr>
        <w:t xml:space="preserve">Industrial Magistrate </w:t>
      </w:r>
      <w:proofErr w:type="spellStart"/>
      <w:r w:rsidRPr="000A1CFB">
        <w:rPr>
          <w:lang w:val="en-AU"/>
        </w:rPr>
        <w:t>Lieschke</w:t>
      </w:r>
      <w:proofErr w:type="spellEnd"/>
      <w:r w:rsidRPr="000A1CFB">
        <w:rPr>
          <w:lang w:val="en-AU"/>
        </w:rPr>
        <w:t xml:space="preserve">, in his decision in </w:t>
      </w:r>
      <w:r w:rsidRPr="000A1CFB">
        <w:rPr>
          <w:i/>
          <w:lang w:val="en-AU"/>
        </w:rPr>
        <w:t>Hillman v Ferro Con (SA) Pty Ltd (in liquidation) and Anor</w:t>
      </w:r>
      <w:r w:rsidRPr="000A1CFB">
        <w:rPr>
          <w:lang w:val="en-AU"/>
        </w:rPr>
        <w:t>.</w:t>
      </w:r>
      <w:r w:rsidR="001965B4">
        <w:rPr>
          <w:rStyle w:val="FootnoteReference"/>
          <w:lang w:val="en-AU"/>
        </w:rPr>
        <w:footnoteReference w:id="95"/>
      </w:r>
      <w:r w:rsidRPr="000A1CFB">
        <w:rPr>
          <w:lang w:val="en-AU"/>
        </w:rPr>
        <w:t xml:space="preserve"> In this matter, a worker was killed on a construction site and his employer </w:t>
      </w:r>
      <w:r w:rsidR="00D555FD" w:rsidRPr="00D555FD">
        <w:rPr>
          <w:lang w:val="en-AU"/>
        </w:rPr>
        <w:t xml:space="preserve">(Ferro Con) </w:t>
      </w:r>
      <w:r w:rsidRPr="000A1CFB">
        <w:rPr>
          <w:lang w:val="en-AU"/>
        </w:rPr>
        <w:t xml:space="preserve">was found to have breached the </w:t>
      </w:r>
      <w:r w:rsidRPr="000A1CFB">
        <w:rPr>
          <w:i/>
          <w:lang w:val="en-AU"/>
        </w:rPr>
        <w:t>Occupational Health, Safety and Welfare Act 198</w:t>
      </w:r>
      <w:r w:rsidRPr="00D57F76">
        <w:rPr>
          <w:i/>
          <w:lang w:val="en-AU"/>
        </w:rPr>
        <w:t>6</w:t>
      </w:r>
      <w:r w:rsidRPr="000A1CFB">
        <w:rPr>
          <w:lang w:val="en-AU"/>
        </w:rPr>
        <w:t xml:space="preserve"> (SA).</w:t>
      </w:r>
      <w:r w:rsidR="0084095F">
        <w:rPr>
          <w:lang w:val="en-AU"/>
        </w:rPr>
        <w:t xml:space="preserve"> </w:t>
      </w:r>
      <w:r w:rsidRPr="000A1CFB">
        <w:rPr>
          <w:lang w:val="en-AU"/>
        </w:rPr>
        <w:t xml:space="preserve">The employer’s sole director was found to have failed to take reasonable steps to ensure compliance by the employer with its obligations under the </w:t>
      </w:r>
      <w:r w:rsidR="00D520F7">
        <w:rPr>
          <w:lang w:val="en-AU"/>
        </w:rPr>
        <w:t>A</w:t>
      </w:r>
      <w:r w:rsidRPr="000A1CFB">
        <w:rPr>
          <w:lang w:val="en-AU"/>
        </w:rPr>
        <w:t>ct, in circumstances where the director’s failings contributed to the commission of the offence by the employer.</w:t>
      </w:r>
      <w:r w:rsidR="0084095F">
        <w:rPr>
          <w:lang w:val="en-AU"/>
        </w:rPr>
        <w:t xml:space="preserve"> </w:t>
      </w:r>
      <w:r w:rsidRPr="000A1CFB">
        <w:rPr>
          <w:lang w:val="en-AU"/>
        </w:rPr>
        <w:t>The employer had a general insurance policy which included an</w:t>
      </w:r>
      <w:r>
        <w:rPr>
          <w:lang w:val="en-AU"/>
        </w:rPr>
        <w:t xml:space="preserve"> </w:t>
      </w:r>
      <w:r w:rsidRPr="000A1CFB">
        <w:rPr>
          <w:lang w:val="en-AU"/>
        </w:rPr>
        <w:t>indemnification of its director for fines imposed for criminal conduct.</w:t>
      </w:r>
      <w:r w:rsidR="0084095F">
        <w:rPr>
          <w:lang w:val="en-AU"/>
        </w:rPr>
        <w:t xml:space="preserve"> </w:t>
      </w:r>
      <w:r w:rsidRPr="000A1CFB">
        <w:rPr>
          <w:lang w:val="en-AU"/>
        </w:rPr>
        <w:t xml:space="preserve">The effect of this was that the director paid a relatively small proportion of the fine imposed by the Court with the insurance company paying the rest. </w:t>
      </w:r>
    </w:p>
    <w:p w:rsidR="00C469CD" w:rsidRPr="00CA5EB3" w:rsidRDefault="00C469CD" w:rsidP="00CA5EB3">
      <w:pPr>
        <w:rPr>
          <w:lang w:val="en-AU"/>
        </w:rPr>
      </w:pPr>
      <w:r w:rsidRPr="000A1CFB">
        <w:rPr>
          <w:lang w:val="en-AU"/>
        </w:rPr>
        <w:t xml:space="preserve">Although this was a decision made under the repealed </w:t>
      </w:r>
      <w:r w:rsidRPr="000A1CFB">
        <w:rPr>
          <w:i/>
          <w:lang w:val="en-AU"/>
        </w:rPr>
        <w:t>Occupational Health, Safety and Welfare Act 1986</w:t>
      </w:r>
      <w:r w:rsidRPr="000A1CFB">
        <w:rPr>
          <w:lang w:val="en-AU"/>
        </w:rPr>
        <w:t xml:space="preserve"> (SA), </w:t>
      </w:r>
      <w:r w:rsidR="00D57F76">
        <w:rPr>
          <w:lang w:val="en-AU"/>
        </w:rPr>
        <w:t xml:space="preserve">Industrial Magistrate </w:t>
      </w:r>
      <w:proofErr w:type="spellStart"/>
      <w:r w:rsidRPr="000A1CFB">
        <w:rPr>
          <w:lang w:val="en-AU"/>
        </w:rPr>
        <w:t>Lieschke</w:t>
      </w:r>
      <w:proofErr w:type="spellEnd"/>
      <w:r w:rsidRPr="000A1CFB">
        <w:rPr>
          <w:lang w:val="en-AU"/>
        </w:rPr>
        <w:t xml:space="preserve">, raised questions relevant to the operation of </w:t>
      </w:r>
      <w:r w:rsidR="00D520F7">
        <w:rPr>
          <w:lang w:val="en-AU"/>
        </w:rPr>
        <w:t>s</w:t>
      </w:r>
      <w:r w:rsidR="00127432">
        <w:rPr>
          <w:lang w:val="en-AU"/>
        </w:rPr>
        <w:t> </w:t>
      </w:r>
      <w:r w:rsidRPr="000A1CFB">
        <w:rPr>
          <w:lang w:val="en-AU"/>
        </w:rPr>
        <w:t xml:space="preserve">272 of the model </w:t>
      </w:r>
      <w:r>
        <w:rPr>
          <w:lang w:val="en-AU"/>
        </w:rPr>
        <w:t>WHS</w:t>
      </w:r>
      <w:r w:rsidR="00CA5EB3">
        <w:rPr>
          <w:lang w:val="en-AU"/>
        </w:rPr>
        <w:t xml:space="preserve"> Act.</w:t>
      </w:r>
      <w:r w:rsidR="0084095F">
        <w:rPr>
          <w:lang w:val="en-AU"/>
        </w:rPr>
        <w:t xml:space="preserve"> </w:t>
      </w:r>
      <w:r w:rsidR="00CA5EB3">
        <w:rPr>
          <w:lang w:val="en-AU"/>
        </w:rPr>
        <w:t>He said:</w:t>
      </w:r>
    </w:p>
    <w:p w:rsidR="00C469CD" w:rsidRPr="000A1CFB" w:rsidRDefault="00C469CD" w:rsidP="00A237FA">
      <w:pPr>
        <w:pStyle w:val="Quote"/>
        <w:ind w:left="720"/>
        <w:rPr>
          <w:lang w:val="en-AU" w:eastAsia="en-US"/>
        </w:rPr>
      </w:pPr>
      <w:r w:rsidRPr="000A1CFB">
        <w:rPr>
          <w:lang w:val="en-AU" w:eastAsia="en-US"/>
        </w:rPr>
        <w:t>The Occupational Health, Safety and Welfare Act does not prohibit such insurance, but some other laws do. New Zealand’s corresponding OHS laws prohibit insurance</w:t>
      </w:r>
      <w:r w:rsidR="00B518B0">
        <w:rPr>
          <w:lang w:val="en-AU" w:eastAsia="en-US"/>
        </w:rPr>
        <w:t>..</w:t>
      </w:r>
      <w:r w:rsidRPr="000A1CFB">
        <w:rPr>
          <w:lang w:val="en-AU" w:eastAsia="en-US"/>
        </w:rPr>
        <w:t>. Section 272 of the new Work Health and Safety Act 2012 states that any term of a contract which seeks to modify the operation of the Act is void, but it does not specifically prohibit insurance of penalties, and it does not make it an offence for an insurer to provide an indemnity. Whilst the full scope of</w:t>
      </w:r>
      <w:r w:rsidR="00CD1FA8">
        <w:rPr>
          <w:lang w:val="en-AU" w:eastAsia="en-US"/>
        </w:rPr>
        <w:t xml:space="preserve"> s </w:t>
      </w:r>
      <w:r w:rsidRPr="000A1CFB">
        <w:rPr>
          <w:lang w:val="en-AU" w:eastAsia="en-US"/>
        </w:rPr>
        <w:t xml:space="preserve">272 is unclear, it will still be possible for an insurer to sell such policies and to grant indemnity for perceived commercial benefit. </w:t>
      </w:r>
    </w:p>
    <w:p w:rsidR="002420B7" w:rsidRDefault="00C469CD" w:rsidP="00CA5EB3">
      <w:pPr>
        <w:rPr>
          <w:lang w:val="en-AU" w:eastAsia="en-US"/>
        </w:rPr>
      </w:pPr>
      <w:r w:rsidRPr="000A1CFB">
        <w:rPr>
          <w:lang w:val="en-AU" w:eastAsia="en-US"/>
        </w:rPr>
        <w:t>His Honour suggested that the availability of insurance cover for WHS penalties undermined the Court’s sentencing powers by negating the principles of both specific and general deterrence.</w:t>
      </w:r>
    </w:p>
    <w:p w:rsidR="002420B7" w:rsidRDefault="002420B7">
      <w:pPr>
        <w:spacing w:after="200" w:line="276" w:lineRule="auto"/>
        <w:rPr>
          <w:lang w:val="en-AU" w:eastAsia="en-US"/>
        </w:rPr>
      </w:pPr>
      <w:r>
        <w:rPr>
          <w:lang w:val="en-AU" w:eastAsia="en-US"/>
        </w:rPr>
        <w:br w:type="page"/>
      </w:r>
    </w:p>
    <w:p w:rsidR="00A2423C" w:rsidRDefault="00A2423C" w:rsidP="00CA5EB3">
      <w:pPr>
        <w:rPr>
          <w:rFonts w:ascii="Helvetica" w:hAnsi="Helvetica"/>
          <w:color w:val="333333"/>
          <w:sz w:val="21"/>
          <w:szCs w:val="21"/>
        </w:rPr>
      </w:pPr>
      <w:r>
        <w:rPr>
          <w:lang w:val="en-AU" w:eastAsia="en-US"/>
        </w:rPr>
        <w:lastRenderedPageBreak/>
        <w:t xml:space="preserve">A related decision examining a court’s power to, in effect, prevent an employer from indemnifying an employee against penalties was recently made by the High Court in </w:t>
      </w:r>
      <w:r w:rsidRPr="00866B4B">
        <w:rPr>
          <w:i/>
          <w:lang w:val="en-AU" w:eastAsia="en-US"/>
        </w:rPr>
        <w:t>Australian Building and Construction Commissioner v Construction, Forestry, Mining and Energy Union</w:t>
      </w:r>
      <w:r>
        <w:rPr>
          <w:lang w:val="en-AU" w:eastAsia="en-US"/>
        </w:rPr>
        <w:t xml:space="preserve">. The decision confirmed that </w:t>
      </w:r>
      <w:r w:rsidRPr="00866B4B">
        <w:rPr>
          <w:lang w:val="en-AU" w:eastAsia="en-US"/>
        </w:rPr>
        <w:t xml:space="preserve">a penalty order made against an individual under the </w:t>
      </w:r>
      <w:r w:rsidRPr="00866B4B">
        <w:rPr>
          <w:i/>
          <w:lang w:val="en-AU" w:eastAsia="en-US"/>
        </w:rPr>
        <w:t>Fair Work Act 2009</w:t>
      </w:r>
      <w:r w:rsidRPr="00866B4B">
        <w:rPr>
          <w:lang w:val="en-AU" w:eastAsia="en-US"/>
        </w:rPr>
        <w:t xml:space="preserve"> can include a requirement for the individual to pay the penalty personally. Justices Keane, Nettle and Gordon noted that "[u]</w:t>
      </w:r>
      <w:proofErr w:type="spellStart"/>
      <w:r w:rsidRPr="00866B4B">
        <w:rPr>
          <w:lang w:val="en-AU" w:eastAsia="en-US"/>
        </w:rPr>
        <w:t>ltimately</w:t>
      </w:r>
      <w:proofErr w:type="spellEnd"/>
      <w:r w:rsidRPr="00866B4B">
        <w:rPr>
          <w:lang w:val="en-AU" w:eastAsia="en-US"/>
        </w:rPr>
        <w:t>, if a penalty is devoid of sting or burden, it may not have much, if any, specific or general deterrent effect, and so it will be unlikely, or at least less likely, to achieve the specific and general deterrent effects that are the raison d'être of its imposition."</w:t>
      </w:r>
      <w:r>
        <w:rPr>
          <w:rStyle w:val="FootnoteReference"/>
          <w:rFonts w:ascii="Helvetica" w:hAnsi="Helvetica"/>
          <w:color w:val="333333"/>
          <w:sz w:val="21"/>
          <w:szCs w:val="21"/>
        </w:rPr>
        <w:footnoteReference w:id="96"/>
      </w:r>
      <w:r>
        <w:rPr>
          <w:rFonts w:ascii="Helvetica" w:hAnsi="Helvetica"/>
          <w:color w:val="333333"/>
          <w:sz w:val="21"/>
          <w:szCs w:val="21"/>
        </w:rPr>
        <w:t xml:space="preserve"> </w:t>
      </w:r>
    </w:p>
    <w:p w:rsidR="006F633C" w:rsidRPr="000A1CFB" w:rsidRDefault="00325212" w:rsidP="00CA5EB3">
      <w:pPr>
        <w:rPr>
          <w:lang w:val="en-AU"/>
        </w:rPr>
      </w:pPr>
      <w:r>
        <w:rPr>
          <w:lang w:val="en-AU"/>
        </w:rPr>
        <w:t>Both t</w:t>
      </w:r>
      <w:r w:rsidR="006F633C" w:rsidRPr="000A1CFB">
        <w:rPr>
          <w:lang w:val="en-AU"/>
        </w:rPr>
        <w:t xml:space="preserve">he 2014 </w:t>
      </w:r>
      <w:r w:rsidR="00AE1A09" w:rsidRPr="000A1CFB">
        <w:rPr>
          <w:lang w:val="en-AU"/>
        </w:rPr>
        <w:t xml:space="preserve">South Australian </w:t>
      </w:r>
      <w:r w:rsidR="006F633C" w:rsidRPr="000A1CFB">
        <w:rPr>
          <w:lang w:val="en-AU"/>
        </w:rPr>
        <w:t xml:space="preserve">review </w:t>
      </w:r>
      <w:r w:rsidR="002F5A06">
        <w:rPr>
          <w:lang w:val="en-AU"/>
        </w:rPr>
        <w:t>a</w:t>
      </w:r>
      <w:r w:rsidR="006F633C" w:rsidRPr="000A1CFB">
        <w:rPr>
          <w:lang w:val="en-AU"/>
        </w:rPr>
        <w:t xml:space="preserve">nd the </w:t>
      </w:r>
      <w:r w:rsidR="00CE5815">
        <w:rPr>
          <w:lang w:val="en-AU"/>
        </w:rPr>
        <w:t>Queensland</w:t>
      </w:r>
      <w:r w:rsidR="00AE1A09">
        <w:rPr>
          <w:lang w:val="en-AU"/>
        </w:rPr>
        <w:t xml:space="preserve"> r</w:t>
      </w:r>
      <w:r w:rsidR="006F633C">
        <w:rPr>
          <w:lang w:val="en-AU"/>
        </w:rPr>
        <w:t xml:space="preserve">eview </w:t>
      </w:r>
      <w:r>
        <w:rPr>
          <w:lang w:val="en-AU"/>
        </w:rPr>
        <w:t>included recommendations that</w:t>
      </w:r>
      <w:r w:rsidR="006F633C" w:rsidRPr="000A1CFB">
        <w:rPr>
          <w:lang w:val="en-AU"/>
        </w:rPr>
        <w:t xml:space="preserve"> </w:t>
      </w:r>
      <w:r>
        <w:rPr>
          <w:lang w:val="en-AU"/>
        </w:rPr>
        <w:t xml:space="preserve">the model WHS Act be amended to expressly prohibit insurance contracts being entered into which cover the cost of </w:t>
      </w:r>
      <w:r w:rsidR="00AE1A09">
        <w:rPr>
          <w:lang w:val="en-AU"/>
        </w:rPr>
        <w:t>WHS</w:t>
      </w:r>
      <w:r>
        <w:rPr>
          <w:lang w:val="en-AU"/>
        </w:rPr>
        <w:t xml:space="preserve"> penal</w:t>
      </w:r>
      <w:r w:rsidR="00AE1A09">
        <w:rPr>
          <w:lang w:val="en-AU"/>
        </w:rPr>
        <w:t>t</w:t>
      </w:r>
      <w:r>
        <w:rPr>
          <w:lang w:val="en-AU"/>
        </w:rPr>
        <w:t>ies and fines.</w:t>
      </w:r>
    </w:p>
    <w:p w:rsidR="006F633C" w:rsidRPr="000A1CFB" w:rsidRDefault="006F633C" w:rsidP="00CA5EB3">
      <w:pPr>
        <w:rPr>
          <w:i/>
          <w:lang w:val="en-AU"/>
        </w:rPr>
      </w:pPr>
    </w:p>
    <w:p w:rsidR="006F633C" w:rsidRPr="00B05288" w:rsidRDefault="00A2301E" w:rsidP="00146A76">
      <w:pPr>
        <w:pStyle w:val="ReviewSubmissionQuestions"/>
      </w:pPr>
      <w:r w:rsidRPr="00B05288">
        <w:t xml:space="preserve">Have you any comments on the availability of insurance products </w:t>
      </w:r>
      <w:r w:rsidR="006F633C" w:rsidRPr="00B05288">
        <w:t>which cover the cost of work health and safety penalties?</w:t>
      </w:r>
    </w:p>
    <w:p w:rsidR="001F344A" w:rsidRDefault="001F344A" w:rsidP="006C2043">
      <w:pPr>
        <w:widowControl w:val="0"/>
        <w:autoSpaceDE w:val="0"/>
        <w:autoSpaceDN w:val="0"/>
        <w:adjustRightInd w:val="0"/>
        <w:spacing w:line="360" w:lineRule="atLeast"/>
        <w:jc w:val="both"/>
        <w:rPr>
          <w:rFonts w:cs="Arial"/>
          <w:sz w:val="22"/>
          <w:szCs w:val="22"/>
        </w:rPr>
        <w:sectPr w:rsidR="001F344A" w:rsidSect="00146A76">
          <w:headerReference w:type="even" r:id="rId26"/>
          <w:headerReference w:type="default" r:id="rId27"/>
          <w:footerReference w:type="even" r:id="rId28"/>
          <w:footerReference w:type="default" r:id="rId29"/>
          <w:headerReference w:type="first" r:id="rId30"/>
          <w:type w:val="continuous"/>
          <w:pgSz w:w="11900" w:h="16840"/>
          <w:pgMar w:top="1440" w:right="1440" w:bottom="1440" w:left="1440" w:header="708" w:footer="708" w:gutter="0"/>
          <w:cols w:space="708"/>
          <w:docGrid w:linePitch="360"/>
        </w:sectPr>
      </w:pPr>
    </w:p>
    <w:p w:rsidR="001F344A" w:rsidRPr="00F00C9B" w:rsidRDefault="001F344A" w:rsidP="0084395A">
      <w:pPr>
        <w:pStyle w:val="2018ReviewWhiteHeading"/>
        <w:numPr>
          <w:ilvl w:val="0"/>
          <w:numId w:val="34"/>
        </w:numPr>
        <w:spacing w:before="0"/>
        <w:ind w:left="357" w:hanging="357"/>
      </w:pPr>
      <w:bookmarkStart w:id="360" w:name="_Toc506794209"/>
      <w:r w:rsidRPr="00F00C9B">
        <w:lastRenderedPageBreak/>
        <w:t xml:space="preserve">Summary of </w:t>
      </w:r>
      <w:r>
        <w:t>q</w:t>
      </w:r>
      <w:r w:rsidRPr="00F00C9B">
        <w:t>uestions</w:t>
      </w:r>
      <w:bookmarkEnd w:id="360"/>
    </w:p>
    <w:p w:rsidR="0084395A" w:rsidRPr="0084395A" w:rsidRDefault="0084395A" w:rsidP="0084395A">
      <w:pPr>
        <w:ind w:left="1418" w:hanging="1418"/>
      </w:pPr>
      <w:r w:rsidRPr="0084395A">
        <w:t>Question 1:</w:t>
      </w:r>
      <w:r w:rsidRPr="0084395A">
        <w:tab/>
        <w:t>What are your views on the effectiveness of the three-tiered approach - model WHS Act supported by model WHS Regulations and model WHS Codes - to achieve the object of the model WHS laws?</w:t>
      </w:r>
    </w:p>
    <w:p w:rsidR="0084395A" w:rsidRPr="0084395A" w:rsidRDefault="0084395A" w:rsidP="0084395A">
      <w:pPr>
        <w:ind w:left="1418" w:hanging="1418"/>
      </w:pPr>
      <w:r w:rsidRPr="0084395A">
        <w:t>Question 2:</w:t>
      </w:r>
      <w:r w:rsidRPr="0084395A">
        <w:tab/>
        <w:t xml:space="preserve">Have you any comments on whether the model WHS Regulations adequately support the object of the model WHS Act? </w:t>
      </w:r>
    </w:p>
    <w:p w:rsidR="0084395A" w:rsidRPr="0084395A" w:rsidRDefault="0084395A" w:rsidP="0084395A">
      <w:pPr>
        <w:ind w:left="1418" w:hanging="1418"/>
      </w:pPr>
      <w:r w:rsidRPr="0084395A">
        <w:t>Question 3:</w:t>
      </w:r>
      <w:r w:rsidRPr="0084395A">
        <w:tab/>
        <w:t xml:space="preserve">Have you any comments on whether the model WHS Codes adequately support the object of the model WHS Act? </w:t>
      </w:r>
    </w:p>
    <w:p w:rsidR="0084395A" w:rsidRPr="0084395A" w:rsidRDefault="0084395A" w:rsidP="0084395A">
      <w:pPr>
        <w:ind w:left="1418" w:hanging="1418"/>
      </w:pPr>
      <w:r w:rsidRPr="0084395A">
        <w:t>Question 4:</w:t>
      </w:r>
      <w:r w:rsidRPr="0084395A">
        <w:tab/>
        <w:t>Have you any comments on whether the current framework strikes the right balance between the model WHS Act, model WHS Regulations and model Codes to ensure that they work together effectively to deliver WHS outcomes?</w:t>
      </w:r>
    </w:p>
    <w:p w:rsidR="0084395A" w:rsidRPr="0084395A" w:rsidRDefault="0084395A" w:rsidP="0084395A">
      <w:pPr>
        <w:ind w:left="1418" w:hanging="1418"/>
      </w:pPr>
      <w:r w:rsidRPr="0084395A">
        <w:t>Question 5:</w:t>
      </w:r>
      <w:r w:rsidRPr="0084395A">
        <w:tab/>
        <w:t xml:space="preserve">Have you any comments on the effectiveness of the model WHS laws in supporting the management of risks to psychological health in the workplace? </w:t>
      </w:r>
    </w:p>
    <w:p w:rsidR="0084395A" w:rsidRPr="0084395A" w:rsidRDefault="0084395A" w:rsidP="0084395A">
      <w:pPr>
        <w:ind w:left="1418" w:hanging="1418"/>
      </w:pPr>
      <w:r w:rsidRPr="0084395A">
        <w:t>Question 6:</w:t>
      </w:r>
      <w:r w:rsidRPr="0084395A">
        <w:tab/>
        <w:t>Have you any comments on the relationship between the model WHS laws and industry specific and hazard specific safety legislation (particularly where safety provisions are included in legislation which has other purposes)?</w:t>
      </w:r>
    </w:p>
    <w:p w:rsidR="0084395A" w:rsidRPr="0084395A" w:rsidRDefault="0084395A" w:rsidP="0084395A">
      <w:pPr>
        <w:ind w:left="1418" w:hanging="1418"/>
      </w:pPr>
      <w:r w:rsidRPr="0084395A">
        <w:t>Question 7:</w:t>
      </w:r>
      <w:r w:rsidRPr="0084395A">
        <w:tab/>
        <w:t xml:space="preserve">Have you any comments on the extraterritorial operation of the WHS laws? </w:t>
      </w:r>
    </w:p>
    <w:p w:rsidR="0084395A" w:rsidRPr="0084395A" w:rsidRDefault="0084395A" w:rsidP="0084395A">
      <w:pPr>
        <w:ind w:left="1418" w:hanging="1418"/>
      </w:pPr>
      <w:r w:rsidRPr="0084395A">
        <w:t>Question 8:</w:t>
      </w:r>
      <w:r w:rsidRPr="0084395A">
        <w:tab/>
        <w:t xml:space="preserve">Have you any comments on the effectiveness of the model WHS laws in providing an appropriate and clear boundary between general public health and safety protections and specific health and safety protections that are connected to work? </w:t>
      </w:r>
    </w:p>
    <w:p w:rsidR="0084395A" w:rsidRPr="0084395A" w:rsidRDefault="0084395A" w:rsidP="0084395A">
      <w:pPr>
        <w:ind w:left="1418" w:hanging="1418"/>
      </w:pPr>
      <w:r w:rsidRPr="0084395A">
        <w:t>Question 9:</w:t>
      </w:r>
      <w:r w:rsidRPr="0084395A">
        <w:tab/>
        <w:t xml:space="preserve">Are there any remaining, emerging or re-emerging work health and safety hazards or risks that are not effectively covered by the model WHS legislation? </w:t>
      </w:r>
    </w:p>
    <w:p w:rsidR="0084395A" w:rsidRPr="0084395A" w:rsidRDefault="0084395A" w:rsidP="0084395A">
      <w:pPr>
        <w:ind w:left="1418" w:hanging="1418"/>
      </w:pPr>
      <w:r w:rsidRPr="0084395A">
        <w:t>Question 10:</w:t>
      </w:r>
      <w:r w:rsidRPr="0084395A">
        <w:tab/>
        <w:t xml:space="preserve">Have you any comments on the sufficiency of the definition of PCBU to ensure that the primary duty of care continues to be responsive to changes in the nature of work and work relationships? </w:t>
      </w:r>
    </w:p>
    <w:p w:rsidR="0084395A" w:rsidRPr="0084395A" w:rsidRDefault="0084395A" w:rsidP="0084395A">
      <w:pPr>
        <w:ind w:left="1418" w:hanging="1418"/>
      </w:pPr>
      <w:r w:rsidRPr="0084395A">
        <w:t>Question 11:</w:t>
      </w:r>
      <w:r w:rsidRPr="0084395A">
        <w:tab/>
        <w:t>Have you any comments relating to a PCBU’s primary duty of care under the model WHS Act?</w:t>
      </w:r>
    </w:p>
    <w:p w:rsidR="0084395A" w:rsidRPr="0084395A" w:rsidRDefault="0084395A" w:rsidP="0084395A">
      <w:pPr>
        <w:ind w:left="1418" w:hanging="1418"/>
      </w:pPr>
      <w:r w:rsidRPr="0084395A">
        <w:t>Question 12:</w:t>
      </w:r>
      <w:r w:rsidRPr="0084395A">
        <w:tab/>
        <w:t>Have you any comments on the approach to the meaning of ‘reasonably practicable’?</w:t>
      </w:r>
    </w:p>
    <w:p w:rsidR="0084395A" w:rsidRPr="0084395A" w:rsidRDefault="0084395A" w:rsidP="0084395A">
      <w:pPr>
        <w:ind w:left="1418" w:hanging="1418"/>
      </w:pPr>
      <w:r w:rsidRPr="0084395A">
        <w:t>Question 13:</w:t>
      </w:r>
      <w:r w:rsidRPr="0084395A">
        <w:tab/>
        <w:t>Have you any comments relating to an officer’s duty of care under the model WHS Act?</w:t>
      </w:r>
    </w:p>
    <w:p w:rsidR="0084395A" w:rsidRPr="0084395A" w:rsidRDefault="0084395A" w:rsidP="0084395A">
      <w:pPr>
        <w:ind w:left="1418" w:hanging="1418"/>
      </w:pPr>
      <w:r w:rsidRPr="0084395A">
        <w:t>Question 14:</w:t>
      </w:r>
      <w:r w:rsidRPr="0084395A">
        <w:tab/>
        <w:t xml:space="preserve">Have you any comments on whether the definition of ‘worker’ is broad enough to ensure that the duties of care continue to be responsive to changes in the nature of work and work relationships? </w:t>
      </w:r>
    </w:p>
    <w:p w:rsidR="0084395A" w:rsidRPr="0084395A" w:rsidRDefault="0084395A" w:rsidP="0084395A">
      <w:pPr>
        <w:ind w:left="1418" w:hanging="1418"/>
      </w:pPr>
      <w:r w:rsidRPr="0084395A">
        <w:t>Question 15:</w:t>
      </w:r>
      <w:r w:rsidRPr="0084395A">
        <w:tab/>
        <w:t>Have you any comments relating to a worker’s duty of care under the model WHS Act?</w:t>
      </w:r>
    </w:p>
    <w:p w:rsidR="0084395A" w:rsidRPr="0084395A" w:rsidRDefault="0084395A" w:rsidP="0084395A">
      <w:pPr>
        <w:ind w:left="1418" w:hanging="1418"/>
      </w:pPr>
      <w:r w:rsidRPr="0084395A">
        <w:t>Question 16:</w:t>
      </w:r>
      <w:r w:rsidRPr="0084395A">
        <w:tab/>
        <w:t>Have you any comments relating to the ‘other person at a workplace’ duty of care under the model WHS Act?</w:t>
      </w:r>
    </w:p>
    <w:p w:rsidR="0084395A" w:rsidRPr="0084395A" w:rsidRDefault="0084395A" w:rsidP="0084395A">
      <w:pPr>
        <w:ind w:left="1418" w:hanging="1418"/>
      </w:pPr>
      <w:r w:rsidRPr="0084395A">
        <w:t>Question 17:</w:t>
      </w:r>
      <w:r w:rsidRPr="0084395A">
        <w:tab/>
        <w:t>Have you any comments relating to the principles that apply to health and safety duties?</w:t>
      </w:r>
    </w:p>
    <w:p w:rsidR="0084395A" w:rsidRPr="0084395A" w:rsidRDefault="0084395A" w:rsidP="0084395A">
      <w:pPr>
        <w:ind w:left="1418" w:hanging="1418"/>
      </w:pPr>
      <w:r w:rsidRPr="0084395A">
        <w:t>Question 18:</w:t>
      </w:r>
      <w:r w:rsidRPr="0084395A">
        <w:tab/>
        <w:t>Have you any comments on the practical application of the WHS consultation duties where there are multiple duty holders operating as part of a supply chain or network?</w:t>
      </w:r>
    </w:p>
    <w:p w:rsidR="0084395A" w:rsidRPr="0084395A" w:rsidRDefault="0084395A" w:rsidP="0084395A">
      <w:pPr>
        <w:ind w:left="1418" w:hanging="1418"/>
      </w:pPr>
      <w:r w:rsidRPr="0084395A">
        <w:t>Question 19:</w:t>
      </w:r>
      <w:r w:rsidRPr="0084395A">
        <w:tab/>
        <w:t xml:space="preserve">Have you any comments on the role of the consultation, representation and participation provisions in supporting the objective of the model WHS laws to ensure fair and effective consultation with workers in relation to work health and safety? </w:t>
      </w:r>
    </w:p>
    <w:p w:rsidR="0084395A" w:rsidRPr="0084395A" w:rsidRDefault="0084395A" w:rsidP="0084395A">
      <w:pPr>
        <w:ind w:left="1418" w:hanging="1418"/>
      </w:pPr>
      <w:r w:rsidRPr="0084395A">
        <w:t>Question 20:</w:t>
      </w:r>
      <w:r w:rsidRPr="0084395A">
        <w:tab/>
        <w:t xml:space="preserve">Are there classes of workers for whom current consultation requirements are not effective and if so how could consultation requirements for these workers be made more effective? </w:t>
      </w:r>
    </w:p>
    <w:p w:rsidR="0084395A" w:rsidRPr="0084395A" w:rsidRDefault="0084395A" w:rsidP="0084395A">
      <w:pPr>
        <w:ind w:left="1418" w:hanging="1418"/>
      </w:pPr>
      <w:r w:rsidRPr="0084395A">
        <w:lastRenderedPageBreak/>
        <w:t>Question 21:</w:t>
      </w:r>
      <w:r w:rsidRPr="0084395A">
        <w:tab/>
        <w:t xml:space="preserve">Have you any comments on the continuing effectiveness of the functions and powers of HSRs in the context of the changing nature of work? </w:t>
      </w:r>
    </w:p>
    <w:p w:rsidR="0084395A" w:rsidRPr="0084395A" w:rsidRDefault="0084395A" w:rsidP="0084395A">
      <w:pPr>
        <w:ind w:left="1418" w:hanging="1418"/>
      </w:pPr>
      <w:r w:rsidRPr="0084395A">
        <w:t>Question 22:</w:t>
      </w:r>
      <w:r w:rsidRPr="0084395A">
        <w:tab/>
        <w:t xml:space="preserve">Have you any comments on the effectiveness of the issue resolution procedures in the model WHS laws? </w:t>
      </w:r>
    </w:p>
    <w:p w:rsidR="0084395A" w:rsidRPr="0084395A" w:rsidRDefault="0084395A" w:rsidP="0084395A">
      <w:pPr>
        <w:ind w:left="1418" w:hanging="1418"/>
      </w:pPr>
      <w:r w:rsidRPr="0084395A">
        <w:t>Question 23:</w:t>
      </w:r>
      <w:r w:rsidRPr="0084395A">
        <w:tab/>
        <w:t>Have you any comments on the effectiveness of the provisions relating to discriminatory, coercive and misleading conduct in protecting those workers who take on a representative role under the model WHS Act, for example as a</w:t>
      </w:r>
      <w:r w:rsidR="004B5962">
        <w:t>n</w:t>
      </w:r>
      <w:r w:rsidRPr="0084395A">
        <w:t xml:space="preserve"> HSR or member of a HSC, or who raise WHS issues in their workplace?</w:t>
      </w:r>
    </w:p>
    <w:p w:rsidR="0084395A" w:rsidRPr="0084395A" w:rsidRDefault="0084395A" w:rsidP="0084395A">
      <w:pPr>
        <w:ind w:left="1418" w:hanging="1418"/>
      </w:pPr>
      <w:r w:rsidRPr="0084395A">
        <w:t>Question 24:</w:t>
      </w:r>
      <w:r w:rsidRPr="0084395A">
        <w:tab/>
        <w:t xml:space="preserve">Have you any comments on the effectiveness of the provisions for WHS entry by WHS entry permit holders to support the object of the model WHS laws? </w:t>
      </w:r>
    </w:p>
    <w:p w:rsidR="0084395A" w:rsidRPr="0084395A" w:rsidRDefault="0084395A" w:rsidP="0084395A">
      <w:pPr>
        <w:ind w:left="1418" w:hanging="1418"/>
      </w:pPr>
      <w:r w:rsidRPr="0084395A">
        <w:t>Question 25:</w:t>
      </w:r>
      <w:r w:rsidRPr="0084395A">
        <w:tab/>
        <w:t>Have you any comments on the effectiveness, sufficiency and appropriateness of the functions and powers of the regulator (</w:t>
      </w:r>
      <w:proofErr w:type="spellStart"/>
      <w:r w:rsidRPr="0084395A">
        <w:t>ss</w:t>
      </w:r>
      <w:proofErr w:type="spellEnd"/>
      <w:r w:rsidRPr="0084395A">
        <w:t xml:space="preserve"> 152 and 153) to ensure compliance with the model WHS laws?</w:t>
      </w:r>
    </w:p>
    <w:p w:rsidR="0084395A" w:rsidRPr="0084395A" w:rsidRDefault="0084395A" w:rsidP="0084395A">
      <w:pPr>
        <w:ind w:left="1418" w:hanging="1418"/>
      </w:pPr>
      <w:r w:rsidRPr="0084395A">
        <w:t>Question 26:</w:t>
      </w:r>
      <w:r w:rsidRPr="0084395A">
        <w:tab/>
        <w:t>Have you any comments on the effectiveness, sufficiency and appropriateness of the functions and powers provided to inspectors in the model WHS Act to ensure compliance with the model WHS legislation?</w:t>
      </w:r>
    </w:p>
    <w:p w:rsidR="0084395A" w:rsidRPr="0084395A" w:rsidRDefault="0084395A" w:rsidP="0084395A">
      <w:pPr>
        <w:ind w:left="1418" w:hanging="1418"/>
      </w:pPr>
      <w:r w:rsidRPr="0084395A">
        <w:t>Question 27:</w:t>
      </w:r>
      <w:r w:rsidRPr="0084395A">
        <w:tab/>
        <w:t>Have you experience of an internal or external review process under the model WHS laws? Do you consider that the provisions for review are appropriate and working effectively?</w:t>
      </w:r>
    </w:p>
    <w:p w:rsidR="0084395A" w:rsidRPr="0084395A" w:rsidRDefault="0084395A" w:rsidP="0084395A">
      <w:pPr>
        <w:ind w:left="1418" w:hanging="1418"/>
      </w:pPr>
      <w:r w:rsidRPr="0084395A">
        <w:t>Question 28:</w:t>
      </w:r>
      <w:r w:rsidRPr="0084395A">
        <w:tab/>
        <w:t>Have you experience of an exemption application under the model WHS Regulations? Do you consider that the provisions for exemptions are appropriate and working effectively?</w:t>
      </w:r>
    </w:p>
    <w:p w:rsidR="0084395A" w:rsidRPr="0084395A" w:rsidRDefault="0084395A" w:rsidP="0084395A">
      <w:pPr>
        <w:ind w:left="1418" w:hanging="1418"/>
      </w:pPr>
      <w:r w:rsidRPr="0084395A">
        <w:t>Question 29:</w:t>
      </w:r>
      <w:r w:rsidRPr="0084395A">
        <w:tab/>
        <w:t>Have you any comments on the provisions that support co-operation and use of regulator and inspector powers and functions across jurisdictions and their effectiveness in assisting with the compliance and enforcement objective of the model WHS legislation?</w:t>
      </w:r>
    </w:p>
    <w:p w:rsidR="0084395A" w:rsidRPr="0084395A" w:rsidRDefault="0084395A" w:rsidP="0084395A">
      <w:pPr>
        <w:ind w:left="1418" w:hanging="1418"/>
      </w:pPr>
      <w:r w:rsidRPr="0084395A">
        <w:t>Question 30:</w:t>
      </w:r>
      <w:r w:rsidRPr="0084395A">
        <w:tab/>
        <w:t>Have you any comments on the incident notification provisions?</w:t>
      </w:r>
    </w:p>
    <w:p w:rsidR="0084395A" w:rsidRPr="0084395A" w:rsidRDefault="0084395A" w:rsidP="0084395A">
      <w:pPr>
        <w:ind w:left="1418" w:hanging="1418"/>
      </w:pPr>
      <w:r w:rsidRPr="0084395A">
        <w:t>Question 31:</w:t>
      </w:r>
      <w:r w:rsidRPr="0084395A">
        <w:tab/>
        <w:t xml:space="preserve">Have you any comments on the effectiveness of the National Compliance and Enforcement Policy in supporting the object of the model WHS Act? </w:t>
      </w:r>
    </w:p>
    <w:p w:rsidR="0084395A" w:rsidRPr="0084395A" w:rsidRDefault="0084395A" w:rsidP="0084395A">
      <w:pPr>
        <w:ind w:left="1418" w:hanging="1418"/>
      </w:pPr>
      <w:r w:rsidRPr="0084395A">
        <w:t>Question 32:</w:t>
      </w:r>
      <w:r w:rsidRPr="0084395A">
        <w:tab/>
        <w:t>Have you any comments in relation to your experience of the exercise of inspector’s powers since the introduction of the model WHS laws within the context of applying the graduated compliance and enforcement principle?</w:t>
      </w:r>
    </w:p>
    <w:p w:rsidR="0084395A" w:rsidRPr="0084395A" w:rsidRDefault="0084395A" w:rsidP="0084395A">
      <w:pPr>
        <w:ind w:left="1418" w:hanging="1418"/>
      </w:pPr>
      <w:r w:rsidRPr="0084395A">
        <w:t>Question 33:</w:t>
      </w:r>
      <w:r w:rsidRPr="0084395A">
        <w:tab/>
        <w:t>Have you any comments on the effectiveness of the penalties in the model WHS Act as a deterrent to poor health and safety practices?</w:t>
      </w:r>
    </w:p>
    <w:p w:rsidR="0084395A" w:rsidRPr="0084395A" w:rsidRDefault="0084395A" w:rsidP="0084395A">
      <w:pPr>
        <w:ind w:left="1418" w:hanging="1418"/>
      </w:pPr>
      <w:r w:rsidRPr="0084395A">
        <w:t>Question 34:</w:t>
      </w:r>
      <w:r w:rsidRPr="0084395A">
        <w:tab/>
        <w:t>Have you any comments on the processes and procedures relating to legal proceedings for offences under the model WHS laws?</w:t>
      </w:r>
    </w:p>
    <w:p w:rsidR="0084395A" w:rsidRPr="0084395A" w:rsidRDefault="0084395A" w:rsidP="0084395A">
      <w:pPr>
        <w:ind w:left="1418" w:hanging="1418"/>
      </w:pPr>
      <w:r w:rsidRPr="0084395A">
        <w:t>Question 35:</w:t>
      </w:r>
      <w:r w:rsidRPr="0084395A">
        <w:tab/>
        <w:t>Have you any comments on the value of implementing sentencing guidelines for work health and safety offenders?</w:t>
      </w:r>
    </w:p>
    <w:p w:rsidR="0084395A" w:rsidRPr="0084395A" w:rsidRDefault="0084395A" w:rsidP="0084395A">
      <w:pPr>
        <w:ind w:left="1418" w:hanging="1418"/>
      </w:pPr>
      <w:r w:rsidRPr="0084395A">
        <w:t>Question 36:</w:t>
      </w:r>
      <w:r w:rsidRPr="0084395A">
        <w:tab/>
        <w:t>Have you any comments on the effectiveness of the provisions relating to enforceable undertakings in supporting the objectives of the model WHS laws?</w:t>
      </w:r>
    </w:p>
    <w:p w:rsidR="006C2043" w:rsidRDefault="0084395A" w:rsidP="0084395A">
      <w:pPr>
        <w:ind w:left="1418" w:hanging="1418"/>
      </w:pPr>
      <w:r w:rsidRPr="0084395A">
        <w:t>Question 37:</w:t>
      </w:r>
      <w:r w:rsidRPr="0084395A">
        <w:tab/>
        <w:t>Have you any comments on the availability of insurance products which cover the cost of work health and safety penalties?</w:t>
      </w:r>
    </w:p>
    <w:p w:rsidR="001F344A" w:rsidRPr="000A1CFB" w:rsidRDefault="001F344A" w:rsidP="006C2043">
      <w:pPr>
        <w:widowControl w:val="0"/>
        <w:autoSpaceDE w:val="0"/>
        <w:autoSpaceDN w:val="0"/>
        <w:adjustRightInd w:val="0"/>
        <w:spacing w:line="360" w:lineRule="atLeast"/>
        <w:jc w:val="both"/>
        <w:rPr>
          <w:rFonts w:cs="Arial"/>
          <w:sz w:val="22"/>
          <w:szCs w:val="22"/>
        </w:rPr>
      </w:pPr>
    </w:p>
    <w:p w:rsidR="00F94A95" w:rsidRPr="0051032E" w:rsidRDefault="00F94A95">
      <w:pPr>
        <w:spacing w:after="200" w:line="276" w:lineRule="auto"/>
        <w:rPr>
          <w:rFonts w:ascii="Arial Bold" w:eastAsiaTheme="majorEastAsia" w:hAnsi="Arial Bold" w:cs="Arial"/>
          <w:b/>
          <w:caps/>
          <w:spacing w:val="20"/>
          <w:kern w:val="96"/>
          <w:szCs w:val="20"/>
          <w:lang w:val="en-AU" w:eastAsia="en-US"/>
        </w:rPr>
      </w:pPr>
      <w:bookmarkStart w:id="361" w:name="_Toc503884375"/>
      <w:bookmarkStart w:id="362" w:name="_Toc503885095"/>
      <w:bookmarkStart w:id="363" w:name="_Toc503942323"/>
      <w:bookmarkStart w:id="364" w:name="_Toc503943278"/>
      <w:bookmarkStart w:id="365" w:name="_Toc503884376"/>
      <w:bookmarkStart w:id="366" w:name="_Toc503885096"/>
      <w:bookmarkStart w:id="367" w:name="_Toc503942324"/>
      <w:bookmarkStart w:id="368" w:name="_Toc503943279"/>
      <w:bookmarkStart w:id="369" w:name="_Toc503884377"/>
      <w:bookmarkStart w:id="370" w:name="_Toc503885097"/>
      <w:bookmarkStart w:id="371" w:name="_Toc503942325"/>
      <w:bookmarkStart w:id="372" w:name="_Toc503943280"/>
      <w:bookmarkStart w:id="373" w:name="_Toc503884378"/>
      <w:bookmarkStart w:id="374" w:name="_Toc503885098"/>
      <w:bookmarkStart w:id="375" w:name="_Toc503942326"/>
      <w:bookmarkStart w:id="376" w:name="_Toc503943281"/>
      <w:bookmarkStart w:id="377" w:name="_Toc503884379"/>
      <w:bookmarkStart w:id="378" w:name="_Toc503885099"/>
      <w:bookmarkStart w:id="379" w:name="_Toc503942327"/>
      <w:bookmarkStart w:id="380" w:name="_Toc503943282"/>
      <w:bookmarkStart w:id="381" w:name="_Toc503884380"/>
      <w:bookmarkStart w:id="382" w:name="_Toc503885100"/>
      <w:bookmarkStart w:id="383" w:name="_Toc503942328"/>
      <w:bookmarkStart w:id="384" w:name="_Toc503943283"/>
      <w:bookmarkStart w:id="385" w:name="_Toc503884381"/>
      <w:bookmarkStart w:id="386" w:name="_Toc503885101"/>
      <w:bookmarkStart w:id="387" w:name="_Toc503942329"/>
      <w:bookmarkStart w:id="388" w:name="_Toc503943284"/>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51032E">
        <w:rPr>
          <w:b/>
          <w:szCs w:val="20"/>
        </w:rPr>
        <w:br w:type="page"/>
      </w:r>
    </w:p>
    <w:p w:rsidR="007B7AA4" w:rsidRPr="00F00C9B" w:rsidRDefault="007B7AA4" w:rsidP="007B7AA4">
      <w:pPr>
        <w:pStyle w:val="2018ReviewWhiteHeading"/>
        <w:spacing w:before="0"/>
        <w:ind w:left="0" w:firstLine="0"/>
      </w:pPr>
      <w:bookmarkStart w:id="389" w:name="_Toc506794210"/>
      <w:r w:rsidRPr="00F00C9B">
        <w:lastRenderedPageBreak/>
        <w:t>Appendix A</w:t>
      </w:r>
      <w:r w:rsidRPr="00F00C9B">
        <w:tab/>
        <w:t xml:space="preserve">Terms of </w:t>
      </w:r>
      <w:r w:rsidR="006F593C">
        <w:t>r</w:t>
      </w:r>
      <w:r w:rsidRPr="00F00C9B">
        <w:t>eference</w:t>
      </w:r>
      <w:bookmarkEnd w:id="389"/>
    </w:p>
    <w:p w:rsidR="007B7AA4" w:rsidRPr="009D7402" w:rsidRDefault="007B7AA4" w:rsidP="007B7AA4">
      <w:pPr>
        <w:pStyle w:val="Heading2"/>
        <w:rPr>
          <w:lang w:val="en-AU"/>
        </w:rPr>
      </w:pPr>
      <w:bookmarkStart w:id="390" w:name="_Toc506794211"/>
      <w:r w:rsidRPr="009D7402">
        <w:rPr>
          <w:lang w:val="en-AU"/>
        </w:rPr>
        <w:t>Background</w:t>
      </w:r>
      <w:bookmarkEnd w:id="390"/>
    </w:p>
    <w:p w:rsidR="007B7AA4" w:rsidRPr="00B01D8C" w:rsidRDefault="007B7AA4" w:rsidP="007B7AA4">
      <w:pPr>
        <w:pStyle w:val="ListParagraph"/>
        <w:numPr>
          <w:ilvl w:val="0"/>
          <w:numId w:val="80"/>
        </w:numPr>
        <w:rPr>
          <w:lang w:val="en-AU"/>
        </w:rPr>
      </w:pPr>
      <w:r w:rsidRPr="001A5D78">
        <w:rPr>
          <w:lang w:val="en-AU"/>
        </w:rPr>
        <w:t>In February 2008, the then Workplace Relations Ministers Council agreed that model legislation was the most effective way to achieve harmonisation of Work Health and Safety (WHS) laws.</w:t>
      </w:r>
    </w:p>
    <w:p w:rsidR="007B7AA4" w:rsidRPr="00B01D8C" w:rsidRDefault="007B7AA4" w:rsidP="007B7AA4">
      <w:pPr>
        <w:pStyle w:val="ListParagraph"/>
        <w:numPr>
          <w:ilvl w:val="0"/>
          <w:numId w:val="80"/>
        </w:numPr>
        <w:rPr>
          <w:lang w:val="en-AU"/>
        </w:rPr>
      </w:pPr>
      <w:r w:rsidRPr="00B01D8C">
        <w:rPr>
          <w:lang w:val="en-AU"/>
        </w:rPr>
        <w:t>Safe Work Australia (SWA) was established by the Safe Work Australia Act 2008 with primary responsibility to lead the development of policy to improve WHS and workers’ compensation arrangements across Australia. One of SWA’s statutory functions is to prepare, and if necessary revise, model WHS laws for approval by ministers with responsibility for WHS (WHS ministers), and for adoption as laws of the Commonwealth, each of the States and each of the Territories.</w:t>
      </w:r>
    </w:p>
    <w:p w:rsidR="007B7AA4" w:rsidRPr="00B01D8C" w:rsidRDefault="007B7AA4" w:rsidP="007B7AA4">
      <w:pPr>
        <w:pStyle w:val="ListParagraph"/>
        <w:numPr>
          <w:ilvl w:val="0"/>
          <w:numId w:val="80"/>
        </w:numPr>
        <w:rPr>
          <w:lang w:val="en-AU"/>
        </w:rPr>
      </w:pPr>
      <w:r w:rsidRPr="00B01D8C">
        <w:rPr>
          <w:lang w:val="en-AU"/>
        </w:rPr>
        <w:t>The model laws comprise the model WHS Act, model WHS Regulations and model Codes of Practice. These elements are supported by the National compliance and enforcement policy which sets out principles of how WHS regulators monitor and enforce compliance with WHS laws.</w:t>
      </w:r>
    </w:p>
    <w:p w:rsidR="007B7AA4" w:rsidRPr="00B01D8C" w:rsidRDefault="007B7AA4" w:rsidP="007B7AA4">
      <w:pPr>
        <w:pStyle w:val="ListParagraph"/>
        <w:numPr>
          <w:ilvl w:val="0"/>
          <w:numId w:val="80"/>
        </w:numPr>
        <w:rPr>
          <w:lang w:val="en-AU"/>
        </w:rPr>
      </w:pPr>
      <w:r w:rsidRPr="00B01D8C">
        <w:rPr>
          <w:lang w:val="en-AU"/>
        </w:rPr>
        <w:t>Seven of the nine jurisdictions have implemented the model WHS laws. The Commonwealth, Australian Capital Territory, New South Wales, Northern Territory and Queensland implemented the model WHS laws on 1 January 2012; South Australia and Tasmania implemented the laws on 1 January 2013. Western Australia and Victoria have not implemented the model WHS laws in their jurisdictions.</w:t>
      </w:r>
    </w:p>
    <w:p w:rsidR="007B7AA4" w:rsidRPr="009D7402" w:rsidRDefault="007B7AA4" w:rsidP="007B7AA4">
      <w:pPr>
        <w:pStyle w:val="Heading2"/>
        <w:rPr>
          <w:lang w:val="en-AU"/>
        </w:rPr>
      </w:pPr>
      <w:bookmarkStart w:id="391" w:name="_Toc506794212"/>
      <w:r w:rsidRPr="009D7402">
        <w:rPr>
          <w:lang w:val="en-AU"/>
        </w:rPr>
        <w:t>Scope of the review</w:t>
      </w:r>
      <w:bookmarkEnd w:id="391"/>
    </w:p>
    <w:p w:rsidR="007B7AA4" w:rsidRPr="001A5D78" w:rsidRDefault="007B7AA4" w:rsidP="007B7AA4">
      <w:pPr>
        <w:pStyle w:val="ListParagraph"/>
        <w:numPr>
          <w:ilvl w:val="0"/>
          <w:numId w:val="80"/>
        </w:numPr>
        <w:rPr>
          <w:lang w:val="en-AU"/>
        </w:rPr>
      </w:pPr>
      <w:r w:rsidRPr="001A5D78">
        <w:rPr>
          <w:lang w:val="en-AU"/>
        </w:rPr>
        <w:t>As agreed by WHS ministers, SWA is asked to examine and report on the content and operation of the model WHS laws.</w:t>
      </w:r>
    </w:p>
    <w:p w:rsidR="007B7AA4" w:rsidRPr="00B01D8C" w:rsidRDefault="007B7AA4" w:rsidP="007B7AA4">
      <w:pPr>
        <w:pStyle w:val="ListParagraph"/>
        <w:numPr>
          <w:ilvl w:val="0"/>
          <w:numId w:val="80"/>
        </w:numPr>
        <w:rPr>
          <w:lang w:val="en-AU"/>
        </w:rPr>
      </w:pPr>
      <w:r w:rsidRPr="00B01D8C">
        <w:rPr>
          <w:lang w:val="en-AU"/>
        </w:rPr>
        <w:t>The review will be evidenced-based and propose actions that may be taken by WHS ministers to improve the model WHS laws, or identify areas of the model WHS laws that require further assessment and analysis following the review.</w:t>
      </w:r>
    </w:p>
    <w:p w:rsidR="007B7AA4" w:rsidRPr="00B01D8C" w:rsidRDefault="007B7AA4" w:rsidP="007B7AA4">
      <w:pPr>
        <w:pStyle w:val="ListParagraph"/>
        <w:numPr>
          <w:ilvl w:val="0"/>
          <w:numId w:val="80"/>
        </w:numPr>
        <w:rPr>
          <w:lang w:val="en-AU"/>
        </w:rPr>
      </w:pPr>
      <w:r w:rsidRPr="00B01D8C">
        <w:rPr>
          <w:lang w:val="en-AU"/>
        </w:rPr>
        <w:t>In undertaking the review, SWA will have regard to the objec</w:t>
      </w:r>
      <w:r w:rsidR="0084395A">
        <w:rPr>
          <w:lang w:val="en-AU"/>
        </w:rPr>
        <w:t>t of the model WHS Act (section </w:t>
      </w:r>
      <w:r w:rsidRPr="00B01D8C">
        <w:rPr>
          <w:lang w:val="en-AU"/>
        </w:rPr>
        <w:t>3).</w:t>
      </w:r>
    </w:p>
    <w:p w:rsidR="007B7AA4" w:rsidRPr="00B01D8C" w:rsidRDefault="007B7AA4" w:rsidP="007B7AA4">
      <w:pPr>
        <w:pStyle w:val="ListParagraph"/>
        <w:numPr>
          <w:ilvl w:val="0"/>
          <w:numId w:val="80"/>
        </w:numPr>
        <w:rPr>
          <w:lang w:val="en-AU"/>
        </w:rPr>
      </w:pPr>
      <w:r w:rsidRPr="00B01D8C">
        <w:rPr>
          <w:lang w:val="en-AU"/>
        </w:rPr>
        <w:t>The review will consider whether:</w:t>
      </w:r>
    </w:p>
    <w:p w:rsidR="007B7AA4" w:rsidRPr="00B01D8C" w:rsidRDefault="007B7AA4" w:rsidP="007B7AA4">
      <w:pPr>
        <w:pStyle w:val="ListParagraph"/>
        <w:numPr>
          <w:ilvl w:val="1"/>
          <w:numId w:val="80"/>
        </w:numPr>
        <w:rPr>
          <w:lang w:val="en-AU"/>
        </w:rPr>
      </w:pPr>
      <w:r w:rsidRPr="00B01D8C">
        <w:rPr>
          <w:lang w:val="en-AU"/>
        </w:rPr>
        <w:t>the model WHS laws are operating as intended</w:t>
      </w:r>
    </w:p>
    <w:p w:rsidR="007B7AA4" w:rsidRPr="00B01D8C" w:rsidRDefault="007B7AA4" w:rsidP="007B7AA4">
      <w:pPr>
        <w:pStyle w:val="ListParagraph"/>
        <w:numPr>
          <w:ilvl w:val="1"/>
          <w:numId w:val="80"/>
        </w:numPr>
        <w:rPr>
          <w:lang w:val="en-AU"/>
        </w:rPr>
      </w:pPr>
      <w:r w:rsidRPr="00B01D8C">
        <w:rPr>
          <w:lang w:val="en-AU"/>
        </w:rPr>
        <w:t>any areas of the model WHS laws have resulted in unintended consequences</w:t>
      </w:r>
    </w:p>
    <w:p w:rsidR="007B7AA4" w:rsidRPr="00B01D8C" w:rsidRDefault="007B7AA4" w:rsidP="007B7AA4">
      <w:pPr>
        <w:pStyle w:val="ListParagraph"/>
        <w:numPr>
          <w:ilvl w:val="1"/>
          <w:numId w:val="80"/>
        </w:numPr>
        <w:rPr>
          <w:lang w:val="en-AU"/>
        </w:rPr>
      </w:pPr>
      <w:r w:rsidRPr="00B01D8C">
        <w:rPr>
          <w:lang w:val="en-AU"/>
        </w:rPr>
        <w:t>the framework of duties is effective at protecting workers and other persons against harm to their health, safety and welfare and can adapt to changes in work organisation and relationships</w:t>
      </w:r>
    </w:p>
    <w:p w:rsidR="007B7AA4" w:rsidRPr="00B01D8C" w:rsidRDefault="007B7AA4" w:rsidP="007B7AA4">
      <w:pPr>
        <w:pStyle w:val="ListParagraph"/>
        <w:numPr>
          <w:ilvl w:val="1"/>
          <w:numId w:val="80"/>
        </w:numPr>
        <w:rPr>
          <w:lang w:val="en-AU"/>
        </w:rPr>
      </w:pPr>
      <w:r w:rsidRPr="00B01D8C">
        <w:rPr>
          <w:lang w:val="en-AU"/>
        </w:rPr>
        <w:t>the compliance and enforcement provisions, such as penalties and enforceable undertakings, are effective and sufficient to deter non-compliance with the legislation</w:t>
      </w:r>
    </w:p>
    <w:p w:rsidR="007B7AA4" w:rsidRPr="00B01D8C" w:rsidRDefault="007B7AA4" w:rsidP="007B7AA4">
      <w:pPr>
        <w:pStyle w:val="ListParagraph"/>
        <w:numPr>
          <w:ilvl w:val="1"/>
          <w:numId w:val="80"/>
        </w:numPr>
        <w:rPr>
          <w:lang w:val="en-AU"/>
        </w:rPr>
      </w:pPr>
      <w:r w:rsidRPr="00B01D8C">
        <w:rPr>
          <w:lang w:val="en-AU"/>
        </w:rPr>
        <w:t>the consultation, representation and issue resolution provisions are effective and used by duty holders; and workers are protected where they participate in these processes, and</w:t>
      </w:r>
    </w:p>
    <w:p w:rsidR="007B7AA4" w:rsidRPr="00B01D8C" w:rsidRDefault="007B7AA4" w:rsidP="007B7AA4">
      <w:pPr>
        <w:pStyle w:val="ListParagraph"/>
        <w:numPr>
          <w:ilvl w:val="1"/>
          <w:numId w:val="80"/>
        </w:numPr>
        <w:rPr>
          <w:lang w:val="en-AU"/>
        </w:rPr>
      </w:pPr>
      <w:r w:rsidRPr="00B01D8C">
        <w:rPr>
          <w:lang w:val="en-AU"/>
        </w:rPr>
        <w:t>the model WHS Regulations, model Codes of Practice and National compliance and enforcement policy adequately support the object of the model WHS Act.</w:t>
      </w:r>
    </w:p>
    <w:p w:rsidR="007B7AA4" w:rsidRPr="00B01D8C" w:rsidRDefault="007B7AA4" w:rsidP="007B7AA4">
      <w:pPr>
        <w:pStyle w:val="ListParagraph"/>
        <w:numPr>
          <w:ilvl w:val="0"/>
          <w:numId w:val="80"/>
        </w:numPr>
        <w:rPr>
          <w:lang w:val="en-AU"/>
        </w:rPr>
      </w:pPr>
      <w:r w:rsidRPr="00B01D8C">
        <w:rPr>
          <w:lang w:val="en-AU"/>
        </w:rPr>
        <w:t>The review will be finalised by the end of 2018.</w:t>
      </w:r>
    </w:p>
    <w:p w:rsidR="007B7AA4" w:rsidRDefault="007B7AA4" w:rsidP="007B7AA4">
      <w:pPr>
        <w:pStyle w:val="ListParagraph"/>
        <w:numPr>
          <w:ilvl w:val="0"/>
          <w:numId w:val="80"/>
        </w:numPr>
        <w:rPr>
          <w:lang w:val="en-AU"/>
        </w:rPr>
      </w:pPr>
      <w:r w:rsidRPr="00B01D8C">
        <w:rPr>
          <w:lang w:val="en-AU"/>
        </w:rPr>
        <w:t>SWA will provide a written report for the consideration of WHS ministers.</w:t>
      </w:r>
    </w:p>
    <w:p w:rsidR="007B7AA4" w:rsidRPr="001A5D78" w:rsidRDefault="007B7AA4" w:rsidP="007B7AA4">
      <w:pPr>
        <w:rPr>
          <w:szCs w:val="20"/>
          <w:lang w:val="en-AU"/>
        </w:rPr>
      </w:pPr>
      <w:r>
        <w:rPr>
          <w:lang w:val="en-AU"/>
        </w:rPr>
        <w:br w:type="page"/>
      </w:r>
    </w:p>
    <w:p w:rsidR="007B7AA4" w:rsidRPr="00F00C9B" w:rsidRDefault="007B7AA4" w:rsidP="007B7AA4">
      <w:pPr>
        <w:pStyle w:val="2018ReviewWhiteHeading"/>
        <w:spacing w:before="0"/>
        <w:ind w:left="0" w:firstLine="0"/>
      </w:pPr>
      <w:bookmarkStart w:id="392" w:name="_Toc506794213"/>
      <w:r w:rsidRPr="00F00C9B">
        <w:lastRenderedPageBreak/>
        <w:t>Appendix B</w:t>
      </w:r>
      <w:r w:rsidR="002D64EE">
        <w:tab/>
      </w:r>
      <w:r w:rsidRPr="00F00C9B">
        <w:t>Section 3 Object of the model Work Health and Safety Act</w:t>
      </w:r>
      <w:bookmarkEnd w:id="392"/>
    </w:p>
    <w:p w:rsidR="002246B4" w:rsidRPr="000A1BD1" w:rsidRDefault="002246B4" w:rsidP="000A1BD1">
      <w:pPr>
        <w:pStyle w:val="Quote"/>
        <w:rPr>
          <w:lang w:val="en-AU"/>
        </w:rPr>
      </w:pPr>
    </w:p>
    <w:p w:rsidR="007B7AA4" w:rsidRPr="00866B4B" w:rsidRDefault="007B7AA4" w:rsidP="00866B4B">
      <w:pPr>
        <w:pStyle w:val="Heading4"/>
        <w:rPr>
          <w:sz w:val="24"/>
          <w:szCs w:val="24"/>
          <w:lang w:val="en-AU"/>
        </w:rPr>
      </w:pPr>
      <w:r w:rsidRPr="00866B4B">
        <w:rPr>
          <w:sz w:val="24"/>
          <w:szCs w:val="24"/>
          <w:lang w:val="en-AU"/>
        </w:rPr>
        <w:t>Model Work Health and Safety (WHS) Act</w:t>
      </w:r>
      <w:r w:rsidRPr="00866B4B">
        <w:rPr>
          <w:sz w:val="24"/>
          <w:szCs w:val="24"/>
          <w:lang w:val="en-AU"/>
        </w:rPr>
        <w:tab/>
      </w:r>
    </w:p>
    <w:p w:rsidR="007B7AA4" w:rsidRDefault="007B7AA4" w:rsidP="007B7AA4">
      <w:pPr>
        <w:pStyle w:val="Quote"/>
        <w:rPr>
          <w:lang w:val="en-AU"/>
        </w:rPr>
      </w:pPr>
    </w:p>
    <w:p w:rsidR="007B7AA4" w:rsidRPr="006B03FF" w:rsidRDefault="007B7AA4" w:rsidP="007B7AA4">
      <w:pPr>
        <w:pStyle w:val="Quote"/>
        <w:rPr>
          <w:lang w:val="en-AU"/>
        </w:rPr>
      </w:pPr>
      <w:r w:rsidRPr="006B03FF">
        <w:rPr>
          <w:lang w:val="en-AU"/>
        </w:rPr>
        <w:t xml:space="preserve">Division 2 – Object </w:t>
      </w:r>
    </w:p>
    <w:p w:rsidR="007B7AA4" w:rsidRPr="006B03FF" w:rsidRDefault="007B7AA4" w:rsidP="007B7AA4">
      <w:pPr>
        <w:pStyle w:val="Quote"/>
        <w:rPr>
          <w:lang w:val="en-AU"/>
        </w:rPr>
      </w:pPr>
      <w:r w:rsidRPr="006B03FF">
        <w:rPr>
          <w:lang w:val="en-AU"/>
        </w:rPr>
        <w:t xml:space="preserve">3 Object </w:t>
      </w:r>
    </w:p>
    <w:p w:rsidR="007B7AA4" w:rsidRPr="006B03FF" w:rsidRDefault="007B7AA4" w:rsidP="007B7AA4">
      <w:pPr>
        <w:pStyle w:val="Quote"/>
        <w:numPr>
          <w:ilvl w:val="1"/>
          <w:numId w:val="79"/>
        </w:numPr>
        <w:rPr>
          <w:lang w:val="en-AU"/>
        </w:rPr>
      </w:pPr>
      <w:r w:rsidRPr="006B03FF">
        <w:rPr>
          <w:lang w:val="en-AU"/>
        </w:rPr>
        <w:t xml:space="preserve">The main object of this Act is to provide for a balanced and nationally consistent framework to secure the health and safety of workers and workplaces by: </w:t>
      </w:r>
    </w:p>
    <w:p w:rsidR="007B7AA4" w:rsidRPr="006B03FF" w:rsidRDefault="007B7AA4" w:rsidP="007B7AA4">
      <w:pPr>
        <w:pStyle w:val="Quote"/>
        <w:numPr>
          <w:ilvl w:val="2"/>
          <w:numId w:val="79"/>
        </w:numPr>
        <w:rPr>
          <w:lang w:val="en-AU"/>
        </w:rPr>
      </w:pPr>
      <w:r w:rsidRPr="006B03FF">
        <w:rPr>
          <w:lang w:val="en-AU"/>
        </w:rPr>
        <w:t xml:space="preserve">protecting workers and other persons against harm to their health, safety and welfare through the elimination or minimisation of risks arising from work [or from specified types of substances or plant]; and </w:t>
      </w:r>
    </w:p>
    <w:p w:rsidR="007B7AA4" w:rsidRPr="006B03FF" w:rsidRDefault="007B7AA4" w:rsidP="007B7AA4">
      <w:pPr>
        <w:pStyle w:val="Quote"/>
        <w:numPr>
          <w:ilvl w:val="2"/>
          <w:numId w:val="79"/>
        </w:numPr>
        <w:rPr>
          <w:lang w:val="en-AU"/>
        </w:rPr>
      </w:pPr>
      <w:r w:rsidRPr="006B03FF">
        <w:rPr>
          <w:lang w:val="en-AU"/>
        </w:rPr>
        <w:t xml:space="preserve">providing for fair and effective workplace representation, consultation, co-operation and issue resolution in relation to work health and safety; and </w:t>
      </w:r>
    </w:p>
    <w:p w:rsidR="007B7AA4" w:rsidRPr="006B03FF" w:rsidRDefault="007B7AA4" w:rsidP="007B7AA4">
      <w:pPr>
        <w:pStyle w:val="Quote"/>
        <w:numPr>
          <w:ilvl w:val="2"/>
          <w:numId w:val="79"/>
        </w:numPr>
        <w:rPr>
          <w:lang w:val="en-AU"/>
        </w:rPr>
      </w:pPr>
      <w:r w:rsidRPr="006B03FF">
        <w:rPr>
          <w:lang w:val="en-AU"/>
        </w:rPr>
        <w:t xml:space="preserve">encouraging unions and employer organisations to take a constructive role in promoting improvements in work health and safety practices, and assisting persons conducting businesses or undertakings and workers to achieve a healthier and safer working environment; and </w:t>
      </w:r>
    </w:p>
    <w:p w:rsidR="007B7AA4" w:rsidRPr="006B03FF" w:rsidRDefault="007B7AA4" w:rsidP="007B7AA4">
      <w:pPr>
        <w:pStyle w:val="Quote"/>
        <w:numPr>
          <w:ilvl w:val="2"/>
          <w:numId w:val="79"/>
        </w:numPr>
        <w:rPr>
          <w:lang w:val="en-AU"/>
        </w:rPr>
      </w:pPr>
      <w:r w:rsidRPr="006B03FF">
        <w:rPr>
          <w:lang w:val="en-AU"/>
        </w:rPr>
        <w:t xml:space="preserve">promoting the provision of advice, information, education and training in relation to work health and safety; and </w:t>
      </w:r>
    </w:p>
    <w:p w:rsidR="007B7AA4" w:rsidRPr="006B03FF" w:rsidRDefault="007B7AA4" w:rsidP="007B7AA4">
      <w:pPr>
        <w:pStyle w:val="Quote"/>
        <w:numPr>
          <w:ilvl w:val="2"/>
          <w:numId w:val="79"/>
        </w:numPr>
        <w:rPr>
          <w:lang w:val="en-AU"/>
        </w:rPr>
      </w:pPr>
      <w:r w:rsidRPr="006B03FF">
        <w:rPr>
          <w:lang w:val="en-AU"/>
        </w:rPr>
        <w:t xml:space="preserve">securing compliance with this Act through effective and appropriate compliance and enforcement measures; and </w:t>
      </w:r>
    </w:p>
    <w:p w:rsidR="007B7AA4" w:rsidRPr="006B03FF" w:rsidRDefault="007B7AA4" w:rsidP="007B7AA4">
      <w:pPr>
        <w:pStyle w:val="Quote"/>
        <w:numPr>
          <w:ilvl w:val="2"/>
          <w:numId w:val="79"/>
        </w:numPr>
        <w:rPr>
          <w:lang w:val="en-AU"/>
        </w:rPr>
      </w:pPr>
      <w:r w:rsidRPr="006B03FF">
        <w:rPr>
          <w:lang w:val="en-AU"/>
        </w:rPr>
        <w:t xml:space="preserve">ensuring appropriate scrutiny and review of actions taken by persons exercising powers and performing functions under this Act; and </w:t>
      </w:r>
    </w:p>
    <w:p w:rsidR="007B7AA4" w:rsidRPr="006B03FF" w:rsidRDefault="007B7AA4" w:rsidP="007B7AA4">
      <w:pPr>
        <w:pStyle w:val="Quote"/>
        <w:numPr>
          <w:ilvl w:val="2"/>
          <w:numId w:val="79"/>
        </w:numPr>
        <w:rPr>
          <w:lang w:val="en-AU"/>
        </w:rPr>
      </w:pPr>
      <w:r w:rsidRPr="006B03FF">
        <w:rPr>
          <w:lang w:val="en-AU"/>
        </w:rPr>
        <w:t xml:space="preserve">providing a framework for continuous improvement and progressively higher standards of work health and safety; and </w:t>
      </w:r>
    </w:p>
    <w:p w:rsidR="007B7AA4" w:rsidRPr="006B03FF" w:rsidRDefault="007B7AA4" w:rsidP="007B7AA4">
      <w:pPr>
        <w:pStyle w:val="Quote"/>
        <w:numPr>
          <w:ilvl w:val="2"/>
          <w:numId w:val="79"/>
        </w:numPr>
        <w:rPr>
          <w:lang w:val="en-AU"/>
        </w:rPr>
      </w:pPr>
      <w:r w:rsidRPr="006B03FF">
        <w:rPr>
          <w:lang w:val="en-AU"/>
        </w:rPr>
        <w:t xml:space="preserve">maintaining and strengthening the national harmonisation of laws relating to work health and safety and to facilitate a consistent national approach to work health and safety in this jurisdiction. </w:t>
      </w:r>
    </w:p>
    <w:p w:rsidR="007B7AA4" w:rsidRDefault="007B7AA4" w:rsidP="007B7AA4">
      <w:pPr>
        <w:pStyle w:val="Quote"/>
        <w:numPr>
          <w:ilvl w:val="1"/>
          <w:numId w:val="79"/>
        </w:numPr>
        <w:rPr>
          <w:lang w:val="en-AU"/>
        </w:rPr>
      </w:pPr>
      <w:r w:rsidRPr="006B03FF">
        <w:rPr>
          <w:lang w:val="en-AU"/>
        </w:rPr>
        <w:t>In furthering subsection (1)(a), regard must be had to the principle that workers and other persons should be given the highest level of protection against harm to their health, safety and welfare from hazards and risks arising from work [or from specified types of substances or plant] as is reasonably practicable.  </w:t>
      </w:r>
    </w:p>
    <w:p w:rsidR="007B7AA4" w:rsidRDefault="007B7AA4" w:rsidP="007B7AA4">
      <w:pPr>
        <w:rPr>
          <w:rFonts w:eastAsia="Times New Roman" w:cs="Times New Roman"/>
          <w:color w:val="000000" w:themeColor="text1"/>
          <w:lang w:val="en-AU"/>
        </w:rPr>
      </w:pPr>
      <w:r>
        <w:rPr>
          <w:lang w:val="en-AU"/>
        </w:rPr>
        <w:br w:type="page"/>
      </w:r>
    </w:p>
    <w:p w:rsidR="007B7AA4" w:rsidRPr="00F00C9B" w:rsidRDefault="007B7AA4" w:rsidP="007B7AA4">
      <w:pPr>
        <w:pStyle w:val="2018ReviewWhiteHeading"/>
        <w:spacing w:before="0"/>
        <w:ind w:left="0" w:firstLine="0"/>
      </w:pPr>
      <w:bookmarkStart w:id="393" w:name="_Toc506794214"/>
      <w:r>
        <w:lastRenderedPageBreak/>
        <w:t>Appendix C</w:t>
      </w:r>
      <w:r w:rsidR="002D64EE">
        <w:tab/>
      </w:r>
      <w:r>
        <w:t>Key terms</w:t>
      </w:r>
      <w:bookmarkEnd w:id="393"/>
    </w:p>
    <w:tbl>
      <w:tblPr>
        <w:tblStyle w:val="TableGrid"/>
        <w:tblW w:w="0" w:type="auto"/>
        <w:tblLook w:val="04A0" w:firstRow="1" w:lastRow="0" w:firstColumn="1" w:lastColumn="0" w:noHBand="0" w:noVBand="1"/>
        <w:tblCaption w:val="Appendix C Key terms"/>
        <w:tblDescription w:val="This is a table of key terms and definitions used throughout the discussion paper. "/>
      </w:tblPr>
      <w:tblGrid>
        <w:gridCol w:w="2882"/>
        <w:gridCol w:w="6128"/>
      </w:tblGrid>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2008 National </w:t>
            </w:r>
            <w:r w:rsidR="005828E0">
              <w:rPr>
                <w:rFonts w:cs="MyriadPro-Bold"/>
                <w:b/>
                <w:bCs/>
                <w:szCs w:val="20"/>
              </w:rPr>
              <w:t>r</w:t>
            </w:r>
            <w:r w:rsidRPr="00014236">
              <w:rPr>
                <w:rFonts w:cs="MyriadPro-Bold"/>
                <w:b/>
                <w:bCs/>
                <w:szCs w:val="20"/>
              </w:rPr>
              <w:t>eview</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84395A">
              <w:rPr>
                <w:rFonts w:cs="MyriadPro-Bold"/>
                <w:bCs/>
                <w:i/>
                <w:szCs w:val="20"/>
              </w:rPr>
              <w:t>National Review into Model Occupational Health and Safety Laws</w:t>
            </w:r>
            <w:r w:rsidRPr="00014236">
              <w:rPr>
                <w:rFonts w:cs="MyriadPro-Bold"/>
                <w:bCs/>
                <w:szCs w:val="20"/>
              </w:rPr>
              <w:t>.</w:t>
            </w:r>
            <w:r w:rsidR="0084095F">
              <w:rPr>
                <w:rFonts w:cs="MyriadPro-Bold"/>
                <w:bCs/>
                <w:szCs w:val="20"/>
              </w:rPr>
              <w:t xml:space="preserve"> </w:t>
            </w:r>
            <w:r w:rsidRPr="00014236">
              <w:rPr>
                <w:rFonts w:cs="MyriadPro-Bold"/>
                <w:bCs/>
                <w:szCs w:val="20"/>
              </w:rPr>
              <w:t>First Report released in October 2008; Second Report released in January 2009.</w:t>
            </w:r>
          </w:p>
        </w:tc>
      </w:tr>
      <w:tr w:rsidR="005828E0" w:rsidRPr="00014236" w:rsidTr="00866B4B">
        <w:tc>
          <w:tcPr>
            <w:tcW w:w="2882" w:type="dxa"/>
            <w:vAlign w:val="center"/>
          </w:tcPr>
          <w:p w:rsidR="005828E0" w:rsidRPr="00014236" w:rsidRDefault="005828E0" w:rsidP="00B74D4C">
            <w:pPr>
              <w:autoSpaceDE w:val="0"/>
              <w:autoSpaceDN w:val="0"/>
              <w:adjustRightInd w:val="0"/>
              <w:spacing w:beforeLines="40" w:before="96" w:afterLines="40" w:after="96"/>
              <w:rPr>
                <w:rFonts w:cs="MyriadPro-Bold"/>
                <w:b/>
                <w:bCs/>
                <w:szCs w:val="20"/>
              </w:rPr>
            </w:pPr>
            <w:r>
              <w:rPr>
                <w:rFonts w:cs="MyriadPro-Bold"/>
                <w:b/>
                <w:bCs/>
                <w:szCs w:val="20"/>
              </w:rPr>
              <w:t>2014 COAG r</w:t>
            </w:r>
            <w:r w:rsidRPr="00014236">
              <w:rPr>
                <w:rFonts w:cs="MyriadPro-Bold"/>
                <w:b/>
                <w:bCs/>
                <w:szCs w:val="20"/>
              </w:rPr>
              <w:t>eview</w:t>
            </w:r>
          </w:p>
        </w:tc>
        <w:tc>
          <w:tcPr>
            <w:tcW w:w="6128" w:type="dxa"/>
            <w:vAlign w:val="center"/>
          </w:tcPr>
          <w:p w:rsidR="005828E0" w:rsidRPr="00014236" w:rsidRDefault="00C51F84" w:rsidP="00B74D4C">
            <w:pPr>
              <w:autoSpaceDE w:val="0"/>
              <w:autoSpaceDN w:val="0"/>
              <w:adjustRightInd w:val="0"/>
              <w:spacing w:beforeLines="40" w:before="96" w:afterLines="40" w:after="96"/>
              <w:rPr>
                <w:rFonts w:cs="MyriadPro-Bold"/>
                <w:bCs/>
                <w:szCs w:val="20"/>
              </w:rPr>
            </w:pPr>
            <w:r w:rsidRPr="00C51F84">
              <w:rPr>
                <w:rFonts w:cs="MyriadPro-Bold"/>
                <w:bCs/>
                <w:i/>
                <w:szCs w:val="20"/>
              </w:rPr>
              <w:t>Review of the model Work Health and Safety laws</w:t>
            </w:r>
            <w:r w:rsidR="005828E0" w:rsidRPr="00A01A15">
              <w:rPr>
                <w:rStyle w:val="Hyperlink"/>
                <w:rFonts w:cs="MyriadPro-Bold"/>
                <w:bCs/>
                <w:i/>
                <w:szCs w:val="20"/>
              </w:rPr>
              <w:t>: Improving the model WHS laws</w:t>
            </w:r>
            <w:r w:rsidR="005828E0" w:rsidRPr="00014236">
              <w:rPr>
                <w:rStyle w:val="Hyperlink"/>
                <w:rFonts w:cs="MyriadPro-Bold"/>
                <w:bCs/>
                <w:szCs w:val="20"/>
              </w:rPr>
              <w:t xml:space="preserve"> (2014)</w:t>
            </w:r>
            <w:r w:rsidR="00EA36DC">
              <w:rPr>
                <w:rStyle w:val="Hyperlink"/>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ABS</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Australian Bureau of Statistics</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ACT</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Australian Capital Territory</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ACT </w:t>
            </w:r>
            <w:proofErr w:type="spellStart"/>
            <w:r w:rsidRPr="00014236">
              <w:rPr>
                <w:rFonts w:cs="MyriadPro-Bold"/>
                <w:b/>
                <w:bCs/>
                <w:szCs w:val="20"/>
              </w:rPr>
              <w:t>Act</w:t>
            </w:r>
            <w:proofErr w:type="spellEnd"/>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i/>
                <w:szCs w:val="20"/>
              </w:rPr>
              <w:t>Work Health and Safety Act 2011</w:t>
            </w:r>
            <w:r w:rsidRPr="00014236">
              <w:rPr>
                <w:rFonts w:cs="MyriadPro-Bold"/>
                <w:bCs/>
                <w:szCs w:val="20"/>
              </w:rPr>
              <w:t xml:space="preserve"> (ACT)</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COAG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Council of Australian Governments</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Codes</w:t>
            </w:r>
          </w:p>
        </w:tc>
        <w:tc>
          <w:tcPr>
            <w:tcW w:w="6128" w:type="dxa"/>
            <w:vAlign w:val="center"/>
          </w:tcPr>
          <w:p w:rsidR="007B7AA4" w:rsidRPr="00014236" w:rsidRDefault="00B3513F" w:rsidP="00A2423C">
            <w:pPr>
              <w:autoSpaceDE w:val="0"/>
              <w:autoSpaceDN w:val="0"/>
              <w:adjustRightInd w:val="0"/>
              <w:spacing w:beforeLines="40" w:before="96" w:afterLines="40" w:after="96"/>
              <w:rPr>
                <w:rFonts w:cs="MyriadPro-Bold"/>
                <w:bCs/>
                <w:szCs w:val="20"/>
              </w:rPr>
            </w:pPr>
            <w:hyperlink r:id="rId31" w:history="1">
              <w:r w:rsidR="007B7AA4" w:rsidRPr="00014236">
                <w:rPr>
                  <w:rFonts w:cs="MyriadPro-Bold"/>
                  <w:bCs/>
                  <w:szCs w:val="20"/>
                </w:rPr>
                <w:t>Codes of practice</w:t>
              </w:r>
            </w:hyperlink>
            <w:r w:rsidR="007B7AA4" w:rsidRPr="00014236">
              <w:rPr>
                <w:rFonts w:cs="MyriadPro-Bold"/>
                <w:bCs/>
                <w:szCs w:val="20"/>
              </w:rPr>
              <w:t>, which are</w:t>
            </w:r>
            <w:r w:rsidR="007B7AA4" w:rsidRPr="00014236">
              <w:rPr>
                <w:szCs w:val="20"/>
              </w:rPr>
              <w:t xml:space="preserve"> </w:t>
            </w:r>
            <w:r w:rsidR="007B7AA4" w:rsidRPr="00014236">
              <w:rPr>
                <w:rFonts w:cs="MyriadPro-Bold"/>
                <w:bCs/>
                <w:szCs w:val="20"/>
              </w:rPr>
              <w:t xml:space="preserve">practical guides to achieving the standards of health, safety and welfare required under the WHS Act and the WHS Regulations in a jurisdiction. Under the model WHS </w:t>
            </w:r>
            <w:r w:rsidR="0075335E">
              <w:rPr>
                <w:rFonts w:cs="MyriadPro-Bold"/>
                <w:bCs/>
                <w:szCs w:val="20"/>
              </w:rPr>
              <w:t>Act</w:t>
            </w:r>
            <w:r w:rsidR="007B7AA4" w:rsidRPr="00014236">
              <w:rPr>
                <w:rFonts w:cs="MyriadPro-Bold"/>
                <w:bCs/>
                <w:szCs w:val="20"/>
              </w:rPr>
              <w:t xml:space="preserve">, courts may regard a </w:t>
            </w:r>
            <w:r w:rsidR="008E4A2C">
              <w:rPr>
                <w:rFonts w:cs="MyriadPro-Bold"/>
                <w:bCs/>
                <w:szCs w:val="20"/>
              </w:rPr>
              <w:t>C</w:t>
            </w:r>
            <w:r w:rsidR="007B7AA4" w:rsidRPr="00014236">
              <w:rPr>
                <w:rFonts w:cs="MyriadPro-Bold"/>
                <w:bCs/>
                <w:szCs w:val="20"/>
              </w:rPr>
              <w:t xml:space="preserve">ode of </w:t>
            </w:r>
            <w:r w:rsidR="008E4A2C">
              <w:rPr>
                <w:rFonts w:cs="MyriadPro-Bold"/>
                <w:bCs/>
                <w:szCs w:val="20"/>
              </w:rPr>
              <w:t>P</w:t>
            </w:r>
            <w:r w:rsidR="007B7AA4" w:rsidRPr="00014236">
              <w:rPr>
                <w:rFonts w:cs="MyriadPro-Bold"/>
                <w:bCs/>
                <w:szCs w:val="20"/>
              </w:rPr>
              <w:t>ractice as evidence of what is known about a hazard</w:t>
            </w:r>
            <w:r w:rsidR="0075335E">
              <w:rPr>
                <w:rFonts w:cs="MyriadPro-Bold"/>
                <w:bCs/>
                <w:szCs w:val="20"/>
              </w:rPr>
              <w:t xml:space="preserve"> or risk, risk assessment or risk control (see s 275(3)(a))</w:t>
            </w:r>
            <w:r w:rsidR="007B7AA4" w:rsidRPr="00014236">
              <w:rPr>
                <w:rFonts w:cs="MyriadPro-Bold"/>
                <w:bCs/>
                <w:szCs w:val="20"/>
              </w:rPr>
              <w:t xml:space="preserve">, and may rely on the </w:t>
            </w:r>
            <w:r w:rsidR="008E4A2C">
              <w:rPr>
                <w:rFonts w:cs="MyriadPro-Bold"/>
                <w:bCs/>
                <w:szCs w:val="20"/>
              </w:rPr>
              <w:t>C</w:t>
            </w:r>
            <w:r w:rsidR="007B7AA4" w:rsidRPr="00014236">
              <w:rPr>
                <w:rFonts w:cs="MyriadPro-Bold"/>
                <w:bCs/>
                <w:szCs w:val="20"/>
              </w:rPr>
              <w:t xml:space="preserve">ode in determining what is reasonably practicable in the circumstances to which the </w:t>
            </w:r>
            <w:r w:rsidR="008E4A2C">
              <w:rPr>
                <w:rFonts w:cs="MyriadPro-Bold"/>
                <w:bCs/>
                <w:szCs w:val="20"/>
              </w:rPr>
              <w:t>C</w:t>
            </w:r>
            <w:r w:rsidR="007B7AA4" w:rsidRPr="00014236">
              <w:rPr>
                <w:rFonts w:cs="MyriadPro-Bold"/>
                <w:bCs/>
                <w:szCs w:val="20"/>
              </w:rPr>
              <w:t>ode relates</w:t>
            </w:r>
            <w:r w:rsidR="0075335E">
              <w:rPr>
                <w:rFonts w:cs="MyriadPro-Bold"/>
                <w:bCs/>
                <w:szCs w:val="20"/>
              </w:rPr>
              <w:t xml:space="preserve"> (see s</w:t>
            </w:r>
            <w:r w:rsidR="000A0CCC">
              <w:rPr>
                <w:rFonts w:cs="MyriadPro-Bold"/>
                <w:bCs/>
                <w:szCs w:val="20"/>
              </w:rPr>
              <w:t> </w:t>
            </w:r>
            <w:r w:rsidR="0075335E">
              <w:rPr>
                <w:rFonts w:cs="MyriadPro-Bold"/>
                <w:bCs/>
                <w:szCs w:val="20"/>
              </w:rPr>
              <w:t>275(3)(b))</w:t>
            </w:r>
            <w:r w:rsidR="007B7AA4" w:rsidRPr="00014236">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proofErr w:type="spellStart"/>
            <w:r w:rsidRPr="00014236">
              <w:rPr>
                <w:rFonts w:cs="MyriadPro-Bold"/>
                <w:b/>
                <w:bCs/>
                <w:szCs w:val="20"/>
              </w:rPr>
              <w:t>Cth</w:t>
            </w:r>
            <w:proofErr w:type="spellEnd"/>
            <w:r w:rsidRPr="00014236">
              <w:rPr>
                <w:rFonts w:cs="MyriadPro-Bold"/>
                <w:b/>
                <w:bCs/>
                <w:szCs w:val="20"/>
              </w:rPr>
              <w:t xml:space="preserve">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Commonwealth</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DPP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Director of Public Prosecutions</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Duty holder</w:t>
            </w:r>
          </w:p>
        </w:tc>
        <w:tc>
          <w:tcPr>
            <w:tcW w:w="6128" w:type="dxa"/>
            <w:vAlign w:val="center"/>
          </w:tcPr>
          <w:p w:rsidR="007B7AA4" w:rsidRPr="00014236" w:rsidRDefault="007B7AA4" w:rsidP="004B7984">
            <w:pPr>
              <w:autoSpaceDE w:val="0"/>
              <w:autoSpaceDN w:val="0"/>
              <w:adjustRightInd w:val="0"/>
              <w:spacing w:beforeLines="40" w:before="96" w:afterLines="40" w:after="96"/>
              <w:rPr>
                <w:rFonts w:cs="MyriadPro-Regular"/>
                <w:szCs w:val="20"/>
              </w:rPr>
            </w:pPr>
            <w:r w:rsidRPr="00014236">
              <w:rPr>
                <w:rFonts w:cs="MyriadPro-Regular"/>
                <w:szCs w:val="20"/>
              </w:rPr>
              <w:t xml:space="preserve">A duty holder refers to any person who </w:t>
            </w:r>
            <w:r w:rsidR="004B7984">
              <w:rPr>
                <w:rFonts w:cs="MyriadPro-Regular"/>
                <w:szCs w:val="20"/>
              </w:rPr>
              <w:t>has</w:t>
            </w:r>
            <w:r w:rsidRPr="00014236">
              <w:rPr>
                <w:rFonts w:cs="MyriadPro-Regular"/>
                <w:szCs w:val="20"/>
              </w:rPr>
              <w:t xml:space="preserve"> a </w:t>
            </w:r>
            <w:r w:rsidR="004B7984">
              <w:rPr>
                <w:rFonts w:cs="MyriadPro-Regular"/>
                <w:szCs w:val="20"/>
              </w:rPr>
              <w:t xml:space="preserve">WHS duty </w:t>
            </w:r>
            <w:r w:rsidRPr="00014236">
              <w:rPr>
                <w:rFonts w:cs="MyriadPro-Regular"/>
                <w:szCs w:val="20"/>
              </w:rPr>
              <w:t xml:space="preserve">under the model WHS Act including a PCBU, designer, manufacturer, importer, supplier, installer of products or plant used at work (upstream duty holders), an officer and workers. </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Frequency rate</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 xml:space="preserve">The number of claims expressed as a rate per hour worked. </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Hazard</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A situation or thing that has the potential to harm a person.</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HSC</w:t>
            </w:r>
          </w:p>
        </w:tc>
        <w:tc>
          <w:tcPr>
            <w:tcW w:w="6128" w:type="dxa"/>
            <w:vAlign w:val="center"/>
          </w:tcPr>
          <w:p w:rsidR="007B7AA4" w:rsidRPr="00014236" w:rsidRDefault="007B7AA4" w:rsidP="00A2423C">
            <w:pPr>
              <w:autoSpaceDE w:val="0"/>
              <w:autoSpaceDN w:val="0"/>
              <w:adjustRightInd w:val="0"/>
              <w:spacing w:beforeLines="40" w:before="96" w:afterLines="40" w:after="96"/>
              <w:rPr>
                <w:rFonts w:cs="MyriadPro-Bold"/>
                <w:bCs/>
                <w:szCs w:val="20"/>
              </w:rPr>
            </w:pPr>
            <w:r w:rsidRPr="00014236">
              <w:rPr>
                <w:rFonts w:cs="MyriadPro-Regular"/>
                <w:szCs w:val="20"/>
              </w:rPr>
              <w:t xml:space="preserve">Health and </w:t>
            </w:r>
            <w:r w:rsidR="008919A8">
              <w:rPr>
                <w:rFonts w:cs="MyriadPro-Regular"/>
                <w:szCs w:val="20"/>
              </w:rPr>
              <w:t>S</w:t>
            </w:r>
            <w:r w:rsidRPr="00014236">
              <w:rPr>
                <w:rFonts w:cs="MyriadPro-Regular"/>
                <w:szCs w:val="20"/>
              </w:rPr>
              <w:t xml:space="preserve">afety </w:t>
            </w:r>
            <w:r w:rsidR="008919A8">
              <w:rPr>
                <w:rFonts w:cs="MyriadPro-Regular"/>
                <w:szCs w:val="20"/>
              </w:rPr>
              <w:t>C</w:t>
            </w:r>
            <w:r w:rsidRPr="00014236">
              <w:rPr>
                <w:rFonts w:cs="MyriadPro-Regular"/>
                <w:szCs w:val="20"/>
              </w:rPr>
              <w:t>ommittee, which is a</w:t>
            </w:r>
            <w:r w:rsidRPr="00014236">
              <w:rPr>
                <w:rFonts w:cs="MyriadPro-Bold"/>
                <w:bCs/>
                <w:szCs w:val="20"/>
              </w:rPr>
              <w:t xml:space="preserve"> consultative body established under the model WHS Act. The committee's functions include facilitating co-operation between workers and the person conducting a business or undertaking to ensure worker's health and safety at work, and assisting to develop work health and safety standards, rules and procedures for the workplace</w:t>
            </w:r>
            <w:r w:rsidR="004F369E">
              <w:rPr>
                <w:rFonts w:cs="MyriadPro-Bold"/>
                <w:bCs/>
                <w:szCs w:val="20"/>
              </w:rPr>
              <w:t xml:space="preserve"> (</w:t>
            </w:r>
            <w:r w:rsidR="00141FA8">
              <w:rPr>
                <w:rFonts w:cs="MyriadPro-Bold"/>
                <w:bCs/>
                <w:szCs w:val="20"/>
              </w:rPr>
              <w:t xml:space="preserve">HSC functions are outlined in </w:t>
            </w:r>
            <w:r w:rsidR="004F369E">
              <w:rPr>
                <w:rFonts w:cs="MyriadPro-Bold"/>
                <w:bCs/>
                <w:szCs w:val="20"/>
              </w:rPr>
              <w:t>s 77 of the model WHS Act)</w:t>
            </w:r>
            <w:r w:rsidRPr="00014236">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HSR</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Health and safety representative, which is a worker who has been elected by a work group under the model WHS Act to represent them on health and safety issues.</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iCs/>
                <w:szCs w:val="20"/>
              </w:rPr>
            </w:pPr>
            <w:r w:rsidRPr="00014236">
              <w:rPr>
                <w:b/>
                <w:iCs/>
                <w:szCs w:val="20"/>
              </w:rPr>
              <w:t>IGA</w:t>
            </w:r>
            <w:r w:rsidRPr="00014236">
              <w:rPr>
                <w:iCs/>
                <w:szCs w:val="20"/>
              </w:rPr>
              <w:t xml:space="preserve"> </w:t>
            </w:r>
          </w:p>
        </w:tc>
        <w:tc>
          <w:tcPr>
            <w:tcW w:w="6128" w:type="dxa"/>
            <w:vAlign w:val="center"/>
          </w:tcPr>
          <w:p w:rsidR="007B7AA4" w:rsidRPr="00014236" w:rsidRDefault="007B7AA4" w:rsidP="00B74D4C">
            <w:pPr>
              <w:autoSpaceDE w:val="0"/>
              <w:autoSpaceDN w:val="0"/>
              <w:adjustRightInd w:val="0"/>
              <w:spacing w:beforeLines="40" w:before="96" w:afterLines="40" w:after="96"/>
              <w:rPr>
                <w:i/>
                <w:iCs/>
                <w:szCs w:val="20"/>
              </w:rPr>
            </w:pPr>
            <w:r w:rsidRPr="00014236">
              <w:rPr>
                <w:i/>
                <w:iCs/>
                <w:szCs w:val="20"/>
              </w:rPr>
              <w:t>Intergovernmental Agreement for Regulatory and Operational Reform in Occupational Health and Safety</w:t>
            </w:r>
            <w:r w:rsidR="00EA36DC">
              <w:rPr>
                <w:i/>
                <w:i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Model WHS Act</w:t>
            </w:r>
          </w:p>
        </w:tc>
        <w:tc>
          <w:tcPr>
            <w:tcW w:w="6128" w:type="dxa"/>
            <w:vAlign w:val="center"/>
          </w:tcPr>
          <w:p w:rsidR="007B7AA4" w:rsidRPr="00014236" w:rsidRDefault="007B7AA4" w:rsidP="00142683">
            <w:pPr>
              <w:autoSpaceDE w:val="0"/>
              <w:autoSpaceDN w:val="0"/>
              <w:adjustRightInd w:val="0"/>
              <w:spacing w:beforeLines="40" w:before="96" w:afterLines="40" w:after="96"/>
              <w:rPr>
                <w:rFonts w:cs="MyriadPro-Bold"/>
                <w:bCs/>
                <w:szCs w:val="20"/>
              </w:rPr>
            </w:pPr>
            <w:r w:rsidRPr="00014236">
              <w:rPr>
                <w:rFonts w:cs="MyriadPro-Bold"/>
                <w:bCs/>
                <w:szCs w:val="20"/>
              </w:rPr>
              <w:t xml:space="preserve">The model WHS Act </w:t>
            </w:r>
            <w:r w:rsidR="00142683">
              <w:rPr>
                <w:rFonts w:cs="MyriadPro-Bold"/>
                <w:bCs/>
                <w:szCs w:val="20"/>
              </w:rPr>
              <w:t>refer</w:t>
            </w:r>
            <w:r w:rsidR="00FA4CB6">
              <w:rPr>
                <w:rFonts w:cs="MyriadPro-Bold"/>
                <w:bCs/>
                <w:szCs w:val="20"/>
              </w:rPr>
              <w:t>s</w:t>
            </w:r>
            <w:r w:rsidR="00142683">
              <w:rPr>
                <w:rFonts w:cs="MyriadPro-Bold"/>
                <w:bCs/>
                <w:szCs w:val="20"/>
              </w:rPr>
              <w:t xml:space="preserve"> to the </w:t>
            </w:r>
            <w:r w:rsidR="00142683" w:rsidRPr="00014236">
              <w:rPr>
                <w:rFonts w:cs="MyriadPro-Bold"/>
                <w:bCs/>
                <w:i/>
                <w:szCs w:val="20"/>
              </w:rPr>
              <w:t>Model Work Health and Safety Bill 2016</w:t>
            </w:r>
            <w:r w:rsidR="00142683">
              <w:rPr>
                <w:rFonts w:cs="MyriadPro-Bold"/>
                <w:bCs/>
                <w:szCs w:val="20"/>
              </w:rPr>
              <w:t xml:space="preserve">. It </w:t>
            </w:r>
            <w:r w:rsidRPr="00014236">
              <w:rPr>
                <w:rFonts w:cs="MyriadPro-Bold"/>
                <w:bCs/>
                <w:szCs w:val="20"/>
              </w:rPr>
              <w:t>forms the basis of the WHS Acts that have been implemented in most jurisdictions across Australia.</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Model WHS laws</w:t>
            </w:r>
          </w:p>
        </w:tc>
        <w:tc>
          <w:tcPr>
            <w:tcW w:w="6128" w:type="dxa"/>
            <w:vAlign w:val="center"/>
          </w:tcPr>
          <w:p w:rsidR="007B7AA4" w:rsidRPr="00014236" w:rsidRDefault="007B7AA4" w:rsidP="00146514">
            <w:pPr>
              <w:autoSpaceDE w:val="0"/>
              <w:autoSpaceDN w:val="0"/>
              <w:adjustRightInd w:val="0"/>
              <w:spacing w:beforeLines="40" w:before="96" w:afterLines="40" w:after="96"/>
              <w:rPr>
                <w:rFonts w:cs="MyriadPro-Bold"/>
                <w:b/>
                <w:bCs/>
                <w:szCs w:val="20"/>
              </w:rPr>
            </w:pPr>
            <w:r w:rsidRPr="00014236">
              <w:rPr>
                <w:rFonts w:cs="MyriadPro-Bold"/>
                <w:bCs/>
                <w:szCs w:val="20"/>
              </w:rPr>
              <w:t>Model Work Health and Safety laws</w:t>
            </w:r>
            <w:r w:rsidR="00EA36DC">
              <w:rPr>
                <w:rFonts w:cs="MyriadPro-Bold"/>
                <w:bCs/>
                <w:szCs w:val="20"/>
              </w:rPr>
              <w:t>.</w:t>
            </w:r>
            <w:r w:rsidR="00A2423C">
              <w:rPr>
                <w:rFonts w:cs="MyriadPro-Bold"/>
                <w:bCs/>
                <w:szCs w:val="20"/>
              </w:rPr>
              <w:t xml:space="preserve"> </w:t>
            </w:r>
            <w:r w:rsidRPr="00014236">
              <w:rPr>
                <w:rFonts w:cs="MyriadPro-Bold"/>
                <w:bCs/>
                <w:szCs w:val="20"/>
              </w:rPr>
              <w:t>Comprised of the model WHS Act, model WHS Regulations, model Codes of Practice and the</w:t>
            </w:r>
            <w:r w:rsidRPr="00014236">
              <w:rPr>
                <w:rFonts w:cs="MyriadPro-Bold"/>
                <w:bCs/>
                <w:i/>
                <w:szCs w:val="20"/>
              </w:rPr>
              <w:t xml:space="preserve"> National compliance and enforcement policy</w:t>
            </w:r>
            <w:r w:rsidR="00EA36DC">
              <w:rPr>
                <w:rFonts w:cs="MyriadPro-Bold"/>
                <w:bCs/>
                <w:i/>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lastRenderedPageBreak/>
              <w:t>Model WHS Regulations</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i/>
                <w:szCs w:val="20"/>
              </w:rPr>
            </w:pPr>
            <w:r w:rsidRPr="00014236">
              <w:rPr>
                <w:rFonts w:cs="MyriadPro-Bold"/>
                <w:bCs/>
                <w:i/>
                <w:szCs w:val="20"/>
              </w:rPr>
              <w:t>Model</w:t>
            </w:r>
            <w:r w:rsidRPr="00014236">
              <w:rPr>
                <w:rFonts w:cs="MyriadPro-Bold"/>
                <w:b/>
                <w:bCs/>
                <w:i/>
                <w:szCs w:val="20"/>
              </w:rPr>
              <w:t xml:space="preserve"> </w:t>
            </w:r>
            <w:r w:rsidRPr="00014236">
              <w:rPr>
                <w:rFonts w:cs="MyriadPro-Bold"/>
                <w:bCs/>
                <w:i/>
                <w:szCs w:val="20"/>
              </w:rPr>
              <w:t>Work Health and Safety Regulations 2016</w:t>
            </w:r>
            <w:r w:rsidR="00EA36DC">
              <w:rPr>
                <w:rFonts w:cs="MyriadPro-Bold"/>
                <w:bCs/>
                <w:i/>
                <w:szCs w:val="20"/>
              </w:rPr>
              <w:t>.</w:t>
            </w:r>
          </w:p>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The model WHS Regulations set out detailed requirements to support the duties in the model WHS Act.</w:t>
            </w:r>
          </w:p>
        </w:tc>
      </w:tr>
      <w:tr w:rsidR="007B7AA4" w:rsidRPr="00014236" w:rsidTr="00866B4B">
        <w:tc>
          <w:tcPr>
            <w:tcW w:w="2882" w:type="dxa"/>
            <w:vAlign w:val="center"/>
          </w:tcPr>
          <w:p w:rsidR="007B7AA4" w:rsidRPr="00014236" w:rsidRDefault="007B7AA4" w:rsidP="008E4A2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Model </w:t>
            </w:r>
            <w:r w:rsidR="008E4A2C">
              <w:rPr>
                <w:rFonts w:cs="MyriadPro-Bold"/>
                <w:b/>
                <w:bCs/>
                <w:szCs w:val="20"/>
              </w:rPr>
              <w:t>C</w:t>
            </w:r>
            <w:r w:rsidRPr="00014236">
              <w:rPr>
                <w:rFonts w:cs="MyriadPro-Bold"/>
                <w:b/>
                <w:bCs/>
                <w:szCs w:val="20"/>
              </w:rPr>
              <w:t>odes</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Cs/>
                <w:szCs w:val="20"/>
              </w:rPr>
              <w:t>Model</w:t>
            </w:r>
            <w:r w:rsidRPr="00014236">
              <w:rPr>
                <w:rFonts w:cs="MyriadPro-Bold"/>
                <w:b/>
                <w:bCs/>
                <w:szCs w:val="20"/>
              </w:rPr>
              <w:t xml:space="preserve"> </w:t>
            </w:r>
            <w:r w:rsidRPr="00014236">
              <w:rPr>
                <w:rFonts w:cs="MyriadPro-Bold"/>
                <w:bCs/>
                <w:szCs w:val="20"/>
              </w:rPr>
              <w:t>Codes of Practice (also see ‘Codes’)</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b/>
                <w:szCs w:val="20"/>
              </w:rPr>
            </w:pPr>
            <w:r w:rsidRPr="00014236">
              <w:rPr>
                <w:b/>
                <w:szCs w:val="20"/>
              </w:rPr>
              <w:t>National Codes</w:t>
            </w:r>
          </w:p>
        </w:tc>
        <w:tc>
          <w:tcPr>
            <w:tcW w:w="6128" w:type="dxa"/>
            <w:vAlign w:val="center"/>
          </w:tcPr>
          <w:p w:rsidR="007B7AA4" w:rsidRPr="00014236" w:rsidRDefault="007B7AA4" w:rsidP="00B74D4C">
            <w:pPr>
              <w:autoSpaceDE w:val="0"/>
              <w:autoSpaceDN w:val="0"/>
              <w:adjustRightInd w:val="0"/>
              <w:spacing w:beforeLines="40" w:before="96" w:afterLines="40" w:after="96"/>
              <w:rPr>
                <w:szCs w:val="20"/>
              </w:rPr>
            </w:pPr>
            <w:r w:rsidRPr="00014236">
              <w:rPr>
                <w:szCs w:val="20"/>
              </w:rPr>
              <w:t>National Codes of Practice, which preceded harmonisation of WHS laws</w:t>
            </w:r>
            <w:r w:rsidR="00EA36DC">
              <w:rP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b/>
                <w:szCs w:val="20"/>
              </w:rPr>
            </w:pPr>
            <w:r w:rsidRPr="00014236">
              <w:rPr>
                <w:b/>
                <w:szCs w:val="20"/>
              </w:rPr>
              <w:t>National Standards</w:t>
            </w:r>
          </w:p>
        </w:tc>
        <w:tc>
          <w:tcPr>
            <w:tcW w:w="6128" w:type="dxa"/>
            <w:vAlign w:val="center"/>
          </w:tcPr>
          <w:p w:rsidR="007B7AA4" w:rsidRPr="00014236" w:rsidRDefault="007B7AA4" w:rsidP="00B74D4C">
            <w:pPr>
              <w:autoSpaceDE w:val="0"/>
              <w:autoSpaceDN w:val="0"/>
              <w:adjustRightInd w:val="0"/>
              <w:spacing w:beforeLines="40" w:before="96" w:afterLines="40" w:after="96"/>
              <w:rPr>
                <w:szCs w:val="20"/>
              </w:rPr>
            </w:pPr>
            <w:r w:rsidRPr="00014236">
              <w:rPr>
                <w:szCs w:val="20"/>
              </w:rPr>
              <w:t>National occupational health and safety standards which preceded harmonisation of WHS laws</w:t>
            </w:r>
            <w:r w:rsidR="00EA36DC">
              <w:rP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Notifiable incident</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Cs/>
                <w:szCs w:val="20"/>
              </w:rPr>
              <w:t>An incident that is required, under the model WHS Act, to be notified to regulators. Includes incidents involving the death of a person, ‘serious injury or illness’ (defined at</w:t>
            </w:r>
            <w:r w:rsidR="00CD1FA8">
              <w:rPr>
                <w:rFonts w:cs="MyriadPro-Bold"/>
                <w:bCs/>
                <w:szCs w:val="20"/>
              </w:rPr>
              <w:t xml:space="preserve"> s </w:t>
            </w:r>
            <w:r w:rsidRPr="00014236">
              <w:rPr>
                <w:rFonts w:cs="MyriadPro-Bold"/>
                <w:bCs/>
                <w:szCs w:val="20"/>
              </w:rPr>
              <w:t>36 of the model WHS Act) of a person or a ‘dangerous incident’ (defined at</w:t>
            </w:r>
            <w:r w:rsidR="00CD1FA8">
              <w:rPr>
                <w:rFonts w:cs="MyriadPro-Bold"/>
                <w:bCs/>
                <w:szCs w:val="20"/>
              </w:rPr>
              <w:t xml:space="preserve"> s </w:t>
            </w:r>
            <w:r w:rsidRPr="00014236">
              <w:rPr>
                <w:rFonts w:cs="MyriadPro-Bold"/>
                <w:bCs/>
                <w:szCs w:val="20"/>
              </w:rPr>
              <w:t>36 of the model WHS Act).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NCEP</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Cs/>
                <w:szCs w:val="20"/>
              </w:rPr>
              <w:t>National compliance and enforcement policy</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NSW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New South Wales</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NSW Act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Bold"/>
                <w:bCs/>
                <w:i/>
                <w:szCs w:val="20"/>
              </w:rPr>
              <w:t xml:space="preserve">Work Health and Safety Act 2011 </w:t>
            </w:r>
            <w:r w:rsidRPr="00014236">
              <w:rPr>
                <w:rFonts w:cs="MyriadPro-Bold"/>
                <w:bCs/>
                <w:szCs w:val="20"/>
              </w:rPr>
              <w:t>(NSW)</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N</w:t>
            </w:r>
            <w:r>
              <w:rPr>
                <w:rFonts w:cs="MyriadPro-Bold"/>
                <w:b/>
                <w:bCs/>
                <w:szCs w:val="20"/>
              </w:rPr>
              <w:t>ew South Wales r</w:t>
            </w:r>
            <w:r w:rsidRPr="00014236">
              <w:rPr>
                <w:rFonts w:cs="MyriadPro-Bold"/>
                <w:b/>
                <w:bCs/>
                <w:szCs w:val="20"/>
              </w:rPr>
              <w:t xml:space="preserve">eview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szCs w:val="20"/>
                <w:lang w:val="en"/>
              </w:rPr>
              <w:t>Work Health and Safety Act 2011 Statutory Review</w:t>
            </w:r>
            <w:r w:rsidR="00EA36DC">
              <w:rPr>
                <w:szCs w:val="20"/>
                <w:lang w:val="en"/>
              </w:rPr>
              <w:t>.</w:t>
            </w:r>
            <w:r w:rsidRPr="00014236">
              <w:rPr>
                <w:szCs w:val="20"/>
                <w:lang w:val="en"/>
              </w:rPr>
              <w:t xml:space="preserve"> </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NT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Northern Territory</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NT Act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Bold"/>
                <w:bCs/>
                <w:i/>
                <w:szCs w:val="20"/>
              </w:rPr>
              <w:t xml:space="preserve">Work Health and Safety (National Uniform Legislation) Act 2011 </w:t>
            </w:r>
            <w:r w:rsidRPr="00014236">
              <w:rPr>
                <w:rFonts w:cs="MyriadPro-Bold"/>
                <w:bCs/>
                <w:szCs w:val="20"/>
              </w:rPr>
              <w:t>(NT)</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Officer</w:t>
            </w:r>
          </w:p>
        </w:tc>
        <w:tc>
          <w:tcPr>
            <w:tcW w:w="6128" w:type="dxa"/>
            <w:vAlign w:val="center"/>
          </w:tcPr>
          <w:p w:rsidR="007B7AA4" w:rsidRPr="00014236" w:rsidRDefault="007B7AA4" w:rsidP="00A2423C">
            <w:pPr>
              <w:autoSpaceDE w:val="0"/>
              <w:autoSpaceDN w:val="0"/>
              <w:adjustRightInd w:val="0"/>
              <w:spacing w:beforeLines="40" w:before="96" w:afterLines="40" w:after="96"/>
              <w:rPr>
                <w:rFonts w:cs="MyriadPro-Regular"/>
                <w:szCs w:val="20"/>
              </w:rPr>
            </w:pPr>
            <w:r w:rsidRPr="00014236">
              <w:rPr>
                <w:rFonts w:cs="MyriadPro-Regular"/>
                <w:szCs w:val="20"/>
              </w:rPr>
              <w:t xml:space="preserve">An officer within the meaning of section 9 of the </w:t>
            </w:r>
            <w:r w:rsidRPr="00014236">
              <w:rPr>
                <w:rFonts w:cs="MyriadPro-Regular"/>
                <w:i/>
                <w:szCs w:val="20"/>
              </w:rPr>
              <w:t xml:space="preserve">Corporations Act 2001 </w:t>
            </w:r>
            <w:r w:rsidRPr="00014236">
              <w:rPr>
                <w:rFonts w:cs="MyriadPro-Regular"/>
                <w:szCs w:val="20"/>
              </w:rPr>
              <w:t>(</w:t>
            </w:r>
            <w:proofErr w:type="spellStart"/>
            <w:r w:rsidRPr="00014236">
              <w:rPr>
                <w:rFonts w:cs="MyriadPro-Regular"/>
                <w:szCs w:val="20"/>
              </w:rPr>
              <w:t>Cth</w:t>
            </w:r>
            <w:proofErr w:type="spellEnd"/>
            <w:r w:rsidRPr="00014236">
              <w:rPr>
                <w:rFonts w:cs="MyriadPro-Regular"/>
                <w:szCs w:val="20"/>
              </w:rPr>
              <w:t>) is a person who makes, or participates in making, decisions that affect the whole, or a substantial part, of the organisation's activities</w:t>
            </w:r>
            <w:r w:rsidR="001D6FAE">
              <w:rPr>
                <w:rFonts w:cs="MyriadPro-Regular"/>
                <w:szCs w:val="20"/>
              </w:rPr>
              <w:t xml:space="preserve"> (</w:t>
            </w:r>
            <w:r w:rsidR="00B72E3F">
              <w:rPr>
                <w:rFonts w:cs="MyriadPro-Regular"/>
                <w:szCs w:val="20"/>
              </w:rPr>
              <w:t>defined at</w:t>
            </w:r>
            <w:r w:rsidR="001D6FAE">
              <w:rPr>
                <w:rFonts w:cs="MyriadPro-Regular"/>
                <w:szCs w:val="20"/>
              </w:rPr>
              <w:t xml:space="preserve"> s 4 of the model WHS Act)</w:t>
            </w:r>
            <w:r w:rsidRPr="00014236">
              <w:rPr>
                <w:rFonts w:cs="MyriadPro-Regular"/>
                <w:szCs w:val="20"/>
              </w:rPr>
              <w:t xml:space="preserve"> </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OHS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Occupational health and safety</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PCBU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 xml:space="preserve">Person </w:t>
            </w:r>
            <w:r w:rsidR="004B7984">
              <w:rPr>
                <w:rFonts w:cs="MyriadPro-Bold"/>
                <w:bCs/>
                <w:szCs w:val="20"/>
              </w:rPr>
              <w:t>c</w:t>
            </w:r>
            <w:r w:rsidRPr="00014236">
              <w:rPr>
                <w:rFonts w:cs="MyriadPro-Bold"/>
                <w:bCs/>
                <w:szCs w:val="20"/>
              </w:rPr>
              <w:t xml:space="preserve">onducting a </w:t>
            </w:r>
            <w:r w:rsidR="004B7984">
              <w:rPr>
                <w:rFonts w:cs="MyriadPro-Bold"/>
                <w:bCs/>
                <w:szCs w:val="20"/>
              </w:rPr>
              <w:t>b</w:t>
            </w:r>
            <w:r w:rsidRPr="00014236">
              <w:rPr>
                <w:rFonts w:cs="MyriadPro-Bold"/>
                <w:bCs/>
                <w:szCs w:val="20"/>
              </w:rPr>
              <w:t xml:space="preserve">usiness or </w:t>
            </w:r>
            <w:r w:rsidR="004B7984">
              <w:rPr>
                <w:rFonts w:cs="MyriadPro-Bold"/>
                <w:bCs/>
                <w:szCs w:val="20"/>
              </w:rPr>
              <w:t>u</w:t>
            </w:r>
            <w:r w:rsidRPr="00014236">
              <w:rPr>
                <w:rFonts w:cs="MyriadPro-Bold"/>
                <w:bCs/>
                <w:szCs w:val="20"/>
              </w:rPr>
              <w:t>ndertaking</w:t>
            </w:r>
            <w:r>
              <w:rPr>
                <w:rFonts w:cs="MyriadPro-Bold"/>
                <w:bCs/>
                <w:szCs w:val="20"/>
              </w:rPr>
              <w:t xml:space="preserve">. </w:t>
            </w:r>
            <w:r w:rsidRPr="00014236">
              <w:rPr>
                <w:rFonts w:cs="MyriadPro-Bold"/>
                <w:bCs/>
                <w:szCs w:val="20"/>
              </w:rPr>
              <w:t>A PCBU can be a: company; unincorporated body or association; sole trader or self-employed person. Individuals who are in a partnership that is conducting a business will individually and collectively be a PCBU</w:t>
            </w:r>
            <w:r w:rsidR="00B72E3F">
              <w:rPr>
                <w:rFonts w:cs="MyriadPro-Bold"/>
                <w:bCs/>
                <w:szCs w:val="20"/>
              </w:rPr>
              <w:t xml:space="preserve"> (defined at s 5 of the model WHS Act)</w:t>
            </w:r>
            <w:r w:rsidRPr="00014236">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PIN</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Provisional improvement notice</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Plant</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Includes any machinery, equipment, appliance, container, implement or tool, and any component or anything fitted or connected to these things</w:t>
            </w:r>
            <w:r w:rsidR="005065F3">
              <w:rPr>
                <w:rFonts w:cs="MyriadPro-Bold"/>
                <w:bCs/>
                <w:szCs w:val="20"/>
              </w:rPr>
              <w:t xml:space="preserve"> (defined at s 4 of the model WHS Act)</w:t>
            </w:r>
            <w:r w:rsidRPr="00014236">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proofErr w:type="spellStart"/>
            <w:r w:rsidRPr="00014236">
              <w:rPr>
                <w:rFonts w:cs="MyriadPro-Bold"/>
                <w:b/>
                <w:bCs/>
                <w:szCs w:val="20"/>
              </w:rPr>
              <w:t>Qld</w:t>
            </w:r>
            <w:proofErr w:type="spellEnd"/>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Queensland</w:t>
            </w:r>
            <w:r w:rsidR="00EA36DC">
              <w:rPr>
                <w:rFonts w:cs="MyriadPro-Bold"/>
                <w:bCs/>
                <w:szCs w:val="20"/>
              </w:rPr>
              <w:t>.</w:t>
            </w:r>
          </w:p>
        </w:tc>
      </w:tr>
      <w:tr w:rsidR="007B7AA4" w:rsidRPr="00014236" w:rsidDel="00ED6585"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proofErr w:type="spellStart"/>
            <w:r w:rsidRPr="00014236">
              <w:rPr>
                <w:rFonts w:cs="MyriadPro-Bold"/>
                <w:b/>
                <w:bCs/>
                <w:szCs w:val="20"/>
              </w:rPr>
              <w:t>Qld</w:t>
            </w:r>
            <w:proofErr w:type="spellEnd"/>
            <w:r w:rsidRPr="00014236">
              <w:rPr>
                <w:rFonts w:cs="MyriadPro-Bold"/>
                <w:b/>
                <w:bCs/>
                <w:szCs w:val="20"/>
              </w:rPr>
              <w:t xml:space="preserve"> Act </w:t>
            </w:r>
          </w:p>
        </w:tc>
        <w:tc>
          <w:tcPr>
            <w:tcW w:w="6128" w:type="dxa"/>
            <w:vAlign w:val="center"/>
          </w:tcPr>
          <w:p w:rsidR="007B7AA4" w:rsidRPr="00014236" w:rsidDel="00ED6585" w:rsidRDefault="007B7AA4" w:rsidP="00B74D4C">
            <w:pPr>
              <w:autoSpaceDE w:val="0"/>
              <w:autoSpaceDN w:val="0"/>
              <w:adjustRightInd w:val="0"/>
              <w:spacing w:beforeLines="40" w:before="96" w:afterLines="40" w:after="96"/>
              <w:rPr>
                <w:rFonts w:cs="MyriadPro-Bold"/>
                <w:bCs/>
                <w:szCs w:val="20"/>
              </w:rPr>
            </w:pPr>
            <w:r w:rsidRPr="00014236">
              <w:rPr>
                <w:rFonts w:cs="MyriadPro-Bold"/>
                <w:bCs/>
                <w:i/>
                <w:szCs w:val="20"/>
              </w:rPr>
              <w:t xml:space="preserve">Work Health and Safety Act 2011 </w:t>
            </w:r>
            <w:r w:rsidRPr="00866B4B">
              <w:rPr>
                <w:rFonts w:cs="MyriadPro-Bold"/>
                <w:bCs/>
                <w:szCs w:val="20"/>
              </w:rPr>
              <w:t>(</w:t>
            </w:r>
            <w:proofErr w:type="spellStart"/>
            <w:r w:rsidRPr="00866B4B">
              <w:rPr>
                <w:rFonts w:cs="MyriadPro-Bold"/>
                <w:bCs/>
                <w:szCs w:val="20"/>
              </w:rPr>
              <w:t>Qld</w:t>
            </w:r>
            <w:proofErr w:type="spellEnd"/>
            <w:r w:rsidRPr="00866B4B">
              <w:rPr>
                <w:rFonts w:cs="MyriadPro-Bold"/>
                <w:bCs/>
                <w:szCs w:val="20"/>
              </w:rPr>
              <w:t>)</w:t>
            </w:r>
            <w:r w:rsidR="00EA36DC">
              <w:rPr>
                <w:rFonts w:cs="MyriadPro-Bold"/>
                <w:bCs/>
                <w:szCs w:val="20"/>
              </w:rPr>
              <w:t>.</w:t>
            </w:r>
          </w:p>
        </w:tc>
      </w:tr>
      <w:tr w:rsidR="007B7AA4" w:rsidRPr="00014236" w:rsidDel="00ED6585"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Q</w:t>
            </w:r>
            <w:r>
              <w:rPr>
                <w:rFonts w:cs="MyriadPro-Bold"/>
                <w:b/>
                <w:bCs/>
                <w:szCs w:val="20"/>
              </w:rPr>
              <w:t>ueensland r</w:t>
            </w:r>
            <w:r w:rsidRPr="00014236">
              <w:rPr>
                <w:rFonts w:cs="MyriadPro-Bold"/>
                <w:b/>
                <w:bCs/>
                <w:szCs w:val="20"/>
              </w:rPr>
              <w:t xml:space="preserve">eview </w:t>
            </w:r>
          </w:p>
        </w:tc>
        <w:tc>
          <w:tcPr>
            <w:tcW w:w="6128" w:type="dxa"/>
            <w:vAlign w:val="center"/>
          </w:tcPr>
          <w:p w:rsidR="007B7AA4" w:rsidRPr="00014236" w:rsidDel="00ED6585"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Best Practice Review of Workplace Health and Safety Queensland (2017)</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Review</w:t>
            </w:r>
          </w:p>
        </w:tc>
        <w:tc>
          <w:tcPr>
            <w:tcW w:w="6128" w:type="dxa"/>
            <w:vAlign w:val="center"/>
          </w:tcPr>
          <w:p w:rsidR="007B7AA4" w:rsidRPr="00014236" w:rsidRDefault="007B7AA4" w:rsidP="00EA36DC">
            <w:pPr>
              <w:autoSpaceDE w:val="0"/>
              <w:autoSpaceDN w:val="0"/>
              <w:adjustRightInd w:val="0"/>
              <w:spacing w:beforeLines="40" w:before="96" w:afterLines="40" w:after="96"/>
              <w:rPr>
                <w:rFonts w:cs="MyriadPro-Bold"/>
                <w:bCs/>
                <w:szCs w:val="20"/>
              </w:rPr>
            </w:pPr>
            <w:r w:rsidRPr="00014236">
              <w:rPr>
                <w:rFonts w:cs="MyriadPro-Bold"/>
                <w:bCs/>
                <w:szCs w:val="20"/>
              </w:rPr>
              <w:t xml:space="preserve">Review of the model </w:t>
            </w:r>
            <w:r w:rsidR="00EA36DC">
              <w:rPr>
                <w:rFonts w:cs="MyriadPro-Bold"/>
                <w:bCs/>
                <w:szCs w:val="20"/>
              </w:rPr>
              <w:t>WHS</w:t>
            </w:r>
            <w:r w:rsidR="00B72E3F">
              <w:rPr>
                <w:rFonts w:cs="MyriadPro-Bold"/>
                <w:bCs/>
                <w:szCs w:val="20"/>
              </w:rPr>
              <w:t xml:space="preserve"> </w:t>
            </w:r>
            <w:r w:rsidRPr="00014236">
              <w:rPr>
                <w:rFonts w:cs="MyriadPro-Bold"/>
                <w:bCs/>
                <w:szCs w:val="20"/>
              </w:rPr>
              <w:t>laws</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Regulator</w:t>
            </w:r>
          </w:p>
        </w:tc>
        <w:tc>
          <w:tcPr>
            <w:tcW w:w="6128" w:type="dxa"/>
            <w:vAlign w:val="center"/>
          </w:tcPr>
          <w:p w:rsidR="007B7AA4" w:rsidRPr="00014236" w:rsidRDefault="007B7AA4" w:rsidP="004B7984">
            <w:pPr>
              <w:autoSpaceDE w:val="0"/>
              <w:autoSpaceDN w:val="0"/>
              <w:adjustRightInd w:val="0"/>
              <w:spacing w:beforeLines="40" w:before="96" w:afterLines="40" w:after="96"/>
              <w:rPr>
                <w:rFonts w:cs="MyriadPro-Bold"/>
                <w:bCs/>
                <w:szCs w:val="20"/>
              </w:rPr>
            </w:pPr>
            <w:r w:rsidRPr="00014236">
              <w:rPr>
                <w:rFonts w:cs="MyriadPro-Bold"/>
                <w:bCs/>
                <w:szCs w:val="20"/>
              </w:rPr>
              <w:t xml:space="preserve">The relevant </w:t>
            </w:r>
            <w:r w:rsidR="004B7984">
              <w:rPr>
                <w:rFonts w:cs="MyriadPro-Bold"/>
                <w:bCs/>
                <w:szCs w:val="20"/>
              </w:rPr>
              <w:t>WHS</w:t>
            </w:r>
            <w:r w:rsidRPr="00014236">
              <w:rPr>
                <w:rFonts w:cs="MyriadPro-Bold"/>
                <w:bCs/>
                <w:szCs w:val="20"/>
              </w:rPr>
              <w:t xml:space="preserve"> regulator for each jurisdiction.</w:t>
            </w:r>
            <w:r w:rsidR="0084095F">
              <w:rPr>
                <w:rFonts w:cs="MyriadPro-Bold"/>
                <w:bCs/>
                <w:szCs w:val="20"/>
              </w:rPr>
              <w:t xml:space="preserve"> </w:t>
            </w:r>
            <w:r w:rsidRPr="00014236">
              <w:rPr>
                <w:rFonts w:cs="MyriadPro-Bold"/>
                <w:bCs/>
                <w:szCs w:val="20"/>
              </w:rPr>
              <w:t xml:space="preserve">The regulator manages compliance and enforcement of WHS laws and has enforcement and arbitration powers. The regulators are: Comcare </w:t>
            </w:r>
            <w:r w:rsidRPr="00014236">
              <w:rPr>
                <w:rFonts w:cs="MyriadPro-Bold"/>
                <w:bCs/>
                <w:szCs w:val="20"/>
              </w:rPr>
              <w:lastRenderedPageBreak/>
              <w:t>(</w:t>
            </w:r>
            <w:proofErr w:type="spellStart"/>
            <w:r w:rsidRPr="00014236">
              <w:rPr>
                <w:rFonts w:cs="MyriadPro-Bold"/>
                <w:bCs/>
                <w:szCs w:val="20"/>
              </w:rPr>
              <w:t>Cth</w:t>
            </w:r>
            <w:proofErr w:type="spellEnd"/>
            <w:r w:rsidRPr="00014236">
              <w:rPr>
                <w:rFonts w:cs="MyriadPro-Bold"/>
                <w:bCs/>
                <w:szCs w:val="20"/>
              </w:rPr>
              <w:t xml:space="preserve">), </w:t>
            </w:r>
            <w:proofErr w:type="spellStart"/>
            <w:r w:rsidRPr="00014236">
              <w:rPr>
                <w:rFonts w:cs="MyriadPro-Bold"/>
                <w:bCs/>
                <w:szCs w:val="20"/>
              </w:rPr>
              <w:t>WorkSafe</w:t>
            </w:r>
            <w:proofErr w:type="spellEnd"/>
            <w:r w:rsidRPr="00014236">
              <w:rPr>
                <w:rFonts w:cs="MyriadPro-Bold"/>
                <w:bCs/>
                <w:szCs w:val="20"/>
              </w:rPr>
              <w:t xml:space="preserve"> ACT, </w:t>
            </w:r>
            <w:proofErr w:type="spellStart"/>
            <w:r w:rsidRPr="00014236">
              <w:rPr>
                <w:rFonts w:cs="MyriadPro-Bold"/>
                <w:bCs/>
                <w:szCs w:val="20"/>
              </w:rPr>
              <w:t>SafeWork</w:t>
            </w:r>
            <w:proofErr w:type="spellEnd"/>
            <w:r w:rsidRPr="00014236">
              <w:rPr>
                <w:rFonts w:cs="MyriadPro-Bold"/>
                <w:bCs/>
                <w:szCs w:val="20"/>
              </w:rPr>
              <w:t xml:space="preserve"> NSW, NT </w:t>
            </w:r>
            <w:proofErr w:type="spellStart"/>
            <w:r w:rsidRPr="00014236">
              <w:rPr>
                <w:rFonts w:cs="MyriadPro-Bold"/>
                <w:bCs/>
                <w:szCs w:val="20"/>
              </w:rPr>
              <w:t>WorkSafe</w:t>
            </w:r>
            <w:proofErr w:type="spellEnd"/>
            <w:r w:rsidRPr="00014236">
              <w:rPr>
                <w:rFonts w:cs="MyriadPro-Bold"/>
                <w:bCs/>
                <w:szCs w:val="20"/>
              </w:rPr>
              <w:t xml:space="preserve">, Workplace Health and Safety Queensland, </w:t>
            </w:r>
            <w:proofErr w:type="spellStart"/>
            <w:r w:rsidRPr="00014236">
              <w:rPr>
                <w:rFonts w:cs="MyriadPro-Bold"/>
                <w:bCs/>
                <w:szCs w:val="20"/>
              </w:rPr>
              <w:t>SafeWork</w:t>
            </w:r>
            <w:proofErr w:type="spellEnd"/>
            <w:r w:rsidRPr="00014236">
              <w:rPr>
                <w:rFonts w:cs="MyriadPro-Bold"/>
                <w:bCs/>
                <w:szCs w:val="20"/>
              </w:rPr>
              <w:t xml:space="preserve"> SA, </w:t>
            </w:r>
            <w:proofErr w:type="spellStart"/>
            <w:r w:rsidRPr="00014236">
              <w:rPr>
                <w:rFonts w:cs="MyriadPro-Bold"/>
                <w:bCs/>
                <w:szCs w:val="20"/>
              </w:rPr>
              <w:t>WorkSafe</w:t>
            </w:r>
            <w:proofErr w:type="spellEnd"/>
            <w:r w:rsidRPr="00014236">
              <w:rPr>
                <w:rFonts w:cs="MyriadPro-Bold"/>
                <w:bCs/>
                <w:szCs w:val="20"/>
              </w:rPr>
              <w:t xml:space="preserve"> Tasmania, </w:t>
            </w:r>
            <w:proofErr w:type="spellStart"/>
            <w:r w:rsidRPr="00014236">
              <w:rPr>
                <w:rFonts w:cs="MyriadPro-Bold"/>
                <w:bCs/>
                <w:szCs w:val="20"/>
              </w:rPr>
              <w:t>WorkSafe</w:t>
            </w:r>
            <w:proofErr w:type="spellEnd"/>
            <w:r w:rsidRPr="00014236">
              <w:rPr>
                <w:rFonts w:cs="MyriadPro-Bold"/>
                <w:bCs/>
                <w:szCs w:val="20"/>
              </w:rPr>
              <w:t xml:space="preserve"> Victoria and </w:t>
            </w:r>
            <w:proofErr w:type="spellStart"/>
            <w:r w:rsidRPr="00014236">
              <w:rPr>
                <w:rFonts w:cs="MyriadPro-Bold"/>
                <w:bCs/>
                <w:szCs w:val="20"/>
              </w:rPr>
              <w:t>WorkSafe</w:t>
            </w:r>
            <w:proofErr w:type="spellEnd"/>
            <w:r w:rsidRPr="00014236">
              <w:rPr>
                <w:rFonts w:cs="MyriadPro-Bold"/>
                <w:bCs/>
                <w:szCs w:val="20"/>
              </w:rPr>
              <w:t xml:space="preserve"> WA.</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lastRenderedPageBreak/>
              <w:t>Relevant worker</w:t>
            </w:r>
          </w:p>
        </w:tc>
        <w:tc>
          <w:tcPr>
            <w:tcW w:w="6128" w:type="dxa"/>
            <w:vAlign w:val="center"/>
          </w:tcPr>
          <w:p w:rsidR="007B7AA4" w:rsidRPr="00014236" w:rsidRDefault="007B7AA4" w:rsidP="00FD4205">
            <w:pPr>
              <w:autoSpaceDE w:val="0"/>
              <w:autoSpaceDN w:val="0"/>
              <w:adjustRightInd w:val="0"/>
              <w:spacing w:beforeLines="40" w:before="96" w:afterLines="40" w:after="96"/>
              <w:rPr>
                <w:rFonts w:cs="MyriadPro-Bold"/>
                <w:bCs/>
                <w:szCs w:val="20"/>
              </w:rPr>
            </w:pPr>
            <w:r w:rsidRPr="00014236">
              <w:rPr>
                <w:rFonts w:cs="MyriadPro-Bold"/>
                <w:bCs/>
                <w:szCs w:val="20"/>
              </w:rPr>
              <w:t>A relevant worker is one who is entitled to be or is a member of the union that the permit holder represents, has industrial interests that the union is entitled to represent and works at the workplace concerned with the entry</w:t>
            </w:r>
            <w:r w:rsidR="005065F3">
              <w:rPr>
                <w:rFonts w:cs="MyriadPro-Bold"/>
                <w:bCs/>
                <w:szCs w:val="20"/>
              </w:rPr>
              <w:t xml:space="preserve"> (defined at s 116 of the model WHS Act)</w:t>
            </w:r>
            <w:r w:rsidRPr="00014236">
              <w:rPr>
                <w:rFonts w:cs="MyriadPro-Bold"/>
                <w:bCs/>
                <w:szCs w:val="20"/>
              </w:rPr>
              <w:t>.</w:t>
            </w:r>
            <w:r w:rsidR="0084095F">
              <w:rPr>
                <w:rFonts w:cs="MyriadPro-Bold"/>
                <w:bCs/>
                <w:szCs w:val="20"/>
              </w:rPr>
              <w:t xml:space="preserve"> </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Risk</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The possibility that harm (death, injury or illness) might occur when exposed to a hazard</w:t>
            </w:r>
            <w:r w:rsidR="004B7984">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proofErr w:type="spellStart"/>
            <w:r w:rsidRPr="00014236">
              <w:rPr>
                <w:rFonts w:cs="MyriadPro-Bold"/>
                <w:b/>
                <w:bCs/>
                <w:szCs w:val="20"/>
              </w:rPr>
              <w:t>Robens</w:t>
            </w:r>
            <w:proofErr w:type="spellEnd"/>
            <w:r w:rsidRPr="00014236">
              <w:rPr>
                <w:rFonts w:cs="MyriadPro-Bold"/>
                <w:b/>
                <w:bCs/>
                <w:szCs w:val="20"/>
              </w:rPr>
              <w:t xml:space="preserve"> model</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 xml:space="preserve">Lord </w:t>
            </w:r>
            <w:proofErr w:type="spellStart"/>
            <w:r w:rsidRPr="00014236">
              <w:rPr>
                <w:rFonts w:cs="MyriadPro-Bold"/>
                <w:bCs/>
                <w:szCs w:val="20"/>
              </w:rPr>
              <w:t>Robens</w:t>
            </w:r>
            <w:proofErr w:type="spellEnd"/>
            <w:r w:rsidRPr="00014236">
              <w:rPr>
                <w:rFonts w:cs="MyriadPro-Bold"/>
                <w:bCs/>
                <w:szCs w:val="20"/>
              </w:rPr>
              <w:t>’ Report of the Committee on Safety and Health at Work, HSMO, London, 1972</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SA</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South Australia</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SA Act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i/>
                <w:szCs w:val="20"/>
              </w:rPr>
              <w:t>Work Health and Safety Act 2012 (SA)</w:t>
            </w:r>
            <w:r w:rsidR="00EA36DC">
              <w:rPr>
                <w:rFonts w:cs="MyriadPro-Bold"/>
                <w:bCs/>
                <w:i/>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2014 </w:t>
            </w:r>
            <w:r>
              <w:rPr>
                <w:rFonts w:cs="MyriadPro-Bold"/>
                <w:b/>
                <w:bCs/>
                <w:szCs w:val="20"/>
              </w:rPr>
              <w:t>South Australian r</w:t>
            </w:r>
            <w:r w:rsidRPr="00014236">
              <w:rPr>
                <w:rFonts w:cs="MyriadPro-Bold"/>
                <w:b/>
                <w:bCs/>
                <w:szCs w:val="20"/>
              </w:rPr>
              <w:t xml:space="preserve">eview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 xml:space="preserve">Review of the Operation of the </w:t>
            </w:r>
            <w:r w:rsidRPr="00866B4B">
              <w:rPr>
                <w:rFonts w:cs="MyriadPro-Bold"/>
                <w:bCs/>
                <w:i/>
                <w:szCs w:val="20"/>
              </w:rPr>
              <w:t>Work Health and Safety Act 2012</w:t>
            </w:r>
            <w:r w:rsidRPr="00014236">
              <w:rPr>
                <w:rFonts w:cs="MyriadPro-Bold"/>
                <w:bCs/>
                <w:szCs w:val="20"/>
              </w:rPr>
              <w:t xml:space="preserve"> (2014)</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2016 </w:t>
            </w:r>
            <w:r>
              <w:rPr>
                <w:rFonts w:cs="MyriadPro-Bold"/>
                <w:b/>
                <w:bCs/>
                <w:szCs w:val="20"/>
              </w:rPr>
              <w:t>South Australian r</w:t>
            </w:r>
            <w:r w:rsidRPr="00014236">
              <w:rPr>
                <w:rFonts w:cs="MyriadPro-Bold"/>
                <w:b/>
                <w:bCs/>
                <w:szCs w:val="20"/>
              </w:rPr>
              <w:t>eview</w:t>
            </w:r>
            <w:r w:rsidRPr="00014236">
              <w:rPr>
                <w:rFonts w:cs="MyriadPro-Bold"/>
                <w:bCs/>
                <w:szCs w:val="20"/>
              </w:rPr>
              <w:t xml:space="preserve">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 xml:space="preserve">Review of the </w:t>
            </w:r>
            <w:r w:rsidRPr="00866B4B">
              <w:rPr>
                <w:rFonts w:cs="MyriadPro-Bold"/>
                <w:bCs/>
                <w:i/>
                <w:szCs w:val="20"/>
              </w:rPr>
              <w:t>Work Health and Safety Act 2012</w:t>
            </w:r>
            <w:r w:rsidRPr="00014236">
              <w:rPr>
                <w:rFonts w:cs="MyriadPro-Bold"/>
                <w:bCs/>
                <w:szCs w:val="20"/>
              </w:rPr>
              <w:t xml:space="preserve"> (2016)</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Serious claims</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An accepted workers' compensation claim for an incapacity that results in a total absence from work for one working week or more. It includes claims that receive common-law payments. Claims that arise from a journey to or from work, or during a recess period, are not compensable in all jurisdictions and are excluded, as are compensated fatalities.</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proofErr w:type="spellStart"/>
            <w:r w:rsidRPr="00014236">
              <w:rPr>
                <w:rFonts w:cs="MyriadPro-Bold"/>
                <w:b/>
                <w:bCs/>
                <w:szCs w:val="20"/>
              </w:rPr>
              <w:t>Tas</w:t>
            </w:r>
            <w:proofErr w:type="spellEnd"/>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Tasmania</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proofErr w:type="spellStart"/>
            <w:r w:rsidRPr="00014236">
              <w:rPr>
                <w:rFonts w:cs="MyriadPro-Bold"/>
                <w:b/>
                <w:bCs/>
                <w:szCs w:val="20"/>
              </w:rPr>
              <w:t>Tas</w:t>
            </w:r>
            <w:proofErr w:type="spellEnd"/>
            <w:r w:rsidRPr="00014236">
              <w:rPr>
                <w:rFonts w:cs="MyriadPro-Bold"/>
                <w:b/>
                <w:bCs/>
                <w:szCs w:val="20"/>
              </w:rPr>
              <w:t xml:space="preserve"> Act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i/>
                <w:szCs w:val="20"/>
              </w:rPr>
              <w:t xml:space="preserve">Work Health and Safety Act 2012 </w:t>
            </w:r>
            <w:r w:rsidRPr="00014236">
              <w:rPr>
                <w:rFonts w:cs="MyriadPro-Bold"/>
                <w:bCs/>
                <w:szCs w:val="20"/>
              </w:rPr>
              <w:t>(</w:t>
            </w:r>
            <w:proofErr w:type="spellStart"/>
            <w:r w:rsidRPr="00014236">
              <w:rPr>
                <w:rFonts w:cs="MyriadPro-Bold"/>
                <w:bCs/>
                <w:szCs w:val="20"/>
              </w:rPr>
              <w:t>Tas</w:t>
            </w:r>
            <w:proofErr w:type="spellEnd"/>
            <w:r w:rsidRPr="00014236">
              <w:rPr>
                <w:rFonts w:cs="MyriadPro-Bold"/>
                <w:bCs/>
                <w:szCs w:val="20"/>
              </w:rPr>
              <w:t>)</w:t>
            </w:r>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Vic</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Victoria</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Vic Act </w:t>
            </w:r>
          </w:p>
        </w:tc>
        <w:tc>
          <w:tcPr>
            <w:tcW w:w="6128" w:type="dxa"/>
            <w:vAlign w:val="center"/>
          </w:tcPr>
          <w:p w:rsidR="007B7AA4" w:rsidRPr="00014236" w:rsidRDefault="00B3513F" w:rsidP="00B74D4C">
            <w:pPr>
              <w:autoSpaceDE w:val="0"/>
              <w:autoSpaceDN w:val="0"/>
              <w:adjustRightInd w:val="0"/>
              <w:spacing w:beforeLines="40" w:before="96" w:afterLines="40" w:after="96"/>
              <w:rPr>
                <w:rFonts w:cs="MyriadPro-Bold"/>
                <w:bCs/>
                <w:i/>
                <w:szCs w:val="20"/>
              </w:rPr>
            </w:pPr>
            <w:hyperlink r:id="rId32" w:history="1">
              <w:r w:rsidR="007B7AA4" w:rsidRPr="00014236">
                <w:rPr>
                  <w:rFonts w:cs="MyriadPro-Bold"/>
                  <w:bCs/>
                  <w:i/>
                  <w:szCs w:val="20"/>
                </w:rPr>
                <w:t xml:space="preserve">Occupational Health and Safety Act 2004 </w:t>
              </w:r>
              <w:r w:rsidR="007B7AA4" w:rsidRPr="00014236">
                <w:rPr>
                  <w:rFonts w:cs="MyriadPro-Bold"/>
                  <w:bCs/>
                  <w:szCs w:val="20"/>
                </w:rPr>
                <w:t>(Vic)</w:t>
              </w:r>
            </w:hyperlink>
            <w:r w:rsidR="00EA36DC">
              <w:rPr>
                <w:rFonts w:cs="MyriadPro-Bold"/>
                <w:bCs/>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Vic Review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Cs/>
                <w:szCs w:val="20"/>
              </w:rPr>
            </w:pPr>
            <w:r w:rsidRPr="00014236">
              <w:rPr>
                <w:rFonts w:cs="MyriadPro-Bold"/>
                <w:bCs/>
                <w:szCs w:val="20"/>
              </w:rPr>
              <w:t>Independent Review of Occupational Health and Safety Compliance and Enforcement in Victoria (2016)</w:t>
            </w:r>
            <w:r w:rsidR="00EA36DC">
              <w:rPr>
                <w:rFonts w:cs="MyriadPro-Bold"/>
                <w:bCs/>
                <w:szCs w:val="20"/>
              </w:rPr>
              <w:t>.</w:t>
            </w:r>
          </w:p>
        </w:tc>
      </w:tr>
      <w:tr w:rsidR="007B7AA4" w:rsidRPr="00014236" w:rsidTr="00866B4B">
        <w:trPr>
          <w:trHeight w:val="416"/>
        </w:trPr>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Volunteer</w:t>
            </w:r>
          </w:p>
        </w:tc>
        <w:tc>
          <w:tcPr>
            <w:tcW w:w="6128" w:type="dxa"/>
            <w:vAlign w:val="center"/>
          </w:tcPr>
          <w:p w:rsidR="007B7AA4" w:rsidRPr="00014236" w:rsidRDefault="007B7AA4" w:rsidP="00A2423C">
            <w:pPr>
              <w:autoSpaceDE w:val="0"/>
              <w:autoSpaceDN w:val="0"/>
              <w:adjustRightInd w:val="0"/>
              <w:spacing w:beforeLines="40" w:before="96" w:afterLines="40" w:after="96"/>
              <w:rPr>
                <w:rFonts w:cs="MyriadPro-Regular"/>
                <w:szCs w:val="20"/>
              </w:rPr>
            </w:pPr>
            <w:r w:rsidRPr="00014236">
              <w:rPr>
                <w:rFonts w:cs="MyriadPro-Regular"/>
                <w:szCs w:val="20"/>
              </w:rPr>
              <w:t>A person who acts on a voluntary basis regardless of whether they receive out of pocket expenses</w:t>
            </w:r>
            <w:r w:rsidR="005065F3">
              <w:rPr>
                <w:rFonts w:cs="MyriadPro-Regular"/>
                <w:szCs w:val="20"/>
              </w:rPr>
              <w:t xml:space="preserve"> (defined at s 4 of the model WHS Act)</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WA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Western Australia</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 xml:space="preserve">WA Act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It"/>
                <w:i/>
                <w:iCs/>
                <w:szCs w:val="20"/>
              </w:rPr>
              <w:t xml:space="preserve">Occupational Safety and Health Act 1984 </w:t>
            </w:r>
            <w:r w:rsidRPr="00014236">
              <w:rPr>
                <w:rFonts w:cs="MyriadPro-Regular"/>
                <w:szCs w:val="20"/>
              </w:rPr>
              <w:t>(WA)</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Bold"/>
                <w:b/>
                <w:bCs/>
                <w:szCs w:val="20"/>
              </w:rPr>
              <w:t>WHS</w:t>
            </w:r>
            <w:r w:rsidRPr="00014236">
              <w:rPr>
                <w:rFonts w:cs="MyriadPro-Regular"/>
                <w:szCs w:val="20"/>
              </w:rPr>
              <w:t xml:space="preserve"> </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Regular"/>
                <w:szCs w:val="20"/>
              </w:rPr>
              <w:t>Work health and safety</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WHS ministers</w:t>
            </w:r>
          </w:p>
        </w:tc>
        <w:tc>
          <w:tcPr>
            <w:tcW w:w="6128" w:type="dxa"/>
            <w:vAlign w:val="center"/>
          </w:tcPr>
          <w:p w:rsidR="007B7AA4" w:rsidRPr="00014236" w:rsidRDefault="007B7AA4" w:rsidP="00F95931">
            <w:pPr>
              <w:autoSpaceDE w:val="0"/>
              <w:autoSpaceDN w:val="0"/>
              <w:adjustRightInd w:val="0"/>
              <w:spacing w:beforeLines="40" w:before="96" w:afterLines="40" w:after="96"/>
              <w:rPr>
                <w:rFonts w:cs="MyriadPro-Bold"/>
                <w:b/>
                <w:bCs/>
                <w:szCs w:val="20"/>
              </w:rPr>
            </w:pPr>
            <w:r w:rsidRPr="00014236">
              <w:rPr>
                <w:rFonts w:cs="MyriadPro-Regular"/>
                <w:szCs w:val="20"/>
              </w:rPr>
              <w:t xml:space="preserve">Commonwealth, state and territory ministers with responsibility for </w:t>
            </w:r>
            <w:r w:rsidR="00F95931">
              <w:rPr>
                <w:rFonts w:cs="MyriadPro-Regular"/>
                <w:szCs w:val="20"/>
              </w:rPr>
              <w:t>WHS</w:t>
            </w:r>
            <w:r w:rsidR="00EA36DC">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Work group</w:t>
            </w:r>
          </w:p>
        </w:tc>
        <w:tc>
          <w:tcPr>
            <w:tcW w:w="6128" w:type="dxa"/>
            <w:vAlign w:val="center"/>
          </w:tcPr>
          <w:p w:rsidR="007B7AA4" w:rsidRPr="00014236" w:rsidRDefault="007B7AA4" w:rsidP="00A2423C">
            <w:pPr>
              <w:autoSpaceDE w:val="0"/>
              <w:autoSpaceDN w:val="0"/>
              <w:adjustRightInd w:val="0"/>
              <w:spacing w:beforeLines="40" w:before="96" w:afterLines="40" w:after="96"/>
              <w:rPr>
                <w:rFonts w:cs="MyriadPro-Regular"/>
                <w:szCs w:val="20"/>
              </w:rPr>
            </w:pPr>
            <w:r w:rsidRPr="00014236">
              <w:rPr>
                <w:rFonts w:cs="MyriadPro-Regular"/>
                <w:szCs w:val="20"/>
              </w:rPr>
              <w:t>A group of workers represented by a</w:t>
            </w:r>
            <w:r w:rsidR="004B5962">
              <w:rPr>
                <w:rFonts w:cs="MyriadPro-Regular"/>
                <w:szCs w:val="20"/>
              </w:rPr>
              <w:t>n</w:t>
            </w:r>
            <w:r w:rsidRPr="00014236">
              <w:rPr>
                <w:rFonts w:cs="MyriadPro-Regular"/>
                <w:szCs w:val="20"/>
              </w:rPr>
              <w:t xml:space="preserve"> HSR who in many cases share similar work conditions, for example all the electricians in a factory, all people on night shift, all people who work in the loading bay of a retail storage facility</w:t>
            </w:r>
            <w:r w:rsidR="00F209FF">
              <w:rPr>
                <w:rFonts w:cs="MyriadPro-Regular"/>
                <w:szCs w:val="20"/>
              </w:rPr>
              <w:t xml:space="preserve"> (defined at s 4 of the model WHS Act).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lastRenderedPageBreak/>
              <w:t>Worker</w:t>
            </w:r>
          </w:p>
        </w:tc>
        <w:tc>
          <w:tcPr>
            <w:tcW w:w="6128" w:type="dxa"/>
            <w:vAlign w:val="center"/>
          </w:tcPr>
          <w:p w:rsidR="007B7AA4" w:rsidRPr="00014236" w:rsidRDefault="007B7AA4" w:rsidP="00B74D4C">
            <w:pPr>
              <w:autoSpaceDE w:val="0"/>
              <w:autoSpaceDN w:val="0"/>
              <w:adjustRightInd w:val="0"/>
              <w:spacing w:beforeLines="40" w:before="96" w:afterLines="40" w:after="96"/>
              <w:rPr>
                <w:rFonts w:cs="MyriadPro-Regular"/>
                <w:szCs w:val="20"/>
              </w:rPr>
            </w:pPr>
            <w:r w:rsidRPr="00014236">
              <w:rPr>
                <w:rFonts w:cs="MyriadPro-Regular"/>
                <w:szCs w:val="20"/>
              </w:rPr>
              <w:t>Any person who carries out work for a PCBU, including work as an employee, contractor, subcontractor, self-employed person, outworker, apprentice or trainee, work experience student, employee of a labour hire company placed with a 'host employer' and volunteers</w:t>
            </w:r>
            <w:r w:rsidR="00F209FF">
              <w:rPr>
                <w:rFonts w:cs="MyriadPro-Regular"/>
                <w:szCs w:val="20"/>
              </w:rPr>
              <w:t xml:space="preserve"> (defined at s 7 of the model WHS Act)</w:t>
            </w:r>
            <w:r w:rsidRPr="00014236">
              <w:rPr>
                <w:rFonts w:cs="MyriadPro-Regular"/>
                <w:szCs w:val="20"/>
              </w:rPr>
              <w:t>.</w:t>
            </w:r>
          </w:p>
        </w:tc>
      </w:tr>
      <w:tr w:rsidR="007B7AA4" w:rsidRPr="00014236" w:rsidTr="00866B4B">
        <w:tc>
          <w:tcPr>
            <w:tcW w:w="2882" w:type="dxa"/>
            <w:vAlign w:val="center"/>
          </w:tcPr>
          <w:p w:rsidR="007B7AA4" w:rsidRPr="00014236" w:rsidRDefault="007B7AA4" w:rsidP="00B74D4C">
            <w:pPr>
              <w:autoSpaceDE w:val="0"/>
              <w:autoSpaceDN w:val="0"/>
              <w:adjustRightInd w:val="0"/>
              <w:spacing w:beforeLines="40" w:before="96" w:afterLines="40" w:after="96"/>
              <w:rPr>
                <w:rFonts w:cs="MyriadPro-Bold"/>
                <w:b/>
                <w:bCs/>
                <w:szCs w:val="20"/>
              </w:rPr>
            </w:pPr>
            <w:r w:rsidRPr="00014236">
              <w:rPr>
                <w:rFonts w:cs="MyriadPro-Bold"/>
                <w:b/>
                <w:bCs/>
                <w:szCs w:val="20"/>
              </w:rPr>
              <w:t>Workplace</w:t>
            </w:r>
          </w:p>
        </w:tc>
        <w:tc>
          <w:tcPr>
            <w:tcW w:w="6128" w:type="dxa"/>
            <w:vAlign w:val="center"/>
          </w:tcPr>
          <w:p w:rsidR="007B7AA4" w:rsidRPr="00014236" w:rsidRDefault="007B7AA4" w:rsidP="00A2423C">
            <w:pPr>
              <w:autoSpaceDE w:val="0"/>
              <w:autoSpaceDN w:val="0"/>
              <w:adjustRightInd w:val="0"/>
              <w:spacing w:beforeLines="40" w:before="96" w:afterLines="40" w:after="96"/>
              <w:rPr>
                <w:rFonts w:cs="MyriadPro-Regular"/>
                <w:szCs w:val="20"/>
              </w:rPr>
            </w:pPr>
            <w:r w:rsidRPr="00014236">
              <w:rPr>
                <w:rFonts w:cs="MyriadPro-Regular"/>
                <w:szCs w:val="20"/>
              </w:rPr>
              <w:t>Any place where work is carried out for a business or undertaking and includes any place where a worker goes, or is likely to be, while at work. This may include offices, factories, shops, construction sites, vehicles, ships, aircraft or other mobile structures on land or water</w:t>
            </w:r>
            <w:r w:rsidR="00EA36DC">
              <w:rPr>
                <w:rFonts w:cs="MyriadPro-Regular"/>
                <w:szCs w:val="20"/>
              </w:rPr>
              <w:t xml:space="preserve"> (</w:t>
            </w:r>
            <w:r w:rsidR="00F209FF">
              <w:rPr>
                <w:rFonts w:cs="MyriadPro-Regular"/>
                <w:szCs w:val="20"/>
              </w:rPr>
              <w:t xml:space="preserve">defined at </w:t>
            </w:r>
            <w:r w:rsidR="00EA36DC">
              <w:rPr>
                <w:rFonts w:cs="MyriadPro-Regular"/>
                <w:szCs w:val="20"/>
              </w:rPr>
              <w:t>s</w:t>
            </w:r>
            <w:r w:rsidR="00F209FF">
              <w:rPr>
                <w:rFonts w:cs="MyriadPro-Regular"/>
                <w:szCs w:val="20"/>
              </w:rPr>
              <w:t> </w:t>
            </w:r>
            <w:r w:rsidR="00EA36DC">
              <w:rPr>
                <w:rFonts w:cs="MyriadPro-Regular"/>
                <w:szCs w:val="20"/>
              </w:rPr>
              <w:t>8 of the model WHS Act)</w:t>
            </w:r>
            <w:r w:rsidRPr="00014236">
              <w:rPr>
                <w:rFonts w:cs="MyriadPro-Regular"/>
                <w:szCs w:val="20"/>
              </w:rPr>
              <w:t>.</w:t>
            </w:r>
          </w:p>
        </w:tc>
      </w:tr>
    </w:tbl>
    <w:p w:rsidR="006C2043" w:rsidRPr="00F94A95" w:rsidRDefault="006C2043" w:rsidP="00EC76A9"/>
    <w:sectPr w:rsidR="006C2043" w:rsidRPr="00F94A95" w:rsidSect="001F344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C4" w:rsidRDefault="00F648C4" w:rsidP="007B76AC">
      <w:r>
        <w:separator/>
      </w:r>
    </w:p>
  </w:endnote>
  <w:endnote w:type="continuationSeparator" w:id="0">
    <w:p w:rsidR="00F648C4" w:rsidRDefault="00F648C4" w:rsidP="007B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8679"/>
      <w:docPartObj>
        <w:docPartGallery w:val="Page Numbers (Bottom of Page)"/>
        <w:docPartUnique/>
      </w:docPartObj>
    </w:sdtPr>
    <w:sdtEndPr>
      <w:rPr>
        <w:noProof/>
      </w:rPr>
    </w:sdtEndPr>
    <w:sdtContent>
      <w:p w:rsidR="007969B1" w:rsidRDefault="007969B1" w:rsidP="00F00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1" w:rsidRDefault="007969B1" w:rsidP="00F00C9B">
    <w:pPr>
      <w:pStyle w:val="Footer"/>
    </w:pPr>
  </w:p>
  <w:p w:rsidR="007969B1" w:rsidRPr="00510E89" w:rsidRDefault="007969B1" w:rsidP="00F00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1" w:rsidRDefault="007969B1" w:rsidP="000E74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9B1" w:rsidRDefault="007969B1" w:rsidP="000E7497">
    <w:pPr>
      <w:pStyle w:val="Footer"/>
      <w:ind w:right="360"/>
    </w:pPr>
  </w:p>
  <w:p w:rsidR="007969B1" w:rsidRDefault="007969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1" w:rsidRDefault="007969B1" w:rsidP="000E74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13F">
      <w:rPr>
        <w:rStyle w:val="PageNumber"/>
        <w:noProof/>
      </w:rPr>
      <w:t>4</w:t>
    </w:r>
    <w:r>
      <w:rPr>
        <w:rStyle w:val="PageNumber"/>
      </w:rPr>
      <w:fldChar w:fldCharType="end"/>
    </w:r>
  </w:p>
  <w:p w:rsidR="007969B1" w:rsidRDefault="007969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C4" w:rsidRDefault="00F648C4" w:rsidP="007B76AC">
      <w:r>
        <w:separator/>
      </w:r>
    </w:p>
  </w:footnote>
  <w:footnote w:type="continuationSeparator" w:id="0">
    <w:p w:rsidR="00F648C4" w:rsidRDefault="00F648C4" w:rsidP="007B76AC">
      <w:r>
        <w:continuationSeparator/>
      </w:r>
    </w:p>
  </w:footnote>
  <w:footnote w:id="1">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See page 7 for more details on the Review process.</w:t>
      </w:r>
    </w:p>
  </w:footnote>
  <w:footnote w:id="2">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bCs/>
          <w:sz w:val="18"/>
          <w:szCs w:val="18"/>
        </w:rPr>
        <w:t xml:space="preserve">The model WHS Act refers to the </w:t>
      </w:r>
      <w:r w:rsidRPr="007969B1">
        <w:rPr>
          <w:rFonts w:cs="Arial"/>
          <w:bCs/>
          <w:i/>
          <w:sz w:val="18"/>
          <w:szCs w:val="18"/>
        </w:rPr>
        <w:t>Model Work Health and Safety Bill 2016</w:t>
      </w:r>
      <w:r w:rsidRPr="007969B1">
        <w:rPr>
          <w:rFonts w:cs="Arial"/>
          <w:bCs/>
          <w:sz w:val="18"/>
          <w:szCs w:val="18"/>
        </w:rPr>
        <w:t>. It forms the basis of the WHS Acts that have been implemented in most jurisdictions across Australia.</w:t>
      </w:r>
    </w:p>
  </w:footnote>
  <w:footnote w:id="3">
    <w:p w:rsidR="007969B1" w:rsidRPr="007969B1" w:rsidRDefault="007969B1">
      <w:pPr>
        <w:pStyle w:val="FootnoteText"/>
        <w:rPr>
          <w:rFonts w:cs="Arial"/>
          <w:sz w:val="18"/>
          <w:szCs w:val="18"/>
          <w:lang w:val="en-AU"/>
        </w:rPr>
      </w:pPr>
      <w:r w:rsidRPr="007969B1">
        <w:rPr>
          <w:rFonts w:cs="Arial"/>
          <w:sz w:val="18"/>
          <w:szCs w:val="18"/>
          <w:vertAlign w:val="superscript"/>
        </w:rPr>
        <w:footnoteRef/>
      </w:r>
      <w:r w:rsidRPr="007969B1">
        <w:rPr>
          <w:rFonts w:cs="Arial"/>
          <w:sz w:val="18"/>
          <w:szCs w:val="18"/>
        </w:rPr>
        <w:t xml:space="preserve"> Workplace Relations Ministers’ Council, </w:t>
      </w:r>
      <w:r w:rsidRPr="007969B1">
        <w:rPr>
          <w:rFonts w:cs="Arial"/>
          <w:i/>
          <w:sz w:val="18"/>
          <w:szCs w:val="18"/>
        </w:rPr>
        <w:t>Intergovernmental agreement for regulatory and operational reform in occupational health and safety</w:t>
      </w:r>
      <w:r w:rsidRPr="007969B1">
        <w:rPr>
          <w:rFonts w:cs="Arial"/>
          <w:sz w:val="18"/>
          <w:szCs w:val="18"/>
        </w:rPr>
        <w:t xml:space="preserve"> (2008).</w:t>
      </w:r>
    </w:p>
  </w:footnote>
  <w:footnote w:id="4">
    <w:p w:rsidR="007969B1" w:rsidRPr="007969B1" w:rsidRDefault="007969B1" w:rsidP="00242D67">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iCs/>
          <w:sz w:val="18"/>
          <w:szCs w:val="18"/>
          <w:lang w:val="en-AU"/>
        </w:rPr>
        <w:t xml:space="preserve">Harmonisation-style changes likely for Vic soon </w:t>
      </w:r>
      <w:r w:rsidRPr="007969B1">
        <w:rPr>
          <w:rFonts w:cs="Arial"/>
          <w:iCs/>
          <w:sz w:val="18"/>
          <w:szCs w:val="18"/>
        </w:rPr>
        <w:t xml:space="preserve">(14 September 2017) OHS Alert </w:t>
      </w:r>
      <w:r w:rsidRPr="007969B1">
        <w:rPr>
          <w:rFonts w:cs="Arial"/>
          <w:iCs/>
          <w:color w:val="333333"/>
          <w:sz w:val="18"/>
          <w:szCs w:val="18"/>
        </w:rPr>
        <w:t>&lt;</w:t>
      </w:r>
      <w:hyperlink r:id="rId1" w:history="1">
        <w:r w:rsidRPr="007969B1">
          <w:rPr>
            <w:rStyle w:val="Hyperlink"/>
            <w:rFonts w:cs="Arial"/>
            <w:iCs/>
            <w:sz w:val="18"/>
            <w:szCs w:val="18"/>
          </w:rPr>
          <w:t>https://www.ohsalert.com.au/nl06_news_selected.php?selkey=54004</w:t>
        </w:r>
      </w:hyperlink>
      <w:r w:rsidRPr="007969B1">
        <w:rPr>
          <w:rFonts w:cs="Arial"/>
          <w:iCs/>
          <w:color w:val="333333"/>
          <w:sz w:val="18"/>
          <w:szCs w:val="18"/>
        </w:rPr>
        <w:t>&gt;</w:t>
      </w:r>
    </w:p>
  </w:footnote>
  <w:footnote w:id="5">
    <w:p w:rsidR="007969B1" w:rsidRPr="007969B1" w:rsidRDefault="007969B1" w:rsidP="00242D67">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While there is a high degree of consistency in the WHS Acts of the seven implementing jurisdictions, there are some variations. Key variations are published on the Safe Work Australia website.</w:t>
      </w:r>
    </w:p>
  </w:footnote>
  <w:footnote w:id="6">
    <w:p w:rsidR="007969B1" w:rsidRPr="007969B1" w:rsidRDefault="007969B1" w:rsidP="00242D67">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Cs/>
          <w:sz w:val="18"/>
          <w:szCs w:val="18"/>
        </w:rPr>
        <w:t xml:space="preserve">Great Britain. Committee on Safety and Health at Work 1910- 1972, </w:t>
      </w:r>
      <w:r w:rsidRPr="007969B1">
        <w:rPr>
          <w:rFonts w:cs="Arial"/>
          <w:i/>
          <w:iCs/>
          <w:sz w:val="18"/>
          <w:szCs w:val="18"/>
        </w:rPr>
        <w:t>Safety and health at work: report of the Committee, 1970-72</w:t>
      </w:r>
      <w:r w:rsidRPr="007969B1">
        <w:rPr>
          <w:rFonts w:cs="Arial"/>
          <w:iCs/>
          <w:sz w:val="18"/>
          <w:szCs w:val="18"/>
        </w:rPr>
        <w:t xml:space="preserve"> (1972) H.M. Stationery Office, London</w:t>
      </w:r>
      <w:r w:rsidRPr="007969B1">
        <w:rPr>
          <w:rFonts w:cs="Arial"/>
          <w:sz w:val="18"/>
          <w:szCs w:val="18"/>
          <w:lang w:val="en-AU"/>
        </w:rPr>
        <w:t>.</w:t>
      </w:r>
    </w:p>
  </w:footnote>
  <w:footnote w:id="7">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Department of Education, Employment and Workplace Relations, </w:t>
      </w:r>
      <w:r w:rsidRPr="007969B1">
        <w:rPr>
          <w:rFonts w:cs="Arial"/>
          <w:i/>
          <w:sz w:val="18"/>
          <w:szCs w:val="18"/>
        </w:rPr>
        <w:t xml:space="preserve">National Review into Model Occupational Health and Safety Laws, First Report </w:t>
      </w:r>
      <w:r w:rsidRPr="007969B1">
        <w:rPr>
          <w:rFonts w:cs="Arial"/>
          <w:sz w:val="18"/>
          <w:szCs w:val="18"/>
        </w:rPr>
        <w:t xml:space="preserve">(2009); </w:t>
      </w:r>
      <w:r w:rsidRPr="007969B1">
        <w:rPr>
          <w:rFonts w:cs="Arial"/>
          <w:sz w:val="18"/>
          <w:szCs w:val="18"/>
          <w:lang w:val="en-AU"/>
        </w:rPr>
        <w:t xml:space="preserve">Department of Education, Employment and Workplace Relations, </w:t>
      </w:r>
      <w:r w:rsidRPr="007969B1">
        <w:rPr>
          <w:rFonts w:cs="Arial"/>
          <w:i/>
          <w:sz w:val="18"/>
          <w:szCs w:val="18"/>
          <w:lang w:val="en-AU"/>
        </w:rPr>
        <w:t xml:space="preserve">National Review into Model Occupational Health and Safety Laws, Second Report </w:t>
      </w:r>
      <w:r w:rsidRPr="007969B1">
        <w:rPr>
          <w:rFonts w:cs="Arial"/>
          <w:sz w:val="18"/>
          <w:szCs w:val="18"/>
          <w:lang w:val="en-AU"/>
        </w:rPr>
        <w:t>(2009).</w:t>
      </w:r>
    </w:p>
  </w:footnote>
  <w:footnote w:id="8">
    <w:p w:rsidR="007969B1" w:rsidRPr="007969B1" w:rsidRDefault="007969B1" w:rsidP="00242D67">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Department of Education, Employment and Workplace Relations, </w:t>
      </w:r>
      <w:r w:rsidRPr="007969B1">
        <w:rPr>
          <w:rFonts w:cs="Arial"/>
          <w:i/>
          <w:sz w:val="18"/>
          <w:szCs w:val="18"/>
          <w:lang w:val="en-AU"/>
        </w:rPr>
        <w:t xml:space="preserve">National Review into Model Occupational Health and Safety Laws, Second Report </w:t>
      </w:r>
      <w:r w:rsidRPr="007969B1">
        <w:rPr>
          <w:rFonts w:cs="Arial"/>
          <w:sz w:val="18"/>
          <w:szCs w:val="18"/>
          <w:lang w:val="en-AU"/>
        </w:rPr>
        <w:t>(2009) Recommendation 232, p 456.</w:t>
      </w:r>
    </w:p>
  </w:footnote>
  <w:footnote w:id="9">
    <w:p w:rsidR="007969B1" w:rsidRPr="007969B1" w:rsidRDefault="007969B1" w:rsidP="00242D67">
      <w:pPr>
        <w:pStyle w:val="FootnoteText"/>
        <w:rPr>
          <w:rFonts w:cs="Arial"/>
          <w:i/>
          <w:sz w:val="18"/>
          <w:szCs w:val="18"/>
          <w:lang w:val="en-AU"/>
        </w:rPr>
      </w:pPr>
      <w:r w:rsidRPr="007969B1">
        <w:rPr>
          <w:rStyle w:val="FootnoteReference"/>
          <w:rFonts w:cs="Arial"/>
          <w:sz w:val="18"/>
          <w:szCs w:val="18"/>
        </w:rPr>
        <w:footnoteRef/>
      </w:r>
      <w:r w:rsidRPr="007969B1">
        <w:rPr>
          <w:rFonts w:cs="Arial"/>
          <w:sz w:val="18"/>
          <w:szCs w:val="18"/>
        </w:rPr>
        <w:t xml:space="preserve"> Council of Australian Governments, </w:t>
      </w:r>
      <w:r w:rsidRPr="007969B1">
        <w:rPr>
          <w:rFonts w:cs="Arial"/>
          <w:i/>
          <w:sz w:val="18"/>
          <w:szCs w:val="18"/>
        </w:rPr>
        <w:t xml:space="preserve">Improving the model work health and safety laws </w:t>
      </w:r>
      <w:r w:rsidRPr="007969B1">
        <w:rPr>
          <w:rFonts w:cs="Arial"/>
          <w:sz w:val="18"/>
          <w:szCs w:val="18"/>
        </w:rPr>
        <w:t>(2017) &lt;</w:t>
      </w:r>
      <w:hyperlink r:id="rId2" w:history="1">
        <w:r w:rsidRPr="007969B1">
          <w:rPr>
            <w:rStyle w:val="Hyperlink"/>
            <w:rFonts w:cs="Arial"/>
            <w:sz w:val="18"/>
            <w:szCs w:val="18"/>
          </w:rPr>
          <w:t>http://ris.pmc.gov.au/2017/01/18/improving-model-work-health-and-safety-laws</w:t>
        </w:r>
      </w:hyperlink>
      <w:r w:rsidRPr="007969B1">
        <w:rPr>
          <w:rFonts w:cs="Arial"/>
          <w:sz w:val="18"/>
          <w:szCs w:val="18"/>
        </w:rPr>
        <w:t>&gt;</w:t>
      </w:r>
    </w:p>
  </w:footnote>
  <w:footnote w:id="10">
    <w:p w:rsidR="007969B1" w:rsidRPr="007969B1" w:rsidRDefault="007969B1" w:rsidP="00A76F4C">
      <w:pPr>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It is important to note the performance of WHS regulators is outside the scope of this Review.</w:t>
      </w:r>
    </w:p>
  </w:footnote>
  <w:footnote w:id="11">
    <w:p w:rsidR="007969B1" w:rsidRPr="007969B1" w:rsidRDefault="007969B1" w:rsidP="00242D67">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Decrease between </w:t>
      </w:r>
      <w:r w:rsidRPr="007969B1">
        <w:rPr>
          <w:rFonts w:cs="Arial"/>
          <w:sz w:val="18"/>
          <w:szCs w:val="18"/>
        </w:rPr>
        <w:t>2011-12 and 2015-16.</w:t>
      </w:r>
    </w:p>
  </w:footnote>
  <w:footnote w:id="12">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Department of Employment, </w:t>
      </w:r>
      <w:r w:rsidRPr="007969B1">
        <w:rPr>
          <w:rFonts w:cs="Arial"/>
          <w:i/>
          <w:sz w:val="18"/>
          <w:szCs w:val="18"/>
          <w:lang w:val="en-AU"/>
        </w:rPr>
        <w:t xml:space="preserve">Employment Outlook to May 2022 </w:t>
      </w:r>
      <w:r w:rsidRPr="007969B1">
        <w:rPr>
          <w:rFonts w:cs="Arial"/>
          <w:sz w:val="18"/>
          <w:szCs w:val="18"/>
          <w:lang w:val="en-AU"/>
        </w:rPr>
        <w:t>(2017)</w:t>
      </w:r>
      <w:r w:rsidRPr="007969B1">
        <w:rPr>
          <w:rFonts w:cs="Arial"/>
          <w:i/>
          <w:sz w:val="18"/>
          <w:szCs w:val="18"/>
          <w:lang w:val="en-AU"/>
        </w:rPr>
        <w:t xml:space="preserve">. </w:t>
      </w:r>
    </w:p>
  </w:footnote>
  <w:footnote w:id="13">
    <w:p w:rsidR="007969B1" w:rsidRPr="007969B1" w:rsidRDefault="007969B1" w:rsidP="00242D67">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CSIRO, </w:t>
      </w:r>
      <w:r w:rsidRPr="007969B1">
        <w:rPr>
          <w:rFonts w:cs="Arial"/>
          <w:i/>
          <w:sz w:val="18"/>
          <w:szCs w:val="18"/>
        </w:rPr>
        <w:t xml:space="preserve">Tomorrow’s Digitally Enabled Workforce: Megatrends and scenarios for jobs and employment in Australia over the coming twenty years </w:t>
      </w:r>
      <w:r w:rsidRPr="007969B1">
        <w:rPr>
          <w:rFonts w:cs="Arial"/>
          <w:sz w:val="18"/>
          <w:szCs w:val="18"/>
        </w:rPr>
        <w:t>(2016) p 8.</w:t>
      </w:r>
    </w:p>
  </w:footnote>
  <w:footnote w:id="14">
    <w:p w:rsidR="007969B1" w:rsidRPr="007969B1" w:rsidRDefault="007969B1" w:rsidP="00242D67">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Ibid.</w:t>
      </w:r>
    </w:p>
  </w:footnote>
  <w:footnote w:id="15">
    <w:p w:rsidR="007969B1" w:rsidRPr="007969B1" w:rsidRDefault="007969B1" w:rsidP="00242D67">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w:t>
      </w:r>
      <w:r w:rsidRPr="007969B1">
        <w:rPr>
          <w:rFonts w:cs="Arial"/>
          <w:color w:val="000000"/>
          <w:sz w:val="18"/>
          <w:szCs w:val="18"/>
        </w:rPr>
        <w:t xml:space="preserve">Workplace Health Association Australia &amp; Centre for Health Initiatives, University of Wollongong, </w:t>
      </w:r>
      <w:r w:rsidRPr="007969B1">
        <w:rPr>
          <w:rFonts w:cs="Arial"/>
          <w:i/>
          <w:color w:val="000000"/>
          <w:sz w:val="18"/>
          <w:szCs w:val="18"/>
        </w:rPr>
        <w:t>Health Profile of Australian Employees</w:t>
      </w:r>
      <w:r w:rsidRPr="007969B1">
        <w:rPr>
          <w:rFonts w:cs="Arial"/>
          <w:color w:val="000000"/>
          <w:sz w:val="18"/>
          <w:szCs w:val="18"/>
        </w:rPr>
        <w:t xml:space="preserve"> (2014) p 2.</w:t>
      </w:r>
    </w:p>
  </w:footnote>
  <w:footnote w:id="16">
    <w:p w:rsidR="007969B1" w:rsidRPr="007969B1" w:rsidRDefault="007969B1" w:rsidP="006D7214">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The gig economy (also referred to as the sharing economy, collaborative economy, access economy and peer economy) is the term commonly used to describe triangular business arrangements where for-profit companies create online digital platforms which act as intermediaries in linking individuals who can provide products or services to end users and consumers.</w:t>
      </w:r>
    </w:p>
  </w:footnote>
  <w:footnote w:id="17">
    <w:p w:rsidR="007969B1" w:rsidRPr="007969B1" w:rsidRDefault="007969B1" w:rsidP="00DF7A1B">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See Appendix B – Object of the model WHS Act.</w:t>
      </w:r>
    </w:p>
  </w:footnote>
  <w:footnote w:id="18">
    <w:p w:rsidR="007969B1" w:rsidRPr="007969B1" w:rsidRDefault="007969B1" w:rsidP="00E75CD9">
      <w:pPr>
        <w:pStyle w:val="FootnoteText"/>
        <w:rPr>
          <w:rFonts w:cs="Arial"/>
          <w:color w:val="000000"/>
          <w:sz w:val="18"/>
          <w:szCs w:val="18"/>
        </w:rPr>
      </w:pPr>
      <w:r w:rsidRPr="007969B1">
        <w:rPr>
          <w:rStyle w:val="FootnoteReference"/>
          <w:rFonts w:cs="Arial"/>
          <w:sz w:val="18"/>
          <w:szCs w:val="18"/>
        </w:rPr>
        <w:footnoteRef/>
      </w:r>
      <w:r w:rsidRPr="007969B1">
        <w:rPr>
          <w:rFonts w:cs="Arial"/>
          <w:color w:val="000000"/>
          <w:sz w:val="18"/>
          <w:szCs w:val="18"/>
        </w:rPr>
        <w:t xml:space="preserve"> The Queensland review recommended that a specific legislative provision is required in the </w:t>
      </w:r>
      <w:r w:rsidRPr="00866B4B">
        <w:rPr>
          <w:rFonts w:cs="Arial"/>
          <w:i/>
          <w:color w:val="000000"/>
          <w:sz w:val="18"/>
          <w:szCs w:val="18"/>
        </w:rPr>
        <w:t>Work Health and Safety Act 2011</w:t>
      </w:r>
      <w:r w:rsidRPr="007969B1">
        <w:rPr>
          <w:rFonts w:cs="Arial"/>
          <w:color w:val="000000"/>
          <w:sz w:val="18"/>
          <w:szCs w:val="18"/>
        </w:rPr>
        <w:t xml:space="preserve"> (</w:t>
      </w:r>
      <w:proofErr w:type="spellStart"/>
      <w:r w:rsidRPr="007969B1">
        <w:rPr>
          <w:rFonts w:cs="Arial"/>
          <w:color w:val="000000"/>
          <w:sz w:val="18"/>
          <w:szCs w:val="18"/>
        </w:rPr>
        <w:t>Qld</w:t>
      </w:r>
      <w:proofErr w:type="spellEnd"/>
      <w:r w:rsidRPr="007969B1">
        <w:rPr>
          <w:rFonts w:cs="Arial"/>
          <w:color w:val="000000"/>
          <w:sz w:val="18"/>
          <w:szCs w:val="18"/>
        </w:rPr>
        <w:t>) (</w:t>
      </w:r>
      <w:proofErr w:type="spellStart"/>
      <w:r w:rsidRPr="007969B1">
        <w:rPr>
          <w:rFonts w:cs="Arial"/>
          <w:color w:val="000000"/>
          <w:sz w:val="18"/>
          <w:szCs w:val="18"/>
        </w:rPr>
        <w:t>Qld</w:t>
      </w:r>
      <w:proofErr w:type="spellEnd"/>
      <w:r w:rsidRPr="007969B1">
        <w:rPr>
          <w:rFonts w:cs="Arial"/>
          <w:color w:val="000000"/>
          <w:sz w:val="18"/>
          <w:szCs w:val="18"/>
        </w:rPr>
        <w:t xml:space="preserve"> Act) to make it clear that Codes are the minimum standard and this amendment has been passed in that jurisdiction.</w:t>
      </w:r>
    </w:p>
    <w:p w:rsidR="007969B1" w:rsidRPr="007969B1" w:rsidRDefault="007969B1">
      <w:pPr>
        <w:pStyle w:val="FootnoteText"/>
        <w:rPr>
          <w:rFonts w:cs="Arial"/>
          <w:sz w:val="18"/>
          <w:szCs w:val="18"/>
          <w:lang w:val="en-AU"/>
        </w:rPr>
      </w:pPr>
    </w:p>
  </w:footnote>
  <w:footnote w:id="19">
    <w:p w:rsidR="007969B1" w:rsidRPr="007969B1" w:rsidRDefault="007969B1" w:rsidP="00F47C0D">
      <w:pPr>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Prior to enacting the model WHS laws the Commonwealth jurisdiction had immunity for the Crown for OHS prosecutions. The Australian Capital Territory did not consider prosecution to be appropriate for the Territory's public sector. The model WHS laws do not provide for Crown immunity on the basis that all persons with responsibility for the health and safety of workers and others should be accountable and subject to the same legal consequences for failing to meet their duty of care obligations.</w:t>
      </w:r>
    </w:p>
  </w:footnote>
  <w:footnote w:id="20">
    <w:p w:rsidR="007969B1" w:rsidRPr="007969B1" w:rsidRDefault="007969B1" w:rsidP="00866B4B">
      <w:pPr>
        <w:pStyle w:val="FootnoteText"/>
        <w:keepLines/>
        <w:rPr>
          <w:rFonts w:cs="Arial"/>
          <w:sz w:val="18"/>
          <w:szCs w:val="18"/>
          <w:lang w:val="en-AU"/>
        </w:rPr>
      </w:pPr>
      <w:r w:rsidRPr="007969B1">
        <w:rPr>
          <w:rStyle w:val="FootnoteReference"/>
          <w:rFonts w:cs="Arial"/>
          <w:sz w:val="18"/>
          <w:szCs w:val="18"/>
        </w:rPr>
        <w:footnoteRef/>
      </w:r>
      <w:r w:rsidRPr="007969B1">
        <w:rPr>
          <w:rFonts w:cs="Arial"/>
          <w:color w:val="000000"/>
          <w:sz w:val="18"/>
          <w:szCs w:val="18"/>
        </w:rPr>
        <w:t xml:space="preserve"> </w:t>
      </w:r>
      <w:r w:rsidRPr="007969B1">
        <w:rPr>
          <w:rFonts w:cs="Arial"/>
          <w:sz w:val="18"/>
          <w:szCs w:val="18"/>
        </w:rPr>
        <w:t>Examples include</w:t>
      </w:r>
      <w:r w:rsidR="00D47D43">
        <w:rPr>
          <w:rFonts w:cs="Arial"/>
          <w:sz w:val="18"/>
          <w:szCs w:val="18"/>
        </w:rPr>
        <w:t>:</w:t>
      </w:r>
      <w:r w:rsidRPr="007969B1">
        <w:rPr>
          <w:rFonts w:cs="Arial"/>
          <w:sz w:val="18"/>
          <w:szCs w:val="18"/>
        </w:rPr>
        <w:t xml:space="preserve"> the </w:t>
      </w:r>
      <w:r w:rsidRPr="007969B1">
        <w:rPr>
          <w:rFonts w:cs="Arial"/>
          <w:i/>
          <w:sz w:val="18"/>
          <w:szCs w:val="18"/>
        </w:rPr>
        <w:t>Point to Point Transport (Taxis and Hire Vehicles) Regulation 2017</w:t>
      </w:r>
      <w:r w:rsidRPr="007969B1">
        <w:rPr>
          <w:rFonts w:cs="Arial"/>
          <w:sz w:val="18"/>
          <w:szCs w:val="18"/>
        </w:rPr>
        <w:t xml:space="preserve"> (NSW) which supports a new safety framework under the </w:t>
      </w:r>
      <w:hyperlink r:id="rId3" w:history="1">
        <w:r w:rsidRPr="007969B1">
          <w:rPr>
            <w:rFonts w:cs="Arial"/>
            <w:i/>
            <w:sz w:val="18"/>
            <w:szCs w:val="18"/>
          </w:rPr>
          <w:t>Point to Point Transport (Taxis and Hire Vehicles) Act 2016</w:t>
        </w:r>
      </w:hyperlink>
      <w:r w:rsidRPr="007969B1">
        <w:rPr>
          <w:rFonts w:cs="Arial"/>
          <w:sz w:val="18"/>
          <w:szCs w:val="18"/>
        </w:rPr>
        <w:t xml:space="preserve"> (NSW)</w:t>
      </w:r>
      <w:r w:rsidR="00D47D43">
        <w:rPr>
          <w:rFonts w:cs="Arial"/>
          <w:sz w:val="18"/>
          <w:szCs w:val="18"/>
        </w:rPr>
        <w:t>;</w:t>
      </w:r>
      <w:r w:rsidRPr="007969B1">
        <w:rPr>
          <w:rFonts w:cs="Arial"/>
          <w:sz w:val="18"/>
          <w:szCs w:val="18"/>
        </w:rPr>
        <w:t xml:space="preserve"> </w:t>
      </w:r>
      <w:r w:rsidRPr="00A2423C">
        <w:rPr>
          <w:rFonts w:cs="Arial"/>
          <w:sz w:val="18"/>
          <w:szCs w:val="18"/>
        </w:rPr>
        <w:t>and Queensland’s requirements in relation to safety and fatigue management applying to all persons in the chain of responsibility for taxi and booked hire services.</w:t>
      </w:r>
      <w:r w:rsidRPr="007969B1">
        <w:rPr>
          <w:rFonts w:cs="Arial"/>
          <w:color w:val="000000"/>
          <w:sz w:val="18"/>
          <w:szCs w:val="18"/>
        </w:rPr>
        <w:t xml:space="preserve"> </w:t>
      </w:r>
    </w:p>
  </w:footnote>
  <w:footnote w:id="21">
    <w:p w:rsidR="007969B1" w:rsidRPr="007969B1" w:rsidRDefault="007969B1" w:rsidP="00954FB0">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bCs/>
          <w:color w:val="000000"/>
          <w:sz w:val="18"/>
          <w:szCs w:val="18"/>
        </w:rPr>
        <w:t xml:space="preserve">Explanatory Memorandum, </w:t>
      </w:r>
      <w:r w:rsidR="00985191">
        <w:rPr>
          <w:rFonts w:cs="Arial"/>
          <w:bCs/>
          <w:color w:val="000000"/>
          <w:sz w:val="18"/>
          <w:szCs w:val="18"/>
        </w:rPr>
        <w:t>model</w:t>
      </w:r>
      <w:r w:rsidRPr="007969B1">
        <w:rPr>
          <w:rFonts w:cs="Arial"/>
          <w:bCs/>
          <w:color w:val="000000"/>
          <w:sz w:val="18"/>
          <w:szCs w:val="18"/>
        </w:rPr>
        <w:t xml:space="preserve"> WHS Act.</w:t>
      </w:r>
    </w:p>
  </w:footnote>
  <w:footnote w:id="22">
    <w:p w:rsidR="007969B1" w:rsidRPr="007969B1" w:rsidRDefault="007969B1" w:rsidP="00F47C0D">
      <w:pPr>
        <w:rPr>
          <w:rFonts w:cs="Arial"/>
          <w:bCs/>
          <w:color w:val="000000"/>
          <w:sz w:val="18"/>
          <w:szCs w:val="18"/>
        </w:rPr>
      </w:pPr>
      <w:r w:rsidRPr="007969B1">
        <w:rPr>
          <w:rStyle w:val="FootnoteReference"/>
          <w:rFonts w:cs="Arial"/>
          <w:sz w:val="18"/>
          <w:szCs w:val="18"/>
        </w:rPr>
        <w:footnoteRef/>
      </w:r>
      <w:r w:rsidRPr="007969B1">
        <w:rPr>
          <w:rFonts w:cs="Arial"/>
          <w:sz w:val="18"/>
          <w:szCs w:val="18"/>
        </w:rPr>
        <w:t xml:space="preserve"> </w:t>
      </w:r>
      <w:r w:rsidRPr="007969B1">
        <w:rPr>
          <w:rFonts w:cs="Arial"/>
          <w:bCs/>
          <w:color w:val="000000"/>
          <w:sz w:val="18"/>
          <w:szCs w:val="18"/>
        </w:rPr>
        <w:t xml:space="preserve">The New South Wales Review recommended that its WHS laws’ extraterritorial application should be authorised, to the extent the State’s legislative power allows, including allowing the regulator to obtain records and issue notices outside of NSW in relation to work health and safety matters arising in NSW. This review highlighted that the need for regulators to obtain records or interview persons interstate has increased. </w:t>
      </w:r>
    </w:p>
  </w:footnote>
  <w:footnote w:id="23">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Perilya Limited v Nash </w:t>
      </w:r>
      <w:r w:rsidRPr="007969B1">
        <w:rPr>
          <w:rFonts w:cs="Arial"/>
          <w:sz w:val="18"/>
          <w:szCs w:val="18"/>
        </w:rPr>
        <w:t>[2015] NSWSC 706.</w:t>
      </w:r>
    </w:p>
  </w:footnote>
  <w:footnote w:id="24">
    <w:p w:rsidR="007969B1" w:rsidRPr="007969B1" w:rsidRDefault="007969B1" w:rsidP="005768BB">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Explanatory Memorandum, </w:t>
      </w:r>
      <w:r w:rsidR="00985191">
        <w:rPr>
          <w:rFonts w:cs="Arial"/>
          <w:sz w:val="18"/>
          <w:szCs w:val="18"/>
          <w:lang w:val="en-AU"/>
        </w:rPr>
        <w:t>model</w:t>
      </w:r>
      <w:r w:rsidRPr="007969B1">
        <w:rPr>
          <w:rFonts w:cs="Arial"/>
          <w:sz w:val="18"/>
          <w:szCs w:val="18"/>
          <w:lang w:val="en-AU"/>
        </w:rPr>
        <w:t xml:space="preserve"> WHS Act p 10.</w:t>
      </w:r>
    </w:p>
  </w:footnote>
  <w:footnote w:id="25">
    <w:p w:rsidR="007969B1" w:rsidRPr="007969B1" w:rsidRDefault="007969B1" w:rsidP="00C4415D">
      <w:pPr>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lang w:val="en-AU"/>
        </w:rPr>
        <w:t>Boland v Safe is Safe Pty Ltd &amp; Munro</w:t>
      </w:r>
      <w:r w:rsidRPr="007969B1">
        <w:rPr>
          <w:rFonts w:cs="Arial"/>
          <w:sz w:val="18"/>
          <w:szCs w:val="18"/>
          <w:lang w:val="en-AU"/>
        </w:rPr>
        <w:t xml:space="preserve"> [2017] SAIRC 17. The charges filed in this matter relate to the death of a young girl that occurred at the Royal Adelaide Show when she was ejected from an amusement device on 12 September 2014. The primary argument of the defendant was that the health and safety duty imposed by s 19(2) of the Act only exists whilst work is being carried out by the relevant business or undertaking and that it does not extend to the consequences or product of work after the work has been carried out or completed.</w:t>
      </w:r>
    </w:p>
  </w:footnote>
  <w:footnote w:id="26">
    <w:p w:rsidR="007969B1" w:rsidRPr="007969B1" w:rsidRDefault="007969B1" w:rsidP="006D7214">
      <w:pPr>
        <w:widowControl w:val="0"/>
        <w:autoSpaceDE w:val="0"/>
        <w:autoSpaceDN w:val="0"/>
        <w:adjustRightInd w:val="0"/>
        <w:rPr>
          <w:rFonts w:cs="Arial"/>
          <w:color w:val="000000"/>
          <w:sz w:val="18"/>
          <w:szCs w:val="18"/>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For a discussion of the potential coverage of gig economy participants by the model WHS laws see: A S</w:t>
      </w:r>
      <w:proofErr w:type="spellStart"/>
      <w:r w:rsidRPr="007969B1">
        <w:rPr>
          <w:rFonts w:cs="Arial"/>
          <w:color w:val="000000"/>
          <w:sz w:val="18"/>
          <w:szCs w:val="18"/>
        </w:rPr>
        <w:t>tewart</w:t>
      </w:r>
      <w:proofErr w:type="spellEnd"/>
      <w:r w:rsidRPr="007969B1">
        <w:rPr>
          <w:rFonts w:cs="Arial"/>
          <w:color w:val="000000"/>
          <w:sz w:val="18"/>
          <w:szCs w:val="18"/>
        </w:rPr>
        <w:t xml:space="preserve"> &amp; J Stanford, ‘</w:t>
      </w:r>
      <w:r w:rsidRPr="007969B1">
        <w:rPr>
          <w:rFonts w:cs="Arial"/>
          <w:i/>
          <w:iCs/>
          <w:color w:val="000000"/>
          <w:sz w:val="18"/>
          <w:szCs w:val="18"/>
        </w:rPr>
        <w:t>Regulating work in the gig economy: What are the options?</w:t>
      </w:r>
      <w:r w:rsidRPr="007969B1">
        <w:rPr>
          <w:rFonts w:cs="Arial"/>
          <w:iCs/>
          <w:color w:val="000000"/>
          <w:sz w:val="18"/>
          <w:szCs w:val="18"/>
        </w:rPr>
        <w:t>’</w:t>
      </w:r>
      <w:r w:rsidRPr="007969B1">
        <w:rPr>
          <w:rFonts w:cs="Arial"/>
          <w:color w:val="000000"/>
          <w:sz w:val="18"/>
          <w:szCs w:val="18"/>
        </w:rPr>
        <w:t xml:space="preserve"> (2017) 28.3 </w:t>
      </w:r>
      <w:r w:rsidRPr="007969B1">
        <w:rPr>
          <w:rFonts w:cs="Arial"/>
          <w:i/>
          <w:color w:val="000000"/>
          <w:sz w:val="18"/>
          <w:szCs w:val="18"/>
        </w:rPr>
        <w:t>The Economic and Labour Relations Review</w:t>
      </w:r>
      <w:r w:rsidRPr="007969B1">
        <w:rPr>
          <w:rFonts w:cs="Arial"/>
          <w:color w:val="000000"/>
          <w:sz w:val="18"/>
          <w:szCs w:val="18"/>
        </w:rPr>
        <w:t xml:space="preserve"> pp 420-37.</w:t>
      </w:r>
    </w:p>
  </w:footnote>
  <w:footnote w:id="27">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Model </w:t>
      </w:r>
      <w:proofErr w:type="spellStart"/>
      <w:r w:rsidRPr="007969B1">
        <w:rPr>
          <w:rFonts w:cs="Arial"/>
          <w:sz w:val="18"/>
          <w:szCs w:val="18"/>
          <w:lang w:val="en-AU"/>
        </w:rPr>
        <w:t>WHS</w:t>
      </w:r>
      <w:proofErr w:type="spellEnd"/>
      <w:r w:rsidRPr="007969B1">
        <w:rPr>
          <w:rFonts w:cs="Arial"/>
          <w:sz w:val="18"/>
          <w:szCs w:val="18"/>
          <w:lang w:val="en-AU"/>
        </w:rPr>
        <w:t xml:space="preserve"> Act, </w:t>
      </w:r>
      <w:proofErr w:type="spellStart"/>
      <w:r w:rsidRPr="007969B1">
        <w:rPr>
          <w:rFonts w:cs="Arial"/>
          <w:sz w:val="18"/>
          <w:szCs w:val="18"/>
          <w:lang w:val="en-AU"/>
        </w:rPr>
        <w:t>ss</w:t>
      </w:r>
      <w:proofErr w:type="spellEnd"/>
      <w:r w:rsidRPr="007969B1">
        <w:rPr>
          <w:rFonts w:cs="Arial"/>
          <w:color w:val="000000"/>
          <w:sz w:val="18"/>
          <w:szCs w:val="18"/>
        </w:rPr>
        <w:t> 20-26.</w:t>
      </w:r>
    </w:p>
  </w:footnote>
  <w:footnote w:id="28">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It identified that the standard should be established in the model WHS Act and that the risk management process should be outlined in the </w:t>
      </w:r>
      <w:r w:rsidR="00985191">
        <w:rPr>
          <w:rFonts w:cs="Arial"/>
          <w:sz w:val="18"/>
          <w:szCs w:val="18"/>
          <w:lang w:val="en-AU"/>
        </w:rPr>
        <w:t>model</w:t>
      </w:r>
      <w:r w:rsidRPr="007969B1">
        <w:rPr>
          <w:rFonts w:cs="Arial"/>
          <w:sz w:val="18"/>
          <w:szCs w:val="18"/>
          <w:lang w:val="en-AU"/>
        </w:rPr>
        <w:t xml:space="preserve"> WHS Regulations with further practical guidance contained in a model WHS Code of Practice.</w:t>
      </w:r>
    </w:p>
  </w:footnote>
  <w:footnote w:id="29">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Explanatory Memorandum, </w:t>
      </w:r>
      <w:r w:rsidR="00985191">
        <w:rPr>
          <w:rFonts w:cs="Arial"/>
          <w:sz w:val="18"/>
          <w:szCs w:val="18"/>
          <w:lang w:val="en-AU"/>
        </w:rPr>
        <w:t>model</w:t>
      </w:r>
      <w:r w:rsidRPr="007969B1">
        <w:rPr>
          <w:rFonts w:cs="Arial"/>
          <w:sz w:val="18"/>
          <w:szCs w:val="18"/>
          <w:lang w:val="en-AU"/>
        </w:rPr>
        <w:t xml:space="preserve"> WHS Act pp 11-12.</w:t>
      </w:r>
    </w:p>
  </w:footnote>
  <w:footnote w:id="30">
    <w:p w:rsidR="007969B1" w:rsidRPr="007969B1" w:rsidRDefault="007969B1" w:rsidP="006D7214">
      <w:pPr>
        <w:spacing w:before="120"/>
        <w:rPr>
          <w:rFonts w:cs="Arial"/>
          <w:b/>
          <w:color w:val="000000"/>
          <w:sz w:val="18"/>
          <w:szCs w:val="18"/>
        </w:rPr>
      </w:pPr>
      <w:r w:rsidRPr="007969B1">
        <w:rPr>
          <w:rStyle w:val="FootnoteReference"/>
          <w:rFonts w:cs="Arial"/>
          <w:sz w:val="18"/>
          <w:szCs w:val="18"/>
        </w:rPr>
        <w:footnoteRef/>
      </w:r>
      <w:r w:rsidRPr="007969B1">
        <w:rPr>
          <w:rFonts w:cs="Arial"/>
          <w:sz w:val="18"/>
          <w:szCs w:val="18"/>
        </w:rPr>
        <w:t xml:space="preserve"> </w:t>
      </w:r>
      <w:r w:rsidRPr="007969B1">
        <w:rPr>
          <w:rFonts w:cs="Arial"/>
          <w:color w:val="000000"/>
          <w:sz w:val="18"/>
          <w:szCs w:val="18"/>
        </w:rPr>
        <w:t xml:space="preserve">The High Court in </w:t>
      </w:r>
      <w:proofErr w:type="spellStart"/>
      <w:r w:rsidRPr="007969B1">
        <w:rPr>
          <w:rFonts w:cs="Arial"/>
          <w:i/>
          <w:color w:val="000000"/>
          <w:sz w:val="18"/>
          <w:szCs w:val="18"/>
        </w:rPr>
        <w:t>Shafron</w:t>
      </w:r>
      <w:proofErr w:type="spellEnd"/>
      <w:r w:rsidRPr="007969B1">
        <w:rPr>
          <w:rFonts w:cs="Arial"/>
          <w:i/>
          <w:color w:val="000000"/>
          <w:sz w:val="18"/>
          <w:szCs w:val="18"/>
        </w:rPr>
        <w:t xml:space="preserve"> v Australian Securities and Investments Commission (</w:t>
      </w:r>
      <w:r w:rsidRPr="007969B1">
        <w:rPr>
          <w:rFonts w:cs="Arial"/>
          <w:color w:val="000000"/>
          <w:sz w:val="18"/>
          <w:szCs w:val="18"/>
        </w:rPr>
        <w:t>2012) 247 CLR 465 clarified what constitutes ‘participating in making decisions’. It held that whether an individual falls within the definition in</w:t>
      </w:r>
      <w:r w:rsidRPr="007969B1">
        <w:rPr>
          <w:rFonts w:cs="Arial"/>
          <w:sz w:val="18"/>
          <w:szCs w:val="18"/>
        </w:rPr>
        <w:t> </w:t>
      </w:r>
      <w:hyperlink r:id="rId4" w:history="1">
        <w:r w:rsidRPr="007969B1">
          <w:rPr>
            <w:rFonts w:cs="Arial"/>
            <w:color w:val="000000"/>
            <w:sz w:val="18"/>
            <w:szCs w:val="18"/>
          </w:rPr>
          <w:t>s 9(b)(</w:t>
        </w:r>
        <w:proofErr w:type="spellStart"/>
        <w:r w:rsidRPr="007969B1">
          <w:rPr>
            <w:rFonts w:cs="Arial"/>
            <w:color w:val="000000"/>
            <w:sz w:val="18"/>
            <w:szCs w:val="18"/>
          </w:rPr>
          <w:t>i</w:t>
        </w:r>
        <w:proofErr w:type="spellEnd"/>
        <w:r w:rsidRPr="007969B1">
          <w:rPr>
            <w:rFonts w:cs="Arial"/>
            <w:color w:val="000000"/>
            <w:sz w:val="18"/>
            <w:szCs w:val="18"/>
          </w:rPr>
          <w:t>)</w:t>
        </w:r>
      </w:hyperlink>
      <w:r w:rsidRPr="007969B1">
        <w:rPr>
          <w:rFonts w:cs="Arial"/>
          <w:sz w:val="18"/>
          <w:szCs w:val="18"/>
        </w:rPr>
        <w:t> </w:t>
      </w:r>
      <w:r w:rsidRPr="007969B1">
        <w:rPr>
          <w:rFonts w:cs="Arial"/>
          <w:color w:val="000000"/>
          <w:sz w:val="18"/>
          <w:szCs w:val="18"/>
        </w:rPr>
        <w:t>requires analysis of the role that the person plays in the corporation. Participating requires the individual being closely involved in the formulating of</w:t>
      </w:r>
      <w:r w:rsidRPr="007969B1">
        <w:rPr>
          <w:rFonts w:cs="Arial"/>
          <w:sz w:val="18"/>
          <w:szCs w:val="18"/>
        </w:rPr>
        <w:t> </w:t>
      </w:r>
      <w:r w:rsidRPr="007969B1">
        <w:rPr>
          <w:rFonts w:cs="Arial"/>
          <w:color w:val="000000"/>
          <w:sz w:val="18"/>
          <w:szCs w:val="18"/>
        </w:rPr>
        <w:t>significant</w:t>
      </w:r>
      <w:r w:rsidRPr="007969B1">
        <w:rPr>
          <w:rFonts w:cs="Arial"/>
          <w:sz w:val="18"/>
          <w:szCs w:val="18"/>
        </w:rPr>
        <w:t> </w:t>
      </w:r>
      <w:r w:rsidRPr="007969B1">
        <w:rPr>
          <w:rFonts w:cs="Arial"/>
          <w:color w:val="000000"/>
          <w:sz w:val="18"/>
          <w:szCs w:val="18"/>
        </w:rPr>
        <w:t>decisions and does not require the individual to be the ultimate decision maker.</w:t>
      </w:r>
    </w:p>
  </w:footnote>
  <w:footnote w:id="31">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proofErr w:type="spellStart"/>
      <w:r w:rsidRPr="007969B1">
        <w:rPr>
          <w:rFonts w:cs="Arial"/>
          <w:i/>
          <w:sz w:val="18"/>
          <w:szCs w:val="18"/>
        </w:rPr>
        <w:t>McKie</w:t>
      </w:r>
      <w:proofErr w:type="spellEnd"/>
      <w:r w:rsidRPr="007969B1">
        <w:rPr>
          <w:rFonts w:cs="Arial"/>
          <w:i/>
          <w:sz w:val="18"/>
          <w:szCs w:val="18"/>
        </w:rPr>
        <w:t xml:space="preserve"> v Al-</w:t>
      </w:r>
      <w:proofErr w:type="spellStart"/>
      <w:r w:rsidRPr="007969B1">
        <w:rPr>
          <w:rFonts w:cs="Arial"/>
          <w:i/>
          <w:sz w:val="18"/>
          <w:szCs w:val="18"/>
        </w:rPr>
        <w:t>Hasani</w:t>
      </w:r>
      <w:proofErr w:type="spellEnd"/>
      <w:r w:rsidRPr="007969B1">
        <w:rPr>
          <w:rFonts w:cs="Arial"/>
          <w:i/>
          <w:sz w:val="18"/>
          <w:szCs w:val="18"/>
        </w:rPr>
        <w:t xml:space="preserve"> and </w:t>
      </w:r>
      <w:proofErr w:type="spellStart"/>
      <w:r w:rsidRPr="007969B1">
        <w:rPr>
          <w:rFonts w:cs="Arial"/>
          <w:i/>
          <w:sz w:val="18"/>
          <w:szCs w:val="18"/>
        </w:rPr>
        <w:t>Kenoss</w:t>
      </w:r>
      <w:proofErr w:type="spellEnd"/>
      <w:r w:rsidRPr="007969B1">
        <w:rPr>
          <w:rFonts w:cs="Arial"/>
          <w:i/>
          <w:sz w:val="18"/>
          <w:szCs w:val="18"/>
        </w:rPr>
        <w:t xml:space="preserve"> Contractors Pty Ltd (in </w:t>
      </w:r>
      <w:proofErr w:type="spellStart"/>
      <w:r w:rsidRPr="007969B1">
        <w:rPr>
          <w:rFonts w:cs="Arial"/>
          <w:i/>
          <w:sz w:val="18"/>
          <w:szCs w:val="18"/>
        </w:rPr>
        <w:t>liq</w:t>
      </w:r>
      <w:proofErr w:type="spellEnd"/>
      <w:r w:rsidRPr="007969B1">
        <w:rPr>
          <w:rFonts w:cs="Arial"/>
          <w:i/>
          <w:sz w:val="18"/>
          <w:szCs w:val="18"/>
        </w:rPr>
        <w:t>)</w:t>
      </w:r>
      <w:r w:rsidRPr="007969B1">
        <w:rPr>
          <w:rFonts w:cs="Arial"/>
          <w:sz w:val="18"/>
          <w:szCs w:val="18"/>
        </w:rPr>
        <w:t xml:space="preserve"> [2015] </w:t>
      </w:r>
      <w:proofErr w:type="spellStart"/>
      <w:r w:rsidRPr="007969B1">
        <w:rPr>
          <w:rFonts w:cs="Arial"/>
          <w:sz w:val="18"/>
          <w:szCs w:val="18"/>
        </w:rPr>
        <w:t>ACTIC</w:t>
      </w:r>
      <w:proofErr w:type="spellEnd"/>
      <w:r w:rsidRPr="007969B1">
        <w:rPr>
          <w:rFonts w:cs="Arial"/>
          <w:sz w:val="18"/>
          <w:szCs w:val="18"/>
        </w:rPr>
        <w:t xml:space="preserve"> 1.</w:t>
      </w:r>
    </w:p>
  </w:footnote>
  <w:footnote w:id="32">
    <w:p w:rsidR="007969B1" w:rsidRPr="007969B1" w:rsidRDefault="007969B1">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w:t>
      </w:r>
      <w:proofErr w:type="spellStart"/>
      <w:r w:rsidRPr="007969B1">
        <w:rPr>
          <w:rFonts w:cs="Arial"/>
          <w:i/>
          <w:sz w:val="18"/>
          <w:szCs w:val="18"/>
        </w:rPr>
        <w:t>WorkCover</w:t>
      </w:r>
      <w:proofErr w:type="spellEnd"/>
      <w:r w:rsidRPr="007969B1">
        <w:rPr>
          <w:rFonts w:cs="Arial"/>
          <w:i/>
          <w:sz w:val="18"/>
          <w:szCs w:val="18"/>
        </w:rPr>
        <w:t xml:space="preserve"> Authority (New South Wales) (Inspector Mansell) v Daly Smith Corporation (</w:t>
      </w:r>
      <w:proofErr w:type="spellStart"/>
      <w:r w:rsidRPr="007969B1">
        <w:rPr>
          <w:rFonts w:cs="Arial"/>
          <w:i/>
          <w:sz w:val="18"/>
          <w:szCs w:val="18"/>
        </w:rPr>
        <w:t>Aust</w:t>
      </w:r>
      <w:proofErr w:type="spellEnd"/>
      <w:r w:rsidRPr="007969B1">
        <w:rPr>
          <w:rFonts w:cs="Arial"/>
          <w:i/>
          <w:sz w:val="18"/>
          <w:szCs w:val="18"/>
        </w:rPr>
        <w:t>) Pty Ltd and Smith</w:t>
      </w:r>
      <w:r w:rsidRPr="007969B1">
        <w:rPr>
          <w:rFonts w:cs="Arial"/>
          <w:sz w:val="18"/>
          <w:szCs w:val="18"/>
        </w:rPr>
        <w:t xml:space="preserve"> [2004] </w:t>
      </w:r>
      <w:proofErr w:type="spellStart"/>
      <w:r w:rsidRPr="007969B1">
        <w:rPr>
          <w:rFonts w:cs="Arial"/>
          <w:sz w:val="18"/>
          <w:szCs w:val="18"/>
        </w:rPr>
        <w:t>NSWIRComm</w:t>
      </w:r>
      <w:proofErr w:type="spellEnd"/>
      <w:r w:rsidRPr="007969B1">
        <w:rPr>
          <w:rFonts w:cs="Arial"/>
          <w:sz w:val="18"/>
          <w:szCs w:val="18"/>
        </w:rPr>
        <w:t xml:space="preserve"> 349.</w:t>
      </w:r>
    </w:p>
  </w:footnote>
  <w:footnote w:id="33">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 xml:space="preserve">Safe Work NSW v Austral Hydroponics Pty Limited and </w:t>
      </w:r>
      <w:proofErr w:type="spellStart"/>
      <w:r w:rsidRPr="007969B1">
        <w:rPr>
          <w:rFonts w:cs="Arial"/>
          <w:i/>
          <w:sz w:val="18"/>
          <w:szCs w:val="18"/>
        </w:rPr>
        <w:t>Eang</w:t>
      </w:r>
      <w:proofErr w:type="spellEnd"/>
      <w:r w:rsidRPr="007969B1">
        <w:rPr>
          <w:rFonts w:cs="Arial"/>
          <w:i/>
          <w:sz w:val="18"/>
          <w:szCs w:val="18"/>
        </w:rPr>
        <w:t xml:space="preserve"> Lam</w:t>
      </w:r>
      <w:r w:rsidRPr="007969B1">
        <w:rPr>
          <w:rFonts w:cs="Arial"/>
          <w:sz w:val="18"/>
          <w:szCs w:val="18"/>
        </w:rPr>
        <w:t xml:space="preserve"> [2015] </w:t>
      </w:r>
      <w:proofErr w:type="spellStart"/>
      <w:r w:rsidRPr="007969B1">
        <w:rPr>
          <w:rFonts w:cs="Arial"/>
          <w:sz w:val="18"/>
          <w:szCs w:val="18"/>
        </w:rPr>
        <w:t>NSWDC</w:t>
      </w:r>
      <w:proofErr w:type="spellEnd"/>
      <w:r w:rsidRPr="007969B1">
        <w:rPr>
          <w:rFonts w:cs="Arial"/>
          <w:sz w:val="18"/>
          <w:szCs w:val="18"/>
        </w:rPr>
        <w:t xml:space="preserve"> 295.</w:t>
      </w:r>
    </w:p>
  </w:footnote>
  <w:footnote w:id="34">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Council of Australian Governments, Department of the Prime Minister and Cabinet, </w:t>
      </w:r>
      <w:r w:rsidRPr="007969B1">
        <w:rPr>
          <w:rFonts w:cs="Arial"/>
          <w:i/>
          <w:sz w:val="18"/>
          <w:szCs w:val="18"/>
        </w:rPr>
        <w:t xml:space="preserve">Improving the model work health and safety laws </w:t>
      </w:r>
      <w:r w:rsidRPr="007969B1">
        <w:rPr>
          <w:rFonts w:cs="Arial"/>
          <w:sz w:val="18"/>
          <w:szCs w:val="18"/>
        </w:rPr>
        <w:t>(2017) &lt;</w:t>
      </w:r>
      <w:hyperlink r:id="rId5" w:history="1">
        <w:r w:rsidRPr="007969B1">
          <w:rPr>
            <w:rStyle w:val="Hyperlink"/>
            <w:rFonts w:cs="Arial"/>
            <w:sz w:val="18"/>
            <w:szCs w:val="18"/>
          </w:rPr>
          <w:t>http://ris.pmc.gov.au/2017/01/18/improving-model-work-health-and-safety-laws</w:t>
        </w:r>
      </w:hyperlink>
      <w:r w:rsidRPr="007969B1">
        <w:rPr>
          <w:rFonts w:cs="Arial"/>
          <w:sz w:val="18"/>
          <w:szCs w:val="18"/>
        </w:rPr>
        <w:t>&gt;</w:t>
      </w:r>
    </w:p>
  </w:footnote>
  <w:footnote w:id="35">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bCs/>
          <w:i/>
          <w:color w:val="000000"/>
          <w:sz w:val="18"/>
          <w:szCs w:val="18"/>
        </w:rPr>
        <w:t xml:space="preserve"> </w:t>
      </w:r>
      <w:proofErr w:type="spellStart"/>
      <w:r w:rsidRPr="007969B1">
        <w:rPr>
          <w:rFonts w:cs="Arial"/>
          <w:bCs/>
          <w:color w:val="000000"/>
          <w:sz w:val="18"/>
          <w:szCs w:val="18"/>
        </w:rPr>
        <w:t>Gunningham</w:t>
      </w:r>
      <w:proofErr w:type="spellEnd"/>
      <w:r w:rsidRPr="007969B1">
        <w:rPr>
          <w:rFonts w:cs="Arial"/>
          <w:bCs/>
          <w:color w:val="000000"/>
          <w:sz w:val="18"/>
          <w:szCs w:val="18"/>
        </w:rPr>
        <w:t xml:space="preserve"> &amp; Associates, </w:t>
      </w:r>
      <w:proofErr w:type="spellStart"/>
      <w:r w:rsidRPr="007969B1">
        <w:rPr>
          <w:rFonts w:cs="Arial"/>
          <w:bCs/>
          <w:color w:val="000000"/>
          <w:sz w:val="18"/>
          <w:szCs w:val="18"/>
        </w:rPr>
        <w:t>WorkSafe</w:t>
      </w:r>
      <w:proofErr w:type="spellEnd"/>
      <w:r w:rsidRPr="007969B1">
        <w:rPr>
          <w:rFonts w:cs="Arial"/>
          <w:bCs/>
          <w:color w:val="000000"/>
          <w:sz w:val="18"/>
          <w:szCs w:val="18"/>
        </w:rPr>
        <w:t xml:space="preserve"> WA </w:t>
      </w:r>
      <w:r w:rsidRPr="007969B1">
        <w:rPr>
          <w:rFonts w:cs="Arial"/>
          <w:bCs/>
          <w:i/>
          <w:color w:val="000000"/>
          <w:sz w:val="18"/>
          <w:szCs w:val="18"/>
        </w:rPr>
        <w:t xml:space="preserve">Impacts of work health and safety harmonisation on very large businesses </w:t>
      </w:r>
      <w:r w:rsidRPr="007969B1">
        <w:rPr>
          <w:rFonts w:cs="Arial"/>
          <w:bCs/>
          <w:color w:val="000000"/>
          <w:sz w:val="18"/>
          <w:szCs w:val="18"/>
        </w:rPr>
        <w:t>[unpublished report] (2013).</w:t>
      </w:r>
    </w:p>
  </w:footnote>
  <w:footnote w:id="36">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lang w:val="en-AU"/>
        </w:rPr>
        <w:t>Manager and first-aid officer fined over injuries and prank</w:t>
      </w:r>
      <w:r w:rsidRPr="007969B1">
        <w:rPr>
          <w:rFonts w:cs="Arial"/>
          <w:sz w:val="18"/>
          <w:szCs w:val="18"/>
          <w:lang w:val="en-AU"/>
        </w:rPr>
        <w:t>, OHS Alert, (12 January 2018).</w:t>
      </w:r>
    </w:p>
  </w:footnote>
  <w:footnote w:id="37">
    <w:p w:rsidR="007969B1" w:rsidRPr="007969B1" w:rsidRDefault="007969B1" w:rsidP="00C4415D">
      <w:pPr>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An example of how the principles apply can be found in </w:t>
      </w:r>
      <w:r w:rsidRPr="007969B1">
        <w:rPr>
          <w:rFonts w:cs="Arial"/>
          <w:i/>
          <w:sz w:val="18"/>
          <w:szCs w:val="18"/>
          <w:lang w:val="en-AU"/>
        </w:rPr>
        <w:t>Boland v Big Mars Pty Ltd</w:t>
      </w:r>
      <w:r w:rsidRPr="007969B1">
        <w:rPr>
          <w:rFonts w:cs="Arial"/>
          <w:sz w:val="18"/>
          <w:szCs w:val="18"/>
          <w:lang w:val="en-AU"/>
        </w:rPr>
        <w:t xml:space="preserve"> [2016] SAIRC 11 where Industrial Magistrate </w:t>
      </w:r>
      <w:proofErr w:type="spellStart"/>
      <w:r w:rsidRPr="007969B1">
        <w:rPr>
          <w:rFonts w:cs="Arial"/>
          <w:sz w:val="18"/>
          <w:szCs w:val="18"/>
          <w:lang w:val="en-AU"/>
        </w:rPr>
        <w:t>Lieschke</w:t>
      </w:r>
      <w:proofErr w:type="spellEnd"/>
      <w:r w:rsidRPr="007969B1">
        <w:rPr>
          <w:rFonts w:cs="Arial"/>
          <w:sz w:val="18"/>
          <w:szCs w:val="18"/>
          <w:lang w:val="en-AU"/>
        </w:rPr>
        <w:t xml:space="preserve"> explicitly applied the principle that duties are not transferrable (s 14). He noted that a labour hire agency cannot ignore its primary duty of care to workers on its books or transfer the duty to the host business. In </w:t>
      </w:r>
      <w:r w:rsidRPr="007969B1">
        <w:rPr>
          <w:rFonts w:cs="Arial"/>
          <w:i/>
          <w:sz w:val="18"/>
          <w:szCs w:val="18"/>
          <w:lang w:val="en-AU"/>
        </w:rPr>
        <w:t xml:space="preserve">Rockhampton Regional Council v Cosgrove &amp; </w:t>
      </w:r>
      <w:proofErr w:type="spellStart"/>
      <w:r w:rsidRPr="007969B1">
        <w:rPr>
          <w:rFonts w:cs="Arial"/>
          <w:i/>
          <w:sz w:val="18"/>
          <w:szCs w:val="18"/>
          <w:lang w:val="en-AU"/>
        </w:rPr>
        <w:t>Ors</w:t>
      </w:r>
      <w:proofErr w:type="spellEnd"/>
      <w:r w:rsidRPr="007969B1">
        <w:rPr>
          <w:rFonts w:cs="Arial"/>
          <w:sz w:val="18"/>
          <w:szCs w:val="18"/>
          <w:lang w:val="en-AU"/>
        </w:rPr>
        <w:t xml:space="preserve"> [2015] </w:t>
      </w:r>
      <w:proofErr w:type="spellStart"/>
      <w:r w:rsidRPr="007969B1">
        <w:rPr>
          <w:rFonts w:cs="Arial"/>
          <w:sz w:val="18"/>
          <w:szCs w:val="18"/>
          <w:lang w:val="en-AU"/>
        </w:rPr>
        <w:t>QSC</w:t>
      </w:r>
      <w:proofErr w:type="spellEnd"/>
      <w:r w:rsidRPr="007969B1">
        <w:rPr>
          <w:rFonts w:cs="Arial"/>
          <w:sz w:val="18"/>
          <w:szCs w:val="18"/>
          <w:lang w:val="en-AU"/>
        </w:rPr>
        <w:t xml:space="preserve"> 22 Justice </w:t>
      </w:r>
      <w:proofErr w:type="spellStart"/>
      <w:r w:rsidRPr="007969B1">
        <w:rPr>
          <w:rFonts w:cs="Arial"/>
          <w:sz w:val="18"/>
          <w:szCs w:val="18"/>
          <w:lang w:val="en-AU"/>
        </w:rPr>
        <w:t>McMeekin</w:t>
      </w:r>
      <w:proofErr w:type="spellEnd"/>
      <w:r w:rsidRPr="007969B1">
        <w:rPr>
          <w:rFonts w:cs="Arial"/>
          <w:sz w:val="18"/>
          <w:szCs w:val="18"/>
          <w:lang w:val="en-AU"/>
        </w:rPr>
        <w:t xml:space="preserve"> dismissed a regional council’s argument that its general duty of care under the Qld Act could be transferred to a third party (a successor regional council).</w:t>
      </w:r>
    </w:p>
  </w:footnote>
  <w:footnote w:id="38">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Boland v Big Mars Pty Ltd</w:t>
      </w:r>
      <w:r w:rsidRPr="007969B1">
        <w:rPr>
          <w:rFonts w:cs="Arial"/>
          <w:sz w:val="18"/>
          <w:szCs w:val="18"/>
        </w:rPr>
        <w:t xml:space="preserve"> [2016] SAIRC 11.</w:t>
      </w:r>
    </w:p>
  </w:footnote>
  <w:footnote w:id="39">
    <w:p w:rsidR="007969B1" w:rsidRPr="007969B1" w:rsidRDefault="007969B1" w:rsidP="0012006D">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proofErr w:type="spellStart"/>
      <w:r w:rsidRPr="007969B1">
        <w:rPr>
          <w:rFonts w:cs="Arial"/>
          <w:sz w:val="18"/>
          <w:szCs w:val="18"/>
        </w:rPr>
        <w:t>WorkCover</w:t>
      </w:r>
      <w:proofErr w:type="spellEnd"/>
      <w:r w:rsidRPr="007969B1">
        <w:rPr>
          <w:rFonts w:cs="Arial"/>
          <w:sz w:val="18"/>
          <w:szCs w:val="18"/>
        </w:rPr>
        <w:t xml:space="preserve"> Queensland, </w:t>
      </w:r>
      <w:r w:rsidRPr="007969B1">
        <w:rPr>
          <w:rFonts w:cs="Arial"/>
          <w:i/>
          <w:sz w:val="18"/>
          <w:szCs w:val="18"/>
        </w:rPr>
        <w:t>First prosecution under s 46 – failure to consult with other duty holders</w:t>
      </w:r>
      <w:r w:rsidRPr="007969B1">
        <w:rPr>
          <w:rFonts w:cs="Arial"/>
          <w:sz w:val="18"/>
          <w:szCs w:val="18"/>
        </w:rPr>
        <w:t xml:space="preserve"> </w:t>
      </w:r>
      <w:r w:rsidRPr="007969B1">
        <w:rPr>
          <w:rFonts w:cs="Arial"/>
          <w:sz w:val="18"/>
          <w:szCs w:val="18"/>
          <w:lang w:val="en-AU"/>
        </w:rPr>
        <w:t>(Queensland Government, December 2017) &lt;</w:t>
      </w:r>
      <w:hyperlink r:id="rId6" w:history="1">
        <w:r w:rsidRPr="007969B1">
          <w:rPr>
            <w:rStyle w:val="Hyperlink"/>
            <w:rFonts w:cs="Arial"/>
            <w:sz w:val="18"/>
            <w:szCs w:val="18"/>
            <w:lang w:val="en-AU"/>
          </w:rPr>
          <w:t>https://www.worksafe.qld.gov.au/forms-and-resources/newsletter/esafe-newsletters/esafe-editions/esafe/december-2017/first-prosecution-under-s46-failure-to-consult-with-other-duty-holders</w:t>
        </w:r>
      </w:hyperlink>
      <w:r w:rsidRPr="007969B1">
        <w:rPr>
          <w:rFonts w:cs="Arial"/>
          <w:sz w:val="18"/>
          <w:szCs w:val="18"/>
          <w:lang w:val="en-AU"/>
        </w:rPr>
        <w:t xml:space="preserve">&gt; </w:t>
      </w:r>
    </w:p>
  </w:footnote>
  <w:footnote w:id="40">
    <w:p w:rsidR="007969B1" w:rsidRPr="007969B1" w:rsidRDefault="007969B1" w:rsidP="003B07BD">
      <w:pPr>
        <w:pStyle w:val="FootnoteText"/>
        <w:rPr>
          <w:rFonts w:cs="Arial"/>
          <w:sz w:val="18"/>
          <w:szCs w:val="18"/>
        </w:rPr>
      </w:pPr>
      <w:r w:rsidRPr="007969B1">
        <w:rPr>
          <w:rFonts w:cs="Arial"/>
          <w:sz w:val="18"/>
          <w:szCs w:val="18"/>
          <w:vertAlign w:val="superscript"/>
          <w:lang w:val="en-AU"/>
        </w:rPr>
        <w:footnoteRef/>
      </w:r>
      <w:r w:rsidRPr="007969B1">
        <w:rPr>
          <w:rFonts w:cs="Arial"/>
          <w:sz w:val="18"/>
          <w:szCs w:val="18"/>
          <w:lang w:val="en-AU"/>
        </w:rPr>
        <w:t xml:space="preserve"> National Research Centre for OHS Regulation, Australian National University, </w:t>
      </w:r>
      <w:r w:rsidRPr="007969B1">
        <w:rPr>
          <w:rFonts w:cs="Arial"/>
          <w:i/>
          <w:sz w:val="18"/>
          <w:szCs w:val="18"/>
          <w:lang w:val="en-AU"/>
        </w:rPr>
        <w:t>The Efficacy of Safe Work Method Statements and WHS Management Plans in Construction: Report to Safe Work Australia</w:t>
      </w:r>
      <w:r w:rsidRPr="007969B1">
        <w:rPr>
          <w:rFonts w:cs="Arial"/>
          <w:sz w:val="18"/>
          <w:szCs w:val="18"/>
          <w:lang w:val="en-AU"/>
        </w:rPr>
        <w:t xml:space="preserve"> [unpublished report] (February 2017)</w:t>
      </w:r>
      <w:r w:rsidRPr="007969B1">
        <w:rPr>
          <w:rFonts w:cs="Arial"/>
          <w:sz w:val="18"/>
          <w:szCs w:val="18"/>
        </w:rPr>
        <w:t>.</w:t>
      </w:r>
    </w:p>
  </w:footnote>
  <w:footnote w:id="41">
    <w:p w:rsidR="007969B1" w:rsidRPr="007969B1" w:rsidRDefault="007969B1" w:rsidP="00C81369">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RMIT University, Centre for Construction Work Health and Safety Research, </w:t>
      </w:r>
      <w:r w:rsidRPr="007969B1">
        <w:rPr>
          <w:rFonts w:cs="Arial"/>
          <w:i/>
          <w:sz w:val="18"/>
          <w:szCs w:val="18"/>
          <w:lang w:val="en-AU"/>
        </w:rPr>
        <w:t>Work Health and Safety Culture in the ACT Final Report</w:t>
      </w:r>
      <w:r w:rsidRPr="007969B1">
        <w:rPr>
          <w:rFonts w:cs="Arial"/>
          <w:sz w:val="18"/>
          <w:szCs w:val="18"/>
          <w:lang w:val="en-AU"/>
        </w:rPr>
        <w:t xml:space="preserve"> (September 2017) p 113.</w:t>
      </w:r>
    </w:p>
  </w:footnote>
  <w:footnote w:id="42">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Health and Safety Representatives are </w:t>
      </w:r>
      <w:r w:rsidRPr="007969B1">
        <w:rPr>
          <w:rFonts w:cs="Arial"/>
          <w:sz w:val="18"/>
          <w:szCs w:val="18"/>
          <w:lang w:eastAsia="en-US"/>
        </w:rPr>
        <w:t>workers elected for three years to represent the health and safety interests of their work group, monitor risk control measures, investigate WHS complaints and inquire into any perceived health or safety risks.</w:t>
      </w:r>
    </w:p>
  </w:footnote>
  <w:footnote w:id="43">
    <w:p w:rsidR="007969B1" w:rsidRPr="007969B1" w:rsidRDefault="007969B1" w:rsidP="00D90E7C">
      <w:pPr>
        <w:pStyle w:val="NormalWeb"/>
        <w:jc w:val="both"/>
        <w:rPr>
          <w:rFonts w:ascii="Arial" w:hAnsi="Arial" w:cs="Arial"/>
          <w:sz w:val="18"/>
          <w:szCs w:val="18"/>
        </w:rPr>
      </w:pPr>
      <w:r w:rsidRPr="007969B1">
        <w:rPr>
          <w:rStyle w:val="FootnoteReference"/>
          <w:rFonts w:ascii="Arial" w:hAnsi="Arial" w:cs="Arial"/>
          <w:sz w:val="18"/>
          <w:szCs w:val="18"/>
        </w:rPr>
        <w:footnoteRef/>
      </w:r>
      <w:r w:rsidRPr="007969B1">
        <w:rPr>
          <w:rFonts w:ascii="Arial" w:hAnsi="Arial" w:cs="Arial"/>
          <w:sz w:val="18"/>
          <w:szCs w:val="18"/>
        </w:rPr>
        <w:t xml:space="preserve"> </w:t>
      </w:r>
      <w:r w:rsidRPr="007969B1">
        <w:rPr>
          <w:rFonts w:ascii="Arial" w:hAnsi="Arial" w:cs="Arial"/>
          <w:bCs/>
          <w:color w:val="000000"/>
          <w:sz w:val="18"/>
          <w:szCs w:val="18"/>
          <w:lang w:eastAsia="en-US"/>
        </w:rPr>
        <w:t xml:space="preserve">Safe Work Australia, </w:t>
      </w:r>
      <w:r w:rsidRPr="007969B1">
        <w:rPr>
          <w:rFonts w:ascii="Arial" w:hAnsi="Arial" w:cs="Arial"/>
          <w:bCs/>
          <w:i/>
          <w:color w:val="000000"/>
          <w:sz w:val="18"/>
          <w:szCs w:val="18"/>
          <w:lang w:eastAsia="en-US"/>
        </w:rPr>
        <w:t>Evaluation of the model work health and safety laws: synthesis of findings</w:t>
      </w:r>
      <w:r w:rsidRPr="007969B1">
        <w:rPr>
          <w:rFonts w:ascii="Arial" w:hAnsi="Arial" w:cs="Arial"/>
          <w:bCs/>
          <w:color w:val="000000"/>
          <w:sz w:val="18"/>
          <w:szCs w:val="18"/>
          <w:lang w:eastAsia="en-US"/>
        </w:rPr>
        <w:t xml:space="preserve"> [unpublished report] (2015).</w:t>
      </w:r>
    </w:p>
  </w:footnote>
  <w:footnote w:id="44">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Model </w:t>
      </w:r>
      <w:proofErr w:type="spellStart"/>
      <w:r w:rsidRPr="007969B1">
        <w:rPr>
          <w:rFonts w:cs="Arial"/>
          <w:sz w:val="18"/>
          <w:szCs w:val="18"/>
        </w:rPr>
        <w:t>WHS</w:t>
      </w:r>
      <w:proofErr w:type="spellEnd"/>
      <w:r w:rsidRPr="007969B1">
        <w:rPr>
          <w:rFonts w:cs="Arial"/>
          <w:sz w:val="18"/>
          <w:szCs w:val="18"/>
        </w:rPr>
        <w:t xml:space="preserve"> Act </w:t>
      </w:r>
      <w:proofErr w:type="spellStart"/>
      <w:r w:rsidRPr="007969B1">
        <w:rPr>
          <w:rFonts w:cs="Arial"/>
          <w:sz w:val="18"/>
          <w:szCs w:val="18"/>
        </w:rPr>
        <w:t>ss</w:t>
      </w:r>
      <w:proofErr w:type="spellEnd"/>
      <w:r w:rsidRPr="007969B1">
        <w:rPr>
          <w:rFonts w:cs="Arial"/>
          <w:sz w:val="18"/>
          <w:szCs w:val="18"/>
        </w:rPr>
        <w:t> 46-79</w:t>
      </w:r>
      <w:r w:rsidRPr="007969B1">
        <w:rPr>
          <w:rFonts w:cs="Arial"/>
          <w:sz w:val="18"/>
          <w:szCs w:val="18"/>
          <w:lang w:val="en-AU"/>
        </w:rPr>
        <w:t xml:space="preserve">; </w:t>
      </w:r>
      <w:r w:rsidR="00985191">
        <w:rPr>
          <w:rFonts w:cs="Arial"/>
          <w:sz w:val="18"/>
          <w:szCs w:val="18"/>
          <w:lang w:val="en-AU"/>
        </w:rPr>
        <w:t>model</w:t>
      </w:r>
      <w:r w:rsidRPr="00866B4B">
        <w:rPr>
          <w:rFonts w:cs="Arial"/>
          <w:sz w:val="18"/>
          <w:szCs w:val="18"/>
          <w:lang w:val="en-AU"/>
        </w:rPr>
        <w:t xml:space="preserve"> </w:t>
      </w:r>
      <w:proofErr w:type="spellStart"/>
      <w:r w:rsidRPr="007969B1">
        <w:rPr>
          <w:rFonts w:cs="Arial"/>
          <w:sz w:val="18"/>
          <w:szCs w:val="18"/>
          <w:lang w:val="en-AU"/>
        </w:rPr>
        <w:t>WHS</w:t>
      </w:r>
      <w:proofErr w:type="spellEnd"/>
      <w:r w:rsidRPr="00866B4B">
        <w:rPr>
          <w:rFonts w:cs="Arial"/>
          <w:sz w:val="18"/>
          <w:szCs w:val="18"/>
          <w:lang w:val="en-AU"/>
        </w:rPr>
        <w:t xml:space="preserve"> Regulations</w:t>
      </w:r>
      <w:r w:rsidRPr="007969B1">
        <w:rPr>
          <w:rFonts w:cs="Arial"/>
          <w:sz w:val="18"/>
          <w:szCs w:val="18"/>
          <w:lang w:val="en-AU"/>
        </w:rPr>
        <w:t xml:space="preserve"> </w:t>
      </w:r>
      <w:proofErr w:type="spellStart"/>
      <w:r w:rsidRPr="007969B1">
        <w:rPr>
          <w:rFonts w:cs="Arial"/>
          <w:sz w:val="18"/>
          <w:szCs w:val="18"/>
          <w:lang w:val="en-AU"/>
        </w:rPr>
        <w:t>regs</w:t>
      </w:r>
      <w:proofErr w:type="spellEnd"/>
      <w:r w:rsidRPr="007969B1">
        <w:rPr>
          <w:rFonts w:cs="Arial"/>
          <w:sz w:val="18"/>
          <w:szCs w:val="18"/>
          <w:lang w:val="en-AU"/>
        </w:rPr>
        <w:t xml:space="preserve"> 16-21; </w:t>
      </w:r>
      <w:r w:rsidRPr="007969B1">
        <w:rPr>
          <w:rFonts w:cs="Arial"/>
          <w:i/>
          <w:sz w:val="18"/>
          <w:szCs w:val="18"/>
          <w:lang w:val="en-AU"/>
        </w:rPr>
        <w:t xml:space="preserve">Work Health and Safety Consultation, Cooperation and Coordination: Model Code of Practice </w:t>
      </w:r>
      <w:r w:rsidRPr="007969B1">
        <w:rPr>
          <w:rFonts w:cs="Arial"/>
          <w:sz w:val="18"/>
          <w:szCs w:val="18"/>
          <w:lang w:val="en-AU"/>
        </w:rPr>
        <w:t>pp 11-16.</w:t>
      </w:r>
    </w:p>
  </w:footnote>
  <w:footnote w:id="45">
    <w:p w:rsidR="007969B1" w:rsidRPr="007969B1" w:rsidRDefault="007969B1" w:rsidP="00434B9D">
      <w:pPr>
        <w:pStyle w:val="FootnoteText"/>
        <w:rPr>
          <w:rFonts w:cs="Arial"/>
          <w:sz w:val="18"/>
          <w:szCs w:val="18"/>
          <w:lang w:val="en-AU"/>
        </w:rPr>
      </w:pPr>
      <w:r w:rsidRPr="007969B1">
        <w:rPr>
          <w:rStyle w:val="FootnoteReference"/>
          <w:rFonts w:cs="Arial"/>
          <w:sz w:val="18"/>
          <w:szCs w:val="18"/>
        </w:rPr>
        <w:footnoteRef/>
      </w:r>
      <w:r w:rsidRPr="007969B1">
        <w:rPr>
          <w:rFonts w:cs="Arial"/>
          <w:i/>
          <w:sz w:val="18"/>
          <w:szCs w:val="18"/>
        </w:rPr>
        <w:t xml:space="preserve"> </w:t>
      </w:r>
      <w:r w:rsidRPr="007969B1">
        <w:rPr>
          <w:rFonts w:cs="Arial"/>
          <w:bCs/>
          <w:color w:val="000000"/>
          <w:sz w:val="18"/>
          <w:szCs w:val="18"/>
          <w:lang w:eastAsia="en-US"/>
        </w:rPr>
        <w:t xml:space="preserve">Safe Work Australia, </w:t>
      </w:r>
      <w:r w:rsidRPr="007969B1">
        <w:rPr>
          <w:rFonts w:cs="Arial"/>
          <w:bCs/>
          <w:i/>
          <w:color w:val="000000"/>
          <w:sz w:val="18"/>
          <w:szCs w:val="18"/>
          <w:lang w:eastAsia="en-US"/>
        </w:rPr>
        <w:t>Evaluation of the model work health and safety laws: synthesis of findings</w:t>
      </w:r>
      <w:r w:rsidRPr="007969B1">
        <w:rPr>
          <w:rFonts w:cs="Arial"/>
          <w:bCs/>
          <w:color w:val="000000"/>
          <w:sz w:val="18"/>
          <w:szCs w:val="18"/>
          <w:lang w:eastAsia="en-US"/>
        </w:rPr>
        <w:t xml:space="preserve"> [unpublished report] (2015).</w:t>
      </w:r>
    </w:p>
  </w:footnote>
  <w:footnote w:id="46">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Model </w:t>
      </w:r>
      <w:proofErr w:type="spellStart"/>
      <w:r w:rsidRPr="007969B1">
        <w:rPr>
          <w:rFonts w:cs="Arial"/>
          <w:sz w:val="18"/>
          <w:szCs w:val="18"/>
        </w:rPr>
        <w:t>WHS</w:t>
      </w:r>
      <w:proofErr w:type="spellEnd"/>
      <w:r w:rsidRPr="007969B1">
        <w:rPr>
          <w:rFonts w:cs="Arial"/>
          <w:sz w:val="18"/>
          <w:szCs w:val="18"/>
        </w:rPr>
        <w:t xml:space="preserve"> Act </w:t>
      </w:r>
      <w:proofErr w:type="spellStart"/>
      <w:r w:rsidRPr="007969B1">
        <w:rPr>
          <w:rFonts w:cs="Arial"/>
          <w:sz w:val="18"/>
          <w:szCs w:val="18"/>
          <w:lang w:val="en-AU"/>
        </w:rPr>
        <w:t>ss</w:t>
      </w:r>
      <w:proofErr w:type="spellEnd"/>
      <w:r w:rsidRPr="007969B1">
        <w:rPr>
          <w:rFonts w:cs="Arial"/>
          <w:sz w:val="18"/>
          <w:szCs w:val="18"/>
          <w:lang w:val="en-AU"/>
        </w:rPr>
        <w:t> 68, 85, 90.</w:t>
      </w:r>
    </w:p>
  </w:footnote>
  <w:footnote w:id="47">
    <w:p w:rsidR="007969B1" w:rsidRPr="007969B1" w:rsidRDefault="007969B1" w:rsidP="002B60E9">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Council of Australian Governments, </w:t>
      </w:r>
      <w:r w:rsidRPr="007969B1">
        <w:rPr>
          <w:rFonts w:cs="Arial"/>
          <w:i/>
          <w:sz w:val="18"/>
          <w:szCs w:val="18"/>
        </w:rPr>
        <w:t xml:space="preserve">Improving the model work health and safety laws </w:t>
      </w:r>
      <w:r w:rsidRPr="007969B1">
        <w:rPr>
          <w:rFonts w:cs="Arial"/>
          <w:sz w:val="18"/>
          <w:szCs w:val="18"/>
        </w:rPr>
        <w:t>(2017) &lt;</w:t>
      </w:r>
      <w:hyperlink r:id="rId7" w:history="1">
        <w:r w:rsidRPr="007969B1">
          <w:rPr>
            <w:rStyle w:val="Hyperlink"/>
            <w:rFonts w:cs="Arial"/>
            <w:sz w:val="18"/>
            <w:szCs w:val="18"/>
          </w:rPr>
          <w:t>http://ris.pmc.gov.au/2017/01/18/improving-model-work-health-and-safety-laws</w:t>
        </w:r>
      </w:hyperlink>
      <w:r w:rsidRPr="007969B1">
        <w:rPr>
          <w:rFonts w:cs="Arial"/>
          <w:sz w:val="18"/>
          <w:szCs w:val="18"/>
        </w:rPr>
        <w:t xml:space="preserve">&gt; </w:t>
      </w:r>
      <w:r w:rsidRPr="007969B1">
        <w:rPr>
          <w:rFonts w:cs="Arial"/>
          <w:sz w:val="18"/>
          <w:szCs w:val="18"/>
          <w:lang w:val="en-AU"/>
        </w:rPr>
        <w:t>pp 13-15.</w:t>
      </w:r>
    </w:p>
  </w:footnote>
  <w:footnote w:id="48">
    <w:p w:rsidR="007969B1" w:rsidRPr="007969B1" w:rsidRDefault="007969B1" w:rsidP="006D7214">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The recent Queensland review recommended amending its Act to reinstate the repealed provisions relating to the requirement for a PCBU to provide a list of HSRs and Deputy HSRs to the regulator, requiring mandatory training for HSRs within six months of their election and that training being refreshed on a three-yearly basis, and requiring PCBUs to send a copy of any PINs issued by an HSR to the regulator. It also suggested that the election of an HSR should be permissible as evidence that a duty holder has taken steps to mitigate work health and safety risks; Lyons T, </w:t>
      </w:r>
      <w:r w:rsidRPr="007969B1">
        <w:rPr>
          <w:rFonts w:cs="Arial"/>
          <w:i/>
          <w:sz w:val="18"/>
          <w:szCs w:val="18"/>
          <w:lang w:val="en-AU"/>
        </w:rPr>
        <w:t xml:space="preserve">Best Practice Review of Workplace Health and Safety Queensland: Final Report </w:t>
      </w:r>
      <w:r w:rsidRPr="007969B1">
        <w:rPr>
          <w:rFonts w:cs="Arial"/>
          <w:sz w:val="18"/>
          <w:szCs w:val="18"/>
          <w:lang w:val="en-AU"/>
        </w:rPr>
        <w:t xml:space="preserve">(2017) </w:t>
      </w:r>
      <w:proofErr w:type="spellStart"/>
      <w:r w:rsidRPr="007969B1">
        <w:rPr>
          <w:rFonts w:cs="Arial"/>
          <w:sz w:val="18"/>
          <w:szCs w:val="18"/>
          <w:lang w:val="en-AU"/>
        </w:rPr>
        <w:t>WorkSafe</w:t>
      </w:r>
      <w:proofErr w:type="spellEnd"/>
      <w:r w:rsidRPr="007969B1">
        <w:rPr>
          <w:rFonts w:cs="Arial"/>
          <w:sz w:val="18"/>
          <w:szCs w:val="18"/>
          <w:lang w:val="en-AU"/>
        </w:rPr>
        <w:t xml:space="preserve"> Queensland.</w:t>
      </w:r>
    </w:p>
  </w:footnote>
  <w:footnote w:id="49">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866B4B">
        <w:rPr>
          <w:rFonts w:cs="Arial"/>
          <w:sz w:val="18"/>
          <w:szCs w:val="18"/>
          <w:lang w:val="en-AU"/>
        </w:rPr>
        <w:t xml:space="preserve">Model </w:t>
      </w:r>
      <w:proofErr w:type="spellStart"/>
      <w:r w:rsidRPr="007969B1">
        <w:rPr>
          <w:rFonts w:cs="Arial"/>
          <w:sz w:val="18"/>
          <w:szCs w:val="18"/>
          <w:lang w:val="en-AU"/>
        </w:rPr>
        <w:t>WHS</w:t>
      </w:r>
      <w:proofErr w:type="spellEnd"/>
      <w:r w:rsidRPr="00866B4B">
        <w:rPr>
          <w:rFonts w:cs="Arial"/>
          <w:sz w:val="18"/>
          <w:szCs w:val="18"/>
          <w:lang w:val="en-AU"/>
        </w:rPr>
        <w:t xml:space="preserve"> Regulations</w:t>
      </w:r>
      <w:r w:rsidRPr="007969B1">
        <w:rPr>
          <w:rFonts w:cs="Arial"/>
          <w:sz w:val="18"/>
          <w:szCs w:val="18"/>
          <w:lang w:val="en-AU"/>
        </w:rPr>
        <w:t xml:space="preserve"> </w:t>
      </w:r>
      <w:proofErr w:type="spellStart"/>
      <w:r w:rsidRPr="007969B1">
        <w:rPr>
          <w:rFonts w:cs="Arial"/>
          <w:sz w:val="18"/>
          <w:szCs w:val="18"/>
          <w:lang w:val="en-AU"/>
        </w:rPr>
        <w:t>regs</w:t>
      </w:r>
      <w:proofErr w:type="spellEnd"/>
      <w:r w:rsidRPr="007969B1">
        <w:rPr>
          <w:rFonts w:cs="Arial"/>
          <w:sz w:val="18"/>
          <w:szCs w:val="18"/>
          <w:lang w:val="en-AU"/>
        </w:rPr>
        <w:t> 22-23.</w:t>
      </w:r>
    </w:p>
  </w:footnote>
  <w:footnote w:id="50">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Model </w:t>
      </w:r>
      <w:proofErr w:type="spellStart"/>
      <w:r w:rsidRPr="007969B1">
        <w:rPr>
          <w:rFonts w:cs="Arial"/>
          <w:sz w:val="18"/>
          <w:szCs w:val="18"/>
        </w:rPr>
        <w:t>WHS</w:t>
      </w:r>
      <w:proofErr w:type="spellEnd"/>
      <w:r w:rsidRPr="007969B1">
        <w:rPr>
          <w:rFonts w:cs="Arial"/>
          <w:sz w:val="18"/>
          <w:szCs w:val="18"/>
        </w:rPr>
        <w:t xml:space="preserve"> Act </w:t>
      </w:r>
      <w:proofErr w:type="spellStart"/>
      <w:r w:rsidRPr="007969B1">
        <w:rPr>
          <w:rFonts w:cs="Arial"/>
          <w:sz w:val="18"/>
          <w:szCs w:val="18"/>
        </w:rPr>
        <w:t>ss</w:t>
      </w:r>
      <w:proofErr w:type="spellEnd"/>
      <w:r w:rsidRPr="007969B1">
        <w:rPr>
          <w:rFonts w:cs="Arial"/>
          <w:sz w:val="18"/>
          <w:szCs w:val="18"/>
        </w:rPr>
        <w:t> 104-115.</w:t>
      </w:r>
    </w:p>
  </w:footnote>
  <w:footnote w:id="51">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proofErr w:type="spellStart"/>
      <w:r w:rsidRPr="007969B1">
        <w:rPr>
          <w:rFonts w:cs="Arial"/>
          <w:i/>
          <w:sz w:val="18"/>
          <w:szCs w:val="18"/>
          <w:lang w:val="en-AU"/>
        </w:rPr>
        <w:t>Thorburn</w:t>
      </w:r>
      <w:proofErr w:type="spellEnd"/>
      <w:r w:rsidRPr="007969B1">
        <w:rPr>
          <w:rFonts w:cs="Arial"/>
          <w:i/>
          <w:sz w:val="18"/>
          <w:szCs w:val="18"/>
          <w:lang w:val="en-AU"/>
        </w:rPr>
        <w:t xml:space="preserve"> v </w:t>
      </w:r>
      <w:proofErr w:type="spellStart"/>
      <w:r w:rsidRPr="007969B1">
        <w:rPr>
          <w:rFonts w:cs="Arial"/>
          <w:i/>
          <w:sz w:val="18"/>
          <w:szCs w:val="18"/>
          <w:lang w:val="en-AU"/>
        </w:rPr>
        <w:t>SafeWork</w:t>
      </w:r>
      <w:proofErr w:type="spellEnd"/>
      <w:r w:rsidRPr="007969B1">
        <w:rPr>
          <w:rFonts w:cs="Arial"/>
          <w:i/>
          <w:sz w:val="18"/>
          <w:szCs w:val="18"/>
          <w:lang w:val="en-AU"/>
        </w:rPr>
        <w:t xml:space="preserve"> SA</w:t>
      </w:r>
      <w:r w:rsidRPr="007969B1">
        <w:rPr>
          <w:rFonts w:cs="Arial"/>
          <w:sz w:val="18"/>
          <w:szCs w:val="18"/>
          <w:lang w:val="en-AU"/>
        </w:rPr>
        <w:t xml:space="preserve"> [2014] SAIRC 29.</w:t>
      </w:r>
    </w:p>
  </w:footnote>
  <w:footnote w:id="52">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Model </w:t>
      </w:r>
      <w:proofErr w:type="spellStart"/>
      <w:r w:rsidRPr="007969B1">
        <w:rPr>
          <w:rFonts w:cs="Arial"/>
          <w:sz w:val="18"/>
          <w:szCs w:val="18"/>
          <w:lang w:val="en-AU"/>
        </w:rPr>
        <w:t>WHS</w:t>
      </w:r>
      <w:proofErr w:type="spellEnd"/>
      <w:r w:rsidRPr="007969B1">
        <w:rPr>
          <w:rFonts w:cs="Arial"/>
          <w:sz w:val="18"/>
          <w:szCs w:val="18"/>
          <w:lang w:val="en-AU"/>
        </w:rPr>
        <w:t xml:space="preserve"> Act </w:t>
      </w:r>
      <w:proofErr w:type="spellStart"/>
      <w:r w:rsidRPr="007969B1">
        <w:rPr>
          <w:rFonts w:cs="Arial"/>
          <w:sz w:val="18"/>
          <w:szCs w:val="18"/>
          <w:lang w:val="en-AU"/>
        </w:rPr>
        <w:t>ss</w:t>
      </w:r>
      <w:proofErr w:type="spellEnd"/>
      <w:r w:rsidRPr="007969B1">
        <w:rPr>
          <w:rFonts w:cs="Arial"/>
          <w:sz w:val="18"/>
          <w:szCs w:val="18"/>
          <w:lang w:val="en-AU"/>
        </w:rPr>
        <w:t xml:space="preserve"> 116-151; </w:t>
      </w:r>
      <w:r w:rsidR="00985191">
        <w:rPr>
          <w:rFonts w:cs="Arial"/>
          <w:sz w:val="18"/>
          <w:szCs w:val="18"/>
          <w:lang w:val="en-AU"/>
        </w:rPr>
        <w:t>model</w:t>
      </w:r>
      <w:r w:rsidRPr="007969B1">
        <w:rPr>
          <w:rFonts w:cs="Arial"/>
          <w:sz w:val="18"/>
          <w:szCs w:val="18"/>
          <w:lang w:val="en-AU"/>
        </w:rPr>
        <w:t xml:space="preserve"> </w:t>
      </w:r>
      <w:proofErr w:type="spellStart"/>
      <w:r w:rsidRPr="007969B1">
        <w:rPr>
          <w:rFonts w:cs="Arial"/>
          <w:sz w:val="18"/>
          <w:szCs w:val="18"/>
          <w:lang w:val="en-AU"/>
        </w:rPr>
        <w:t>WHS</w:t>
      </w:r>
      <w:proofErr w:type="spellEnd"/>
      <w:r w:rsidRPr="007969B1">
        <w:rPr>
          <w:rFonts w:cs="Arial"/>
          <w:sz w:val="18"/>
          <w:szCs w:val="18"/>
          <w:lang w:val="en-AU"/>
        </w:rPr>
        <w:t xml:space="preserve"> Regulations </w:t>
      </w:r>
      <w:proofErr w:type="spellStart"/>
      <w:r w:rsidRPr="007969B1">
        <w:rPr>
          <w:rFonts w:cs="Arial"/>
          <w:sz w:val="18"/>
          <w:szCs w:val="18"/>
          <w:lang w:val="en-AU"/>
        </w:rPr>
        <w:t>regs</w:t>
      </w:r>
      <w:proofErr w:type="spellEnd"/>
      <w:r w:rsidRPr="007969B1">
        <w:rPr>
          <w:rFonts w:cs="Arial"/>
          <w:sz w:val="18"/>
          <w:szCs w:val="18"/>
          <w:lang w:val="en-AU"/>
        </w:rPr>
        <w:t> 25-31.</w:t>
      </w:r>
    </w:p>
  </w:footnote>
  <w:footnote w:id="53">
    <w:p w:rsidR="007969B1" w:rsidRPr="007969B1" w:rsidRDefault="007969B1" w:rsidP="006D7214">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It is noted that South Australia has some specific arrangements which are unique to that jurisdiction requiring WHS permit holders to contact the Regulator in certain circumstances prior to exercising the WHS right of entry.</w:t>
      </w:r>
    </w:p>
  </w:footnote>
  <w:footnote w:id="54">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Jurisdictional notes allow each jurisdiction to decide who the authorising authority should be. The authorising authority issues WHS entry permits. For example in Queensland the authorising authority is an individual registrar under the </w:t>
      </w:r>
      <w:r w:rsidRPr="00866B4B">
        <w:rPr>
          <w:rFonts w:cs="Arial"/>
          <w:i/>
          <w:sz w:val="18"/>
          <w:szCs w:val="18"/>
          <w:lang w:val="en-AU"/>
        </w:rPr>
        <w:t>Industrial Relations Act 1999</w:t>
      </w:r>
      <w:r w:rsidRPr="007969B1">
        <w:rPr>
          <w:rFonts w:cs="Arial"/>
          <w:sz w:val="18"/>
          <w:szCs w:val="18"/>
          <w:lang w:val="en-AU"/>
        </w:rPr>
        <w:t xml:space="preserve"> (Qld). In New South Wales the authorising authority is the Industrial Relations Commission of New South Wales. </w:t>
      </w:r>
    </w:p>
  </w:footnote>
  <w:footnote w:id="55">
    <w:p w:rsidR="007969B1" w:rsidRPr="007969B1" w:rsidRDefault="007969B1" w:rsidP="00C81369">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Council of Australian Governments, Department of the Prime Minister and Cabinet, </w:t>
      </w:r>
      <w:r w:rsidRPr="007969B1">
        <w:rPr>
          <w:rFonts w:cs="Arial"/>
          <w:i/>
          <w:sz w:val="18"/>
          <w:szCs w:val="18"/>
        </w:rPr>
        <w:t xml:space="preserve">Improving the model work health and safety laws </w:t>
      </w:r>
      <w:r w:rsidRPr="007969B1">
        <w:rPr>
          <w:rFonts w:cs="Arial"/>
          <w:sz w:val="18"/>
          <w:szCs w:val="18"/>
        </w:rPr>
        <w:t>(2017) &lt;</w:t>
      </w:r>
      <w:hyperlink r:id="rId8" w:history="1">
        <w:r w:rsidRPr="007969B1">
          <w:rPr>
            <w:rStyle w:val="Hyperlink"/>
            <w:rFonts w:cs="Arial"/>
            <w:sz w:val="18"/>
            <w:szCs w:val="18"/>
          </w:rPr>
          <w:t>http://ris.pmc.gov.au/2017/01/18/improving-model-work-health-and-safety-laws</w:t>
        </w:r>
      </w:hyperlink>
      <w:r w:rsidRPr="007969B1">
        <w:rPr>
          <w:rFonts w:cs="Arial"/>
          <w:sz w:val="18"/>
          <w:szCs w:val="18"/>
        </w:rPr>
        <w:t>&gt; p 10.</w:t>
      </w:r>
    </w:p>
  </w:footnote>
  <w:footnote w:id="56">
    <w:p w:rsidR="007C5183" w:rsidRPr="007969B1" w:rsidRDefault="007C5183" w:rsidP="007C5183">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The SA Act had already been amended to increase the fine to $20 000 during the passage of the legislation through that State’s Legislative Council. No other jurisdiction has made the COAG Review’s recommended change.</w:t>
      </w:r>
    </w:p>
  </w:footnote>
  <w:footnote w:id="57">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Construction, Forestry, Mining and Energy Union (CFMEU) v Bechtel Construction (Australia) Pty Ltd</w:t>
      </w:r>
      <w:r w:rsidRPr="007969B1">
        <w:rPr>
          <w:rFonts w:cs="Arial"/>
          <w:sz w:val="18"/>
          <w:szCs w:val="18"/>
        </w:rPr>
        <w:t xml:space="preserve"> [2013] FCA 667. The court questioned </w:t>
      </w:r>
      <w:r w:rsidRPr="007969B1">
        <w:rPr>
          <w:rFonts w:cs="Arial"/>
          <w:bCs/>
          <w:color w:val="000000"/>
          <w:sz w:val="18"/>
          <w:szCs w:val="18"/>
        </w:rPr>
        <w:t xml:space="preserve">whether a permit holder under the WHS Act who has lawfully entered a site under a s 484 notice under </w:t>
      </w:r>
      <w:r w:rsidRPr="007969B1">
        <w:rPr>
          <w:rFonts w:cs="Arial"/>
          <w:bCs/>
          <w:i/>
          <w:color w:val="000000"/>
          <w:sz w:val="18"/>
          <w:szCs w:val="18"/>
        </w:rPr>
        <w:t>the Fair Work Act 2009</w:t>
      </w:r>
      <w:r w:rsidRPr="007969B1">
        <w:rPr>
          <w:rFonts w:cs="Arial"/>
          <w:bCs/>
          <w:color w:val="000000"/>
          <w:sz w:val="18"/>
          <w:szCs w:val="18"/>
        </w:rPr>
        <w:t xml:space="preserve"> to hold discussions with workers, and in doing so becomes aware of a possible safety contravention would need to leave the site and then exercise a right of entry on the basis of a reasonably held suspicion under the relevant State or Territory OHS law. </w:t>
      </w:r>
    </w:p>
  </w:footnote>
  <w:footnote w:id="58">
    <w:p w:rsidR="007969B1" w:rsidRPr="007969B1" w:rsidRDefault="007969B1" w:rsidP="00017B86">
      <w:pPr>
        <w:rPr>
          <w:rFonts w:cs="Arial"/>
          <w:bCs/>
          <w:sz w:val="18"/>
          <w:szCs w:val="18"/>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 xml:space="preserve">Ramsay &amp; Anor v </w:t>
      </w:r>
      <w:proofErr w:type="spellStart"/>
      <w:r w:rsidRPr="007969B1">
        <w:rPr>
          <w:rFonts w:cs="Arial"/>
          <w:i/>
          <w:sz w:val="18"/>
          <w:szCs w:val="18"/>
        </w:rPr>
        <w:t>Menso</w:t>
      </w:r>
      <w:proofErr w:type="spellEnd"/>
      <w:r w:rsidRPr="007969B1">
        <w:rPr>
          <w:rFonts w:cs="Arial"/>
          <w:i/>
          <w:sz w:val="18"/>
          <w:szCs w:val="18"/>
        </w:rPr>
        <w:t xml:space="preserve"> &amp; Anor</w:t>
      </w:r>
      <w:r w:rsidRPr="007969B1">
        <w:rPr>
          <w:rFonts w:cs="Arial"/>
          <w:sz w:val="18"/>
          <w:szCs w:val="18"/>
        </w:rPr>
        <w:t xml:space="preserve"> [2017] </w:t>
      </w:r>
      <w:proofErr w:type="spellStart"/>
      <w:r w:rsidRPr="007969B1">
        <w:rPr>
          <w:rFonts w:cs="Arial"/>
          <w:sz w:val="18"/>
          <w:szCs w:val="18"/>
        </w:rPr>
        <w:t>FCCA</w:t>
      </w:r>
      <w:proofErr w:type="spellEnd"/>
      <w:r w:rsidRPr="007969B1">
        <w:rPr>
          <w:rFonts w:cs="Arial"/>
          <w:sz w:val="18"/>
          <w:szCs w:val="18"/>
        </w:rPr>
        <w:t xml:space="preserve"> 1416. </w:t>
      </w:r>
      <w:r w:rsidRPr="007969B1">
        <w:rPr>
          <w:rFonts w:cs="Arial"/>
          <w:bCs/>
          <w:color w:val="000000"/>
          <w:sz w:val="18"/>
          <w:szCs w:val="18"/>
        </w:rPr>
        <w:t xml:space="preserve">As a result of this decision, the </w:t>
      </w:r>
      <w:proofErr w:type="spellStart"/>
      <w:r w:rsidRPr="007969B1">
        <w:rPr>
          <w:rFonts w:cs="Arial"/>
          <w:bCs/>
          <w:color w:val="000000"/>
          <w:sz w:val="18"/>
          <w:szCs w:val="18"/>
        </w:rPr>
        <w:t>Qld</w:t>
      </w:r>
      <w:proofErr w:type="spellEnd"/>
      <w:r w:rsidRPr="007969B1">
        <w:rPr>
          <w:rFonts w:cs="Arial"/>
          <w:bCs/>
          <w:color w:val="000000"/>
          <w:sz w:val="18"/>
          <w:szCs w:val="18"/>
        </w:rPr>
        <w:t xml:space="preserve"> Act has been amended to enable inspectors to make a determination about whether the WHS entry permit holder has a valid </w:t>
      </w:r>
      <w:r w:rsidRPr="007969B1">
        <w:rPr>
          <w:rFonts w:cs="Arial"/>
          <w:bCs/>
          <w:sz w:val="18"/>
          <w:szCs w:val="18"/>
        </w:rPr>
        <w:t xml:space="preserve">right of entry or has complied with notice requirements under </w:t>
      </w:r>
      <w:proofErr w:type="spellStart"/>
      <w:r w:rsidRPr="007969B1">
        <w:rPr>
          <w:rFonts w:cs="Arial"/>
          <w:bCs/>
          <w:sz w:val="18"/>
          <w:szCs w:val="18"/>
        </w:rPr>
        <w:t>ss</w:t>
      </w:r>
      <w:proofErr w:type="spellEnd"/>
      <w:r w:rsidRPr="007969B1">
        <w:rPr>
          <w:rFonts w:cs="Arial"/>
          <w:bCs/>
          <w:sz w:val="18"/>
          <w:szCs w:val="18"/>
        </w:rPr>
        <w:t xml:space="preserve"> 119 or 122 of the </w:t>
      </w:r>
      <w:proofErr w:type="spellStart"/>
      <w:r w:rsidRPr="007969B1">
        <w:rPr>
          <w:rFonts w:cs="Arial"/>
          <w:bCs/>
          <w:sz w:val="18"/>
          <w:szCs w:val="18"/>
        </w:rPr>
        <w:t>Qld</w:t>
      </w:r>
      <w:proofErr w:type="spellEnd"/>
      <w:r w:rsidRPr="007969B1">
        <w:rPr>
          <w:rFonts w:cs="Arial"/>
          <w:bCs/>
          <w:sz w:val="18"/>
          <w:szCs w:val="18"/>
        </w:rPr>
        <w:t xml:space="preserve"> Act.</w:t>
      </w:r>
    </w:p>
  </w:footnote>
  <w:footnote w:id="59">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Australian Building and Construction Commissioner v Powell</w:t>
      </w:r>
      <w:r w:rsidRPr="007969B1">
        <w:rPr>
          <w:rFonts w:cs="Arial"/>
          <w:sz w:val="18"/>
          <w:szCs w:val="18"/>
        </w:rPr>
        <w:t xml:space="preserve"> [2017] FCAFC 89. The High Court subsequently refused </w:t>
      </w:r>
      <w:proofErr w:type="spellStart"/>
      <w:r w:rsidRPr="007969B1">
        <w:rPr>
          <w:rFonts w:cs="Arial"/>
          <w:sz w:val="18"/>
          <w:szCs w:val="18"/>
        </w:rPr>
        <w:t>WorkSafe</w:t>
      </w:r>
      <w:proofErr w:type="spellEnd"/>
      <w:r w:rsidRPr="007969B1">
        <w:rPr>
          <w:rFonts w:cs="Arial"/>
          <w:sz w:val="18"/>
          <w:szCs w:val="18"/>
        </w:rPr>
        <w:t xml:space="preserve"> Victoria and the union official special leave to appeal against this decision.</w:t>
      </w:r>
    </w:p>
  </w:footnote>
  <w:footnote w:id="60">
    <w:p w:rsidR="007969B1" w:rsidRPr="007969B1" w:rsidRDefault="007969B1" w:rsidP="009A2A8C">
      <w:pPr>
        <w:jc w:val="both"/>
        <w:rPr>
          <w:rFonts w:cs="Arial"/>
          <w:sz w:val="18"/>
          <w:szCs w:val="18"/>
          <w:lang w:val="en-AU"/>
        </w:rPr>
      </w:pPr>
      <w:r w:rsidRPr="007969B1">
        <w:rPr>
          <w:rStyle w:val="FootnoteReference"/>
          <w:rFonts w:cs="Arial"/>
          <w:sz w:val="18"/>
          <w:szCs w:val="18"/>
        </w:rPr>
        <w:footnoteRef/>
      </w:r>
      <w:r w:rsidRPr="007969B1">
        <w:rPr>
          <w:rFonts w:cs="Arial"/>
          <w:i/>
          <w:sz w:val="18"/>
          <w:szCs w:val="18"/>
        </w:rPr>
        <w:t xml:space="preserve"> </w:t>
      </w:r>
      <w:r w:rsidRPr="007969B1">
        <w:rPr>
          <w:rFonts w:cs="Arial"/>
          <w:sz w:val="18"/>
          <w:szCs w:val="18"/>
        </w:rPr>
        <w:t>Instinct &amp; Reason,</w:t>
      </w:r>
      <w:r w:rsidRPr="007969B1">
        <w:rPr>
          <w:rFonts w:cs="Arial"/>
          <w:i/>
          <w:sz w:val="18"/>
          <w:szCs w:val="18"/>
        </w:rPr>
        <w:t xml:space="preserve"> Evaluation of model work health and safety (WHS) laws: non-employing, small and medium business interviews </w:t>
      </w:r>
      <w:r w:rsidRPr="007969B1">
        <w:rPr>
          <w:rFonts w:cs="Arial"/>
          <w:sz w:val="18"/>
          <w:szCs w:val="18"/>
        </w:rPr>
        <w:t>[unpublished report] (2014) Safe Work Australia.</w:t>
      </w:r>
    </w:p>
  </w:footnote>
  <w:footnote w:id="61">
    <w:p w:rsidR="007969B1" w:rsidRPr="007969B1" w:rsidRDefault="007969B1" w:rsidP="003C2E95">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proofErr w:type="spellStart"/>
      <w:r w:rsidRPr="007969B1">
        <w:rPr>
          <w:rFonts w:cs="Arial"/>
          <w:sz w:val="18"/>
          <w:szCs w:val="18"/>
        </w:rPr>
        <w:t>SafeWork</w:t>
      </w:r>
      <w:proofErr w:type="spellEnd"/>
      <w:r w:rsidRPr="007969B1">
        <w:rPr>
          <w:rFonts w:cs="Arial"/>
          <w:sz w:val="18"/>
          <w:szCs w:val="18"/>
        </w:rPr>
        <w:t xml:space="preserve"> SA, </w:t>
      </w:r>
      <w:r w:rsidRPr="007969B1">
        <w:rPr>
          <w:rFonts w:cs="Arial"/>
          <w:i/>
          <w:sz w:val="18"/>
          <w:szCs w:val="18"/>
          <w:lang w:val="en-AU"/>
        </w:rPr>
        <w:t>Report of the Review of the Operation of the Work Health and Safety Act 2012 (SA)</w:t>
      </w:r>
      <w:r w:rsidRPr="007969B1">
        <w:rPr>
          <w:rFonts w:cs="Arial"/>
          <w:sz w:val="18"/>
          <w:szCs w:val="18"/>
          <w:lang w:val="en-AU"/>
        </w:rPr>
        <w:t xml:space="preserve"> (2014) pp 48-49.</w:t>
      </w:r>
    </w:p>
  </w:footnote>
  <w:footnote w:id="62">
    <w:p w:rsidR="007969B1" w:rsidRPr="007969B1" w:rsidRDefault="007969B1" w:rsidP="003C2E95">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See Lyons T, </w:t>
      </w:r>
      <w:r w:rsidRPr="007969B1">
        <w:rPr>
          <w:rFonts w:cs="Arial"/>
          <w:i/>
          <w:sz w:val="18"/>
          <w:szCs w:val="18"/>
          <w:lang w:val="en-AU"/>
        </w:rPr>
        <w:t xml:space="preserve">Best Practice Review of Workplace Health and Safety Queensland: Final Report </w:t>
      </w:r>
      <w:r w:rsidRPr="007969B1">
        <w:rPr>
          <w:rFonts w:cs="Arial"/>
          <w:sz w:val="18"/>
          <w:szCs w:val="18"/>
          <w:lang w:val="en-AU"/>
        </w:rPr>
        <w:t xml:space="preserve">(2017) </w:t>
      </w:r>
      <w:proofErr w:type="spellStart"/>
      <w:r w:rsidRPr="007969B1">
        <w:rPr>
          <w:rFonts w:cs="Arial"/>
          <w:sz w:val="18"/>
          <w:szCs w:val="18"/>
          <w:lang w:val="en-AU"/>
        </w:rPr>
        <w:t>WorkSafe</w:t>
      </w:r>
      <w:proofErr w:type="spellEnd"/>
      <w:r w:rsidRPr="007969B1">
        <w:rPr>
          <w:rFonts w:cs="Arial"/>
          <w:sz w:val="18"/>
          <w:szCs w:val="18"/>
          <w:lang w:val="en-AU"/>
        </w:rPr>
        <w:t xml:space="preserve"> Queensland pp 93-94.</w:t>
      </w:r>
    </w:p>
  </w:footnote>
  <w:footnote w:id="63">
    <w:p w:rsidR="007969B1" w:rsidRPr="007969B1" w:rsidRDefault="007969B1" w:rsidP="003C2E95">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Department of Education, Employment and Workplace Relations, </w:t>
      </w:r>
      <w:r w:rsidRPr="007969B1">
        <w:rPr>
          <w:rFonts w:cs="Arial"/>
          <w:i/>
          <w:sz w:val="18"/>
          <w:szCs w:val="18"/>
          <w:lang w:val="en-AU"/>
        </w:rPr>
        <w:t xml:space="preserve">National Review into Model Occupational Health and Safety Laws, Second Report </w:t>
      </w:r>
      <w:r w:rsidRPr="007969B1">
        <w:rPr>
          <w:rFonts w:cs="Arial"/>
          <w:sz w:val="18"/>
          <w:szCs w:val="18"/>
          <w:lang w:val="en-AU"/>
        </w:rPr>
        <w:t>(2009) Recommendation 232, p 281.</w:t>
      </w:r>
    </w:p>
  </w:footnote>
  <w:footnote w:id="64">
    <w:p w:rsidR="007969B1" w:rsidRPr="007969B1" w:rsidRDefault="007969B1" w:rsidP="00E55CA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hyperlink r:id="rId9" w:tgtFrame="_blank" w:history="1">
        <w:r w:rsidRPr="007969B1">
          <w:rPr>
            <w:rFonts w:cs="Arial"/>
            <w:i/>
            <w:sz w:val="18"/>
            <w:szCs w:val="18"/>
          </w:rPr>
          <w:t>Hunter Quarries Pty Ltd v State of New South Wales (Department of Trade &amp; Investment)</w:t>
        </w:r>
        <w:r w:rsidRPr="007969B1">
          <w:rPr>
            <w:rFonts w:cs="Arial"/>
            <w:sz w:val="18"/>
            <w:szCs w:val="18"/>
          </w:rPr>
          <w:t xml:space="preserve"> [2014] NSWSC 1580 (12 November 2014)</w:t>
        </w:r>
      </w:hyperlink>
      <w:r w:rsidRPr="007969B1">
        <w:rPr>
          <w:rFonts w:cs="Arial"/>
          <w:sz w:val="18"/>
          <w:szCs w:val="18"/>
        </w:rPr>
        <w:t>. Section 155 provides for regulators to seek information or documents in writing before interviewing a person.</w:t>
      </w:r>
    </w:p>
  </w:footnote>
  <w:footnote w:id="65">
    <w:p w:rsidR="007969B1" w:rsidRPr="007969B1" w:rsidRDefault="007969B1" w:rsidP="005202D8">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proofErr w:type="spellStart"/>
      <w:r w:rsidRPr="007969B1">
        <w:rPr>
          <w:rFonts w:cs="Arial"/>
          <w:sz w:val="18"/>
          <w:szCs w:val="18"/>
        </w:rPr>
        <w:t>SafeWork</w:t>
      </w:r>
      <w:proofErr w:type="spellEnd"/>
      <w:r w:rsidRPr="007969B1">
        <w:rPr>
          <w:rFonts w:cs="Arial"/>
          <w:sz w:val="18"/>
          <w:szCs w:val="18"/>
        </w:rPr>
        <w:t xml:space="preserve"> SA, </w:t>
      </w:r>
      <w:r w:rsidRPr="007969B1">
        <w:rPr>
          <w:rFonts w:cs="Arial"/>
          <w:i/>
          <w:sz w:val="18"/>
          <w:szCs w:val="18"/>
        </w:rPr>
        <w:t xml:space="preserve">Investigation and Prosecution Arrangements at </w:t>
      </w:r>
      <w:proofErr w:type="spellStart"/>
      <w:r w:rsidRPr="007969B1">
        <w:rPr>
          <w:rFonts w:cs="Arial"/>
          <w:i/>
          <w:sz w:val="18"/>
          <w:szCs w:val="18"/>
        </w:rPr>
        <w:t>SafeWork</w:t>
      </w:r>
      <w:proofErr w:type="spellEnd"/>
      <w:r w:rsidRPr="007969B1">
        <w:rPr>
          <w:rFonts w:cs="Arial"/>
          <w:i/>
          <w:sz w:val="18"/>
          <w:szCs w:val="18"/>
        </w:rPr>
        <w:t xml:space="preserve"> SA</w:t>
      </w:r>
      <w:r w:rsidRPr="007969B1">
        <w:rPr>
          <w:rFonts w:cs="Arial"/>
          <w:sz w:val="18"/>
          <w:szCs w:val="18"/>
        </w:rPr>
        <w:t xml:space="preserve"> (Government of South Australia, October 2017) &lt;</w:t>
      </w:r>
      <w:hyperlink r:id="rId10" w:history="1">
        <w:r w:rsidRPr="007969B1">
          <w:rPr>
            <w:rStyle w:val="Hyperlink"/>
            <w:rFonts w:cs="Arial"/>
            <w:sz w:val="18"/>
            <w:szCs w:val="18"/>
          </w:rPr>
          <w:t>https://www.safework.sa.gov.au/show_page.jsp?id=116644</w:t>
        </w:r>
      </w:hyperlink>
      <w:r w:rsidRPr="007969B1">
        <w:rPr>
          <w:rFonts w:cs="Arial"/>
          <w:sz w:val="18"/>
          <w:szCs w:val="18"/>
        </w:rPr>
        <w:t>&gt;</w:t>
      </w:r>
    </w:p>
  </w:footnote>
  <w:footnote w:id="66">
    <w:p w:rsidR="007969B1" w:rsidRPr="007969B1" w:rsidRDefault="007969B1" w:rsidP="003C2E95">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Explanatory Memorandum, </w:t>
      </w:r>
      <w:r w:rsidR="00985191">
        <w:rPr>
          <w:rFonts w:cs="Arial"/>
          <w:sz w:val="18"/>
          <w:szCs w:val="18"/>
          <w:lang w:val="en-AU"/>
        </w:rPr>
        <w:t>model</w:t>
      </w:r>
      <w:r w:rsidRPr="007969B1">
        <w:rPr>
          <w:rFonts w:cs="Arial"/>
          <w:sz w:val="18"/>
          <w:szCs w:val="18"/>
          <w:lang w:val="en-AU"/>
        </w:rPr>
        <w:t xml:space="preserve"> WHS Act p 78.</w:t>
      </w:r>
    </w:p>
  </w:footnote>
  <w:footnote w:id="67">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rPr>
        <w:t xml:space="preserve">NSW Rural Fire Service v </w:t>
      </w:r>
      <w:proofErr w:type="spellStart"/>
      <w:r w:rsidRPr="007969B1">
        <w:rPr>
          <w:rFonts w:cs="Arial"/>
          <w:i/>
          <w:sz w:val="18"/>
          <w:szCs w:val="18"/>
        </w:rPr>
        <w:t>SafeWork</w:t>
      </w:r>
      <w:proofErr w:type="spellEnd"/>
      <w:r w:rsidRPr="007969B1">
        <w:rPr>
          <w:rFonts w:cs="Arial"/>
          <w:i/>
          <w:sz w:val="18"/>
          <w:szCs w:val="18"/>
        </w:rPr>
        <w:t xml:space="preserve"> NSW</w:t>
      </w:r>
      <w:r w:rsidRPr="007969B1">
        <w:rPr>
          <w:rFonts w:cs="Arial"/>
          <w:sz w:val="18"/>
          <w:szCs w:val="18"/>
        </w:rPr>
        <w:t xml:space="preserve"> [2016] </w:t>
      </w:r>
      <w:proofErr w:type="spellStart"/>
      <w:r w:rsidRPr="007969B1">
        <w:rPr>
          <w:rFonts w:cs="Arial"/>
          <w:sz w:val="18"/>
          <w:szCs w:val="18"/>
        </w:rPr>
        <w:t>NSWIRComm</w:t>
      </w:r>
      <w:proofErr w:type="spellEnd"/>
      <w:r w:rsidRPr="007969B1">
        <w:rPr>
          <w:rFonts w:cs="Arial"/>
          <w:sz w:val="18"/>
          <w:szCs w:val="18"/>
        </w:rPr>
        <w:t xml:space="preserve"> 4,</w:t>
      </w:r>
      <w:hyperlink r:id="rId11" w:history="1">
        <w:r w:rsidRPr="007969B1">
          <w:rPr>
            <w:rFonts w:cs="Arial"/>
            <w:i/>
            <w:sz w:val="18"/>
            <w:szCs w:val="18"/>
          </w:rPr>
          <w:t xml:space="preserve"> </w:t>
        </w:r>
        <w:proofErr w:type="spellStart"/>
        <w:r w:rsidRPr="007969B1">
          <w:rPr>
            <w:rFonts w:cs="Arial"/>
            <w:i/>
            <w:sz w:val="18"/>
            <w:szCs w:val="18"/>
          </w:rPr>
          <w:t>Automative</w:t>
        </w:r>
        <w:proofErr w:type="spellEnd"/>
        <w:r w:rsidRPr="007969B1">
          <w:rPr>
            <w:rFonts w:cs="Arial"/>
            <w:i/>
            <w:sz w:val="18"/>
            <w:szCs w:val="18"/>
          </w:rPr>
          <w:t xml:space="preserve"> Food Metals Engineering Printing and Kindred Industries Union New South Wales Branch and </w:t>
        </w:r>
        <w:proofErr w:type="spellStart"/>
        <w:r w:rsidRPr="007969B1">
          <w:rPr>
            <w:rFonts w:cs="Arial"/>
            <w:i/>
            <w:sz w:val="18"/>
            <w:szCs w:val="18"/>
          </w:rPr>
          <w:t>WorkCover</w:t>
        </w:r>
        <w:proofErr w:type="spellEnd"/>
        <w:r w:rsidRPr="007969B1">
          <w:rPr>
            <w:rFonts w:cs="Arial"/>
            <w:i/>
            <w:sz w:val="18"/>
            <w:szCs w:val="18"/>
          </w:rPr>
          <w:t xml:space="preserve"> Authority of New South Wales</w:t>
        </w:r>
      </w:hyperlink>
      <w:r w:rsidRPr="007969B1">
        <w:rPr>
          <w:rFonts w:cs="Arial"/>
          <w:i/>
          <w:sz w:val="18"/>
          <w:szCs w:val="18"/>
        </w:rPr>
        <w:t xml:space="preserve"> </w:t>
      </w:r>
      <w:r w:rsidRPr="007969B1">
        <w:rPr>
          <w:rFonts w:cs="Arial"/>
          <w:sz w:val="18"/>
          <w:szCs w:val="18"/>
        </w:rPr>
        <w:t xml:space="preserve">[2012] </w:t>
      </w:r>
      <w:proofErr w:type="spellStart"/>
      <w:r w:rsidRPr="007969B1">
        <w:rPr>
          <w:rFonts w:cs="Arial"/>
          <w:sz w:val="18"/>
          <w:szCs w:val="18"/>
        </w:rPr>
        <w:t>NSWIRComm</w:t>
      </w:r>
      <w:proofErr w:type="spellEnd"/>
      <w:r w:rsidRPr="007969B1">
        <w:rPr>
          <w:rFonts w:cs="Arial"/>
          <w:sz w:val="18"/>
          <w:szCs w:val="18"/>
        </w:rPr>
        <w:t xml:space="preserve"> 143 </w:t>
      </w:r>
      <w:r w:rsidRPr="007969B1">
        <w:rPr>
          <w:rFonts w:cs="Arial"/>
          <w:i/>
          <w:sz w:val="18"/>
          <w:szCs w:val="18"/>
        </w:rPr>
        <w:t>Australian Postal Corporation v Comcare</w:t>
      </w:r>
      <w:r w:rsidRPr="007969B1">
        <w:rPr>
          <w:rFonts w:cs="Arial"/>
          <w:sz w:val="18"/>
          <w:szCs w:val="18"/>
        </w:rPr>
        <w:t xml:space="preserve"> [2014] </w:t>
      </w:r>
      <w:proofErr w:type="spellStart"/>
      <w:r w:rsidRPr="007969B1">
        <w:rPr>
          <w:rFonts w:cs="Arial"/>
          <w:sz w:val="18"/>
          <w:szCs w:val="18"/>
        </w:rPr>
        <w:t>FWC</w:t>
      </w:r>
      <w:proofErr w:type="spellEnd"/>
      <w:r w:rsidRPr="007969B1">
        <w:rPr>
          <w:rFonts w:cs="Arial"/>
          <w:sz w:val="18"/>
          <w:szCs w:val="18"/>
        </w:rPr>
        <w:t xml:space="preserve"> 3228.</w:t>
      </w:r>
    </w:p>
  </w:footnote>
  <w:footnote w:id="68">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Model WHS Act s 36.</w:t>
      </w:r>
    </w:p>
  </w:footnote>
  <w:footnote w:id="69">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Safe Work Australia, </w:t>
      </w:r>
      <w:r w:rsidRPr="007969B1">
        <w:rPr>
          <w:rFonts w:cs="Arial"/>
          <w:i/>
          <w:sz w:val="18"/>
          <w:szCs w:val="18"/>
          <w:lang w:val="en-AU"/>
        </w:rPr>
        <w:t xml:space="preserve">National Compliance and Enforcement Policy </w:t>
      </w:r>
      <w:r w:rsidRPr="007969B1">
        <w:rPr>
          <w:rFonts w:cs="Arial"/>
          <w:sz w:val="18"/>
          <w:szCs w:val="18"/>
          <w:lang w:val="en-AU"/>
        </w:rPr>
        <w:t>(2011).</w:t>
      </w:r>
    </w:p>
  </w:footnote>
  <w:footnote w:id="70">
    <w:p w:rsidR="007969B1" w:rsidRPr="007969B1" w:rsidRDefault="007969B1">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Consistent with Safe Work Australia, </w:t>
      </w:r>
      <w:r w:rsidRPr="007969B1">
        <w:rPr>
          <w:rFonts w:cs="Arial"/>
          <w:i/>
          <w:sz w:val="18"/>
          <w:szCs w:val="18"/>
        </w:rPr>
        <w:t>National Compliance and Enforcement Policy</w:t>
      </w:r>
      <w:r w:rsidRPr="007969B1">
        <w:rPr>
          <w:rFonts w:cs="Arial"/>
          <w:sz w:val="18"/>
          <w:szCs w:val="18"/>
        </w:rPr>
        <w:t xml:space="preserve"> (2011) pp 2-4.</w:t>
      </w:r>
    </w:p>
  </w:footnote>
  <w:footnote w:id="71">
    <w:p w:rsidR="007969B1" w:rsidRPr="007969B1" w:rsidRDefault="007969B1" w:rsidP="006C2043">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Safe Work Australia, </w:t>
      </w:r>
      <w:r w:rsidRPr="007969B1">
        <w:rPr>
          <w:rFonts w:cs="Arial"/>
          <w:i/>
          <w:sz w:val="18"/>
          <w:szCs w:val="18"/>
          <w:lang w:val="en-AU"/>
        </w:rPr>
        <w:t xml:space="preserve">National Compliance and Enforcement Policy </w:t>
      </w:r>
      <w:r w:rsidRPr="007969B1">
        <w:rPr>
          <w:rFonts w:cs="Arial"/>
          <w:sz w:val="18"/>
          <w:szCs w:val="18"/>
          <w:lang w:val="en-AU"/>
        </w:rPr>
        <w:t xml:space="preserve">(2011) </w:t>
      </w:r>
      <w:r w:rsidRPr="007969B1">
        <w:rPr>
          <w:rFonts w:cs="Arial"/>
          <w:sz w:val="18"/>
          <w:szCs w:val="18"/>
        </w:rPr>
        <w:t>p 6.</w:t>
      </w:r>
    </w:p>
  </w:footnote>
  <w:footnote w:id="72">
    <w:p w:rsidR="007969B1" w:rsidRPr="007969B1" w:rsidRDefault="007969B1" w:rsidP="008A4BE0">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Ibid, pp 7-13.</w:t>
      </w:r>
    </w:p>
  </w:footnote>
  <w:footnote w:id="73">
    <w:p w:rsidR="007969B1" w:rsidRPr="007969B1" w:rsidRDefault="007969B1" w:rsidP="006C2043">
      <w:pPr>
        <w:pStyle w:val="FootnoteText"/>
        <w:rPr>
          <w:rFonts w:cs="Arial"/>
          <w:sz w:val="18"/>
          <w:szCs w:val="18"/>
        </w:rPr>
      </w:pPr>
      <w:r w:rsidRPr="007969B1">
        <w:rPr>
          <w:rStyle w:val="FootnoteReference"/>
          <w:rFonts w:cs="Arial"/>
          <w:sz w:val="18"/>
          <w:szCs w:val="18"/>
        </w:rPr>
        <w:footnoteRef/>
      </w:r>
      <w:r w:rsidRPr="007969B1">
        <w:rPr>
          <w:rFonts w:cs="Arial"/>
          <w:sz w:val="18"/>
          <w:szCs w:val="18"/>
        </w:rPr>
        <w:t xml:space="preserve"> See the discussion of the approach to enforcement in R Johnstone, </w:t>
      </w:r>
      <w:r w:rsidRPr="007969B1">
        <w:rPr>
          <w:rFonts w:cs="Arial"/>
          <w:i/>
          <w:sz w:val="18"/>
          <w:szCs w:val="18"/>
        </w:rPr>
        <w:t>From Fiction to Fact, Re-thinking OHS Enforcement</w:t>
      </w:r>
      <w:r w:rsidRPr="007969B1">
        <w:rPr>
          <w:rFonts w:cs="Arial"/>
          <w:sz w:val="18"/>
          <w:szCs w:val="18"/>
        </w:rPr>
        <w:t xml:space="preserve"> (Australian National University, 2003) p 17. </w:t>
      </w:r>
    </w:p>
  </w:footnote>
  <w:footnote w:id="74">
    <w:p w:rsidR="007969B1" w:rsidRPr="007969B1" w:rsidRDefault="007969B1" w:rsidP="00D064A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There are some exceptions for volunteer officers and unincorporated associations at </w:t>
      </w:r>
      <w:r w:rsidR="00985191">
        <w:rPr>
          <w:rFonts w:cs="Arial"/>
          <w:sz w:val="18"/>
          <w:szCs w:val="18"/>
        </w:rPr>
        <w:t>model</w:t>
      </w:r>
      <w:r w:rsidRPr="007969B1">
        <w:rPr>
          <w:rFonts w:cs="Arial"/>
          <w:sz w:val="18"/>
          <w:szCs w:val="18"/>
        </w:rPr>
        <w:t xml:space="preserve"> WHS Act s 34.</w:t>
      </w:r>
    </w:p>
  </w:footnote>
  <w:footnote w:id="75">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Department of Education, Employment and Workplace Relations, </w:t>
      </w:r>
      <w:r w:rsidRPr="007969B1">
        <w:rPr>
          <w:rFonts w:cs="Arial"/>
          <w:i/>
          <w:sz w:val="18"/>
          <w:szCs w:val="18"/>
        </w:rPr>
        <w:t xml:space="preserve">National Review into Model Occupational Health and Safety Laws, First Report </w:t>
      </w:r>
      <w:r w:rsidRPr="007969B1">
        <w:rPr>
          <w:rFonts w:cs="Arial"/>
          <w:sz w:val="18"/>
          <w:szCs w:val="18"/>
        </w:rPr>
        <w:t xml:space="preserve">(2009) </w:t>
      </w:r>
      <w:r w:rsidRPr="007969B1">
        <w:rPr>
          <w:rFonts w:cs="Arial"/>
          <w:sz w:val="18"/>
          <w:szCs w:val="18"/>
          <w:lang w:val="en-AU"/>
        </w:rPr>
        <w:t>pp 234-5.</w:t>
      </w:r>
    </w:p>
  </w:footnote>
  <w:footnote w:id="76">
    <w:p w:rsidR="007969B1" w:rsidRPr="007969B1" w:rsidRDefault="007969B1" w:rsidP="00540F13">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Workplace Relations Ministers' Council, </w:t>
      </w:r>
      <w:r w:rsidRPr="007969B1">
        <w:rPr>
          <w:rFonts w:cs="Arial"/>
          <w:i/>
          <w:sz w:val="18"/>
          <w:szCs w:val="18"/>
          <w:lang w:val="en"/>
        </w:rPr>
        <w:t>Communiqué from Australian, State, Territory and New Zealand Workplace Relations Ministers' Council</w:t>
      </w:r>
      <w:r w:rsidRPr="007969B1">
        <w:rPr>
          <w:rFonts w:cs="Arial"/>
          <w:sz w:val="18"/>
          <w:szCs w:val="18"/>
          <w:lang w:val="en-AU"/>
        </w:rPr>
        <w:t xml:space="preserve"> (18 May 2009).</w:t>
      </w:r>
    </w:p>
  </w:footnote>
  <w:footnote w:id="77">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The Work Health and Safety (Industrial Manslaughter) Amendment Bill 2015 (SA).</w:t>
      </w:r>
    </w:p>
  </w:footnote>
  <w:footnote w:id="78">
    <w:p w:rsidR="007969B1" w:rsidRPr="007969B1" w:rsidRDefault="007969B1" w:rsidP="0047274B">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T</w:t>
      </w:r>
      <w:r w:rsidRPr="007969B1">
        <w:rPr>
          <w:rFonts w:cs="Arial"/>
          <w:sz w:val="18"/>
          <w:szCs w:val="18"/>
          <w:lang w:val="en-AU"/>
        </w:rPr>
        <w:t xml:space="preserve">he Parliamentary Committee on Occupational Safety, Rehabilitation and Compensation, </w:t>
      </w:r>
      <w:r w:rsidRPr="007969B1">
        <w:rPr>
          <w:rFonts w:cs="Arial"/>
          <w:i/>
          <w:sz w:val="18"/>
          <w:szCs w:val="18"/>
          <w:lang w:val="en-AU"/>
        </w:rPr>
        <w:t>Response to the Parliamentary Committee’s Report – Work Health and Safety (Industrial Manslaughter) Amendment Bill 2015</w:t>
      </w:r>
      <w:r w:rsidRPr="007969B1">
        <w:rPr>
          <w:rFonts w:cs="Arial"/>
          <w:sz w:val="18"/>
          <w:szCs w:val="18"/>
          <w:lang w:val="en-AU"/>
        </w:rPr>
        <w:t xml:space="preserve"> (August 2017).</w:t>
      </w:r>
    </w:p>
  </w:footnote>
  <w:footnote w:id="79">
    <w:p w:rsidR="007969B1" w:rsidRPr="007969B1" w:rsidRDefault="007969B1" w:rsidP="00FB68F2">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It is noted that NSW introduced new on the spot fines in 2017 relating to the management of the risk of falls and fall-related emergency procedures and carrying out high-risk work without a licence.</w:t>
      </w:r>
    </w:p>
  </w:footnote>
  <w:footnote w:id="80">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Noting that in NSW the secretary of an industrial organisation of employees can bring proceedings for Category 1 or Category 2 offences if the regulator has declined to follow the advice of the Director of Public Prosecutions to bring proceedings; </w:t>
      </w:r>
      <w:r w:rsidRPr="007969B1">
        <w:rPr>
          <w:rFonts w:cs="Arial"/>
          <w:i/>
          <w:sz w:val="18"/>
          <w:szCs w:val="18"/>
          <w:lang w:val="en-AU"/>
        </w:rPr>
        <w:t xml:space="preserve">Work Health and Safety Act 2011 </w:t>
      </w:r>
      <w:r w:rsidRPr="007969B1">
        <w:rPr>
          <w:rFonts w:cs="Arial"/>
          <w:sz w:val="18"/>
          <w:szCs w:val="18"/>
          <w:lang w:val="en-AU"/>
        </w:rPr>
        <w:t>(NSW) s 231(3).</w:t>
      </w:r>
    </w:p>
  </w:footnote>
  <w:footnote w:id="81">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See, for example, R McCallum, T Schofield &amp; s Jamieson, </w:t>
      </w:r>
      <w:r w:rsidRPr="007969B1">
        <w:rPr>
          <w:rFonts w:cs="Arial"/>
          <w:i/>
          <w:sz w:val="18"/>
          <w:szCs w:val="18"/>
        </w:rPr>
        <w:t>Public Submission No 42</w:t>
      </w:r>
      <w:r w:rsidRPr="007969B1">
        <w:rPr>
          <w:rFonts w:cs="Arial"/>
          <w:sz w:val="18"/>
          <w:szCs w:val="18"/>
        </w:rPr>
        <w:t xml:space="preserve"> </w:t>
      </w:r>
      <w:r w:rsidRPr="007969B1">
        <w:rPr>
          <w:rFonts w:cs="Arial"/>
          <w:sz w:val="18"/>
          <w:szCs w:val="18"/>
          <w:lang w:val="en-AU"/>
        </w:rPr>
        <w:t xml:space="preserve">(Submissions to Issues Paper, National Review into Occupational Health and Safety Laws 2008); N Foster, </w:t>
      </w:r>
      <w:r w:rsidRPr="007969B1">
        <w:rPr>
          <w:rFonts w:cs="Arial"/>
          <w:i/>
          <w:sz w:val="18"/>
          <w:szCs w:val="18"/>
          <w:lang w:val="en-AU"/>
        </w:rPr>
        <w:t>Public Submission No 30</w:t>
      </w:r>
      <w:r w:rsidRPr="007969B1">
        <w:rPr>
          <w:rFonts w:cs="Arial"/>
          <w:sz w:val="18"/>
          <w:szCs w:val="18"/>
          <w:lang w:val="en-AU"/>
        </w:rPr>
        <w:t>, (Submissions to Issues Paper, National Review into Occupational Health and Safety Laws 2008).</w:t>
      </w:r>
    </w:p>
  </w:footnote>
  <w:footnote w:id="82">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See the discussion of the onus of proof at </w:t>
      </w:r>
      <w:r w:rsidRPr="007969B1">
        <w:rPr>
          <w:rFonts w:cs="Arial"/>
          <w:sz w:val="18"/>
          <w:szCs w:val="18"/>
        </w:rPr>
        <w:t xml:space="preserve">Department of Education, Employment and Workplace Relations, </w:t>
      </w:r>
      <w:r w:rsidRPr="007969B1">
        <w:rPr>
          <w:rFonts w:cs="Arial"/>
          <w:i/>
          <w:sz w:val="18"/>
          <w:szCs w:val="18"/>
        </w:rPr>
        <w:t xml:space="preserve">National Review into Model Occupational Health and Safety Laws, First Report </w:t>
      </w:r>
      <w:r w:rsidRPr="007969B1">
        <w:rPr>
          <w:rFonts w:cs="Arial"/>
          <w:sz w:val="18"/>
          <w:szCs w:val="18"/>
        </w:rPr>
        <w:t xml:space="preserve">(2009) </w:t>
      </w:r>
      <w:r w:rsidRPr="007969B1">
        <w:rPr>
          <w:rFonts w:cs="Arial"/>
          <w:sz w:val="18"/>
          <w:szCs w:val="18"/>
          <w:lang w:val="en-AU"/>
        </w:rPr>
        <w:t>p 123.</w:t>
      </w:r>
    </w:p>
  </w:footnote>
  <w:footnote w:id="83">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Lyons T, </w:t>
      </w:r>
      <w:r w:rsidRPr="007969B1">
        <w:rPr>
          <w:rFonts w:cs="Arial"/>
          <w:i/>
          <w:sz w:val="18"/>
          <w:szCs w:val="18"/>
          <w:lang w:val="en-AU"/>
        </w:rPr>
        <w:t>Best Practice Review of Workplace Health and Safety Queensland: Final Report</w:t>
      </w:r>
      <w:r w:rsidRPr="007969B1">
        <w:rPr>
          <w:rFonts w:cs="Arial"/>
          <w:sz w:val="18"/>
          <w:szCs w:val="18"/>
          <w:lang w:val="en-AU"/>
        </w:rPr>
        <w:t xml:space="preserve"> (2017) </w:t>
      </w:r>
      <w:proofErr w:type="spellStart"/>
      <w:r w:rsidRPr="007969B1">
        <w:rPr>
          <w:rFonts w:cs="Arial"/>
          <w:sz w:val="18"/>
          <w:szCs w:val="18"/>
          <w:lang w:val="en-AU"/>
        </w:rPr>
        <w:t>WorkSafe</w:t>
      </w:r>
      <w:proofErr w:type="spellEnd"/>
      <w:r w:rsidRPr="007969B1">
        <w:rPr>
          <w:rFonts w:cs="Arial"/>
          <w:sz w:val="18"/>
          <w:szCs w:val="18"/>
          <w:lang w:val="en-AU"/>
        </w:rPr>
        <w:t xml:space="preserve"> Queensland p 24.</w:t>
      </w:r>
    </w:p>
  </w:footnote>
  <w:footnote w:id="84">
    <w:p w:rsidR="007969B1" w:rsidRPr="007969B1" w:rsidRDefault="007969B1" w:rsidP="00F725BC">
      <w:pPr>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National Research Centre for Occupational Health and Safety Regulation, Safe Work Australia, </w:t>
      </w:r>
      <w:r w:rsidRPr="007969B1">
        <w:rPr>
          <w:rFonts w:cs="Arial"/>
          <w:i/>
          <w:sz w:val="18"/>
          <w:szCs w:val="18"/>
        </w:rPr>
        <w:t>Project 2: Sentencing of Work Health and Safety Offenders: Report to Safe Work Australia</w:t>
      </w:r>
      <w:r w:rsidRPr="007969B1">
        <w:rPr>
          <w:rFonts w:cs="Arial"/>
          <w:sz w:val="18"/>
          <w:szCs w:val="18"/>
        </w:rPr>
        <w:t xml:space="preserve"> [unpublished report] (July 2017). </w:t>
      </w:r>
    </w:p>
  </w:footnote>
  <w:footnote w:id="85">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Department of Education, Employment and Workplace Relations, </w:t>
      </w:r>
      <w:r w:rsidRPr="007969B1">
        <w:rPr>
          <w:rFonts w:cs="Arial"/>
          <w:i/>
          <w:sz w:val="18"/>
          <w:szCs w:val="18"/>
        </w:rPr>
        <w:t xml:space="preserve">National Review into Model Occupational Health and Safety Laws, First Report </w:t>
      </w:r>
      <w:r w:rsidRPr="007969B1">
        <w:rPr>
          <w:rFonts w:cs="Arial"/>
          <w:sz w:val="18"/>
          <w:szCs w:val="18"/>
        </w:rPr>
        <w:t xml:space="preserve">(2009) </w:t>
      </w:r>
      <w:r w:rsidRPr="007969B1">
        <w:rPr>
          <w:rFonts w:cs="Arial"/>
          <w:sz w:val="18"/>
          <w:szCs w:val="18"/>
          <w:lang w:val="en-AU"/>
        </w:rPr>
        <w:t>p 164.</w:t>
      </w:r>
    </w:p>
  </w:footnote>
  <w:footnote w:id="86">
    <w:p w:rsidR="007969B1" w:rsidRPr="007969B1" w:rsidRDefault="007969B1" w:rsidP="006F633C">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Workplace Relations Ministers' Council, </w:t>
      </w:r>
      <w:r w:rsidRPr="007969B1">
        <w:rPr>
          <w:rFonts w:cs="Arial"/>
          <w:i/>
          <w:sz w:val="18"/>
          <w:szCs w:val="18"/>
          <w:lang w:val="en-AU"/>
        </w:rPr>
        <w:t xml:space="preserve">Communiqué from Australian, State, Territory and New Zealand Workplace Relations Ministers' Council </w:t>
      </w:r>
      <w:r w:rsidRPr="007969B1">
        <w:rPr>
          <w:rFonts w:cs="Arial"/>
          <w:sz w:val="18"/>
          <w:szCs w:val="18"/>
          <w:lang w:val="en-AU"/>
        </w:rPr>
        <w:t>(18 May 2009).</w:t>
      </w:r>
    </w:p>
  </w:footnote>
  <w:footnote w:id="87">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lang w:val="en-AU"/>
        </w:rPr>
        <w:t>Williamson v VH &amp; MG Imports Pty Ltd</w:t>
      </w:r>
      <w:r w:rsidRPr="007969B1">
        <w:rPr>
          <w:rFonts w:cs="Arial"/>
          <w:sz w:val="18"/>
          <w:szCs w:val="18"/>
          <w:lang w:val="en-AU"/>
        </w:rPr>
        <w:t xml:space="preserve"> [2017] QDC 56.</w:t>
      </w:r>
    </w:p>
  </w:footnote>
  <w:footnote w:id="88">
    <w:p w:rsidR="007969B1" w:rsidRPr="007969B1" w:rsidRDefault="007969B1" w:rsidP="00EB4173">
      <w:pPr>
        <w:jc w:val="both"/>
        <w:rPr>
          <w:rFonts w:cs="Arial"/>
          <w:sz w:val="18"/>
          <w:szCs w:val="18"/>
        </w:rPr>
      </w:pPr>
      <w:r w:rsidRPr="007969B1">
        <w:rPr>
          <w:rStyle w:val="FootnoteReference"/>
          <w:rFonts w:cs="Arial"/>
          <w:sz w:val="18"/>
          <w:szCs w:val="18"/>
        </w:rPr>
        <w:footnoteRef/>
      </w:r>
      <w:r w:rsidRPr="007969B1">
        <w:rPr>
          <w:rFonts w:cs="Arial"/>
          <w:sz w:val="18"/>
          <w:szCs w:val="18"/>
        </w:rPr>
        <w:t xml:space="preserve"> Under Britain’s 2016 sentencing guidelines, a court applies a formula to set the penalty, first taking account of the defendant's culpability, then the likelihood and magnitude of potential harm. The harm rating and culpability assessment are then applied to a series of tables with the amount of fines calculated for organisations based on different levels of annual turnover. The number of people affected is also considered and judicial discretion is available. </w:t>
      </w:r>
    </w:p>
  </w:footnote>
  <w:footnote w:id="89">
    <w:p w:rsidR="007969B1" w:rsidRPr="007969B1" w:rsidRDefault="007969B1">
      <w:pPr>
        <w:pStyle w:val="FootnoteText"/>
        <w:rPr>
          <w:rFonts w:cs="Arial"/>
          <w:i/>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Safe Work Australia, </w:t>
      </w:r>
      <w:r w:rsidRPr="007969B1">
        <w:rPr>
          <w:rFonts w:cs="Arial"/>
          <w:i/>
          <w:sz w:val="18"/>
          <w:szCs w:val="18"/>
          <w:lang w:val="en-AU"/>
        </w:rPr>
        <w:t>Comparative performance monitoring report 19</w:t>
      </w:r>
      <w:r w:rsidRPr="007969B1">
        <w:rPr>
          <w:rFonts w:cs="Arial"/>
          <w:i/>
          <w:sz w:val="18"/>
          <w:szCs w:val="18"/>
          <w:vertAlign w:val="superscript"/>
          <w:lang w:val="en-AU"/>
        </w:rPr>
        <w:t>th</w:t>
      </w:r>
      <w:r w:rsidRPr="007969B1">
        <w:rPr>
          <w:rFonts w:cs="Arial"/>
          <w:i/>
          <w:sz w:val="18"/>
          <w:szCs w:val="18"/>
          <w:lang w:val="en-AU"/>
        </w:rPr>
        <w:t xml:space="preserve"> edition</w:t>
      </w:r>
      <w:r w:rsidRPr="007969B1">
        <w:rPr>
          <w:rFonts w:cs="Arial"/>
          <w:sz w:val="18"/>
          <w:szCs w:val="18"/>
          <w:lang w:val="en-AU"/>
        </w:rPr>
        <w:t xml:space="preserve">, </w:t>
      </w:r>
      <w:r w:rsidRPr="007969B1">
        <w:rPr>
          <w:rFonts w:cs="Arial"/>
          <w:i/>
          <w:sz w:val="18"/>
          <w:szCs w:val="18"/>
          <w:lang w:val="en-AU"/>
        </w:rPr>
        <w:t>Part 2 – Work health and safety compliance and enforcement activities,</w:t>
      </w:r>
      <w:r w:rsidRPr="007969B1">
        <w:rPr>
          <w:rFonts w:cs="Arial"/>
          <w:sz w:val="18"/>
          <w:szCs w:val="18"/>
          <w:lang w:val="en-AU"/>
        </w:rPr>
        <w:t xml:space="preserve"> p 14.</w:t>
      </w:r>
    </w:p>
  </w:footnote>
  <w:footnote w:id="90">
    <w:p w:rsidR="007969B1" w:rsidRPr="007969B1" w:rsidRDefault="007969B1" w:rsidP="00462893">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Department of Education, Employment and Workplace Relations, </w:t>
      </w:r>
      <w:r w:rsidRPr="007969B1">
        <w:rPr>
          <w:rFonts w:cs="Arial"/>
          <w:i/>
          <w:sz w:val="18"/>
          <w:szCs w:val="18"/>
        </w:rPr>
        <w:t xml:space="preserve">National Review into Model Occupational Health and Safety Laws, Second Report </w:t>
      </w:r>
      <w:r w:rsidRPr="007969B1">
        <w:rPr>
          <w:rFonts w:cs="Arial"/>
          <w:sz w:val="18"/>
          <w:szCs w:val="18"/>
        </w:rPr>
        <w:t xml:space="preserve">(2009) </w:t>
      </w:r>
      <w:r w:rsidRPr="007969B1">
        <w:rPr>
          <w:rFonts w:cs="Arial"/>
          <w:sz w:val="18"/>
          <w:szCs w:val="18"/>
          <w:lang w:val="en-AU"/>
        </w:rPr>
        <w:t>pp 257-263.</w:t>
      </w:r>
    </w:p>
  </w:footnote>
  <w:footnote w:id="91">
    <w:p w:rsidR="007969B1" w:rsidRPr="007969B1" w:rsidRDefault="007969B1" w:rsidP="00462893">
      <w:pPr>
        <w:pStyle w:val="FootnoteText"/>
        <w:rPr>
          <w:rFonts w:cs="Arial"/>
          <w:sz w:val="18"/>
          <w:szCs w:val="18"/>
        </w:rPr>
      </w:pPr>
      <w:r w:rsidRPr="007969B1">
        <w:rPr>
          <w:rStyle w:val="FootnoteReference"/>
          <w:rFonts w:cs="Arial"/>
          <w:sz w:val="18"/>
          <w:szCs w:val="18"/>
        </w:rPr>
        <w:footnoteRef/>
      </w:r>
      <w:r w:rsidRPr="007969B1">
        <w:rPr>
          <w:rFonts w:cs="Arial"/>
          <w:sz w:val="18"/>
          <w:szCs w:val="18"/>
          <w:lang w:val="en-AU"/>
        </w:rPr>
        <w:t xml:space="preserve"> Model WHS Act s 216(2).</w:t>
      </w:r>
    </w:p>
  </w:footnote>
  <w:footnote w:id="92">
    <w:p w:rsidR="007969B1" w:rsidRPr="007969B1" w:rsidRDefault="007969B1" w:rsidP="00462893">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Lyons T, </w:t>
      </w:r>
      <w:r w:rsidRPr="007969B1">
        <w:rPr>
          <w:rFonts w:cs="Arial"/>
          <w:i/>
          <w:sz w:val="18"/>
          <w:szCs w:val="18"/>
          <w:lang w:val="en-AU"/>
        </w:rPr>
        <w:t xml:space="preserve">Best Practice Review of Workplace Health and Safety Queensland: Final Report </w:t>
      </w:r>
      <w:r w:rsidRPr="007969B1">
        <w:rPr>
          <w:rFonts w:cs="Arial"/>
          <w:sz w:val="18"/>
          <w:szCs w:val="18"/>
          <w:lang w:val="en-AU"/>
        </w:rPr>
        <w:t xml:space="preserve">(2017) </w:t>
      </w:r>
      <w:proofErr w:type="spellStart"/>
      <w:r w:rsidRPr="007969B1">
        <w:rPr>
          <w:rFonts w:cs="Arial"/>
          <w:sz w:val="18"/>
          <w:szCs w:val="18"/>
          <w:lang w:val="en-AU"/>
        </w:rPr>
        <w:t>WorkSafe</w:t>
      </w:r>
      <w:proofErr w:type="spellEnd"/>
      <w:r w:rsidRPr="007969B1">
        <w:rPr>
          <w:rFonts w:cs="Arial"/>
          <w:sz w:val="18"/>
          <w:szCs w:val="18"/>
          <w:lang w:val="en-AU"/>
        </w:rPr>
        <w:t xml:space="preserve"> Queensland pp 75-76.</w:t>
      </w:r>
    </w:p>
  </w:footnote>
  <w:footnote w:id="93">
    <w:p w:rsidR="007969B1" w:rsidRPr="007969B1" w:rsidRDefault="007969B1" w:rsidP="00462893">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lang w:val="en-AU"/>
        </w:rPr>
        <w:t xml:space="preserve"> Victorian WorkCover Authority</w:t>
      </w:r>
      <w:r w:rsidRPr="007969B1">
        <w:rPr>
          <w:rFonts w:cs="Arial"/>
          <w:i/>
          <w:sz w:val="18"/>
          <w:szCs w:val="18"/>
          <w:lang w:val="en-AU"/>
        </w:rPr>
        <w:t xml:space="preserve">, Policy on Enforceable Undertakings pursuant to section 16 of the Occupational Health and Safety Act 2004 </w:t>
      </w:r>
      <w:r w:rsidRPr="007969B1">
        <w:rPr>
          <w:rFonts w:cs="Arial"/>
          <w:sz w:val="18"/>
          <w:szCs w:val="18"/>
          <w:lang w:val="en-AU"/>
        </w:rPr>
        <w:t>(October 2014) p 3.</w:t>
      </w:r>
    </w:p>
  </w:footnote>
  <w:footnote w:id="94">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sz w:val="18"/>
          <w:szCs w:val="18"/>
          <w:lang w:val="en-AU"/>
        </w:rPr>
        <w:t xml:space="preserve">Lyons T, </w:t>
      </w:r>
      <w:r w:rsidRPr="007969B1">
        <w:rPr>
          <w:rFonts w:cs="Arial"/>
          <w:i/>
          <w:sz w:val="18"/>
          <w:szCs w:val="18"/>
          <w:lang w:val="en-AU"/>
        </w:rPr>
        <w:t xml:space="preserve">Best Practice Review of Workplace Health and Safety Queensland: Final Report </w:t>
      </w:r>
      <w:r w:rsidRPr="007969B1">
        <w:rPr>
          <w:rFonts w:cs="Arial"/>
          <w:sz w:val="18"/>
          <w:szCs w:val="18"/>
          <w:lang w:val="en-AU"/>
        </w:rPr>
        <w:t xml:space="preserve">(2017) </w:t>
      </w:r>
      <w:proofErr w:type="spellStart"/>
      <w:r w:rsidRPr="007969B1">
        <w:rPr>
          <w:rFonts w:cs="Arial"/>
          <w:sz w:val="18"/>
          <w:szCs w:val="18"/>
          <w:lang w:val="en-AU"/>
        </w:rPr>
        <w:t>WorkSafe</w:t>
      </w:r>
      <w:proofErr w:type="spellEnd"/>
      <w:r w:rsidRPr="007969B1">
        <w:rPr>
          <w:rFonts w:cs="Arial"/>
          <w:sz w:val="18"/>
          <w:szCs w:val="18"/>
          <w:lang w:val="en-AU"/>
        </w:rPr>
        <w:t xml:space="preserve"> Queensland p 79.</w:t>
      </w:r>
    </w:p>
  </w:footnote>
  <w:footnote w:id="95">
    <w:p w:rsidR="007969B1" w:rsidRPr="007969B1" w:rsidRDefault="007969B1">
      <w:pPr>
        <w:pStyle w:val="FootnoteText"/>
        <w:rPr>
          <w:rFonts w:cs="Arial"/>
          <w:sz w:val="18"/>
          <w:szCs w:val="18"/>
          <w:lang w:val="en-AU"/>
        </w:rPr>
      </w:pPr>
      <w:r w:rsidRPr="007969B1">
        <w:rPr>
          <w:rStyle w:val="FootnoteReference"/>
          <w:rFonts w:cs="Arial"/>
          <w:sz w:val="18"/>
          <w:szCs w:val="18"/>
        </w:rPr>
        <w:footnoteRef/>
      </w:r>
      <w:r w:rsidRPr="007969B1">
        <w:rPr>
          <w:rFonts w:cs="Arial"/>
          <w:sz w:val="18"/>
          <w:szCs w:val="18"/>
        </w:rPr>
        <w:t xml:space="preserve"> </w:t>
      </w:r>
      <w:r w:rsidRPr="007969B1">
        <w:rPr>
          <w:rFonts w:cs="Arial"/>
          <w:i/>
          <w:sz w:val="18"/>
          <w:szCs w:val="18"/>
          <w:lang w:val="en-AU"/>
        </w:rPr>
        <w:t xml:space="preserve">Hillman v Ferro Con (SA) Pty Ltd (in liquidation) and Anor </w:t>
      </w:r>
      <w:r w:rsidRPr="007969B1">
        <w:rPr>
          <w:rFonts w:cs="Arial"/>
          <w:sz w:val="18"/>
          <w:szCs w:val="18"/>
          <w:lang w:val="en-AU"/>
        </w:rPr>
        <w:t>[2013] SAIRC 22.</w:t>
      </w:r>
    </w:p>
  </w:footnote>
  <w:footnote w:id="96">
    <w:p w:rsidR="00A2423C" w:rsidRPr="00447E50" w:rsidRDefault="00A2423C" w:rsidP="00A2423C">
      <w:pPr>
        <w:pStyle w:val="FootnoteText"/>
      </w:pPr>
      <w:r>
        <w:rPr>
          <w:rStyle w:val="FootnoteReference"/>
        </w:rPr>
        <w:footnoteRef/>
      </w:r>
      <w:r>
        <w:t xml:space="preserve"> </w:t>
      </w:r>
      <w:r w:rsidR="00ED690A" w:rsidRPr="00ED690A">
        <w:rPr>
          <w:i/>
          <w:iCs/>
          <w:sz w:val="18"/>
          <w:szCs w:val="18"/>
        </w:rPr>
        <w:t xml:space="preserve">Australian Building and Construction Commissioner </w:t>
      </w:r>
      <w:proofErr w:type="gramStart"/>
      <w:r w:rsidR="00ED690A" w:rsidRPr="00ED690A">
        <w:rPr>
          <w:i/>
          <w:iCs/>
          <w:sz w:val="18"/>
          <w:szCs w:val="18"/>
        </w:rPr>
        <w:t>v</w:t>
      </w:r>
      <w:proofErr w:type="gramEnd"/>
      <w:r w:rsidR="00ED690A" w:rsidRPr="00ED690A">
        <w:rPr>
          <w:i/>
          <w:iCs/>
          <w:sz w:val="18"/>
          <w:szCs w:val="18"/>
        </w:rPr>
        <w:t xml:space="preserve"> Construction, Forestry, Mining and Energy Union </w:t>
      </w:r>
      <w:r w:rsidR="00ED690A" w:rsidRPr="00ED690A">
        <w:rPr>
          <w:sz w:val="18"/>
          <w:szCs w:val="18"/>
        </w:rPr>
        <w:t>[2018] HCA 3 at [116]</w:t>
      </w:r>
      <w:r w:rsidR="00ED690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1" w:rsidRDefault="007969B1">
    <w:pPr>
      <w:pStyle w:val="Header"/>
    </w:pPr>
  </w:p>
  <w:p w:rsidR="007969B1" w:rsidRDefault="00796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1" w:rsidRDefault="007969B1">
    <w:pPr>
      <w:pStyle w:val="Header"/>
    </w:pPr>
  </w:p>
  <w:p w:rsidR="007969B1" w:rsidRDefault="007969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1" w:rsidRDefault="00796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pStyle w:val="2018ReviewBullets"/>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D60EA"/>
    <w:multiLevelType w:val="hybridMultilevel"/>
    <w:tmpl w:val="79341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0D3EAC"/>
    <w:multiLevelType w:val="hybridMultilevel"/>
    <w:tmpl w:val="25908B40"/>
    <w:lvl w:ilvl="0" w:tplc="7324B364">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3476FE"/>
    <w:multiLevelType w:val="hybridMultilevel"/>
    <w:tmpl w:val="883E2DBA"/>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893B04"/>
    <w:multiLevelType w:val="hybridMultilevel"/>
    <w:tmpl w:val="C5002E42"/>
    <w:lvl w:ilvl="0" w:tplc="0C09000F">
      <w:start w:val="1"/>
      <w:numFmt w:val="decimal"/>
      <w:lvlText w:val="%1."/>
      <w:lvlJc w:val="left"/>
      <w:pPr>
        <w:ind w:left="360" w:hanging="360"/>
      </w:pPr>
    </w:lvl>
    <w:lvl w:ilvl="1" w:tplc="24D8BEB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A1B6A25"/>
    <w:multiLevelType w:val="hybridMultilevel"/>
    <w:tmpl w:val="CFD233BE"/>
    <w:lvl w:ilvl="0" w:tplc="5950C50C">
      <w:start w:val="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DA41F5"/>
    <w:multiLevelType w:val="hybridMultilevel"/>
    <w:tmpl w:val="40BC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565612"/>
    <w:multiLevelType w:val="hybridMultilevel"/>
    <w:tmpl w:val="335E19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C8687B"/>
    <w:multiLevelType w:val="hybridMultilevel"/>
    <w:tmpl w:val="00041070"/>
    <w:lvl w:ilvl="0" w:tplc="BC92CDF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0D00C7"/>
    <w:multiLevelType w:val="hybridMultilevel"/>
    <w:tmpl w:val="E92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0958EA"/>
    <w:multiLevelType w:val="hybridMultilevel"/>
    <w:tmpl w:val="EB9444D0"/>
    <w:lvl w:ilvl="0" w:tplc="0C090001">
      <w:start w:val="1"/>
      <w:numFmt w:val="bullet"/>
      <w:lvlText w:val=""/>
      <w:lvlJc w:val="left"/>
      <w:pPr>
        <w:tabs>
          <w:tab w:val="num" w:pos="1069"/>
        </w:tabs>
        <w:ind w:left="1069" w:hanging="360"/>
      </w:pPr>
      <w:rPr>
        <w:rFonts w:ascii="Symbol" w:hAnsi="Symbol" w:hint="default"/>
        <w:b w:val="0"/>
      </w:rPr>
    </w:lvl>
    <w:lvl w:ilvl="1" w:tplc="0BFAE488">
      <w:start w:val="1"/>
      <w:numFmt w:val="bullet"/>
      <w:lvlText w:val="­"/>
      <w:lvlJc w:val="left"/>
      <w:pPr>
        <w:tabs>
          <w:tab w:val="num" w:pos="1789"/>
        </w:tabs>
        <w:ind w:left="1789" w:hanging="360"/>
      </w:pPr>
      <w:rPr>
        <w:rFonts w:ascii="Courier New" w:hAnsi="Courier New" w:hint="default"/>
        <w:b w:val="0"/>
        <w:i w:val="0"/>
        <w:sz w:val="20"/>
        <w:szCs w:val="20"/>
      </w:rPr>
    </w:lvl>
    <w:lvl w:ilvl="2" w:tplc="0C090001">
      <w:start w:val="1"/>
      <w:numFmt w:val="bullet"/>
      <w:lvlText w:val=""/>
      <w:lvlJc w:val="left"/>
      <w:pPr>
        <w:tabs>
          <w:tab w:val="num" w:pos="2689"/>
        </w:tabs>
        <w:ind w:left="2689" w:hanging="360"/>
      </w:pPr>
      <w:rPr>
        <w:rFonts w:ascii="Symbol" w:hAnsi="Symbol" w:hint="default"/>
        <w:b w:val="0"/>
      </w:r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1">
    <w:nsid w:val="1F930FEE"/>
    <w:multiLevelType w:val="hybridMultilevel"/>
    <w:tmpl w:val="66B00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03572E"/>
    <w:multiLevelType w:val="hybridMultilevel"/>
    <w:tmpl w:val="70FE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A17952"/>
    <w:multiLevelType w:val="hybridMultilevel"/>
    <w:tmpl w:val="25908B40"/>
    <w:lvl w:ilvl="0" w:tplc="7324B36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917629"/>
    <w:multiLevelType w:val="multilevel"/>
    <w:tmpl w:val="D8A49FD6"/>
    <w:lvl w:ilvl="0">
      <w:start w:val="1"/>
      <w:numFmt w:val="decimal"/>
      <w:lvlText w:val="%1"/>
      <w:lvlJc w:val="left"/>
      <w:pPr>
        <w:ind w:left="360" w:hanging="360"/>
      </w:pPr>
      <w:rPr>
        <w:rFonts w:hint="default"/>
        <w:bCs w:val="0"/>
        <w:i w:val="0"/>
        <w:iCs w:val="0"/>
        <w:caps w:val="0"/>
        <w:smallCaps w:val="0"/>
        <w:strike w:val="0"/>
        <w:dstrike w:val="0"/>
        <w:vanish w:val="0"/>
        <w:color w:val="FFFFFF" w:themeColor="background1"/>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018ReviewSectionnumberingheading"/>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E10A31"/>
    <w:multiLevelType w:val="hybridMultilevel"/>
    <w:tmpl w:val="BF1880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81BA0"/>
    <w:multiLevelType w:val="multilevel"/>
    <w:tmpl w:val="14F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250CCE"/>
    <w:multiLevelType w:val="hybridMultilevel"/>
    <w:tmpl w:val="E90E6348"/>
    <w:lvl w:ilvl="0" w:tplc="CA223558">
      <w:start w:val="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551CB5"/>
    <w:multiLevelType w:val="hybridMultilevel"/>
    <w:tmpl w:val="0EBA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415940"/>
    <w:multiLevelType w:val="hybridMultilevel"/>
    <w:tmpl w:val="1A4C35D0"/>
    <w:lvl w:ilvl="0" w:tplc="C4185E9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491AD7"/>
    <w:multiLevelType w:val="hybridMultilevel"/>
    <w:tmpl w:val="A720E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AC3336D"/>
    <w:multiLevelType w:val="hybridMultilevel"/>
    <w:tmpl w:val="23946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8D61C8"/>
    <w:multiLevelType w:val="hybridMultilevel"/>
    <w:tmpl w:val="D0829E40"/>
    <w:lvl w:ilvl="0" w:tplc="950ED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A715B7"/>
    <w:multiLevelType w:val="hybridMultilevel"/>
    <w:tmpl w:val="8CD66848"/>
    <w:lvl w:ilvl="0" w:tplc="BF9C7D4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2040E1E"/>
    <w:multiLevelType w:val="hybridMultilevel"/>
    <w:tmpl w:val="8F227DA0"/>
    <w:lvl w:ilvl="0" w:tplc="8416B59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24E0BEF"/>
    <w:multiLevelType w:val="hybridMultilevel"/>
    <w:tmpl w:val="0260991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nsid w:val="33421AA4"/>
    <w:multiLevelType w:val="hybridMultilevel"/>
    <w:tmpl w:val="369ED4A8"/>
    <w:lvl w:ilvl="0" w:tplc="CF72FCDE">
      <w:start w:val="1"/>
      <w:numFmt w:val="decimal"/>
      <w:pStyle w:val="ReviewSubmissionQuestions"/>
      <w:lvlText w:val="Question %1:"/>
      <w:lvlJc w:val="left"/>
      <w:pPr>
        <w:ind w:left="473" w:hanging="360"/>
      </w:pPr>
      <w:rPr>
        <w:rFonts w:ascii="Arial" w:hAnsi="Arial" w:cs="Arial" w:hint="default"/>
        <w:b/>
        <w:i w:val="0"/>
        <w:sz w:val="20"/>
        <w:szCs w:val="2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nsid w:val="359607E9"/>
    <w:multiLevelType w:val="hybridMultilevel"/>
    <w:tmpl w:val="501A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C54770"/>
    <w:multiLevelType w:val="hybridMultilevel"/>
    <w:tmpl w:val="34E0D89A"/>
    <w:lvl w:ilvl="0" w:tplc="EA30F8E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81D72A2"/>
    <w:multiLevelType w:val="hybridMultilevel"/>
    <w:tmpl w:val="7C3A55D6"/>
    <w:lvl w:ilvl="0" w:tplc="3C24B3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231FCB"/>
    <w:multiLevelType w:val="hybridMultilevel"/>
    <w:tmpl w:val="93909A0A"/>
    <w:lvl w:ilvl="0" w:tplc="7324B36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96342F"/>
    <w:multiLevelType w:val="hybridMultilevel"/>
    <w:tmpl w:val="D34813C8"/>
    <w:lvl w:ilvl="0" w:tplc="BCBC02A6">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nsid w:val="46BF518B"/>
    <w:multiLevelType w:val="hybridMultilevel"/>
    <w:tmpl w:val="93909A0A"/>
    <w:lvl w:ilvl="0" w:tplc="7324B36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A04A14"/>
    <w:multiLevelType w:val="hybridMultilevel"/>
    <w:tmpl w:val="04046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B8745C7"/>
    <w:multiLevelType w:val="hybridMultilevel"/>
    <w:tmpl w:val="1A16FE88"/>
    <w:lvl w:ilvl="0" w:tplc="272AC76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3DF4CB4"/>
    <w:multiLevelType w:val="multilevel"/>
    <w:tmpl w:val="F54868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4CA165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510112E"/>
    <w:multiLevelType w:val="hybridMultilevel"/>
    <w:tmpl w:val="3E0A8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8D82FEA"/>
    <w:multiLevelType w:val="hybridMultilevel"/>
    <w:tmpl w:val="64E88FCC"/>
    <w:lvl w:ilvl="0" w:tplc="043A644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9A30B0B"/>
    <w:multiLevelType w:val="hybridMultilevel"/>
    <w:tmpl w:val="C77A41B4"/>
    <w:lvl w:ilvl="0" w:tplc="08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nsid w:val="5BA21648"/>
    <w:multiLevelType w:val="hybridMultilevel"/>
    <w:tmpl w:val="01FC97BE"/>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1">
    <w:nsid w:val="5FB4594C"/>
    <w:multiLevelType w:val="hybridMultilevel"/>
    <w:tmpl w:val="F7228F32"/>
    <w:lvl w:ilvl="0" w:tplc="0C12537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960BD3"/>
    <w:multiLevelType w:val="hybridMultilevel"/>
    <w:tmpl w:val="E5940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361561"/>
    <w:multiLevelType w:val="hybridMultilevel"/>
    <w:tmpl w:val="E5940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B864504"/>
    <w:multiLevelType w:val="hybridMultilevel"/>
    <w:tmpl w:val="0D56D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DAD5034"/>
    <w:multiLevelType w:val="hybridMultilevel"/>
    <w:tmpl w:val="3B407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3E32618"/>
    <w:multiLevelType w:val="hybridMultilevel"/>
    <w:tmpl w:val="2D8A6762"/>
    <w:lvl w:ilvl="0" w:tplc="C4185E9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4DD215C"/>
    <w:multiLevelType w:val="hybridMultilevel"/>
    <w:tmpl w:val="E5940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674102C"/>
    <w:multiLevelType w:val="hybridMultilevel"/>
    <w:tmpl w:val="9BDA7C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001698"/>
    <w:multiLevelType w:val="hybridMultilevel"/>
    <w:tmpl w:val="E5940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7D62C45"/>
    <w:multiLevelType w:val="hybridMultilevel"/>
    <w:tmpl w:val="4D46C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0"/>
  </w:num>
  <w:num w:numId="4">
    <w:abstractNumId w:val="26"/>
  </w:num>
  <w:num w:numId="5">
    <w:abstractNumId w:val="32"/>
  </w:num>
  <w:num w:numId="6">
    <w:abstractNumId w:val="16"/>
  </w:num>
  <w:num w:numId="7">
    <w:abstractNumId w:val="43"/>
  </w:num>
  <w:num w:numId="8">
    <w:abstractNumId w:val="47"/>
  </w:num>
  <w:num w:numId="9">
    <w:abstractNumId w:val="24"/>
  </w:num>
  <w:num w:numId="10">
    <w:abstractNumId w:val="34"/>
  </w:num>
  <w:num w:numId="11">
    <w:abstractNumId w:val="42"/>
  </w:num>
  <w:num w:numId="12">
    <w:abstractNumId w:val="28"/>
  </w:num>
  <w:num w:numId="13">
    <w:abstractNumId w:val="41"/>
  </w:num>
  <w:num w:numId="14">
    <w:abstractNumId w:val="48"/>
  </w:num>
  <w:num w:numId="15">
    <w:abstractNumId w:val="49"/>
  </w:num>
  <w:num w:numId="16">
    <w:abstractNumId w:val="23"/>
  </w:num>
  <w:num w:numId="17">
    <w:abstractNumId w:val="29"/>
  </w:num>
  <w:num w:numId="18">
    <w:abstractNumId w:val="8"/>
  </w:num>
  <w:num w:numId="19">
    <w:abstractNumId w:val="30"/>
  </w:num>
  <w:num w:numId="20">
    <w:abstractNumId w:val="5"/>
  </w:num>
  <w:num w:numId="21">
    <w:abstractNumId w:val="25"/>
  </w:num>
  <w:num w:numId="22">
    <w:abstractNumId w:val="50"/>
  </w:num>
  <w:num w:numId="23">
    <w:abstractNumId w:val="33"/>
  </w:num>
  <w:num w:numId="24">
    <w:abstractNumId w:val="37"/>
  </w:num>
  <w:num w:numId="25">
    <w:abstractNumId w:val="27"/>
  </w:num>
  <w:num w:numId="26">
    <w:abstractNumId w:val="9"/>
  </w:num>
  <w:num w:numId="27">
    <w:abstractNumId w:val="38"/>
  </w:num>
  <w:num w:numId="28">
    <w:abstractNumId w:val="17"/>
  </w:num>
  <w:num w:numId="29">
    <w:abstractNumId w:val="45"/>
  </w:num>
  <w:num w:numId="30">
    <w:abstractNumId w:val="44"/>
  </w:num>
  <w:num w:numId="31">
    <w:abstractNumId w:val="13"/>
  </w:num>
  <w:num w:numId="32">
    <w:abstractNumId w:val="2"/>
  </w:num>
  <w:num w:numId="33">
    <w:abstractNumId w:val="22"/>
  </w:num>
  <w:num w:numId="34">
    <w:abstractNumId w:val="14"/>
  </w:num>
  <w:num w:numId="35">
    <w:abstractNumId w:val="22"/>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40"/>
  </w:num>
  <w:num w:numId="71">
    <w:abstractNumId w:val="31"/>
  </w:num>
  <w:num w:numId="72">
    <w:abstractNumId w:val="21"/>
  </w:num>
  <w:num w:numId="73">
    <w:abstractNumId w:val="19"/>
  </w:num>
  <w:num w:numId="74">
    <w:abstractNumId w:val="46"/>
  </w:num>
  <w:num w:numId="75">
    <w:abstractNumId w:val="39"/>
  </w:num>
  <w:num w:numId="76">
    <w:abstractNumId w:val="3"/>
  </w:num>
  <w:num w:numId="77">
    <w:abstractNumId w:val="7"/>
  </w:num>
  <w:num w:numId="78">
    <w:abstractNumId w:val="36"/>
  </w:num>
  <w:num w:numId="79">
    <w:abstractNumId w:val="35"/>
  </w:num>
  <w:num w:numId="80">
    <w:abstractNumId w:val="4"/>
  </w:num>
  <w:num w:numId="81">
    <w:abstractNumId w:val="1"/>
  </w:num>
  <w:num w:numId="82">
    <w:abstractNumId w:val="20"/>
  </w:num>
  <w:num w:numId="83">
    <w:abstractNumId w:val="12"/>
  </w:num>
  <w:num w:numId="84">
    <w:abstractNumId w:val="0"/>
  </w:num>
  <w:num w:numId="85">
    <w:abstractNumId w:val="26"/>
    <w:lvlOverride w:ilvl="0">
      <w:startOverride w:val="1"/>
    </w:lvlOverride>
  </w:num>
  <w:num w:numId="86">
    <w:abstractNumId w:val="26"/>
  </w:num>
  <w:num w:numId="87">
    <w:abstractNumId w:val="26"/>
  </w:num>
  <w:num w:numId="88">
    <w:abstractNumId w:val="26"/>
  </w:num>
  <w:num w:numId="89">
    <w:abstractNumId w:val="26"/>
  </w:num>
  <w:num w:numId="90">
    <w:abstractNumId w:val="26"/>
    <w:lvlOverride w:ilvl="0">
      <w:startOverride w:val="1"/>
    </w:lvlOverride>
  </w:num>
  <w:num w:numId="91">
    <w:abstractNumId w:val="26"/>
    <w:lvlOverride w:ilvl="0">
      <w:startOverride w:val="1"/>
    </w:lvlOverride>
  </w:num>
  <w:num w:numId="92">
    <w:abstractNumId w:val="26"/>
  </w:num>
  <w:num w:numId="93">
    <w:abstractNumId w:val="26"/>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6"/>
  </w:num>
  <w:num w:numId="104">
    <w:abstractNumId w:val="26"/>
  </w:num>
  <w:num w:numId="105">
    <w:abstractNumId w:val="26"/>
  </w:num>
  <w:num w:numId="106">
    <w:abstractNumId w:val="26"/>
  </w:num>
  <w:num w:numId="107">
    <w:abstractNumId w:val="26"/>
  </w:num>
  <w:num w:numId="108">
    <w:abstractNumId w:val="26"/>
  </w:num>
  <w:num w:numId="109">
    <w:abstractNumId w:val="26"/>
  </w:num>
  <w:num w:numId="110">
    <w:abstractNumId w:val="26"/>
  </w:num>
  <w:num w:numId="111">
    <w:abstractNumId w:val="26"/>
    <w:lvlOverride w:ilvl="0">
      <w:startOverride w:val="1"/>
    </w:lvlOverride>
  </w:num>
  <w:num w:numId="112">
    <w:abstractNumId w:val="18"/>
  </w:num>
  <w:num w:numId="113">
    <w:abstractNumId w:val="11"/>
  </w:num>
  <w:num w:numId="114">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AC"/>
    <w:rsid w:val="00001025"/>
    <w:rsid w:val="000011D2"/>
    <w:rsid w:val="00004DBE"/>
    <w:rsid w:val="0000554C"/>
    <w:rsid w:val="000055AB"/>
    <w:rsid w:val="00006581"/>
    <w:rsid w:val="00006CB8"/>
    <w:rsid w:val="00014236"/>
    <w:rsid w:val="000161C2"/>
    <w:rsid w:val="00017B76"/>
    <w:rsid w:val="00017B86"/>
    <w:rsid w:val="0002392F"/>
    <w:rsid w:val="00023F69"/>
    <w:rsid w:val="00024101"/>
    <w:rsid w:val="0002631C"/>
    <w:rsid w:val="00036D43"/>
    <w:rsid w:val="00037533"/>
    <w:rsid w:val="00040CFD"/>
    <w:rsid w:val="00045900"/>
    <w:rsid w:val="00051920"/>
    <w:rsid w:val="0005334E"/>
    <w:rsid w:val="000533C1"/>
    <w:rsid w:val="00053664"/>
    <w:rsid w:val="00055004"/>
    <w:rsid w:val="00055815"/>
    <w:rsid w:val="00057B61"/>
    <w:rsid w:val="00060BC2"/>
    <w:rsid w:val="0006255B"/>
    <w:rsid w:val="00074695"/>
    <w:rsid w:val="00074BD3"/>
    <w:rsid w:val="000750A5"/>
    <w:rsid w:val="0008187F"/>
    <w:rsid w:val="00081962"/>
    <w:rsid w:val="00081E2E"/>
    <w:rsid w:val="00081F60"/>
    <w:rsid w:val="00082498"/>
    <w:rsid w:val="00082AA4"/>
    <w:rsid w:val="00082E7F"/>
    <w:rsid w:val="0008386A"/>
    <w:rsid w:val="00083AC4"/>
    <w:rsid w:val="00084EE3"/>
    <w:rsid w:val="00087567"/>
    <w:rsid w:val="00087B10"/>
    <w:rsid w:val="0009689F"/>
    <w:rsid w:val="000A0CCC"/>
    <w:rsid w:val="000A1BD1"/>
    <w:rsid w:val="000A5FC1"/>
    <w:rsid w:val="000C0BEB"/>
    <w:rsid w:val="000C1C91"/>
    <w:rsid w:val="000E13A7"/>
    <w:rsid w:val="000E2162"/>
    <w:rsid w:val="000E2DE5"/>
    <w:rsid w:val="000E7497"/>
    <w:rsid w:val="000F152B"/>
    <w:rsid w:val="000F224E"/>
    <w:rsid w:val="000F3634"/>
    <w:rsid w:val="00100383"/>
    <w:rsid w:val="00102E00"/>
    <w:rsid w:val="001107B0"/>
    <w:rsid w:val="001115FE"/>
    <w:rsid w:val="00113E7D"/>
    <w:rsid w:val="00115E80"/>
    <w:rsid w:val="0011701C"/>
    <w:rsid w:val="0012006D"/>
    <w:rsid w:val="0012226C"/>
    <w:rsid w:val="00127432"/>
    <w:rsid w:val="00127C85"/>
    <w:rsid w:val="00127D7A"/>
    <w:rsid w:val="001314CD"/>
    <w:rsid w:val="001322C5"/>
    <w:rsid w:val="001326EA"/>
    <w:rsid w:val="00134135"/>
    <w:rsid w:val="00135C1D"/>
    <w:rsid w:val="00137B87"/>
    <w:rsid w:val="00140A45"/>
    <w:rsid w:val="00140EEA"/>
    <w:rsid w:val="00141FA8"/>
    <w:rsid w:val="00142683"/>
    <w:rsid w:val="001441DE"/>
    <w:rsid w:val="00145281"/>
    <w:rsid w:val="0014595F"/>
    <w:rsid w:val="00146514"/>
    <w:rsid w:val="00146A76"/>
    <w:rsid w:val="00146AD3"/>
    <w:rsid w:val="00152888"/>
    <w:rsid w:val="00153F51"/>
    <w:rsid w:val="0015689E"/>
    <w:rsid w:val="00161343"/>
    <w:rsid w:val="00165B12"/>
    <w:rsid w:val="00166FD7"/>
    <w:rsid w:val="00171E87"/>
    <w:rsid w:val="001730B8"/>
    <w:rsid w:val="001823F1"/>
    <w:rsid w:val="00186542"/>
    <w:rsid w:val="00191210"/>
    <w:rsid w:val="00191D97"/>
    <w:rsid w:val="001929E8"/>
    <w:rsid w:val="00196490"/>
    <w:rsid w:val="001965B4"/>
    <w:rsid w:val="001A3C45"/>
    <w:rsid w:val="001A5D78"/>
    <w:rsid w:val="001A6554"/>
    <w:rsid w:val="001A6B1E"/>
    <w:rsid w:val="001A749D"/>
    <w:rsid w:val="001A7BED"/>
    <w:rsid w:val="001B3862"/>
    <w:rsid w:val="001B48C4"/>
    <w:rsid w:val="001B69E1"/>
    <w:rsid w:val="001B6F75"/>
    <w:rsid w:val="001B7815"/>
    <w:rsid w:val="001C1F47"/>
    <w:rsid w:val="001C4829"/>
    <w:rsid w:val="001C7927"/>
    <w:rsid w:val="001D09F3"/>
    <w:rsid w:val="001D6FAE"/>
    <w:rsid w:val="001E1D0E"/>
    <w:rsid w:val="001E2CF9"/>
    <w:rsid w:val="001E2E82"/>
    <w:rsid w:val="001E6F66"/>
    <w:rsid w:val="001F0EEB"/>
    <w:rsid w:val="001F344A"/>
    <w:rsid w:val="001F5DCC"/>
    <w:rsid w:val="001F6DA5"/>
    <w:rsid w:val="00200B39"/>
    <w:rsid w:val="00202452"/>
    <w:rsid w:val="00206A6E"/>
    <w:rsid w:val="002107D7"/>
    <w:rsid w:val="00213F59"/>
    <w:rsid w:val="002175DF"/>
    <w:rsid w:val="00217CD4"/>
    <w:rsid w:val="00217F63"/>
    <w:rsid w:val="00222E15"/>
    <w:rsid w:val="002246B4"/>
    <w:rsid w:val="002248C2"/>
    <w:rsid w:val="00225E64"/>
    <w:rsid w:val="00227AF8"/>
    <w:rsid w:val="0023043A"/>
    <w:rsid w:val="002304FC"/>
    <w:rsid w:val="0024023C"/>
    <w:rsid w:val="002420B7"/>
    <w:rsid w:val="00242D67"/>
    <w:rsid w:val="00244065"/>
    <w:rsid w:val="00251094"/>
    <w:rsid w:val="002531EE"/>
    <w:rsid w:val="0025480E"/>
    <w:rsid w:val="002627B4"/>
    <w:rsid w:val="00270F87"/>
    <w:rsid w:val="002736E7"/>
    <w:rsid w:val="00275DF8"/>
    <w:rsid w:val="00276486"/>
    <w:rsid w:val="002815DE"/>
    <w:rsid w:val="00283B1E"/>
    <w:rsid w:val="00284B5A"/>
    <w:rsid w:val="00285D70"/>
    <w:rsid w:val="002930A4"/>
    <w:rsid w:val="00297162"/>
    <w:rsid w:val="002B5453"/>
    <w:rsid w:val="002B5536"/>
    <w:rsid w:val="002B60E9"/>
    <w:rsid w:val="002C0E0C"/>
    <w:rsid w:val="002C17C1"/>
    <w:rsid w:val="002C39AB"/>
    <w:rsid w:val="002C4288"/>
    <w:rsid w:val="002C6D7E"/>
    <w:rsid w:val="002D0688"/>
    <w:rsid w:val="002D1EF8"/>
    <w:rsid w:val="002D2225"/>
    <w:rsid w:val="002D2802"/>
    <w:rsid w:val="002D6036"/>
    <w:rsid w:val="002D64EE"/>
    <w:rsid w:val="002E14F9"/>
    <w:rsid w:val="002E1B3C"/>
    <w:rsid w:val="002E48DB"/>
    <w:rsid w:val="002F0B89"/>
    <w:rsid w:val="002F14A0"/>
    <w:rsid w:val="002F53EC"/>
    <w:rsid w:val="002F5A06"/>
    <w:rsid w:val="0030026E"/>
    <w:rsid w:val="003012D0"/>
    <w:rsid w:val="00301A5F"/>
    <w:rsid w:val="003024DF"/>
    <w:rsid w:val="00305112"/>
    <w:rsid w:val="00307924"/>
    <w:rsid w:val="00311D10"/>
    <w:rsid w:val="003148B1"/>
    <w:rsid w:val="0031702B"/>
    <w:rsid w:val="00320813"/>
    <w:rsid w:val="00325212"/>
    <w:rsid w:val="0032567F"/>
    <w:rsid w:val="00327AE8"/>
    <w:rsid w:val="00331A0E"/>
    <w:rsid w:val="00333CF7"/>
    <w:rsid w:val="00341853"/>
    <w:rsid w:val="00357195"/>
    <w:rsid w:val="00365B25"/>
    <w:rsid w:val="00373134"/>
    <w:rsid w:val="003750DF"/>
    <w:rsid w:val="003775EB"/>
    <w:rsid w:val="00385BD4"/>
    <w:rsid w:val="003906F5"/>
    <w:rsid w:val="00390BC0"/>
    <w:rsid w:val="00391167"/>
    <w:rsid w:val="003914BD"/>
    <w:rsid w:val="003946C4"/>
    <w:rsid w:val="00397610"/>
    <w:rsid w:val="003B07BD"/>
    <w:rsid w:val="003B3C43"/>
    <w:rsid w:val="003B4C39"/>
    <w:rsid w:val="003B4D43"/>
    <w:rsid w:val="003B50CA"/>
    <w:rsid w:val="003B55FD"/>
    <w:rsid w:val="003C1E52"/>
    <w:rsid w:val="003C23B9"/>
    <w:rsid w:val="003C2E95"/>
    <w:rsid w:val="003C489F"/>
    <w:rsid w:val="003D129A"/>
    <w:rsid w:val="003D257A"/>
    <w:rsid w:val="003D359F"/>
    <w:rsid w:val="003D3C8B"/>
    <w:rsid w:val="003D4B9C"/>
    <w:rsid w:val="003E0322"/>
    <w:rsid w:val="003E5145"/>
    <w:rsid w:val="003E7C6B"/>
    <w:rsid w:val="003F364A"/>
    <w:rsid w:val="003F53B5"/>
    <w:rsid w:val="003F6E96"/>
    <w:rsid w:val="003F7E71"/>
    <w:rsid w:val="00400A0B"/>
    <w:rsid w:val="00404378"/>
    <w:rsid w:val="00410AB6"/>
    <w:rsid w:val="004131F7"/>
    <w:rsid w:val="0041542C"/>
    <w:rsid w:val="00417FB9"/>
    <w:rsid w:val="00422210"/>
    <w:rsid w:val="00423E31"/>
    <w:rsid w:val="004245E0"/>
    <w:rsid w:val="0042483B"/>
    <w:rsid w:val="0042631A"/>
    <w:rsid w:val="00426D3A"/>
    <w:rsid w:val="0043164C"/>
    <w:rsid w:val="00434675"/>
    <w:rsid w:val="00434B9D"/>
    <w:rsid w:val="00435523"/>
    <w:rsid w:val="00437808"/>
    <w:rsid w:val="0044052A"/>
    <w:rsid w:val="00440A70"/>
    <w:rsid w:val="004435BA"/>
    <w:rsid w:val="00443601"/>
    <w:rsid w:val="00445B79"/>
    <w:rsid w:val="00452E3F"/>
    <w:rsid w:val="0045756B"/>
    <w:rsid w:val="004579B5"/>
    <w:rsid w:val="00462893"/>
    <w:rsid w:val="004664DD"/>
    <w:rsid w:val="00466AFB"/>
    <w:rsid w:val="00466F2C"/>
    <w:rsid w:val="00467544"/>
    <w:rsid w:val="004716FC"/>
    <w:rsid w:val="004721A0"/>
    <w:rsid w:val="0047274B"/>
    <w:rsid w:val="00472954"/>
    <w:rsid w:val="00472F69"/>
    <w:rsid w:val="00473EF0"/>
    <w:rsid w:val="00476492"/>
    <w:rsid w:val="0048025F"/>
    <w:rsid w:val="00482CD5"/>
    <w:rsid w:val="00483129"/>
    <w:rsid w:val="00483928"/>
    <w:rsid w:val="00484B8D"/>
    <w:rsid w:val="00485AE8"/>
    <w:rsid w:val="00487495"/>
    <w:rsid w:val="004A0796"/>
    <w:rsid w:val="004A3783"/>
    <w:rsid w:val="004A51C7"/>
    <w:rsid w:val="004A6353"/>
    <w:rsid w:val="004B0547"/>
    <w:rsid w:val="004B155E"/>
    <w:rsid w:val="004B163C"/>
    <w:rsid w:val="004B4573"/>
    <w:rsid w:val="004B5962"/>
    <w:rsid w:val="004B7984"/>
    <w:rsid w:val="004C20FD"/>
    <w:rsid w:val="004D0BA3"/>
    <w:rsid w:val="004D12C7"/>
    <w:rsid w:val="004D135F"/>
    <w:rsid w:val="004D497B"/>
    <w:rsid w:val="004D533A"/>
    <w:rsid w:val="004D6024"/>
    <w:rsid w:val="004E1656"/>
    <w:rsid w:val="004E1BD1"/>
    <w:rsid w:val="004E3789"/>
    <w:rsid w:val="004E3BD5"/>
    <w:rsid w:val="004E3C7B"/>
    <w:rsid w:val="004E6183"/>
    <w:rsid w:val="004E7CCC"/>
    <w:rsid w:val="004E7DBB"/>
    <w:rsid w:val="004F369E"/>
    <w:rsid w:val="004F3B45"/>
    <w:rsid w:val="005018AF"/>
    <w:rsid w:val="005029BA"/>
    <w:rsid w:val="005065F3"/>
    <w:rsid w:val="0051032E"/>
    <w:rsid w:val="00510984"/>
    <w:rsid w:val="005109D9"/>
    <w:rsid w:val="00515732"/>
    <w:rsid w:val="005202D8"/>
    <w:rsid w:val="005203C0"/>
    <w:rsid w:val="00522E05"/>
    <w:rsid w:val="00523DBD"/>
    <w:rsid w:val="00525B12"/>
    <w:rsid w:val="00526160"/>
    <w:rsid w:val="00526581"/>
    <w:rsid w:val="005303E7"/>
    <w:rsid w:val="005315D4"/>
    <w:rsid w:val="00531E9D"/>
    <w:rsid w:val="00533133"/>
    <w:rsid w:val="00535073"/>
    <w:rsid w:val="00540F13"/>
    <w:rsid w:val="00541300"/>
    <w:rsid w:val="0054591E"/>
    <w:rsid w:val="00553707"/>
    <w:rsid w:val="00553AD3"/>
    <w:rsid w:val="00556331"/>
    <w:rsid w:val="005618C8"/>
    <w:rsid w:val="00566583"/>
    <w:rsid w:val="00570F21"/>
    <w:rsid w:val="005716DF"/>
    <w:rsid w:val="005768BB"/>
    <w:rsid w:val="005828E0"/>
    <w:rsid w:val="00584016"/>
    <w:rsid w:val="0058688F"/>
    <w:rsid w:val="005903D6"/>
    <w:rsid w:val="005934C9"/>
    <w:rsid w:val="0059476F"/>
    <w:rsid w:val="00596216"/>
    <w:rsid w:val="005A19A8"/>
    <w:rsid w:val="005A6C8F"/>
    <w:rsid w:val="005A7FED"/>
    <w:rsid w:val="005B00E8"/>
    <w:rsid w:val="005B423E"/>
    <w:rsid w:val="005B5148"/>
    <w:rsid w:val="005C1DD7"/>
    <w:rsid w:val="005C1EF1"/>
    <w:rsid w:val="005C1F40"/>
    <w:rsid w:val="005C1F55"/>
    <w:rsid w:val="005C5EC2"/>
    <w:rsid w:val="005C6560"/>
    <w:rsid w:val="005C6931"/>
    <w:rsid w:val="005D08D4"/>
    <w:rsid w:val="005D103C"/>
    <w:rsid w:val="005D19C6"/>
    <w:rsid w:val="005D4138"/>
    <w:rsid w:val="005E3B2E"/>
    <w:rsid w:val="005E58CA"/>
    <w:rsid w:val="005E7D3E"/>
    <w:rsid w:val="005F2929"/>
    <w:rsid w:val="005F2D70"/>
    <w:rsid w:val="005F7973"/>
    <w:rsid w:val="00603A89"/>
    <w:rsid w:val="006057C1"/>
    <w:rsid w:val="00605D24"/>
    <w:rsid w:val="00610434"/>
    <w:rsid w:val="006118CD"/>
    <w:rsid w:val="006156F6"/>
    <w:rsid w:val="00617406"/>
    <w:rsid w:val="006203AE"/>
    <w:rsid w:val="00620467"/>
    <w:rsid w:val="00620506"/>
    <w:rsid w:val="00623228"/>
    <w:rsid w:val="00623506"/>
    <w:rsid w:val="0062543C"/>
    <w:rsid w:val="00627871"/>
    <w:rsid w:val="006279B2"/>
    <w:rsid w:val="006305DA"/>
    <w:rsid w:val="006319A6"/>
    <w:rsid w:val="00633D9E"/>
    <w:rsid w:val="00634316"/>
    <w:rsid w:val="00634D0C"/>
    <w:rsid w:val="00640067"/>
    <w:rsid w:val="00641D82"/>
    <w:rsid w:val="0064229D"/>
    <w:rsid w:val="00643F47"/>
    <w:rsid w:val="0064577A"/>
    <w:rsid w:val="00645AAE"/>
    <w:rsid w:val="00645BA5"/>
    <w:rsid w:val="00645C61"/>
    <w:rsid w:val="00660E5C"/>
    <w:rsid w:val="00667FE8"/>
    <w:rsid w:val="00672AE9"/>
    <w:rsid w:val="00675809"/>
    <w:rsid w:val="00677258"/>
    <w:rsid w:val="00683A9D"/>
    <w:rsid w:val="0068469A"/>
    <w:rsid w:val="00692C09"/>
    <w:rsid w:val="006932A7"/>
    <w:rsid w:val="006A30E4"/>
    <w:rsid w:val="006B03FF"/>
    <w:rsid w:val="006B51C6"/>
    <w:rsid w:val="006C198C"/>
    <w:rsid w:val="006C2043"/>
    <w:rsid w:val="006D0A8B"/>
    <w:rsid w:val="006D304F"/>
    <w:rsid w:val="006D3098"/>
    <w:rsid w:val="006D6CDC"/>
    <w:rsid w:val="006D7214"/>
    <w:rsid w:val="006E18B2"/>
    <w:rsid w:val="006F58C5"/>
    <w:rsid w:val="006F593C"/>
    <w:rsid w:val="006F6067"/>
    <w:rsid w:val="006F633C"/>
    <w:rsid w:val="00706AC0"/>
    <w:rsid w:val="007221D2"/>
    <w:rsid w:val="00723789"/>
    <w:rsid w:val="007250C8"/>
    <w:rsid w:val="007262D1"/>
    <w:rsid w:val="007263E2"/>
    <w:rsid w:val="00726C32"/>
    <w:rsid w:val="00730AD6"/>
    <w:rsid w:val="00734132"/>
    <w:rsid w:val="00740687"/>
    <w:rsid w:val="00744633"/>
    <w:rsid w:val="00745B3D"/>
    <w:rsid w:val="00746177"/>
    <w:rsid w:val="00750D43"/>
    <w:rsid w:val="007529FF"/>
    <w:rsid w:val="0075335E"/>
    <w:rsid w:val="00753D07"/>
    <w:rsid w:val="00756434"/>
    <w:rsid w:val="007578AB"/>
    <w:rsid w:val="007628EB"/>
    <w:rsid w:val="007673D8"/>
    <w:rsid w:val="00770C98"/>
    <w:rsid w:val="0077435D"/>
    <w:rsid w:val="00776502"/>
    <w:rsid w:val="00776702"/>
    <w:rsid w:val="00776CE4"/>
    <w:rsid w:val="00780529"/>
    <w:rsid w:val="0078080C"/>
    <w:rsid w:val="00782431"/>
    <w:rsid w:val="00782E14"/>
    <w:rsid w:val="00783BDA"/>
    <w:rsid w:val="007852F9"/>
    <w:rsid w:val="00785828"/>
    <w:rsid w:val="007969B1"/>
    <w:rsid w:val="00796E02"/>
    <w:rsid w:val="007A2B45"/>
    <w:rsid w:val="007A6675"/>
    <w:rsid w:val="007A69A2"/>
    <w:rsid w:val="007A775B"/>
    <w:rsid w:val="007B0AC7"/>
    <w:rsid w:val="007B23E7"/>
    <w:rsid w:val="007B72FA"/>
    <w:rsid w:val="007B76AC"/>
    <w:rsid w:val="007B7AA4"/>
    <w:rsid w:val="007C0C3D"/>
    <w:rsid w:val="007C25B7"/>
    <w:rsid w:val="007C260C"/>
    <w:rsid w:val="007C42FB"/>
    <w:rsid w:val="007C514B"/>
    <w:rsid w:val="007C5183"/>
    <w:rsid w:val="007C609B"/>
    <w:rsid w:val="007D1DD7"/>
    <w:rsid w:val="007D6BF8"/>
    <w:rsid w:val="007E40B2"/>
    <w:rsid w:val="007E631B"/>
    <w:rsid w:val="007F0919"/>
    <w:rsid w:val="007F11F1"/>
    <w:rsid w:val="007F7CC8"/>
    <w:rsid w:val="00800E5E"/>
    <w:rsid w:val="00801298"/>
    <w:rsid w:val="0080226E"/>
    <w:rsid w:val="00806C70"/>
    <w:rsid w:val="00807879"/>
    <w:rsid w:val="008107BF"/>
    <w:rsid w:val="0081114A"/>
    <w:rsid w:val="008131D2"/>
    <w:rsid w:val="00815312"/>
    <w:rsid w:val="00817D6F"/>
    <w:rsid w:val="00820714"/>
    <w:rsid w:val="00834BC0"/>
    <w:rsid w:val="0084095F"/>
    <w:rsid w:val="00842E3C"/>
    <w:rsid w:val="0084395A"/>
    <w:rsid w:val="0085391F"/>
    <w:rsid w:val="00853B64"/>
    <w:rsid w:val="00856E0C"/>
    <w:rsid w:val="0086090A"/>
    <w:rsid w:val="00862277"/>
    <w:rsid w:val="008635CA"/>
    <w:rsid w:val="00864100"/>
    <w:rsid w:val="00866160"/>
    <w:rsid w:val="00866B4B"/>
    <w:rsid w:val="008670E5"/>
    <w:rsid w:val="008726C6"/>
    <w:rsid w:val="00873EEA"/>
    <w:rsid w:val="00876A4A"/>
    <w:rsid w:val="00876FD3"/>
    <w:rsid w:val="00877A3F"/>
    <w:rsid w:val="00877F3E"/>
    <w:rsid w:val="008804F9"/>
    <w:rsid w:val="0088656D"/>
    <w:rsid w:val="00887084"/>
    <w:rsid w:val="008919A8"/>
    <w:rsid w:val="008932AA"/>
    <w:rsid w:val="008952E1"/>
    <w:rsid w:val="00896B09"/>
    <w:rsid w:val="008A4BE0"/>
    <w:rsid w:val="008A4EF2"/>
    <w:rsid w:val="008A5B31"/>
    <w:rsid w:val="008A706F"/>
    <w:rsid w:val="008C2980"/>
    <w:rsid w:val="008C47B4"/>
    <w:rsid w:val="008C6FB7"/>
    <w:rsid w:val="008C7B77"/>
    <w:rsid w:val="008D1094"/>
    <w:rsid w:val="008D1D60"/>
    <w:rsid w:val="008E0CED"/>
    <w:rsid w:val="008E1D5B"/>
    <w:rsid w:val="008E4A2C"/>
    <w:rsid w:val="008E7E0A"/>
    <w:rsid w:val="008F57B8"/>
    <w:rsid w:val="008F5C6E"/>
    <w:rsid w:val="008F5CE9"/>
    <w:rsid w:val="009012DC"/>
    <w:rsid w:val="00901EEA"/>
    <w:rsid w:val="00907735"/>
    <w:rsid w:val="0091051D"/>
    <w:rsid w:val="00913DDD"/>
    <w:rsid w:val="00915AFE"/>
    <w:rsid w:val="00926F2F"/>
    <w:rsid w:val="00930041"/>
    <w:rsid w:val="00930319"/>
    <w:rsid w:val="00931977"/>
    <w:rsid w:val="009332B5"/>
    <w:rsid w:val="00935641"/>
    <w:rsid w:val="0093597A"/>
    <w:rsid w:val="0093622B"/>
    <w:rsid w:val="00940DBA"/>
    <w:rsid w:val="009437D2"/>
    <w:rsid w:val="00944A1F"/>
    <w:rsid w:val="00951579"/>
    <w:rsid w:val="00954560"/>
    <w:rsid w:val="00954FB0"/>
    <w:rsid w:val="00960610"/>
    <w:rsid w:val="009626F8"/>
    <w:rsid w:val="009640E9"/>
    <w:rsid w:val="00971960"/>
    <w:rsid w:val="00982FBB"/>
    <w:rsid w:val="00985191"/>
    <w:rsid w:val="009A2A8C"/>
    <w:rsid w:val="009A312B"/>
    <w:rsid w:val="009A6B99"/>
    <w:rsid w:val="009B06C7"/>
    <w:rsid w:val="009B3F3B"/>
    <w:rsid w:val="009B4C6B"/>
    <w:rsid w:val="009C0809"/>
    <w:rsid w:val="009C45C0"/>
    <w:rsid w:val="009D007D"/>
    <w:rsid w:val="009D019B"/>
    <w:rsid w:val="009D09DC"/>
    <w:rsid w:val="009D1DE3"/>
    <w:rsid w:val="009D3C4A"/>
    <w:rsid w:val="009D3FC3"/>
    <w:rsid w:val="009D6F55"/>
    <w:rsid w:val="009D7402"/>
    <w:rsid w:val="009E0A0F"/>
    <w:rsid w:val="009E1FE8"/>
    <w:rsid w:val="009E295B"/>
    <w:rsid w:val="009F1DFF"/>
    <w:rsid w:val="009F2FA0"/>
    <w:rsid w:val="009F362A"/>
    <w:rsid w:val="009F3828"/>
    <w:rsid w:val="009F5394"/>
    <w:rsid w:val="009F58D7"/>
    <w:rsid w:val="009F6591"/>
    <w:rsid w:val="00A07966"/>
    <w:rsid w:val="00A10028"/>
    <w:rsid w:val="00A11163"/>
    <w:rsid w:val="00A14A57"/>
    <w:rsid w:val="00A21931"/>
    <w:rsid w:val="00A2301E"/>
    <w:rsid w:val="00A237FA"/>
    <w:rsid w:val="00A2423C"/>
    <w:rsid w:val="00A24437"/>
    <w:rsid w:val="00A24DA1"/>
    <w:rsid w:val="00A25471"/>
    <w:rsid w:val="00A265A0"/>
    <w:rsid w:val="00A26BEB"/>
    <w:rsid w:val="00A26F37"/>
    <w:rsid w:val="00A317BF"/>
    <w:rsid w:val="00A33588"/>
    <w:rsid w:val="00A362CA"/>
    <w:rsid w:val="00A36BB9"/>
    <w:rsid w:val="00A37739"/>
    <w:rsid w:val="00A41BEF"/>
    <w:rsid w:val="00A4573F"/>
    <w:rsid w:val="00A46AF8"/>
    <w:rsid w:val="00A5283E"/>
    <w:rsid w:val="00A56A2B"/>
    <w:rsid w:val="00A60FC4"/>
    <w:rsid w:val="00A625B1"/>
    <w:rsid w:val="00A634C2"/>
    <w:rsid w:val="00A634EE"/>
    <w:rsid w:val="00A70142"/>
    <w:rsid w:val="00A7173A"/>
    <w:rsid w:val="00A73DAE"/>
    <w:rsid w:val="00A76F4C"/>
    <w:rsid w:val="00A81A46"/>
    <w:rsid w:val="00A902B8"/>
    <w:rsid w:val="00A9217F"/>
    <w:rsid w:val="00A936BB"/>
    <w:rsid w:val="00A94F78"/>
    <w:rsid w:val="00A97771"/>
    <w:rsid w:val="00AA09A1"/>
    <w:rsid w:val="00AA2D1A"/>
    <w:rsid w:val="00AA3080"/>
    <w:rsid w:val="00AA6BD7"/>
    <w:rsid w:val="00AA75EE"/>
    <w:rsid w:val="00AA7A07"/>
    <w:rsid w:val="00AB11A1"/>
    <w:rsid w:val="00AB183B"/>
    <w:rsid w:val="00AB1CDF"/>
    <w:rsid w:val="00AB6224"/>
    <w:rsid w:val="00AB6D5F"/>
    <w:rsid w:val="00AB7A37"/>
    <w:rsid w:val="00AC49A4"/>
    <w:rsid w:val="00AD06F1"/>
    <w:rsid w:val="00AD17F0"/>
    <w:rsid w:val="00AD3F4E"/>
    <w:rsid w:val="00AD42D8"/>
    <w:rsid w:val="00AD463D"/>
    <w:rsid w:val="00AD6D96"/>
    <w:rsid w:val="00AD739B"/>
    <w:rsid w:val="00AE0464"/>
    <w:rsid w:val="00AE06F6"/>
    <w:rsid w:val="00AE18EF"/>
    <w:rsid w:val="00AE1A09"/>
    <w:rsid w:val="00AE244C"/>
    <w:rsid w:val="00AE28D8"/>
    <w:rsid w:val="00AE4C0F"/>
    <w:rsid w:val="00AE6465"/>
    <w:rsid w:val="00AF2836"/>
    <w:rsid w:val="00AF342A"/>
    <w:rsid w:val="00AF34AA"/>
    <w:rsid w:val="00AF5765"/>
    <w:rsid w:val="00B01D8C"/>
    <w:rsid w:val="00B05020"/>
    <w:rsid w:val="00B05288"/>
    <w:rsid w:val="00B14DDD"/>
    <w:rsid w:val="00B22B3A"/>
    <w:rsid w:val="00B27E17"/>
    <w:rsid w:val="00B313D1"/>
    <w:rsid w:val="00B32B9F"/>
    <w:rsid w:val="00B3513F"/>
    <w:rsid w:val="00B35C8A"/>
    <w:rsid w:val="00B379AD"/>
    <w:rsid w:val="00B44652"/>
    <w:rsid w:val="00B518B0"/>
    <w:rsid w:val="00B51B5C"/>
    <w:rsid w:val="00B5754D"/>
    <w:rsid w:val="00B57D65"/>
    <w:rsid w:val="00B6174F"/>
    <w:rsid w:val="00B61B37"/>
    <w:rsid w:val="00B6535B"/>
    <w:rsid w:val="00B70913"/>
    <w:rsid w:val="00B7286D"/>
    <w:rsid w:val="00B72CD7"/>
    <w:rsid w:val="00B72E3F"/>
    <w:rsid w:val="00B74D4C"/>
    <w:rsid w:val="00B77E17"/>
    <w:rsid w:val="00B823B7"/>
    <w:rsid w:val="00B82F06"/>
    <w:rsid w:val="00B90880"/>
    <w:rsid w:val="00B925BC"/>
    <w:rsid w:val="00B93953"/>
    <w:rsid w:val="00B943F9"/>
    <w:rsid w:val="00B94C25"/>
    <w:rsid w:val="00BA3333"/>
    <w:rsid w:val="00BB4976"/>
    <w:rsid w:val="00BB4CA5"/>
    <w:rsid w:val="00BB5185"/>
    <w:rsid w:val="00BB5B7C"/>
    <w:rsid w:val="00BC05B9"/>
    <w:rsid w:val="00BC1036"/>
    <w:rsid w:val="00BC25BB"/>
    <w:rsid w:val="00BC44A4"/>
    <w:rsid w:val="00BC4A9F"/>
    <w:rsid w:val="00BD61EE"/>
    <w:rsid w:val="00BD65F7"/>
    <w:rsid w:val="00BD73A3"/>
    <w:rsid w:val="00BD7E9E"/>
    <w:rsid w:val="00BE2B1C"/>
    <w:rsid w:val="00BE3053"/>
    <w:rsid w:val="00BE5225"/>
    <w:rsid w:val="00BE7365"/>
    <w:rsid w:val="00BF1F42"/>
    <w:rsid w:val="00BF6DFE"/>
    <w:rsid w:val="00C0157F"/>
    <w:rsid w:val="00C0315F"/>
    <w:rsid w:val="00C0681C"/>
    <w:rsid w:val="00C11275"/>
    <w:rsid w:val="00C11EDC"/>
    <w:rsid w:val="00C131DA"/>
    <w:rsid w:val="00C13448"/>
    <w:rsid w:val="00C14928"/>
    <w:rsid w:val="00C14A8F"/>
    <w:rsid w:val="00C155B6"/>
    <w:rsid w:val="00C161A3"/>
    <w:rsid w:val="00C17279"/>
    <w:rsid w:val="00C234E0"/>
    <w:rsid w:val="00C2680C"/>
    <w:rsid w:val="00C26BB4"/>
    <w:rsid w:val="00C270CB"/>
    <w:rsid w:val="00C34CB4"/>
    <w:rsid w:val="00C351F4"/>
    <w:rsid w:val="00C37704"/>
    <w:rsid w:val="00C402A4"/>
    <w:rsid w:val="00C4373B"/>
    <w:rsid w:val="00C4415D"/>
    <w:rsid w:val="00C46949"/>
    <w:rsid w:val="00C469CD"/>
    <w:rsid w:val="00C50354"/>
    <w:rsid w:val="00C51F84"/>
    <w:rsid w:val="00C51FE9"/>
    <w:rsid w:val="00C548E4"/>
    <w:rsid w:val="00C57AE1"/>
    <w:rsid w:val="00C6178E"/>
    <w:rsid w:val="00C61DB9"/>
    <w:rsid w:val="00C61ED4"/>
    <w:rsid w:val="00C6416B"/>
    <w:rsid w:val="00C64DD4"/>
    <w:rsid w:val="00C70846"/>
    <w:rsid w:val="00C71770"/>
    <w:rsid w:val="00C77239"/>
    <w:rsid w:val="00C8079B"/>
    <w:rsid w:val="00C81369"/>
    <w:rsid w:val="00C82092"/>
    <w:rsid w:val="00C82FCD"/>
    <w:rsid w:val="00C85443"/>
    <w:rsid w:val="00C85BA7"/>
    <w:rsid w:val="00C85C7F"/>
    <w:rsid w:val="00C91805"/>
    <w:rsid w:val="00C94EEB"/>
    <w:rsid w:val="00C95542"/>
    <w:rsid w:val="00C97CC6"/>
    <w:rsid w:val="00CA0108"/>
    <w:rsid w:val="00CA12E6"/>
    <w:rsid w:val="00CA2A17"/>
    <w:rsid w:val="00CA301B"/>
    <w:rsid w:val="00CA5EB3"/>
    <w:rsid w:val="00CA6822"/>
    <w:rsid w:val="00CB4E31"/>
    <w:rsid w:val="00CB57EF"/>
    <w:rsid w:val="00CB7807"/>
    <w:rsid w:val="00CC1548"/>
    <w:rsid w:val="00CC3B4A"/>
    <w:rsid w:val="00CD1FA8"/>
    <w:rsid w:val="00CD59DE"/>
    <w:rsid w:val="00CD70A7"/>
    <w:rsid w:val="00CE07DF"/>
    <w:rsid w:val="00CE32A8"/>
    <w:rsid w:val="00CE5815"/>
    <w:rsid w:val="00CE5D03"/>
    <w:rsid w:val="00CE6C62"/>
    <w:rsid w:val="00CF4DCD"/>
    <w:rsid w:val="00CF75AD"/>
    <w:rsid w:val="00D02190"/>
    <w:rsid w:val="00D02FED"/>
    <w:rsid w:val="00D064A1"/>
    <w:rsid w:val="00D06AA7"/>
    <w:rsid w:val="00D10872"/>
    <w:rsid w:val="00D175D7"/>
    <w:rsid w:val="00D25E75"/>
    <w:rsid w:val="00D354DD"/>
    <w:rsid w:val="00D35939"/>
    <w:rsid w:val="00D37698"/>
    <w:rsid w:val="00D376B6"/>
    <w:rsid w:val="00D42142"/>
    <w:rsid w:val="00D43431"/>
    <w:rsid w:val="00D47D43"/>
    <w:rsid w:val="00D520F7"/>
    <w:rsid w:val="00D54F57"/>
    <w:rsid w:val="00D555FD"/>
    <w:rsid w:val="00D5767B"/>
    <w:rsid w:val="00D57F76"/>
    <w:rsid w:val="00D57F77"/>
    <w:rsid w:val="00D60E6A"/>
    <w:rsid w:val="00D61B0E"/>
    <w:rsid w:val="00D63A9B"/>
    <w:rsid w:val="00D70C7A"/>
    <w:rsid w:val="00D71AA1"/>
    <w:rsid w:val="00D73AFC"/>
    <w:rsid w:val="00D73CC6"/>
    <w:rsid w:val="00D743AD"/>
    <w:rsid w:val="00D7699B"/>
    <w:rsid w:val="00D77244"/>
    <w:rsid w:val="00D802B1"/>
    <w:rsid w:val="00D8164C"/>
    <w:rsid w:val="00D83CEF"/>
    <w:rsid w:val="00D90E7C"/>
    <w:rsid w:val="00D9136C"/>
    <w:rsid w:val="00D93382"/>
    <w:rsid w:val="00D95DED"/>
    <w:rsid w:val="00D96AE3"/>
    <w:rsid w:val="00DA0280"/>
    <w:rsid w:val="00DA34C4"/>
    <w:rsid w:val="00DA45CC"/>
    <w:rsid w:val="00DB4633"/>
    <w:rsid w:val="00DB736B"/>
    <w:rsid w:val="00DB7ACC"/>
    <w:rsid w:val="00DC18A7"/>
    <w:rsid w:val="00DC198D"/>
    <w:rsid w:val="00DC1C22"/>
    <w:rsid w:val="00DC2422"/>
    <w:rsid w:val="00DC28DE"/>
    <w:rsid w:val="00DC4723"/>
    <w:rsid w:val="00DD30D8"/>
    <w:rsid w:val="00DD6319"/>
    <w:rsid w:val="00DD68F2"/>
    <w:rsid w:val="00DE030E"/>
    <w:rsid w:val="00DE60D2"/>
    <w:rsid w:val="00DF08B3"/>
    <w:rsid w:val="00DF1DFF"/>
    <w:rsid w:val="00DF3057"/>
    <w:rsid w:val="00DF32C9"/>
    <w:rsid w:val="00DF7A1B"/>
    <w:rsid w:val="00DF7B52"/>
    <w:rsid w:val="00E002BD"/>
    <w:rsid w:val="00E00F4F"/>
    <w:rsid w:val="00E0399F"/>
    <w:rsid w:val="00E13060"/>
    <w:rsid w:val="00E14143"/>
    <w:rsid w:val="00E14AC3"/>
    <w:rsid w:val="00E17C20"/>
    <w:rsid w:val="00E20055"/>
    <w:rsid w:val="00E25C2B"/>
    <w:rsid w:val="00E26ED3"/>
    <w:rsid w:val="00E32FE6"/>
    <w:rsid w:val="00E36448"/>
    <w:rsid w:val="00E40424"/>
    <w:rsid w:val="00E42DE0"/>
    <w:rsid w:val="00E43183"/>
    <w:rsid w:val="00E450CF"/>
    <w:rsid w:val="00E46695"/>
    <w:rsid w:val="00E47CA6"/>
    <w:rsid w:val="00E52000"/>
    <w:rsid w:val="00E52181"/>
    <w:rsid w:val="00E53F08"/>
    <w:rsid w:val="00E55CA1"/>
    <w:rsid w:val="00E6069A"/>
    <w:rsid w:val="00E60E42"/>
    <w:rsid w:val="00E70C51"/>
    <w:rsid w:val="00E75CD9"/>
    <w:rsid w:val="00E82EB4"/>
    <w:rsid w:val="00E8497C"/>
    <w:rsid w:val="00E85C0B"/>
    <w:rsid w:val="00E86265"/>
    <w:rsid w:val="00E868D1"/>
    <w:rsid w:val="00E87542"/>
    <w:rsid w:val="00E87F8E"/>
    <w:rsid w:val="00E92E8A"/>
    <w:rsid w:val="00E93083"/>
    <w:rsid w:val="00E93C91"/>
    <w:rsid w:val="00EA1FB6"/>
    <w:rsid w:val="00EA27D8"/>
    <w:rsid w:val="00EA36DC"/>
    <w:rsid w:val="00EA3DA5"/>
    <w:rsid w:val="00EB3256"/>
    <w:rsid w:val="00EB39F3"/>
    <w:rsid w:val="00EB4173"/>
    <w:rsid w:val="00EB56A9"/>
    <w:rsid w:val="00EB5F42"/>
    <w:rsid w:val="00EB614A"/>
    <w:rsid w:val="00EB783F"/>
    <w:rsid w:val="00EC18C4"/>
    <w:rsid w:val="00EC76A9"/>
    <w:rsid w:val="00EC7CD4"/>
    <w:rsid w:val="00ED24B5"/>
    <w:rsid w:val="00ED2952"/>
    <w:rsid w:val="00ED2C1D"/>
    <w:rsid w:val="00ED4FBA"/>
    <w:rsid w:val="00ED54B4"/>
    <w:rsid w:val="00ED690A"/>
    <w:rsid w:val="00EE055B"/>
    <w:rsid w:val="00EE182D"/>
    <w:rsid w:val="00EE1BE2"/>
    <w:rsid w:val="00EF2D5C"/>
    <w:rsid w:val="00EF6674"/>
    <w:rsid w:val="00F00C9B"/>
    <w:rsid w:val="00F156BE"/>
    <w:rsid w:val="00F15C03"/>
    <w:rsid w:val="00F1755C"/>
    <w:rsid w:val="00F209FF"/>
    <w:rsid w:val="00F20B0A"/>
    <w:rsid w:val="00F2177C"/>
    <w:rsid w:val="00F24697"/>
    <w:rsid w:val="00F25ECE"/>
    <w:rsid w:val="00F27F37"/>
    <w:rsid w:val="00F32433"/>
    <w:rsid w:val="00F35E7A"/>
    <w:rsid w:val="00F373F9"/>
    <w:rsid w:val="00F4353B"/>
    <w:rsid w:val="00F4459C"/>
    <w:rsid w:val="00F44B61"/>
    <w:rsid w:val="00F45F16"/>
    <w:rsid w:val="00F47951"/>
    <w:rsid w:val="00F47C0D"/>
    <w:rsid w:val="00F50980"/>
    <w:rsid w:val="00F54245"/>
    <w:rsid w:val="00F5687C"/>
    <w:rsid w:val="00F5771C"/>
    <w:rsid w:val="00F634C9"/>
    <w:rsid w:val="00F648C4"/>
    <w:rsid w:val="00F6766C"/>
    <w:rsid w:val="00F67BAF"/>
    <w:rsid w:val="00F7083A"/>
    <w:rsid w:val="00F70B61"/>
    <w:rsid w:val="00F725BC"/>
    <w:rsid w:val="00F74261"/>
    <w:rsid w:val="00F776EB"/>
    <w:rsid w:val="00F80429"/>
    <w:rsid w:val="00F830F9"/>
    <w:rsid w:val="00F84C11"/>
    <w:rsid w:val="00F8566A"/>
    <w:rsid w:val="00F91B51"/>
    <w:rsid w:val="00F93231"/>
    <w:rsid w:val="00F933D0"/>
    <w:rsid w:val="00F93D02"/>
    <w:rsid w:val="00F94A95"/>
    <w:rsid w:val="00F95931"/>
    <w:rsid w:val="00FA1DE8"/>
    <w:rsid w:val="00FA235E"/>
    <w:rsid w:val="00FA4CB6"/>
    <w:rsid w:val="00FA783A"/>
    <w:rsid w:val="00FB4DC5"/>
    <w:rsid w:val="00FB4E9B"/>
    <w:rsid w:val="00FB68F2"/>
    <w:rsid w:val="00FC06B9"/>
    <w:rsid w:val="00FC2697"/>
    <w:rsid w:val="00FC4E01"/>
    <w:rsid w:val="00FC79EE"/>
    <w:rsid w:val="00FD03E6"/>
    <w:rsid w:val="00FD0FE3"/>
    <w:rsid w:val="00FD14F5"/>
    <w:rsid w:val="00FD382D"/>
    <w:rsid w:val="00FD4205"/>
    <w:rsid w:val="00FD5128"/>
    <w:rsid w:val="00FF16B4"/>
    <w:rsid w:val="00FF3CA8"/>
    <w:rsid w:val="00FF3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AA3080"/>
    <w:pPr>
      <w:spacing w:after="120" w:line="240" w:lineRule="auto"/>
    </w:pPr>
    <w:rPr>
      <w:rFonts w:ascii="Arial" w:hAnsi="Arial"/>
      <w:sz w:val="20"/>
      <w:szCs w:val="24"/>
      <w:lang w:eastAsia="en-AU"/>
    </w:rPr>
  </w:style>
  <w:style w:type="paragraph" w:styleId="Heading1">
    <w:name w:val="heading 1"/>
    <w:aliases w:val="2018 Review Heading 1"/>
    <w:basedOn w:val="Normal"/>
    <w:next w:val="Normal"/>
    <w:link w:val="Heading1Char"/>
    <w:qFormat/>
    <w:rsid w:val="00AA3080"/>
    <w:pPr>
      <w:keepNext/>
      <w:spacing w:before="360"/>
      <w:outlineLvl w:val="0"/>
    </w:pPr>
    <w:rPr>
      <w:rFonts w:ascii="Arial Bold" w:eastAsiaTheme="majorEastAsia" w:hAnsi="Arial Bold" w:cs="Arial"/>
      <w:b/>
      <w:kern w:val="32"/>
      <w:sz w:val="28"/>
      <w:szCs w:val="22"/>
    </w:rPr>
  </w:style>
  <w:style w:type="paragraph" w:styleId="Heading2">
    <w:name w:val="heading 2"/>
    <w:aliases w:val="2018 Review Heading 2"/>
    <w:basedOn w:val="Normal"/>
    <w:next w:val="Normal"/>
    <w:link w:val="Heading2Char"/>
    <w:qFormat/>
    <w:rsid w:val="00AA3080"/>
    <w:pPr>
      <w:spacing w:before="240"/>
      <w:outlineLvl w:val="1"/>
    </w:pPr>
    <w:rPr>
      <w:rFonts w:ascii="Arial Bold" w:eastAsiaTheme="majorEastAsia" w:hAnsi="Arial Bold" w:cstheme="majorBidi"/>
      <w:b/>
      <w:sz w:val="24"/>
      <w:szCs w:val="28"/>
    </w:rPr>
  </w:style>
  <w:style w:type="paragraph" w:styleId="Heading3">
    <w:name w:val="heading 3"/>
    <w:aliases w:val="2018 Review Heading 3"/>
    <w:basedOn w:val="Normal"/>
    <w:next w:val="Normal"/>
    <w:link w:val="Heading3Char"/>
    <w:qFormat/>
    <w:rsid w:val="00AA3080"/>
    <w:pPr>
      <w:keepNext/>
      <w:overflowPunct w:val="0"/>
      <w:autoSpaceDE w:val="0"/>
      <w:autoSpaceDN w:val="0"/>
      <w:adjustRightInd w:val="0"/>
      <w:spacing w:before="2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2018 Review Heading 4"/>
    <w:basedOn w:val="Normal"/>
    <w:next w:val="Normal"/>
    <w:link w:val="Heading4Char"/>
    <w:qFormat/>
    <w:rsid w:val="00AA3080"/>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76AC"/>
  </w:style>
  <w:style w:type="character" w:customStyle="1" w:styleId="FootnoteTextChar">
    <w:name w:val="Footnote Text Char"/>
    <w:basedOn w:val="DefaultParagraphFont"/>
    <w:link w:val="FootnoteText"/>
    <w:uiPriority w:val="99"/>
    <w:rsid w:val="007B76AC"/>
  </w:style>
  <w:style w:type="character" w:styleId="FootnoteReference">
    <w:name w:val="footnote reference"/>
    <w:basedOn w:val="DefaultParagraphFont"/>
    <w:uiPriority w:val="99"/>
    <w:unhideWhenUsed/>
    <w:rsid w:val="007B76AC"/>
    <w:rPr>
      <w:vertAlign w:val="superscript"/>
    </w:rPr>
  </w:style>
  <w:style w:type="character" w:styleId="CommentReference">
    <w:name w:val="annotation reference"/>
    <w:basedOn w:val="DefaultParagraphFont"/>
    <w:uiPriority w:val="99"/>
    <w:semiHidden/>
    <w:unhideWhenUsed/>
    <w:rsid w:val="007B76AC"/>
    <w:rPr>
      <w:sz w:val="18"/>
      <w:szCs w:val="18"/>
    </w:rPr>
  </w:style>
  <w:style w:type="paragraph" w:styleId="CommentText">
    <w:name w:val="annotation text"/>
    <w:basedOn w:val="Normal"/>
    <w:link w:val="CommentTextChar"/>
    <w:uiPriority w:val="99"/>
    <w:unhideWhenUsed/>
    <w:rsid w:val="007B76AC"/>
  </w:style>
  <w:style w:type="character" w:customStyle="1" w:styleId="CommentTextChar">
    <w:name w:val="Comment Text Char"/>
    <w:basedOn w:val="DefaultParagraphFont"/>
    <w:link w:val="CommentText"/>
    <w:uiPriority w:val="99"/>
    <w:rsid w:val="007B76AC"/>
  </w:style>
  <w:style w:type="paragraph" w:customStyle="1" w:styleId="p1">
    <w:name w:val="p1"/>
    <w:basedOn w:val="Normal"/>
    <w:rsid w:val="007B76AC"/>
    <w:pPr>
      <w:jc w:val="both"/>
    </w:pPr>
    <w:rPr>
      <w:rFonts w:ascii="Trebuchet MS" w:hAnsi="Trebuchet MS" w:cs="Times New Roman"/>
      <w:color w:val="000000"/>
      <w:sz w:val="15"/>
      <w:szCs w:val="15"/>
      <w:lang w:eastAsia="en-GB"/>
    </w:rPr>
  </w:style>
  <w:style w:type="paragraph" w:styleId="ListParagraph">
    <w:name w:val="List Paragraph"/>
    <w:aliases w:val="SWA List Paragraph,Indent"/>
    <w:basedOn w:val="Normal"/>
    <w:link w:val="ListParagraphChar"/>
    <w:uiPriority w:val="34"/>
    <w:qFormat/>
    <w:rsid w:val="00AA3080"/>
    <w:pPr>
      <w:overflowPunct w:val="0"/>
      <w:autoSpaceDE w:val="0"/>
      <w:autoSpaceDN w:val="0"/>
      <w:adjustRightInd w:val="0"/>
      <w:ind w:left="340"/>
      <w:textAlignment w:val="baseline"/>
    </w:pPr>
    <w:rPr>
      <w:szCs w:val="20"/>
    </w:rPr>
  </w:style>
  <w:style w:type="paragraph" w:styleId="NormalWeb">
    <w:name w:val="Normal (Web)"/>
    <w:basedOn w:val="Normal"/>
    <w:uiPriority w:val="99"/>
    <w:unhideWhenUsed/>
    <w:rsid w:val="007B76AC"/>
    <w:pPr>
      <w:spacing w:after="150"/>
    </w:pPr>
    <w:rPr>
      <w:rFonts w:ascii="Times New Roman" w:eastAsia="Times New Roman" w:hAnsi="Times New Roman" w:cs="Times New Roman"/>
      <w:lang w:val="en-AU"/>
    </w:rPr>
  </w:style>
  <w:style w:type="paragraph" w:customStyle="1" w:styleId="Para">
    <w:name w:val="Para"/>
    <w:basedOn w:val="Normal"/>
    <w:link w:val="ParaChar"/>
    <w:rsid w:val="007B76AC"/>
    <w:pPr>
      <w:spacing w:before="120"/>
      <w:jc w:val="both"/>
    </w:pPr>
    <w:rPr>
      <w:rFonts w:eastAsia="Times New Roman" w:cs="Arial"/>
      <w:color w:val="000000"/>
      <w:lang w:val="en-AU"/>
    </w:rPr>
  </w:style>
  <w:style w:type="character" w:customStyle="1" w:styleId="ParaChar">
    <w:name w:val="Para Char"/>
    <w:link w:val="Para"/>
    <w:rsid w:val="007B76AC"/>
    <w:rPr>
      <w:rFonts w:ascii="Arial" w:eastAsia="Times New Roman" w:hAnsi="Arial" w:cs="Arial"/>
      <w:color w:val="000000"/>
      <w:lang w:val="en-AU" w:eastAsia="en-AU"/>
    </w:rPr>
  </w:style>
  <w:style w:type="paragraph" w:styleId="BalloonText">
    <w:name w:val="Balloon Text"/>
    <w:basedOn w:val="Normal"/>
    <w:link w:val="BalloonTextChar"/>
    <w:uiPriority w:val="99"/>
    <w:semiHidden/>
    <w:unhideWhenUsed/>
    <w:rsid w:val="007B7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6AC"/>
    <w:rPr>
      <w:rFonts w:ascii="Times New Roman" w:hAnsi="Times New Roman" w:cs="Times New Roman"/>
      <w:sz w:val="18"/>
      <w:szCs w:val="18"/>
    </w:rPr>
  </w:style>
  <w:style w:type="character" w:customStyle="1" w:styleId="apple-converted-space">
    <w:name w:val="apple-converted-space"/>
    <w:basedOn w:val="DefaultParagraphFont"/>
    <w:rsid w:val="001A3C45"/>
  </w:style>
  <w:style w:type="character" w:styleId="Emphasis">
    <w:name w:val="Emphasis"/>
    <w:aliases w:val="2018 Review Emphasis"/>
    <w:uiPriority w:val="20"/>
    <w:qFormat/>
    <w:rsid w:val="00AA3080"/>
    <w:rPr>
      <w:rFonts w:ascii="Arial" w:hAnsi="Arial" w:cs="Arial"/>
      <w:b w:val="0"/>
      <w:i/>
      <w:szCs w:val="22"/>
    </w:rPr>
  </w:style>
  <w:style w:type="character" w:styleId="Hyperlink">
    <w:name w:val="Hyperlink"/>
    <w:basedOn w:val="DefaultParagraphFont"/>
    <w:uiPriority w:val="99"/>
    <w:unhideWhenUsed/>
    <w:rsid w:val="001A3C45"/>
    <w:rPr>
      <w:color w:val="0000FF"/>
      <w:u w:val="single"/>
    </w:rPr>
  </w:style>
  <w:style w:type="paragraph" w:styleId="CommentSubject">
    <w:name w:val="annotation subject"/>
    <w:basedOn w:val="CommentText"/>
    <w:next w:val="CommentText"/>
    <w:link w:val="CommentSubjectChar"/>
    <w:uiPriority w:val="99"/>
    <w:semiHidden/>
    <w:unhideWhenUsed/>
    <w:rsid w:val="001E1D0E"/>
    <w:rPr>
      <w:b/>
      <w:bCs/>
      <w:szCs w:val="20"/>
    </w:rPr>
  </w:style>
  <w:style w:type="character" w:customStyle="1" w:styleId="CommentSubjectChar">
    <w:name w:val="Comment Subject Char"/>
    <w:basedOn w:val="CommentTextChar"/>
    <w:link w:val="CommentSubject"/>
    <w:uiPriority w:val="99"/>
    <w:semiHidden/>
    <w:rsid w:val="001E1D0E"/>
    <w:rPr>
      <w:b/>
      <w:bCs/>
      <w:sz w:val="20"/>
      <w:szCs w:val="20"/>
    </w:rPr>
  </w:style>
  <w:style w:type="paragraph" w:styleId="Header">
    <w:name w:val="header"/>
    <w:basedOn w:val="Normal"/>
    <w:link w:val="HeaderChar"/>
    <w:uiPriority w:val="99"/>
    <w:unhideWhenUsed/>
    <w:rsid w:val="006C2043"/>
    <w:pPr>
      <w:tabs>
        <w:tab w:val="center" w:pos="4513"/>
        <w:tab w:val="right" w:pos="9026"/>
      </w:tabs>
    </w:pPr>
  </w:style>
  <w:style w:type="character" w:customStyle="1" w:styleId="HeaderChar">
    <w:name w:val="Header Char"/>
    <w:basedOn w:val="DefaultParagraphFont"/>
    <w:link w:val="Header"/>
    <w:uiPriority w:val="99"/>
    <w:rsid w:val="006C2043"/>
  </w:style>
  <w:style w:type="paragraph" w:styleId="Footer">
    <w:name w:val="footer"/>
    <w:basedOn w:val="Normal"/>
    <w:link w:val="FooterChar"/>
    <w:uiPriority w:val="99"/>
    <w:unhideWhenUsed/>
    <w:rsid w:val="006C2043"/>
    <w:pPr>
      <w:tabs>
        <w:tab w:val="center" w:pos="4513"/>
        <w:tab w:val="right" w:pos="9026"/>
      </w:tabs>
    </w:pPr>
  </w:style>
  <w:style w:type="character" w:customStyle="1" w:styleId="FooterChar">
    <w:name w:val="Footer Char"/>
    <w:basedOn w:val="DefaultParagraphFont"/>
    <w:link w:val="Footer"/>
    <w:uiPriority w:val="99"/>
    <w:rsid w:val="006C2043"/>
  </w:style>
  <w:style w:type="character" w:styleId="PageNumber">
    <w:name w:val="page number"/>
    <w:basedOn w:val="DefaultParagraphFont"/>
    <w:uiPriority w:val="99"/>
    <w:semiHidden/>
    <w:unhideWhenUsed/>
    <w:rsid w:val="006C2043"/>
  </w:style>
  <w:style w:type="character" w:customStyle="1" w:styleId="span68">
    <w:name w:val="span68"/>
    <w:basedOn w:val="DefaultParagraphFont"/>
    <w:rsid w:val="00242D67"/>
  </w:style>
  <w:style w:type="table" w:styleId="TableGrid">
    <w:name w:val="Table Grid"/>
    <w:basedOn w:val="TableNormal"/>
    <w:uiPriority w:val="59"/>
    <w:rsid w:val="00BD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ALink">
    <w:name w:val="SWA Link"/>
    <w:basedOn w:val="Normal"/>
    <w:link w:val="SWALinkChar"/>
    <w:qFormat/>
    <w:rsid w:val="00AA3080"/>
    <w:rPr>
      <w:rFonts w:eastAsia="Times New Roman" w:cs="Times New Roman"/>
      <w:u w:val="single"/>
    </w:rPr>
  </w:style>
  <w:style w:type="character" w:customStyle="1" w:styleId="SWALinkChar">
    <w:name w:val="SWA Link Char"/>
    <w:basedOn w:val="DefaultParagraphFont"/>
    <w:link w:val="SWALink"/>
    <w:rsid w:val="00AA3080"/>
    <w:rPr>
      <w:rFonts w:ascii="Arial" w:eastAsia="Times New Roman" w:hAnsi="Arial" w:cs="Times New Roman"/>
      <w:sz w:val="20"/>
      <w:szCs w:val="24"/>
      <w:u w:val="single"/>
      <w:lang w:eastAsia="en-AU"/>
    </w:rPr>
  </w:style>
  <w:style w:type="paragraph" w:customStyle="1" w:styleId="2018ReviewCoverHeader">
    <w:name w:val="2018 Review Cover Header"/>
    <w:basedOn w:val="Title"/>
    <w:link w:val="2018ReviewCoverHeaderChar"/>
    <w:qFormat/>
    <w:rsid w:val="00AA3080"/>
    <w:pPr>
      <w:spacing w:before="5000"/>
    </w:pPr>
    <w:rPr>
      <w:color w:val="44546A" w:themeColor="text2"/>
      <w:sz w:val="96"/>
      <w:szCs w:val="96"/>
    </w:rPr>
  </w:style>
  <w:style w:type="character" w:customStyle="1" w:styleId="2018ReviewCoverHeaderChar">
    <w:name w:val="2018 Review Cover Header Char"/>
    <w:basedOn w:val="TitleChar"/>
    <w:link w:val="2018ReviewCoverHeader"/>
    <w:rsid w:val="00AA3080"/>
    <w:rPr>
      <w:rFonts w:ascii="Arial Bold" w:eastAsiaTheme="majorEastAsia" w:hAnsi="Arial Bold" w:cs="Arial"/>
      <w:b/>
      <w:bCs/>
      <w:color w:val="44546A" w:themeColor="text2"/>
      <w:kern w:val="28"/>
      <w:sz w:val="96"/>
      <w:szCs w:val="96"/>
    </w:rPr>
  </w:style>
  <w:style w:type="paragraph" w:styleId="Title">
    <w:name w:val="Title"/>
    <w:aliases w:val="2018 Review Title"/>
    <w:basedOn w:val="Normal"/>
    <w:link w:val="TitleChar"/>
    <w:qFormat/>
    <w:rsid w:val="00AA3080"/>
    <w:pPr>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rsid w:val="00AA3080"/>
    <w:rPr>
      <w:rFonts w:ascii="Arial Bold" w:eastAsiaTheme="majorEastAsia" w:hAnsi="Arial Bold" w:cs="Arial"/>
      <w:b/>
      <w:bCs/>
      <w:color w:val="145B85"/>
      <w:kern w:val="28"/>
      <w:sz w:val="36"/>
      <w:szCs w:val="32"/>
    </w:rPr>
  </w:style>
  <w:style w:type="paragraph" w:customStyle="1" w:styleId="2018ReviewCoverSubhead1">
    <w:name w:val="2018 Review Cover Sub head 1"/>
    <w:basedOn w:val="Normal"/>
    <w:link w:val="2018ReviewCoverSubhead1Char"/>
    <w:qFormat/>
    <w:rsid w:val="00AA3080"/>
    <w:pPr>
      <w:autoSpaceDE w:val="0"/>
      <w:autoSpaceDN w:val="0"/>
      <w:adjustRightInd w:val="0"/>
      <w:spacing w:line="288" w:lineRule="auto"/>
      <w:textAlignment w:val="center"/>
    </w:pPr>
    <w:rPr>
      <w:rFonts w:cs="Arial"/>
      <w:b/>
      <w:bCs/>
      <w:i/>
      <w:iCs/>
      <w:color w:val="FFFFFF" w:themeColor="background1"/>
      <w:spacing w:val="9"/>
      <w:sz w:val="43"/>
      <w:szCs w:val="43"/>
      <w:lang w:eastAsia="en-US"/>
    </w:rPr>
  </w:style>
  <w:style w:type="character" w:customStyle="1" w:styleId="2018ReviewCoverSubhead1Char">
    <w:name w:val="2018 Review Cover Sub head 1 Char"/>
    <w:basedOn w:val="DefaultParagraphFont"/>
    <w:link w:val="2018ReviewCoverSubhead1"/>
    <w:rsid w:val="00AA3080"/>
    <w:rPr>
      <w:rFonts w:ascii="Arial" w:hAnsi="Arial" w:cs="Arial"/>
      <w:b/>
      <w:bCs/>
      <w:i/>
      <w:iCs/>
      <w:color w:val="FFFFFF" w:themeColor="background1"/>
      <w:spacing w:val="9"/>
      <w:sz w:val="43"/>
      <w:szCs w:val="43"/>
    </w:rPr>
  </w:style>
  <w:style w:type="paragraph" w:customStyle="1" w:styleId="2018ReviewCovernames">
    <w:name w:val="2018 Review Cover names"/>
    <w:basedOn w:val="Normal"/>
    <w:link w:val="2018ReviewCovernamesChar"/>
    <w:qFormat/>
    <w:rsid w:val="00AA3080"/>
    <w:pPr>
      <w:autoSpaceDE w:val="0"/>
      <w:autoSpaceDN w:val="0"/>
      <w:adjustRightInd w:val="0"/>
      <w:spacing w:before="1200" w:line="288" w:lineRule="auto"/>
      <w:textAlignment w:val="center"/>
    </w:pPr>
    <w:rPr>
      <w:rFonts w:cs="Arial"/>
      <w:i/>
      <w:iCs/>
      <w:color w:val="5E5E5D"/>
      <w:spacing w:val="9"/>
      <w:sz w:val="43"/>
      <w:szCs w:val="43"/>
      <w:lang w:eastAsia="en-US"/>
    </w:rPr>
  </w:style>
  <w:style w:type="character" w:customStyle="1" w:styleId="2018ReviewCovernamesChar">
    <w:name w:val="2018 Review Cover names Char"/>
    <w:basedOn w:val="DefaultParagraphFont"/>
    <w:link w:val="2018ReviewCovernames"/>
    <w:rsid w:val="00AA3080"/>
    <w:rPr>
      <w:rFonts w:ascii="Arial" w:hAnsi="Arial" w:cs="Arial"/>
      <w:i/>
      <w:iCs/>
      <w:color w:val="5E5E5D"/>
      <w:spacing w:val="9"/>
      <w:sz w:val="43"/>
      <w:szCs w:val="43"/>
    </w:rPr>
  </w:style>
  <w:style w:type="paragraph" w:customStyle="1" w:styleId="2018ReviewCoverintroparagraph">
    <w:name w:val="2018 Review Cover intro paragraph"/>
    <w:basedOn w:val="Normal"/>
    <w:link w:val="2018ReviewCoverintroparagraphChar"/>
    <w:qFormat/>
    <w:rsid w:val="00AA3080"/>
    <w:pPr>
      <w:suppressAutoHyphens/>
      <w:autoSpaceDE w:val="0"/>
      <w:autoSpaceDN w:val="0"/>
      <w:adjustRightInd w:val="0"/>
      <w:spacing w:line="288" w:lineRule="auto"/>
      <w:textAlignment w:val="center"/>
    </w:pPr>
    <w:rPr>
      <w:rFonts w:cs="Arial"/>
      <w:color w:val="145B85"/>
      <w:sz w:val="30"/>
      <w:szCs w:val="30"/>
      <w:lang w:eastAsia="en-US"/>
    </w:rPr>
  </w:style>
  <w:style w:type="character" w:customStyle="1" w:styleId="2018ReviewCoverintroparagraphChar">
    <w:name w:val="2018 Review Cover intro paragraph Char"/>
    <w:basedOn w:val="DefaultParagraphFont"/>
    <w:link w:val="2018ReviewCoverintroparagraph"/>
    <w:rsid w:val="00AA3080"/>
    <w:rPr>
      <w:rFonts w:ascii="Arial" w:hAnsi="Arial" w:cs="Arial"/>
      <w:color w:val="145B85"/>
      <w:sz w:val="30"/>
      <w:szCs w:val="30"/>
    </w:rPr>
  </w:style>
  <w:style w:type="paragraph" w:customStyle="1" w:styleId="2018ReviewFeaturetext">
    <w:name w:val="2018 Review Feature text"/>
    <w:basedOn w:val="Normal"/>
    <w:link w:val="2018ReviewFeaturetextChar"/>
    <w:qFormat/>
    <w:rsid w:val="00AA3080"/>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rPr>
  </w:style>
  <w:style w:type="character" w:customStyle="1" w:styleId="2018ReviewFeaturetextChar">
    <w:name w:val="2018 Review Feature text Char"/>
    <w:basedOn w:val="DefaultParagraphFont"/>
    <w:link w:val="2018ReviewFeaturetext"/>
    <w:rsid w:val="00AA3080"/>
    <w:rPr>
      <w:rFonts w:ascii="Arial" w:eastAsia="Times New Roman" w:hAnsi="Arial" w:cs="Times New Roman"/>
      <w:sz w:val="20"/>
      <w:szCs w:val="24"/>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qFormat/>
    <w:rsid w:val="00AA3080"/>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2018ReviewFeaturepagetitleChar">
    <w:name w:val="2018 Review Feature page title Char"/>
    <w:basedOn w:val="Heading1Char"/>
    <w:link w:val="2018ReviewFeaturepagetitle"/>
    <w:rsid w:val="00AA3080"/>
    <w:rPr>
      <w:rFonts w:ascii="Arial Bold" w:eastAsiaTheme="majorEastAsia" w:hAnsi="Arial Bold" w:cs="Arial"/>
      <w:b/>
      <w:noProof/>
      <w:color w:val="145B85"/>
      <w:kern w:val="32"/>
      <w:sz w:val="28"/>
      <w:shd w:val="clear" w:color="auto" w:fill="F2F2F2" w:themeFill="background1" w:themeFillShade="F2"/>
      <w:lang w:eastAsia="en-AU"/>
    </w:rPr>
  </w:style>
  <w:style w:type="character" w:customStyle="1" w:styleId="Heading1Char">
    <w:name w:val="Heading 1 Char"/>
    <w:aliases w:val="2018 Review Heading 1 Char"/>
    <w:basedOn w:val="DefaultParagraphFont"/>
    <w:link w:val="Heading1"/>
    <w:rsid w:val="00AA3080"/>
    <w:rPr>
      <w:rFonts w:ascii="Arial Bold" w:eastAsiaTheme="majorEastAsia" w:hAnsi="Arial Bold" w:cs="Arial"/>
      <w:b/>
      <w:kern w:val="32"/>
      <w:sz w:val="28"/>
      <w:lang w:eastAsia="en-AU"/>
    </w:rPr>
  </w:style>
  <w:style w:type="paragraph" w:customStyle="1" w:styleId="2018Review1stHeading">
    <w:name w:val="2018 Review 1st Heading"/>
    <w:basedOn w:val="Heading1"/>
    <w:next w:val="Normal"/>
    <w:qFormat/>
    <w:rsid w:val="00AA3080"/>
    <w:pPr>
      <w:keepLines/>
      <w:ind w:left="709" w:hanging="709"/>
    </w:pPr>
    <w:rPr>
      <w:rFonts w:ascii="Arial" w:hAnsi="Arial"/>
      <w:color w:val="145B85"/>
      <w:kern w:val="0"/>
      <w:sz w:val="32"/>
    </w:rPr>
  </w:style>
  <w:style w:type="paragraph" w:customStyle="1" w:styleId="2018ReviewCaptionstyle">
    <w:name w:val="2018 Review Caption style"/>
    <w:basedOn w:val="Normal"/>
    <w:link w:val="2018ReviewCaptionstyleChar"/>
    <w:qFormat/>
    <w:rsid w:val="00AA3080"/>
    <w:rPr>
      <w:rFonts w:cs="Times New Roman"/>
      <w:sz w:val="18"/>
      <w:szCs w:val="18"/>
    </w:rPr>
  </w:style>
  <w:style w:type="character" w:customStyle="1" w:styleId="2018ReviewCaptionstyleChar">
    <w:name w:val="2018 Review Caption style Char"/>
    <w:basedOn w:val="DefaultParagraphFont"/>
    <w:link w:val="2018ReviewCaptionstyle"/>
    <w:rsid w:val="00AA3080"/>
    <w:rPr>
      <w:rFonts w:ascii="Arial" w:hAnsi="Arial" w:cs="Times New Roman"/>
      <w:sz w:val="18"/>
      <w:szCs w:val="18"/>
      <w:lang w:eastAsia="en-AU"/>
    </w:rPr>
  </w:style>
  <w:style w:type="paragraph" w:customStyle="1" w:styleId="2018ReviewBullets">
    <w:name w:val="2018 Review Bullets"/>
    <w:basedOn w:val="ListParagraph"/>
    <w:link w:val="2018ReviewBulletsChar"/>
    <w:qFormat/>
    <w:rsid w:val="00AA3080"/>
    <w:pPr>
      <w:numPr>
        <w:numId w:val="3"/>
      </w:numPr>
    </w:pPr>
    <w:rPr>
      <w:rFonts w:eastAsia="Times New Roman" w:cs="Times New Roman"/>
    </w:rPr>
  </w:style>
  <w:style w:type="character" w:customStyle="1" w:styleId="2018ReviewBulletsChar">
    <w:name w:val="2018 Review Bullets Char"/>
    <w:basedOn w:val="ListParagraphChar"/>
    <w:link w:val="2018ReviewBullets"/>
    <w:rsid w:val="00AA3080"/>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AA3080"/>
    <w:pPr>
      <w:keepNext/>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AA3080"/>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qFormat/>
    <w:rsid w:val="00AA3080"/>
    <w:pPr>
      <w:keepLines/>
      <w:numPr>
        <w:ilvl w:val="1"/>
        <w:numId w:val="36"/>
      </w:numPr>
    </w:pPr>
    <w:rPr>
      <w:rFonts w:ascii="Arial" w:eastAsiaTheme="minorHAnsi" w:hAnsi="Arial"/>
      <w:color w:val="145B85"/>
      <w:kern w:val="0"/>
      <w:sz w:val="32"/>
    </w:rPr>
  </w:style>
  <w:style w:type="paragraph" w:customStyle="1" w:styleId="2018ReviewDisclaimerheading">
    <w:name w:val="2018 Review Disclaimer heading"/>
    <w:basedOn w:val="2018ReviewTableheader"/>
    <w:link w:val="2018ReviewDisclaimerheadingChar"/>
    <w:qFormat/>
    <w:rsid w:val="00AA3080"/>
    <w:rPr>
      <w:sz w:val="14"/>
      <w:szCs w:val="14"/>
    </w:rPr>
  </w:style>
  <w:style w:type="character" w:customStyle="1" w:styleId="2018ReviewDisclaimerheadingChar">
    <w:name w:val="2018 Review Disclaimer heading Char"/>
    <w:basedOn w:val="2018ReviewTableheaderChar"/>
    <w:link w:val="2018ReviewDisclaimerheading"/>
    <w:rsid w:val="00AA3080"/>
    <w:rPr>
      <w:rFonts w:ascii="Arial" w:eastAsiaTheme="majorEastAsia" w:hAnsi="Arial" w:cstheme="majorBidi"/>
      <w:b/>
      <w:color w:val="145B85"/>
      <w:spacing w:val="-3"/>
      <w:sz w:val="14"/>
      <w:szCs w:val="14"/>
    </w:rPr>
  </w:style>
  <w:style w:type="paragraph" w:customStyle="1" w:styleId="2018ReviewDisclaimerbodytext">
    <w:name w:val="2018 Review Disclaimer body text"/>
    <w:basedOn w:val="Normal"/>
    <w:link w:val="2018ReviewDisclaimerbodytextChar"/>
    <w:qFormat/>
    <w:rsid w:val="00AA3080"/>
    <w:pPr>
      <w:spacing w:line="276" w:lineRule="auto"/>
    </w:pPr>
    <w:rPr>
      <w:rFonts w:eastAsia="Times New Roman" w:cs="Times New Roman"/>
      <w:sz w:val="14"/>
      <w:szCs w:val="14"/>
    </w:rPr>
  </w:style>
  <w:style w:type="character" w:customStyle="1" w:styleId="2018ReviewDisclaimerbodytextChar">
    <w:name w:val="2018 Review Disclaimer body text Char"/>
    <w:basedOn w:val="DefaultParagraphFont"/>
    <w:link w:val="2018ReviewDisclaimerbodytext"/>
    <w:rsid w:val="00AA3080"/>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AA3080"/>
    <w:pPr>
      <w:spacing w:before="5000"/>
    </w:pPr>
    <w:rPr>
      <w:sz w:val="96"/>
      <w:szCs w:val="96"/>
    </w:rPr>
  </w:style>
  <w:style w:type="character" w:customStyle="1" w:styleId="SWASectiontitleChar">
    <w:name w:val="SWA Section title Char"/>
    <w:basedOn w:val="TitleChar"/>
    <w:link w:val="SWASectiontitle"/>
    <w:rsid w:val="00AA3080"/>
    <w:rPr>
      <w:rFonts w:ascii="Arial Bold" w:eastAsiaTheme="majorEastAsia" w:hAnsi="Arial Bold" w:cs="Arial"/>
      <w:b/>
      <w:bCs/>
      <w:color w:val="145B85"/>
      <w:kern w:val="28"/>
      <w:sz w:val="96"/>
      <w:szCs w:val="96"/>
    </w:rPr>
  </w:style>
  <w:style w:type="paragraph" w:customStyle="1" w:styleId="2018ReviewHeading1featurepage">
    <w:name w:val="2018 Review Heading 1 feature page"/>
    <w:basedOn w:val="2018ReviewFeaturepagetitle"/>
    <w:link w:val="2018ReviewHeading1featurepageChar"/>
    <w:qFormat/>
    <w:rsid w:val="00AA3080"/>
    <w:rPr>
      <w:color w:val="000000" w:themeColor="text1"/>
    </w:rPr>
  </w:style>
  <w:style w:type="character" w:customStyle="1" w:styleId="2018ReviewHeading1featurepageChar">
    <w:name w:val="2018 Review Heading 1 feature page Char"/>
    <w:basedOn w:val="2018ReviewFeaturepagetitleChar"/>
    <w:link w:val="2018ReviewHeading1featurepage"/>
    <w:rsid w:val="00AA30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2018ReviewHeading2Featurepage">
    <w:name w:val="2018 ReviewHeading 2 Feature page"/>
    <w:basedOn w:val="2018ReviewHeading1featurepage"/>
    <w:link w:val="2018ReviewHeading2FeaturepageChar"/>
    <w:qFormat/>
    <w:rsid w:val="00AA3080"/>
  </w:style>
  <w:style w:type="character" w:customStyle="1" w:styleId="2018ReviewHeading2FeaturepageChar">
    <w:name w:val="2018 ReviewHeading 2 Feature page Char"/>
    <w:basedOn w:val="2018ReviewHeading1featurepageChar"/>
    <w:link w:val="2018ReviewHeading2Featurepage"/>
    <w:rsid w:val="00AA30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Heading2Char">
    <w:name w:val="Heading 2 Char"/>
    <w:aliases w:val="2018 Review Heading 2 Char"/>
    <w:basedOn w:val="DefaultParagraphFont"/>
    <w:link w:val="Heading2"/>
    <w:rsid w:val="00AA3080"/>
    <w:rPr>
      <w:rFonts w:ascii="Arial Bold" w:eastAsiaTheme="majorEastAsia" w:hAnsi="Arial Bold" w:cstheme="majorBidi"/>
      <w:b/>
      <w:sz w:val="24"/>
      <w:szCs w:val="28"/>
      <w:lang w:eastAsia="en-AU"/>
    </w:rPr>
  </w:style>
  <w:style w:type="character" w:customStyle="1" w:styleId="Heading3Char">
    <w:name w:val="Heading 3 Char"/>
    <w:aliases w:val="2018 Review Heading 3 Char"/>
    <w:basedOn w:val="DefaultParagraphFont"/>
    <w:link w:val="Heading3"/>
    <w:rsid w:val="00AA3080"/>
    <w:rPr>
      <w:rFonts w:ascii="Arial Bold" w:eastAsiaTheme="majorEastAsia" w:hAnsi="Arial Bold" w:cstheme="majorBidi"/>
      <w:b/>
      <w:color w:val="145B85"/>
      <w:sz w:val="20"/>
      <w:szCs w:val="20"/>
    </w:rPr>
  </w:style>
  <w:style w:type="character" w:customStyle="1" w:styleId="Heading4Char">
    <w:name w:val="Heading 4 Char"/>
    <w:aliases w:val="2018 Review Heading 4 Char"/>
    <w:basedOn w:val="DefaultParagraphFont"/>
    <w:link w:val="Heading4"/>
    <w:rsid w:val="00AA3080"/>
    <w:rPr>
      <w:rFonts w:ascii="Arial" w:eastAsiaTheme="majorEastAsia" w:hAnsi="Arial" w:cstheme="majorBidi"/>
      <w:b/>
      <w:spacing w:val="-3"/>
      <w:sz w:val="20"/>
    </w:rPr>
  </w:style>
  <w:style w:type="paragraph" w:styleId="Caption">
    <w:name w:val="caption"/>
    <w:basedOn w:val="Normal"/>
    <w:next w:val="Normal"/>
    <w:uiPriority w:val="35"/>
    <w:unhideWhenUsed/>
    <w:qFormat/>
    <w:rsid w:val="00AA3080"/>
    <w:pPr>
      <w:spacing w:after="200"/>
    </w:pPr>
    <w:rPr>
      <w:rFonts w:eastAsia="Times New Roman" w:cs="Times New Roman"/>
      <w:b/>
      <w:bCs/>
      <w:sz w:val="18"/>
      <w:szCs w:val="18"/>
    </w:rPr>
  </w:style>
  <w:style w:type="character" w:styleId="Strong">
    <w:name w:val="Strong"/>
    <w:aliases w:val="2018 Review Strong"/>
    <w:qFormat/>
    <w:rsid w:val="00AA3080"/>
  </w:style>
  <w:style w:type="paragraph" w:styleId="NoSpacing">
    <w:name w:val="No Spacing"/>
    <w:aliases w:val="SWA No Spacing"/>
    <w:uiPriority w:val="1"/>
    <w:qFormat/>
    <w:rsid w:val="00AA3080"/>
    <w:pPr>
      <w:spacing w:after="0" w:line="240" w:lineRule="auto"/>
    </w:pPr>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3080"/>
    <w:rPr>
      <w:rFonts w:ascii="Arial" w:hAnsi="Arial"/>
      <w:sz w:val="20"/>
      <w:szCs w:val="20"/>
      <w:lang w:eastAsia="en-AU"/>
    </w:rPr>
  </w:style>
  <w:style w:type="paragraph" w:styleId="Quote">
    <w:name w:val="Quote"/>
    <w:aliases w:val="2018 Review Quote"/>
    <w:basedOn w:val="Normal"/>
    <w:next w:val="Normal"/>
    <w:link w:val="QuoteChar"/>
    <w:uiPriority w:val="29"/>
    <w:qFormat/>
    <w:rsid w:val="00AA3080"/>
    <w:rPr>
      <w:rFonts w:eastAsia="Times New Roman" w:cs="Times New Roman"/>
      <w:i/>
      <w:iCs/>
      <w:color w:val="000000" w:themeColor="text1"/>
    </w:rPr>
  </w:style>
  <w:style w:type="character" w:customStyle="1" w:styleId="QuoteChar">
    <w:name w:val="Quote Char"/>
    <w:aliases w:val="2018 Review Quote Char"/>
    <w:basedOn w:val="DefaultParagraphFont"/>
    <w:link w:val="Quote"/>
    <w:uiPriority w:val="29"/>
    <w:rsid w:val="00AA3080"/>
    <w:rPr>
      <w:rFonts w:ascii="Arial" w:eastAsia="Times New Roman" w:hAnsi="Arial" w:cs="Times New Roman"/>
      <w:i/>
      <w:iCs/>
      <w:color w:val="000000" w:themeColor="text1"/>
      <w:sz w:val="20"/>
      <w:szCs w:val="24"/>
      <w:lang w:eastAsia="en-AU"/>
    </w:rPr>
  </w:style>
  <w:style w:type="character" w:styleId="SubtleEmphasis">
    <w:name w:val="Subtle Emphasis"/>
    <w:aliases w:val="2018 Review Subtle Emphasis"/>
    <w:basedOn w:val="DefaultParagraphFont"/>
    <w:uiPriority w:val="19"/>
    <w:qFormat/>
    <w:rsid w:val="00AA3080"/>
    <w:rPr>
      <w:rFonts w:ascii="Arial" w:hAnsi="Arial"/>
      <w:i/>
      <w:iCs/>
      <w:color w:val="808080" w:themeColor="text1" w:themeTint="7F"/>
    </w:rPr>
  </w:style>
  <w:style w:type="paragraph" w:styleId="TOCHeading">
    <w:name w:val="TOC Heading"/>
    <w:basedOn w:val="Heading1"/>
    <w:next w:val="Normal"/>
    <w:uiPriority w:val="39"/>
    <w:semiHidden/>
    <w:unhideWhenUsed/>
    <w:qFormat/>
    <w:rsid w:val="00AA3080"/>
    <w:pPr>
      <w:keepLines/>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8D1094"/>
    <w:pPr>
      <w:spacing w:after="100"/>
    </w:pPr>
  </w:style>
  <w:style w:type="paragraph" w:customStyle="1" w:styleId="2018ReviewWhiteHeading">
    <w:name w:val="2018 Review White Heading"/>
    <w:basedOn w:val="Title"/>
    <w:next w:val="SWASectiontitle"/>
    <w:link w:val="2018ReviewWhiteHeadingChar"/>
    <w:rsid w:val="005C6931"/>
    <w:pPr>
      <w:keepNext/>
      <w:shd w:val="clear" w:color="auto" w:fill="222A35" w:themeFill="text2" w:themeFillShade="80"/>
      <w:tabs>
        <w:tab w:val="clear" w:pos="8222"/>
      </w:tabs>
      <w:spacing w:before="960"/>
      <w:ind w:left="357" w:hanging="357"/>
    </w:pPr>
    <w:rPr>
      <w:b w:val="0"/>
      <w:bCs w:val="0"/>
      <w:caps/>
      <w:color w:val="FFFFFF" w:themeColor="background1"/>
      <w:spacing w:val="20"/>
      <w:kern w:val="96"/>
      <w:szCs w:val="36"/>
      <w:lang w:val="en-AU"/>
    </w:rPr>
  </w:style>
  <w:style w:type="character" w:customStyle="1" w:styleId="2018ReviewWhiteHeadingChar">
    <w:name w:val="2018 Review White Heading Char"/>
    <w:basedOn w:val="TitleChar"/>
    <w:link w:val="2018ReviewWhiteHeading"/>
    <w:rsid w:val="005C6931"/>
    <w:rPr>
      <w:rFonts w:ascii="Arial Bold" w:eastAsiaTheme="majorEastAsia" w:hAnsi="Arial Bold" w:cs="Arial"/>
      <w:b w:val="0"/>
      <w:bCs w:val="0"/>
      <w:caps/>
      <w:color w:val="FFFFFF" w:themeColor="background1"/>
      <w:spacing w:val="20"/>
      <w:kern w:val="96"/>
      <w:sz w:val="36"/>
      <w:szCs w:val="36"/>
      <w:shd w:val="clear" w:color="auto" w:fill="222A35" w:themeFill="text2" w:themeFillShade="80"/>
      <w:lang w:val="en-AU"/>
    </w:rPr>
  </w:style>
  <w:style w:type="character" w:styleId="FollowedHyperlink">
    <w:name w:val="FollowedHyperlink"/>
    <w:basedOn w:val="DefaultParagraphFont"/>
    <w:uiPriority w:val="99"/>
    <w:semiHidden/>
    <w:unhideWhenUsed/>
    <w:rsid w:val="007F0919"/>
    <w:rPr>
      <w:color w:val="954F72" w:themeColor="followedHyperlink"/>
      <w:u w:val="single"/>
    </w:rPr>
  </w:style>
  <w:style w:type="paragraph" w:styleId="Revision">
    <w:name w:val="Revision"/>
    <w:hidden/>
    <w:uiPriority w:val="99"/>
    <w:semiHidden/>
    <w:rsid w:val="00B01D8C"/>
    <w:pPr>
      <w:spacing w:after="0" w:line="240" w:lineRule="auto"/>
    </w:pPr>
    <w:rPr>
      <w:rFonts w:ascii="Arial" w:hAnsi="Arial"/>
      <w:sz w:val="20"/>
      <w:szCs w:val="24"/>
      <w:lang w:eastAsia="en-AU"/>
    </w:rPr>
  </w:style>
  <w:style w:type="paragraph" w:customStyle="1" w:styleId="ReviewSubmissionQuestions">
    <w:name w:val="Review Submission Questions"/>
    <w:basedOn w:val="ListParagraph"/>
    <w:link w:val="ReviewSubmissionQuestionsChar"/>
    <w:autoRedefine/>
    <w:qFormat/>
    <w:rsid w:val="00146A76"/>
    <w:pPr>
      <w:numPr>
        <w:numId w:val="4"/>
      </w:numPr>
      <w:ind w:left="1418" w:right="567" w:hanging="1418"/>
    </w:pPr>
    <w:rPr>
      <w:b/>
      <w:color w:val="145B85"/>
      <w:lang w:val="en-AU"/>
    </w:rPr>
  </w:style>
  <w:style w:type="character" w:customStyle="1" w:styleId="ReviewSubmissionQuestionsChar">
    <w:name w:val="Review Submission Questions Char"/>
    <w:basedOn w:val="ListParagraphChar"/>
    <w:link w:val="ReviewSubmissionQuestions"/>
    <w:rsid w:val="00146A76"/>
    <w:rPr>
      <w:rFonts w:ascii="Arial" w:hAnsi="Arial"/>
      <w:b/>
      <w:color w:val="145B85"/>
      <w:sz w:val="20"/>
      <w:szCs w:val="20"/>
      <w:lang w:val="en-AU" w:eastAsia="en-AU"/>
    </w:rPr>
  </w:style>
  <w:style w:type="paragraph" w:styleId="TOC3">
    <w:name w:val="toc 3"/>
    <w:basedOn w:val="Normal"/>
    <w:next w:val="Normal"/>
    <w:autoRedefine/>
    <w:uiPriority w:val="39"/>
    <w:unhideWhenUsed/>
    <w:rsid w:val="00D7699B"/>
    <w:pPr>
      <w:spacing w:after="100"/>
      <w:ind w:left="400"/>
    </w:pPr>
  </w:style>
  <w:style w:type="paragraph" w:styleId="TOC2">
    <w:name w:val="toc 2"/>
    <w:basedOn w:val="Normal"/>
    <w:next w:val="Normal"/>
    <w:autoRedefine/>
    <w:uiPriority w:val="39"/>
    <w:unhideWhenUsed/>
    <w:rsid w:val="00D7699B"/>
    <w:pPr>
      <w:spacing w:after="100"/>
      <w:ind w:left="200"/>
    </w:pPr>
  </w:style>
  <w:style w:type="paragraph" w:customStyle="1" w:styleId="ChapterHeading">
    <w:name w:val="Chapter Heading"/>
    <w:basedOn w:val="2018ReviewWhiteHeading"/>
    <w:link w:val="ChapterHeadingChar"/>
    <w:qFormat/>
  </w:style>
  <w:style w:type="character" w:customStyle="1" w:styleId="ChapterHeadingChar">
    <w:name w:val="Chapter Heading Char"/>
    <w:basedOn w:val="2018ReviewWhiteHeadingChar"/>
    <w:link w:val="ChapterHeading"/>
    <w:rPr>
      <w:rFonts w:ascii="Arial Bold" w:eastAsiaTheme="majorEastAsia" w:hAnsi="Arial Bold" w:cs="Arial"/>
      <w:b w:val="0"/>
      <w:bCs w:val="0"/>
      <w:caps/>
      <w:color w:val="FFFFFF" w:themeColor="background1"/>
      <w:spacing w:val="20"/>
      <w:kern w:val="96"/>
      <w:sz w:val="36"/>
      <w:szCs w:val="36"/>
      <w:shd w:val="clear" w:color="auto" w:fill="222A35" w:themeFill="text2" w:themeFillShade="80"/>
      <w:lang w:val="en-AU"/>
    </w:rPr>
  </w:style>
  <w:style w:type="paragraph" w:customStyle="1" w:styleId="SWACoverintroparagraph">
    <w:name w:val="SWA Cover intro paragraph"/>
    <w:basedOn w:val="Normal"/>
    <w:link w:val="SWACoverintroparagraphChar"/>
    <w:qFormat/>
    <w:rsid w:val="00081962"/>
    <w:pPr>
      <w:suppressAutoHyphens/>
      <w:autoSpaceDE w:val="0"/>
      <w:autoSpaceDN w:val="0"/>
      <w:adjustRightInd w:val="0"/>
      <w:spacing w:line="288" w:lineRule="auto"/>
      <w:textAlignment w:val="center"/>
    </w:pPr>
    <w:rPr>
      <w:rFonts w:cs="Arial"/>
      <w:color w:val="145B85"/>
      <w:sz w:val="30"/>
      <w:szCs w:val="30"/>
      <w:lang w:eastAsia="en-US"/>
    </w:rPr>
  </w:style>
  <w:style w:type="character" w:customStyle="1" w:styleId="SWACoverintroparagraphChar">
    <w:name w:val="SWA Cover intro paragraph Char"/>
    <w:basedOn w:val="DefaultParagraphFont"/>
    <w:link w:val="SWACoverintroparagraph"/>
    <w:rsid w:val="00081962"/>
    <w:rPr>
      <w:rFonts w:ascii="Arial" w:hAnsi="Arial" w:cs="Arial"/>
      <w:color w:val="145B85"/>
      <w:sz w:val="30"/>
      <w:szCs w:val="30"/>
    </w:rPr>
  </w:style>
  <w:style w:type="paragraph" w:customStyle="1" w:styleId="SWADisclaimerheading">
    <w:name w:val="SWA Disclaimer heading"/>
    <w:basedOn w:val="Normal"/>
    <w:link w:val="SWADisclaimerheadingChar"/>
    <w:qFormat/>
    <w:rsid w:val="00081962"/>
    <w:pPr>
      <w:spacing w:line="276" w:lineRule="auto"/>
    </w:pPr>
    <w:rPr>
      <w:rFonts w:eastAsiaTheme="majorEastAsia" w:cstheme="majorBidi"/>
      <w:b/>
      <w:color w:val="145B85"/>
      <w:spacing w:val="-3"/>
      <w:sz w:val="14"/>
      <w:szCs w:val="14"/>
      <w:lang w:val="en-AU" w:eastAsia="en-US"/>
    </w:rPr>
  </w:style>
  <w:style w:type="character" w:customStyle="1" w:styleId="SWADisclaimerheadingChar">
    <w:name w:val="SWA Disclaimer heading Char"/>
    <w:basedOn w:val="DefaultParagraphFont"/>
    <w:link w:val="SWADisclaimerheading"/>
    <w:rsid w:val="00081962"/>
    <w:rPr>
      <w:rFonts w:ascii="Arial" w:eastAsiaTheme="majorEastAsia" w:hAnsi="Arial" w:cstheme="majorBidi"/>
      <w:b/>
      <w:color w:val="145B85"/>
      <w:spacing w:val="-3"/>
      <w:sz w:val="14"/>
      <w:szCs w:val="14"/>
      <w:lang w:val="en-AU"/>
    </w:rPr>
  </w:style>
  <w:style w:type="paragraph" w:customStyle="1" w:styleId="SWADisclaimerbodytext">
    <w:name w:val="SWA Disclaimer body text"/>
    <w:basedOn w:val="Normal"/>
    <w:link w:val="SWADisclaimerbodytextChar"/>
    <w:qFormat/>
    <w:rsid w:val="00081962"/>
    <w:pPr>
      <w:spacing w:line="276" w:lineRule="auto"/>
    </w:pPr>
    <w:rPr>
      <w:rFonts w:eastAsia="Times New Roman" w:cs="Times New Roman"/>
      <w:sz w:val="14"/>
      <w:szCs w:val="14"/>
      <w:lang w:val="en-AU"/>
    </w:rPr>
  </w:style>
  <w:style w:type="character" w:customStyle="1" w:styleId="SWADisclaimerbodytextChar">
    <w:name w:val="SWA Disclaimer body text Char"/>
    <w:basedOn w:val="DefaultParagraphFont"/>
    <w:link w:val="SWADisclaimerbodytext"/>
    <w:rsid w:val="00081962"/>
    <w:rPr>
      <w:rFonts w:ascii="Arial" w:eastAsia="Times New Roman" w:hAnsi="Arial" w:cs="Times New Roman"/>
      <w:sz w:val="14"/>
      <w:szCs w:val="1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AA3080"/>
    <w:pPr>
      <w:spacing w:after="120" w:line="240" w:lineRule="auto"/>
    </w:pPr>
    <w:rPr>
      <w:rFonts w:ascii="Arial" w:hAnsi="Arial"/>
      <w:sz w:val="20"/>
      <w:szCs w:val="24"/>
      <w:lang w:eastAsia="en-AU"/>
    </w:rPr>
  </w:style>
  <w:style w:type="paragraph" w:styleId="Heading1">
    <w:name w:val="heading 1"/>
    <w:aliases w:val="2018 Review Heading 1"/>
    <w:basedOn w:val="Normal"/>
    <w:next w:val="Normal"/>
    <w:link w:val="Heading1Char"/>
    <w:qFormat/>
    <w:rsid w:val="00AA3080"/>
    <w:pPr>
      <w:keepNext/>
      <w:spacing w:before="360"/>
      <w:outlineLvl w:val="0"/>
    </w:pPr>
    <w:rPr>
      <w:rFonts w:ascii="Arial Bold" w:eastAsiaTheme="majorEastAsia" w:hAnsi="Arial Bold" w:cs="Arial"/>
      <w:b/>
      <w:kern w:val="32"/>
      <w:sz w:val="28"/>
      <w:szCs w:val="22"/>
    </w:rPr>
  </w:style>
  <w:style w:type="paragraph" w:styleId="Heading2">
    <w:name w:val="heading 2"/>
    <w:aliases w:val="2018 Review Heading 2"/>
    <w:basedOn w:val="Normal"/>
    <w:next w:val="Normal"/>
    <w:link w:val="Heading2Char"/>
    <w:qFormat/>
    <w:rsid w:val="00AA3080"/>
    <w:pPr>
      <w:spacing w:before="240"/>
      <w:outlineLvl w:val="1"/>
    </w:pPr>
    <w:rPr>
      <w:rFonts w:ascii="Arial Bold" w:eastAsiaTheme="majorEastAsia" w:hAnsi="Arial Bold" w:cstheme="majorBidi"/>
      <w:b/>
      <w:sz w:val="24"/>
      <w:szCs w:val="28"/>
    </w:rPr>
  </w:style>
  <w:style w:type="paragraph" w:styleId="Heading3">
    <w:name w:val="heading 3"/>
    <w:aliases w:val="2018 Review Heading 3"/>
    <w:basedOn w:val="Normal"/>
    <w:next w:val="Normal"/>
    <w:link w:val="Heading3Char"/>
    <w:qFormat/>
    <w:rsid w:val="00AA3080"/>
    <w:pPr>
      <w:keepNext/>
      <w:overflowPunct w:val="0"/>
      <w:autoSpaceDE w:val="0"/>
      <w:autoSpaceDN w:val="0"/>
      <w:adjustRightInd w:val="0"/>
      <w:spacing w:before="2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2018 Review Heading 4"/>
    <w:basedOn w:val="Normal"/>
    <w:next w:val="Normal"/>
    <w:link w:val="Heading4Char"/>
    <w:qFormat/>
    <w:rsid w:val="00AA3080"/>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76AC"/>
  </w:style>
  <w:style w:type="character" w:customStyle="1" w:styleId="FootnoteTextChar">
    <w:name w:val="Footnote Text Char"/>
    <w:basedOn w:val="DefaultParagraphFont"/>
    <w:link w:val="FootnoteText"/>
    <w:uiPriority w:val="99"/>
    <w:rsid w:val="007B76AC"/>
  </w:style>
  <w:style w:type="character" w:styleId="FootnoteReference">
    <w:name w:val="footnote reference"/>
    <w:basedOn w:val="DefaultParagraphFont"/>
    <w:uiPriority w:val="99"/>
    <w:unhideWhenUsed/>
    <w:rsid w:val="007B76AC"/>
    <w:rPr>
      <w:vertAlign w:val="superscript"/>
    </w:rPr>
  </w:style>
  <w:style w:type="character" w:styleId="CommentReference">
    <w:name w:val="annotation reference"/>
    <w:basedOn w:val="DefaultParagraphFont"/>
    <w:uiPriority w:val="99"/>
    <w:semiHidden/>
    <w:unhideWhenUsed/>
    <w:rsid w:val="007B76AC"/>
    <w:rPr>
      <w:sz w:val="18"/>
      <w:szCs w:val="18"/>
    </w:rPr>
  </w:style>
  <w:style w:type="paragraph" w:styleId="CommentText">
    <w:name w:val="annotation text"/>
    <w:basedOn w:val="Normal"/>
    <w:link w:val="CommentTextChar"/>
    <w:uiPriority w:val="99"/>
    <w:unhideWhenUsed/>
    <w:rsid w:val="007B76AC"/>
  </w:style>
  <w:style w:type="character" w:customStyle="1" w:styleId="CommentTextChar">
    <w:name w:val="Comment Text Char"/>
    <w:basedOn w:val="DefaultParagraphFont"/>
    <w:link w:val="CommentText"/>
    <w:uiPriority w:val="99"/>
    <w:rsid w:val="007B76AC"/>
  </w:style>
  <w:style w:type="paragraph" w:customStyle="1" w:styleId="p1">
    <w:name w:val="p1"/>
    <w:basedOn w:val="Normal"/>
    <w:rsid w:val="007B76AC"/>
    <w:pPr>
      <w:jc w:val="both"/>
    </w:pPr>
    <w:rPr>
      <w:rFonts w:ascii="Trebuchet MS" w:hAnsi="Trebuchet MS" w:cs="Times New Roman"/>
      <w:color w:val="000000"/>
      <w:sz w:val="15"/>
      <w:szCs w:val="15"/>
      <w:lang w:eastAsia="en-GB"/>
    </w:rPr>
  </w:style>
  <w:style w:type="paragraph" w:styleId="ListParagraph">
    <w:name w:val="List Paragraph"/>
    <w:aliases w:val="SWA List Paragraph,Indent"/>
    <w:basedOn w:val="Normal"/>
    <w:link w:val="ListParagraphChar"/>
    <w:uiPriority w:val="34"/>
    <w:qFormat/>
    <w:rsid w:val="00AA3080"/>
    <w:pPr>
      <w:overflowPunct w:val="0"/>
      <w:autoSpaceDE w:val="0"/>
      <w:autoSpaceDN w:val="0"/>
      <w:adjustRightInd w:val="0"/>
      <w:ind w:left="340"/>
      <w:textAlignment w:val="baseline"/>
    </w:pPr>
    <w:rPr>
      <w:szCs w:val="20"/>
    </w:rPr>
  </w:style>
  <w:style w:type="paragraph" w:styleId="NormalWeb">
    <w:name w:val="Normal (Web)"/>
    <w:basedOn w:val="Normal"/>
    <w:uiPriority w:val="99"/>
    <w:unhideWhenUsed/>
    <w:rsid w:val="007B76AC"/>
    <w:pPr>
      <w:spacing w:after="150"/>
    </w:pPr>
    <w:rPr>
      <w:rFonts w:ascii="Times New Roman" w:eastAsia="Times New Roman" w:hAnsi="Times New Roman" w:cs="Times New Roman"/>
      <w:lang w:val="en-AU"/>
    </w:rPr>
  </w:style>
  <w:style w:type="paragraph" w:customStyle="1" w:styleId="Para">
    <w:name w:val="Para"/>
    <w:basedOn w:val="Normal"/>
    <w:link w:val="ParaChar"/>
    <w:rsid w:val="007B76AC"/>
    <w:pPr>
      <w:spacing w:before="120"/>
      <w:jc w:val="both"/>
    </w:pPr>
    <w:rPr>
      <w:rFonts w:eastAsia="Times New Roman" w:cs="Arial"/>
      <w:color w:val="000000"/>
      <w:lang w:val="en-AU"/>
    </w:rPr>
  </w:style>
  <w:style w:type="character" w:customStyle="1" w:styleId="ParaChar">
    <w:name w:val="Para Char"/>
    <w:link w:val="Para"/>
    <w:rsid w:val="007B76AC"/>
    <w:rPr>
      <w:rFonts w:ascii="Arial" w:eastAsia="Times New Roman" w:hAnsi="Arial" w:cs="Arial"/>
      <w:color w:val="000000"/>
      <w:lang w:val="en-AU" w:eastAsia="en-AU"/>
    </w:rPr>
  </w:style>
  <w:style w:type="paragraph" w:styleId="BalloonText">
    <w:name w:val="Balloon Text"/>
    <w:basedOn w:val="Normal"/>
    <w:link w:val="BalloonTextChar"/>
    <w:uiPriority w:val="99"/>
    <w:semiHidden/>
    <w:unhideWhenUsed/>
    <w:rsid w:val="007B7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6AC"/>
    <w:rPr>
      <w:rFonts w:ascii="Times New Roman" w:hAnsi="Times New Roman" w:cs="Times New Roman"/>
      <w:sz w:val="18"/>
      <w:szCs w:val="18"/>
    </w:rPr>
  </w:style>
  <w:style w:type="character" w:customStyle="1" w:styleId="apple-converted-space">
    <w:name w:val="apple-converted-space"/>
    <w:basedOn w:val="DefaultParagraphFont"/>
    <w:rsid w:val="001A3C45"/>
  </w:style>
  <w:style w:type="character" w:styleId="Emphasis">
    <w:name w:val="Emphasis"/>
    <w:aliases w:val="2018 Review Emphasis"/>
    <w:uiPriority w:val="20"/>
    <w:qFormat/>
    <w:rsid w:val="00AA3080"/>
    <w:rPr>
      <w:rFonts w:ascii="Arial" w:hAnsi="Arial" w:cs="Arial"/>
      <w:b w:val="0"/>
      <w:i/>
      <w:szCs w:val="22"/>
    </w:rPr>
  </w:style>
  <w:style w:type="character" w:styleId="Hyperlink">
    <w:name w:val="Hyperlink"/>
    <w:basedOn w:val="DefaultParagraphFont"/>
    <w:uiPriority w:val="99"/>
    <w:unhideWhenUsed/>
    <w:rsid w:val="001A3C45"/>
    <w:rPr>
      <w:color w:val="0000FF"/>
      <w:u w:val="single"/>
    </w:rPr>
  </w:style>
  <w:style w:type="paragraph" w:styleId="CommentSubject">
    <w:name w:val="annotation subject"/>
    <w:basedOn w:val="CommentText"/>
    <w:next w:val="CommentText"/>
    <w:link w:val="CommentSubjectChar"/>
    <w:uiPriority w:val="99"/>
    <w:semiHidden/>
    <w:unhideWhenUsed/>
    <w:rsid w:val="001E1D0E"/>
    <w:rPr>
      <w:b/>
      <w:bCs/>
      <w:szCs w:val="20"/>
    </w:rPr>
  </w:style>
  <w:style w:type="character" w:customStyle="1" w:styleId="CommentSubjectChar">
    <w:name w:val="Comment Subject Char"/>
    <w:basedOn w:val="CommentTextChar"/>
    <w:link w:val="CommentSubject"/>
    <w:uiPriority w:val="99"/>
    <w:semiHidden/>
    <w:rsid w:val="001E1D0E"/>
    <w:rPr>
      <w:b/>
      <w:bCs/>
      <w:sz w:val="20"/>
      <w:szCs w:val="20"/>
    </w:rPr>
  </w:style>
  <w:style w:type="paragraph" w:styleId="Header">
    <w:name w:val="header"/>
    <w:basedOn w:val="Normal"/>
    <w:link w:val="HeaderChar"/>
    <w:uiPriority w:val="99"/>
    <w:unhideWhenUsed/>
    <w:rsid w:val="006C2043"/>
    <w:pPr>
      <w:tabs>
        <w:tab w:val="center" w:pos="4513"/>
        <w:tab w:val="right" w:pos="9026"/>
      </w:tabs>
    </w:pPr>
  </w:style>
  <w:style w:type="character" w:customStyle="1" w:styleId="HeaderChar">
    <w:name w:val="Header Char"/>
    <w:basedOn w:val="DefaultParagraphFont"/>
    <w:link w:val="Header"/>
    <w:uiPriority w:val="99"/>
    <w:rsid w:val="006C2043"/>
  </w:style>
  <w:style w:type="paragraph" w:styleId="Footer">
    <w:name w:val="footer"/>
    <w:basedOn w:val="Normal"/>
    <w:link w:val="FooterChar"/>
    <w:uiPriority w:val="99"/>
    <w:unhideWhenUsed/>
    <w:rsid w:val="006C2043"/>
    <w:pPr>
      <w:tabs>
        <w:tab w:val="center" w:pos="4513"/>
        <w:tab w:val="right" w:pos="9026"/>
      </w:tabs>
    </w:pPr>
  </w:style>
  <w:style w:type="character" w:customStyle="1" w:styleId="FooterChar">
    <w:name w:val="Footer Char"/>
    <w:basedOn w:val="DefaultParagraphFont"/>
    <w:link w:val="Footer"/>
    <w:uiPriority w:val="99"/>
    <w:rsid w:val="006C2043"/>
  </w:style>
  <w:style w:type="character" w:styleId="PageNumber">
    <w:name w:val="page number"/>
    <w:basedOn w:val="DefaultParagraphFont"/>
    <w:uiPriority w:val="99"/>
    <w:semiHidden/>
    <w:unhideWhenUsed/>
    <w:rsid w:val="006C2043"/>
  </w:style>
  <w:style w:type="character" w:customStyle="1" w:styleId="span68">
    <w:name w:val="span68"/>
    <w:basedOn w:val="DefaultParagraphFont"/>
    <w:rsid w:val="00242D67"/>
  </w:style>
  <w:style w:type="table" w:styleId="TableGrid">
    <w:name w:val="Table Grid"/>
    <w:basedOn w:val="TableNormal"/>
    <w:uiPriority w:val="59"/>
    <w:rsid w:val="00BD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ALink">
    <w:name w:val="SWA Link"/>
    <w:basedOn w:val="Normal"/>
    <w:link w:val="SWALinkChar"/>
    <w:qFormat/>
    <w:rsid w:val="00AA3080"/>
    <w:rPr>
      <w:rFonts w:eastAsia="Times New Roman" w:cs="Times New Roman"/>
      <w:u w:val="single"/>
    </w:rPr>
  </w:style>
  <w:style w:type="character" w:customStyle="1" w:styleId="SWALinkChar">
    <w:name w:val="SWA Link Char"/>
    <w:basedOn w:val="DefaultParagraphFont"/>
    <w:link w:val="SWALink"/>
    <w:rsid w:val="00AA3080"/>
    <w:rPr>
      <w:rFonts w:ascii="Arial" w:eastAsia="Times New Roman" w:hAnsi="Arial" w:cs="Times New Roman"/>
      <w:sz w:val="20"/>
      <w:szCs w:val="24"/>
      <w:u w:val="single"/>
      <w:lang w:eastAsia="en-AU"/>
    </w:rPr>
  </w:style>
  <w:style w:type="paragraph" w:customStyle="1" w:styleId="2018ReviewCoverHeader">
    <w:name w:val="2018 Review Cover Header"/>
    <w:basedOn w:val="Title"/>
    <w:link w:val="2018ReviewCoverHeaderChar"/>
    <w:qFormat/>
    <w:rsid w:val="00AA3080"/>
    <w:pPr>
      <w:spacing w:before="5000"/>
    </w:pPr>
    <w:rPr>
      <w:color w:val="44546A" w:themeColor="text2"/>
      <w:sz w:val="96"/>
      <w:szCs w:val="96"/>
    </w:rPr>
  </w:style>
  <w:style w:type="character" w:customStyle="1" w:styleId="2018ReviewCoverHeaderChar">
    <w:name w:val="2018 Review Cover Header Char"/>
    <w:basedOn w:val="TitleChar"/>
    <w:link w:val="2018ReviewCoverHeader"/>
    <w:rsid w:val="00AA3080"/>
    <w:rPr>
      <w:rFonts w:ascii="Arial Bold" w:eastAsiaTheme="majorEastAsia" w:hAnsi="Arial Bold" w:cs="Arial"/>
      <w:b/>
      <w:bCs/>
      <w:color w:val="44546A" w:themeColor="text2"/>
      <w:kern w:val="28"/>
      <w:sz w:val="96"/>
      <w:szCs w:val="96"/>
    </w:rPr>
  </w:style>
  <w:style w:type="paragraph" w:styleId="Title">
    <w:name w:val="Title"/>
    <w:aliases w:val="2018 Review Title"/>
    <w:basedOn w:val="Normal"/>
    <w:link w:val="TitleChar"/>
    <w:qFormat/>
    <w:rsid w:val="00AA3080"/>
    <w:pPr>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rsid w:val="00AA3080"/>
    <w:rPr>
      <w:rFonts w:ascii="Arial Bold" w:eastAsiaTheme="majorEastAsia" w:hAnsi="Arial Bold" w:cs="Arial"/>
      <w:b/>
      <w:bCs/>
      <w:color w:val="145B85"/>
      <w:kern w:val="28"/>
      <w:sz w:val="36"/>
      <w:szCs w:val="32"/>
    </w:rPr>
  </w:style>
  <w:style w:type="paragraph" w:customStyle="1" w:styleId="2018ReviewCoverSubhead1">
    <w:name w:val="2018 Review Cover Sub head 1"/>
    <w:basedOn w:val="Normal"/>
    <w:link w:val="2018ReviewCoverSubhead1Char"/>
    <w:qFormat/>
    <w:rsid w:val="00AA3080"/>
    <w:pPr>
      <w:autoSpaceDE w:val="0"/>
      <w:autoSpaceDN w:val="0"/>
      <w:adjustRightInd w:val="0"/>
      <w:spacing w:line="288" w:lineRule="auto"/>
      <w:textAlignment w:val="center"/>
    </w:pPr>
    <w:rPr>
      <w:rFonts w:cs="Arial"/>
      <w:b/>
      <w:bCs/>
      <w:i/>
      <w:iCs/>
      <w:color w:val="FFFFFF" w:themeColor="background1"/>
      <w:spacing w:val="9"/>
      <w:sz w:val="43"/>
      <w:szCs w:val="43"/>
      <w:lang w:eastAsia="en-US"/>
    </w:rPr>
  </w:style>
  <w:style w:type="character" w:customStyle="1" w:styleId="2018ReviewCoverSubhead1Char">
    <w:name w:val="2018 Review Cover Sub head 1 Char"/>
    <w:basedOn w:val="DefaultParagraphFont"/>
    <w:link w:val="2018ReviewCoverSubhead1"/>
    <w:rsid w:val="00AA3080"/>
    <w:rPr>
      <w:rFonts w:ascii="Arial" w:hAnsi="Arial" w:cs="Arial"/>
      <w:b/>
      <w:bCs/>
      <w:i/>
      <w:iCs/>
      <w:color w:val="FFFFFF" w:themeColor="background1"/>
      <w:spacing w:val="9"/>
      <w:sz w:val="43"/>
      <w:szCs w:val="43"/>
    </w:rPr>
  </w:style>
  <w:style w:type="paragraph" w:customStyle="1" w:styleId="2018ReviewCovernames">
    <w:name w:val="2018 Review Cover names"/>
    <w:basedOn w:val="Normal"/>
    <w:link w:val="2018ReviewCovernamesChar"/>
    <w:qFormat/>
    <w:rsid w:val="00AA3080"/>
    <w:pPr>
      <w:autoSpaceDE w:val="0"/>
      <w:autoSpaceDN w:val="0"/>
      <w:adjustRightInd w:val="0"/>
      <w:spacing w:before="1200" w:line="288" w:lineRule="auto"/>
      <w:textAlignment w:val="center"/>
    </w:pPr>
    <w:rPr>
      <w:rFonts w:cs="Arial"/>
      <w:i/>
      <w:iCs/>
      <w:color w:val="5E5E5D"/>
      <w:spacing w:val="9"/>
      <w:sz w:val="43"/>
      <w:szCs w:val="43"/>
      <w:lang w:eastAsia="en-US"/>
    </w:rPr>
  </w:style>
  <w:style w:type="character" w:customStyle="1" w:styleId="2018ReviewCovernamesChar">
    <w:name w:val="2018 Review Cover names Char"/>
    <w:basedOn w:val="DefaultParagraphFont"/>
    <w:link w:val="2018ReviewCovernames"/>
    <w:rsid w:val="00AA3080"/>
    <w:rPr>
      <w:rFonts w:ascii="Arial" w:hAnsi="Arial" w:cs="Arial"/>
      <w:i/>
      <w:iCs/>
      <w:color w:val="5E5E5D"/>
      <w:spacing w:val="9"/>
      <w:sz w:val="43"/>
      <w:szCs w:val="43"/>
    </w:rPr>
  </w:style>
  <w:style w:type="paragraph" w:customStyle="1" w:styleId="2018ReviewCoverintroparagraph">
    <w:name w:val="2018 Review Cover intro paragraph"/>
    <w:basedOn w:val="Normal"/>
    <w:link w:val="2018ReviewCoverintroparagraphChar"/>
    <w:qFormat/>
    <w:rsid w:val="00AA3080"/>
    <w:pPr>
      <w:suppressAutoHyphens/>
      <w:autoSpaceDE w:val="0"/>
      <w:autoSpaceDN w:val="0"/>
      <w:adjustRightInd w:val="0"/>
      <w:spacing w:line="288" w:lineRule="auto"/>
      <w:textAlignment w:val="center"/>
    </w:pPr>
    <w:rPr>
      <w:rFonts w:cs="Arial"/>
      <w:color w:val="145B85"/>
      <w:sz w:val="30"/>
      <w:szCs w:val="30"/>
      <w:lang w:eastAsia="en-US"/>
    </w:rPr>
  </w:style>
  <w:style w:type="character" w:customStyle="1" w:styleId="2018ReviewCoverintroparagraphChar">
    <w:name w:val="2018 Review Cover intro paragraph Char"/>
    <w:basedOn w:val="DefaultParagraphFont"/>
    <w:link w:val="2018ReviewCoverintroparagraph"/>
    <w:rsid w:val="00AA3080"/>
    <w:rPr>
      <w:rFonts w:ascii="Arial" w:hAnsi="Arial" w:cs="Arial"/>
      <w:color w:val="145B85"/>
      <w:sz w:val="30"/>
      <w:szCs w:val="30"/>
    </w:rPr>
  </w:style>
  <w:style w:type="paragraph" w:customStyle="1" w:styleId="2018ReviewFeaturetext">
    <w:name w:val="2018 Review Feature text"/>
    <w:basedOn w:val="Normal"/>
    <w:link w:val="2018ReviewFeaturetextChar"/>
    <w:qFormat/>
    <w:rsid w:val="00AA3080"/>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rPr>
  </w:style>
  <w:style w:type="character" w:customStyle="1" w:styleId="2018ReviewFeaturetextChar">
    <w:name w:val="2018 Review Feature text Char"/>
    <w:basedOn w:val="DefaultParagraphFont"/>
    <w:link w:val="2018ReviewFeaturetext"/>
    <w:rsid w:val="00AA3080"/>
    <w:rPr>
      <w:rFonts w:ascii="Arial" w:eastAsia="Times New Roman" w:hAnsi="Arial" w:cs="Times New Roman"/>
      <w:sz w:val="20"/>
      <w:szCs w:val="24"/>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qFormat/>
    <w:rsid w:val="00AA3080"/>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2018ReviewFeaturepagetitleChar">
    <w:name w:val="2018 Review Feature page title Char"/>
    <w:basedOn w:val="Heading1Char"/>
    <w:link w:val="2018ReviewFeaturepagetitle"/>
    <w:rsid w:val="00AA3080"/>
    <w:rPr>
      <w:rFonts w:ascii="Arial Bold" w:eastAsiaTheme="majorEastAsia" w:hAnsi="Arial Bold" w:cs="Arial"/>
      <w:b/>
      <w:noProof/>
      <w:color w:val="145B85"/>
      <w:kern w:val="32"/>
      <w:sz w:val="28"/>
      <w:shd w:val="clear" w:color="auto" w:fill="F2F2F2" w:themeFill="background1" w:themeFillShade="F2"/>
      <w:lang w:eastAsia="en-AU"/>
    </w:rPr>
  </w:style>
  <w:style w:type="character" w:customStyle="1" w:styleId="Heading1Char">
    <w:name w:val="Heading 1 Char"/>
    <w:aliases w:val="2018 Review Heading 1 Char"/>
    <w:basedOn w:val="DefaultParagraphFont"/>
    <w:link w:val="Heading1"/>
    <w:rsid w:val="00AA3080"/>
    <w:rPr>
      <w:rFonts w:ascii="Arial Bold" w:eastAsiaTheme="majorEastAsia" w:hAnsi="Arial Bold" w:cs="Arial"/>
      <w:b/>
      <w:kern w:val="32"/>
      <w:sz w:val="28"/>
      <w:lang w:eastAsia="en-AU"/>
    </w:rPr>
  </w:style>
  <w:style w:type="paragraph" w:customStyle="1" w:styleId="2018Review1stHeading">
    <w:name w:val="2018 Review 1st Heading"/>
    <w:basedOn w:val="Heading1"/>
    <w:next w:val="Normal"/>
    <w:qFormat/>
    <w:rsid w:val="00AA3080"/>
    <w:pPr>
      <w:keepLines/>
      <w:ind w:left="709" w:hanging="709"/>
    </w:pPr>
    <w:rPr>
      <w:rFonts w:ascii="Arial" w:hAnsi="Arial"/>
      <w:color w:val="145B85"/>
      <w:kern w:val="0"/>
      <w:sz w:val="32"/>
    </w:rPr>
  </w:style>
  <w:style w:type="paragraph" w:customStyle="1" w:styleId="2018ReviewCaptionstyle">
    <w:name w:val="2018 Review Caption style"/>
    <w:basedOn w:val="Normal"/>
    <w:link w:val="2018ReviewCaptionstyleChar"/>
    <w:qFormat/>
    <w:rsid w:val="00AA3080"/>
    <w:rPr>
      <w:rFonts w:cs="Times New Roman"/>
      <w:sz w:val="18"/>
      <w:szCs w:val="18"/>
    </w:rPr>
  </w:style>
  <w:style w:type="character" w:customStyle="1" w:styleId="2018ReviewCaptionstyleChar">
    <w:name w:val="2018 Review Caption style Char"/>
    <w:basedOn w:val="DefaultParagraphFont"/>
    <w:link w:val="2018ReviewCaptionstyle"/>
    <w:rsid w:val="00AA3080"/>
    <w:rPr>
      <w:rFonts w:ascii="Arial" w:hAnsi="Arial" w:cs="Times New Roman"/>
      <w:sz w:val="18"/>
      <w:szCs w:val="18"/>
      <w:lang w:eastAsia="en-AU"/>
    </w:rPr>
  </w:style>
  <w:style w:type="paragraph" w:customStyle="1" w:styleId="2018ReviewBullets">
    <w:name w:val="2018 Review Bullets"/>
    <w:basedOn w:val="ListParagraph"/>
    <w:link w:val="2018ReviewBulletsChar"/>
    <w:qFormat/>
    <w:rsid w:val="00AA3080"/>
    <w:pPr>
      <w:numPr>
        <w:numId w:val="3"/>
      </w:numPr>
    </w:pPr>
    <w:rPr>
      <w:rFonts w:eastAsia="Times New Roman" w:cs="Times New Roman"/>
    </w:rPr>
  </w:style>
  <w:style w:type="character" w:customStyle="1" w:styleId="2018ReviewBulletsChar">
    <w:name w:val="2018 Review Bullets Char"/>
    <w:basedOn w:val="ListParagraphChar"/>
    <w:link w:val="2018ReviewBullets"/>
    <w:rsid w:val="00AA3080"/>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AA3080"/>
    <w:pPr>
      <w:keepNext/>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AA3080"/>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qFormat/>
    <w:rsid w:val="00AA3080"/>
    <w:pPr>
      <w:keepLines/>
      <w:numPr>
        <w:ilvl w:val="1"/>
        <w:numId w:val="36"/>
      </w:numPr>
    </w:pPr>
    <w:rPr>
      <w:rFonts w:ascii="Arial" w:eastAsiaTheme="minorHAnsi" w:hAnsi="Arial"/>
      <w:color w:val="145B85"/>
      <w:kern w:val="0"/>
      <w:sz w:val="32"/>
    </w:rPr>
  </w:style>
  <w:style w:type="paragraph" w:customStyle="1" w:styleId="2018ReviewDisclaimerheading">
    <w:name w:val="2018 Review Disclaimer heading"/>
    <w:basedOn w:val="2018ReviewTableheader"/>
    <w:link w:val="2018ReviewDisclaimerheadingChar"/>
    <w:qFormat/>
    <w:rsid w:val="00AA3080"/>
    <w:rPr>
      <w:sz w:val="14"/>
      <w:szCs w:val="14"/>
    </w:rPr>
  </w:style>
  <w:style w:type="character" w:customStyle="1" w:styleId="2018ReviewDisclaimerheadingChar">
    <w:name w:val="2018 Review Disclaimer heading Char"/>
    <w:basedOn w:val="2018ReviewTableheaderChar"/>
    <w:link w:val="2018ReviewDisclaimerheading"/>
    <w:rsid w:val="00AA3080"/>
    <w:rPr>
      <w:rFonts w:ascii="Arial" w:eastAsiaTheme="majorEastAsia" w:hAnsi="Arial" w:cstheme="majorBidi"/>
      <w:b/>
      <w:color w:val="145B85"/>
      <w:spacing w:val="-3"/>
      <w:sz w:val="14"/>
      <w:szCs w:val="14"/>
    </w:rPr>
  </w:style>
  <w:style w:type="paragraph" w:customStyle="1" w:styleId="2018ReviewDisclaimerbodytext">
    <w:name w:val="2018 Review Disclaimer body text"/>
    <w:basedOn w:val="Normal"/>
    <w:link w:val="2018ReviewDisclaimerbodytextChar"/>
    <w:qFormat/>
    <w:rsid w:val="00AA3080"/>
    <w:pPr>
      <w:spacing w:line="276" w:lineRule="auto"/>
    </w:pPr>
    <w:rPr>
      <w:rFonts w:eastAsia="Times New Roman" w:cs="Times New Roman"/>
      <w:sz w:val="14"/>
      <w:szCs w:val="14"/>
    </w:rPr>
  </w:style>
  <w:style w:type="character" w:customStyle="1" w:styleId="2018ReviewDisclaimerbodytextChar">
    <w:name w:val="2018 Review Disclaimer body text Char"/>
    <w:basedOn w:val="DefaultParagraphFont"/>
    <w:link w:val="2018ReviewDisclaimerbodytext"/>
    <w:rsid w:val="00AA3080"/>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AA3080"/>
    <w:pPr>
      <w:spacing w:before="5000"/>
    </w:pPr>
    <w:rPr>
      <w:sz w:val="96"/>
      <w:szCs w:val="96"/>
    </w:rPr>
  </w:style>
  <w:style w:type="character" w:customStyle="1" w:styleId="SWASectiontitleChar">
    <w:name w:val="SWA Section title Char"/>
    <w:basedOn w:val="TitleChar"/>
    <w:link w:val="SWASectiontitle"/>
    <w:rsid w:val="00AA3080"/>
    <w:rPr>
      <w:rFonts w:ascii="Arial Bold" w:eastAsiaTheme="majorEastAsia" w:hAnsi="Arial Bold" w:cs="Arial"/>
      <w:b/>
      <w:bCs/>
      <w:color w:val="145B85"/>
      <w:kern w:val="28"/>
      <w:sz w:val="96"/>
      <w:szCs w:val="96"/>
    </w:rPr>
  </w:style>
  <w:style w:type="paragraph" w:customStyle="1" w:styleId="2018ReviewHeading1featurepage">
    <w:name w:val="2018 Review Heading 1 feature page"/>
    <w:basedOn w:val="2018ReviewFeaturepagetitle"/>
    <w:link w:val="2018ReviewHeading1featurepageChar"/>
    <w:qFormat/>
    <w:rsid w:val="00AA3080"/>
    <w:rPr>
      <w:color w:val="000000" w:themeColor="text1"/>
    </w:rPr>
  </w:style>
  <w:style w:type="character" w:customStyle="1" w:styleId="2018ReviewHeading1featurepageChar">
    <w:name w:val="2018 Review Heading 1 feature page Char"/>
    <w:basedOn w:val="2018ReviewFeaturepagetitleChar"/>
    <w:link w:val="2018ReviewHeading1featurepage"/>
    <w:rsid w:val="00AA30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2018ReviewHeading2Featurepage">
    <w:name w:val="2018 ReviewHeading 2 Feature page"/>
    <w:basedOn w:val="2018ReviewHeading1featurepage"/>
    <w:link w:val="2018ReviewHeading2FeaturepageChar"/>
    <w:qFormat/>
    <w:rsid w:val="00AA3080"/>
  </w:style>
  <w:style w:type="character" w:customStyle="1" w:styleId="2018ReviewHeading2FeaturepageChar">
    <w:name w:val="2018 ReviewHeading 2 Feature page Char"/>
    <w:basedOn w:val="2018ReviewHeading1featurepageChar"/>
    <w:link w:val="2018ReviewHeading2Featurepage"/>
    <w:rsid w:val="00AA30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Heading2Char">
    <w:name w:val="Heading 2 Char"/>
    <w:aliases w:val="2018 Review Heading 2 Char"/>
    <w:basedOn w:val="DefaultParagraphFont"/>
    <w:link w:val="Heading2"/>
    <w:rsid w:val="00AA3080"/>
    <w:rPr>
      <w:rFonts w:ascii="Arial Bold" w:eastAsiaTheme="majorEastAsia" w:hAnsi="Arial Bold" w:cstheme="majorBidi"/>
      <w:b/>
      <w:sz w:val="24"/>
      <w:szCs w:val="28"/>
      <w:lang w:eastAsia="en-AU"/>
    </w:rPr>
  </w:style>
  <w:style w:type="character" w:customStyle="1" w:styleId="Heading3Char">
    <w:name w:val="Heading 3 Char"/>
    <w:aliases w:val="2018 Review Heading 3 Char"/>
    <w:basedOn w:val="DefaultParagraphFont"/>
    <w:link w:val="Heading3"/>
    <w:rsid w:val="00AA3080"/>
    <w:rPr>
      <w:rFonts w:ascii="Arial Bold" w:eastAsiaTheme="majorEastAsia" w:hAnsi="Arial Bold" w:cstheme="majorBidi"/>
      <w:b/>
      <w:color w:val="145B85"/>
      <w:sz w:val="20"/>
      <w:szCs w:val="20"/>
    </w:rPr>
  </w:style>
  <w:style w:type="character" w:customStyle="1" w:styleId="Heading4Char">
    <w:name w:val="Heading 4 Char"/>
    <w:aliases w:val="2018 Review Heading 4 Char"/>
    <w:basedOn w:val="DefaultParagraphFont"/>
    <w:link w:val="Heading4"/>
    <w:rsid w:val="00AA3080"/>
    <w:rPr>
      <w:rFonts w:ascii="Arial" w:eastAsiaTheme="majorEastAsia" w:hAnsi="Arial" w:cstheme="majorBidi"/>
      <w:b/>
      <w:spacing w:val="-3"/>
      <w:sz w:val="20"/>
    </w:rPr>
  </w:style>
  <w:style w:type="paragraph" w:styleId="Caption">
    <w:name w:val="caption"/>
    <w:basedOn w:val="Normal"/>
    <w:next w:val="Normal"/>
    <w:uiPriority w:val="35"/>
    <w:unhideWhenUsed/>
    <w:qFormat/>
    <w:rsid w:val="00AA3080"/>
    <w:pPr>
      <w:spacing w:after="200"/>
    </w:pPr>
    <w:rPr>
      <w:rFonts w:eastAsia="Times New Roman" w:cs="Times New Roman"/>
      <w:b/>
      <w:bCs/>
      <w:sz w:val="18"/>
      <w:szCs w:val="18"/>
    </w:rPr>
  </w:style>
  <w:style w:type="character" w:styleId="Strong">
    <w:name w:val="Strong"/>
    <w:aliases w:val="2018 Review Strong"/>
    <w:qFormat/>
    <w:rsid w:val="00AA3080"/>
  </w:style>
  <w:style w:type="paragraph" w:styleId="NoSpacing">
    <w:name w:val="No Spacing"/>
    <w:aliases w:val="SWA No Spacing"/>
    <w:uiPriority w:val="1"/>
    <w:qFormat/>
    <w:rsid w:val="00AA3080"/>
    <w:pPr>
      <w:spacing w:after="0" w:line="240" w:lineRule="auto"/>
    </w:pPr>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AA3080"/>
    <w:rPr>
      <w:rFonts w:ascii="Arial" w:hAnsi="Arial"/>
      <w:sz w:val="20"/>
      <w:szCs w:val="20"/>
      <w:lang w:eastAsia="en-AU"/>
    </w:rPr>
  </w:style>
  <w:style w:type="paragraph" w:styleId="Quote">
    <w:name w:val="Quote"/>
    <w:aliases w:val="2018 Review Quote"/>
    <w:basedOn w:val="Normal"/>
    <w:next w:val="Normal"/>
    <w:link w:val="QuoteChar"/>
    <w:uiPriority w:val="29"/>
    <w:qFormat/>
    <w:rsid w:val="00AA3080"/>
    <w:rPr>
      <w:rFonts w:eastAsia="Times New Roman" w:cs="Times New Roman"/>
      <w:i/>
      <w:iCs/>
      <w:color w:val="000000" w:themeColor="text1"/>
    </w:rPr>
  </w:style>
  <w:style w:type="character" w:customStyle="1" w:styleId="QuoteChar">
    <w:name w:val="Quote Char"/>
    <w:aliases w:val="2018 Review Quote Char"/>
    <w:basedOn w:val="DefaultParagraphFont"/>
    <w:link w:val="Quote"/>
    <w:uiPriority w:val="29"/>
    <w:rsid w:val="00AA3080"/>
    <w:rPr>
      <w:rFonts w:ascii="Arial" w:eastAsia="Times New Roman" w:hAnsi="Arial" w:cs="Times New Roman"/>
      <w:i/>
      <w:iCs/>
      <w:color w:val="000000" w:themeColor="text1"/>
      <w:sz w:val="20"/>
      <w:szCs w:val="24"/>
      <w:lang w:eastAsia="en-AU"/>
    </w:rPr>
  </w:style>
  <w:style w:type="character" w:styleId="SubtleEmphasis">
    <w:name w:val="Subtle Emphasis"/>
    <w:aliases w:val="2018 Review Subtle Emphasis"/>
    <w:basedOn w:val="DefaultParagraphFont"/>
    <w:uiPriority w:val="19"/>
    <w:qFormat/>
    <w:rsid w:val="00AA3080"/>
    <w:rPr>
      <w:rFonts w:ascii="Arial" w:hAnsi="Arial"/>
      <w:i/>
      <w:iCs/>
      <w:color w:val="808080" w:themeColor="text1" w:themeTint="7F"/>
    </w:rPr>
  </w:style>
  <w:style w:type="paragraph" w:styleId="TOCHeading">
    <w:name w:val="TOC Heading"/>
    <w:basedOn w:val="Heading1"/>
    <w:next w:val="Normal"/>
    <w:uiPriority w:val="39"/>
    <w:semiHidden/>
    <w:unhideWhenUsed/>
    <w:qFormat/>
    <w:rsid w:val="00AA3080"/>
    <w:pPr>
      <w:keepLines/>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8D1094"/>
    <w:pPr>
      <w:spacing w:after="100"/>
    </w:pPr>
  </w:style>
  <w:style w:type="paragraph" w:customStyle="1" w:styleId="2018ReviewWhiteHeading">
    <w:name w:val="2018 Review White Heading"/>
    <w:basedOn w:val="Title"/>
    <w:next w:val="SWASectiontitle"/>
    <w:link w:val="2018ReviewWhiteHeadingChar"/>
    <w:rsid w:val="005C6931"/>
    <w:pPr>
      <w:keepNext/>
      <w:shd w:val="clear" w:color="auto" w:fill="222A35" w:themeFill="text2" w:themeFillShade="80"/>
      <w:tabs>
        <w:tab w:val="clear" w:pos="8222"/>
      </w:tabs>
      <w:spacing w:before="960"/>
      <w:ind w:left="357" w:hanging="357"/>
    </w:pPr>
    <w:rPr>
      <w:b w:val="0"/>
      <w:bCs w:val="0"/>
      <w:caps/>
      <w:color w:val="FFFFFF" w:themeColor="background1"/>
      <w:spacing w:val="20"/>
      <w:kern w:val="96"/>
      <w:szCs w:val="36"/>
      <w:lang w:val="en-AU"/>
    </w:rPr>
  </w:style>
  <w:style w:type="character" w:customStyle="1" w:styleId="2018ReviewWhiteHeadingChar">
    <w:name w:val="2018 Review White Heading Char"/>
    <w:basedOn w:val="TitleChar"/>
    <w:link w:val="2018ReviewWhiteHeading"/>
    <w:rsid w:val="005C6931"/>
    <w:rPr>
      <w:rFonts w:ascii="Arial Bold" w:eastAsiaTheme="majorEastAsia" w:hAnsi="Arial Bold" w:cs="Arial"/>
      <w:b w:val="0"/>
      <w:bCs w:val="0"/>
      <w:caps/>
      <w:color w:val="FFFFFF" w:themeColor="background1"/>
      <w:spacing w:val="20"/>
      <w:kern w:val="96"/>
      <w:sz w:val="36"/>
      <w:szCs w:val="36"/>
      <w:shd w:val="clear" w:color="auto" w:fill="222A35" w:themeFill="text2" w:themeFillShade="80"/>
      <w:lang w:val="en-AU"/>
    </w:rPr>
  </w:style>
  <w:style w:type="character" w:styleId="FollowedHyperlink">
    <w:name w:val="FollowedHyperlink"/>
    <w:basedOn w:val="DefaultParagraphFont"/>
    <w:uiPriority w:val="99"/>
    <w:semiHidden/>
    <w:unhideWhenUsed/>
    <w:rsid w:val="007F0919"/>
    <w:rPr>
      <w:color w:val="954F72" w:themeColor="followedHyperlink"/>
      <w:u w:val="single"/>
    </w:rPr>
  </w:style>
  <w:style w:type="paragraph" w:styleId="Revision">
    <w:name w:val="Revision"/>
    <w:hidden/>
    <w:uiPriority w:val="99"/>
    <w:semiHidden/>
    <w:rsid w:val="00B01D8C"/>
    <w:pPr>
      <w:spacing w:after="0" w:line="240" w:lineRule="auto"/>
    </w:pPr>
    <w:rPr>
      <w:rFonts w:ascii="Arial" w:hAnsi="Arial"/>
      <w:sz w:val="20"/>
      <w:szCs w:val="24"/>
      <w:lang w:eastAsia="en-AU"/>
    </w:rPr>
  </w:style>
  <w:style w:type="paragraph" w:customStyle="1" w:styleId="ReviewSubmissionQuestions">
    <w:name w:val="Review Submission Questions"/>
    <w:basedOn w:val="ListParagraph"/>
    <w:link w:val="ReviewSubmissionQuestionsChar"/>
    <w:autoRedefine/>
    <w:qFormat/>
    <w:rsid w:val="00146A76"/>
    <w:pPr>
      <w:numPr>
        <w:numId w:val="4"/>
      </w:numPr>
      <w:ind w:left="1418" w:right="567" w:hanging="1418"/>
    </w:pPr>
    <w:rPr>
      <w:b/>
      <w:color w:val="145B85"/>
      <w:lang w:val="en-AU"/>
    </w:rPr>
  </w:style>
  <w:style w:type="character" w:customStyle="1" w:styleId="ReviewSubmissionQuestionsChar">
    <w:name w:val="Review Submission Questions Char"/>
    <w:basedOn w:val="ListParagraphChar"/>
    <w:link w:val="ReviewSubmissionQuestions"/>
    <w:rsid w:val="00146A76"/>
    <w:rPr>
      <w:rFonts w:ascii="Arial" w:hAnsi="Arial"/>
      <w:b/>
      <w:color w:val="145B85"/>
      <w:sz w:val="20"/>
      <w:szCs w:val="20"/>
      <w:lang w:val="en-AU" w:eastAsia="en-AU"/>
    </w:rPr>
  </w:style>
  <w:style w:type="paragraph" w:styleId="TOC3">
    <w:name w:val="toc 3"/>
    <w:basedOn w:val="Normal"/>
    <w:next w:val="Normal"/>
    <w:autoRedefine/>
    <w:uiPriority w:val="39"/>
    <w:unhideWhenUsed/>
    <w:rsid w:val="00D7699B"/>
    <w:pPr>
      <w:spacing w:after="100"/>
      <w:ind w:left="400"/>
    </w:pPr>
  </w:style>
  <w:style w:type="paragraph" w:styleId="TOC2">
    <w:name w:val="toc 2"/>
    <w:basedOn w:val="Normal"/>
    <w:next w:val="Normal"/>
    <w:autoRedefine/>
    <w:uiPriority w:val="39"/>
    <w:unhideWhenUsed/>
    <w:rsid w:val="00D7699B"/>
    <w:pPr>
      <w:spacing w:after="100"/>
      <w:ind w:left="200"/>
    </w:pPr>
  </w:style>
  <w:style w:type="paragraph" w:customStyle="1" w:styleId="ChapterHeading">
    <w:name w:val="Chapter Heading"/>
    <w:basedOn w:val="2018ReviewWhiteHeading"/>
    <w:link w:val="ChapterHeadingChar"/>
    <w:qFormat/>
  </w:style>
  <w:style w:type="character" w:customStyle="1" w:styleId="ChapterHeadingChar">
    <w:name w:val="Chapter Heading Char"/>
    <w:basedOn w:val="2018ReviewWhiteHeadingChar"/>
    <w:link w:val="ChapterHeading"/>
    <w:rPr>
      <w:rFonts w:ascii="Arial Bold" w:eastAsiaTheme="majorEastAsia" w:hAnsi="Arial Bold" w:cs="Arial"/>
      <w:b w:val="0"/>
      <w:bCs w:val="0"/>
      <w:caps/>
      <w:color w:val="FFFFFF" w:themeColor="background1"/>
      <w:spacing w:val="20"/>
      <w:kern w:val="96"/>
      <w:sz w:val="36"/>
      <w:szCs w:val="36"/>
      <w:shd w:val="clear" w:color="auto" w:fill="222A35" w:themeFill="text2" w:themeFillShade="80"/>
      <w:lang w:val="en-AU"/>
    </w:rPr>
  </w:style>
  <w:style w:type="paragraph" w:customStyle="1" w:styleId="SWACoverintroparagraph">
    <w:name w:val="SWA Cover intro paragraph"/>
    <w:basedOn w:val="Normal"/>
    <w:link w:val="SWACoverintroparagraphChar"/>
    <w:qFormat/>
    <w:rsid w:val="00081962"/>
    <w:pPr>
      <w:suppressAutoHyphens/>
      <w:autoSpaceDE w:val="0"/>
      <w:autoSpaceDN w:val="0"/>
      <w:adjustRightInd w:val="0"/>
      <w:spacing w:line="288" w:lineRule="auto"/>
      <w:textAlignment w:val="center"/>
    </w:pPr>
    <w:rPr>
      <w:rFonts w:cs="Arial"/>
      <w:color w:val="145B85"/>
      <w:sz w:val="30"/>
      <w:szCs w:val="30"/>
      <w:lang w:eastAsia="en-US"/>
    </w:rPr>
  </w:style>
  <w:style w:type="character" w:customStyle="1" w:styleId="SWACoverintroparagraphChar">
    <w:name w:val="SWA Cover intro paragraph Char"/>
    <w:basedOn w:val="DefaultParagraphFont"/>
    <w:link w:val="SWACoverintroparagraph"/>
    <w:rsid w:val="00081962"/>
    <w:rPr>
      <w:rFonts w:ascii="Arial" w:hAnsi="Arial" w:cs="Arial"/>
      <w:color w:val="145B85"/>
      <w:sz w:val="30"/>
      <w:szCs w:val="30"/>
    </w:rPr>
  </w:style>
  <w:style w:type="paragraph" w:customStyle="1" w:styleId="SWADisclaimerheading">
    <w:name w:val="SWA Disclaimer heading"/>
    <w:basedOn w:val="Normal"/>
    <w:link w:val="SWADisclaimerheadingChar"/>
    <w:qFormat/>
    <w:rsid w:val="00081962"/>
    <w:pPr>
      <w:spacing w:line="276" w:lineRule="auto"/>
    </w:pPr>
    <w:rPr>
      <w:rFonts w:eastAsiaTheme="majorEastAsia" w:cstheme="majorBidi"/>
      <w:b/>
      <w:color w:val="145B85"/>
      <w:spacing w:val="-3"/>
      <w:sz w:val="14"/>
      <w:szCs w:val="14"/>
      <w:lang w:val="en-AU" w:eastAsia="en-US"/>
    </w:rPr>
  </w:style>
  <w:style w:type="character" w:customStyle="1" w:styleId="SWADisclaimerheadingChar">
    <w:name w:val="SWA Disclaimer heading Char"/>
    <w:basedOn w:val="DefaultParagraphFont"/>
    <w:link w:val="SWADisclaimerheading"/>
    <w:rsid w:val="00081962"/>
    <w:rPr>
      <w:rFonts w:ascii="Arial" w:eastAsiaTheme="majorEastAsia" w:hAnsi="Arial" w:cstheme="majorBidi"/>
      <w:b/>
      <w:color w:val="145B85"/>
      <w:spacing w:val="-3"/>
      <w:sz w:val="14"/>
      <w:szCs w:val="14"/>
      <w:lang w:val="en-AU"/>
    </w:rPr>
  </w:style>
  <w:style w:type="paragraph" w:customStyle="1" w:styleId="SWADisclaimerbodytext">
    <w:name w:val="SWA Disclaimer body text"/>
    <w:basedOn w:val="Normal"/>
    <w:link w:val="SWADisclaimerbodytextChar"/>
    <w:qFormat/>
    <w:rsid w:val="00081962"/>
    <w:pPr>
      <w:spacing w:line="276" w:lineRule="auto"/>
    </w:pPr>
    <w:rPr>
      <w:rFonts w:eastAsia="Times New Roman" w:cs="Times New Roman"/>
      <w:sz w:val="14"/>
      <w:szCs w:val="14"/>
      <w:lang w:val="en-AU"/>
    </w:rPr>
  </w:style>
  <w:style w:type="character" w:customStyle="1" w:styleId="SWADisclaimerbodytextChar">
    <w:name w:val="SWA Disclaimer body text Char"/>
    <w:basedOn w:val="DefaultParagraphFont"/>
    <w:link w:val="SWADisclaimerbodytext"/>
    <w:rsid w:val="00081962"/>
    <w:rPr>
      <w:rFonts w:ascii="Arial" w:eastAsia="Times New Roman" w:hAnsi="Arial" w:cs="Times New Roman"/>
      <w:sz w:val="14"/>
      <w:szCs w:val="1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3937">
      <w:bodyDiv w:val="1"/>
      <w:marLeft w:val="0"/>
      <w:marRight w:val="0"/>
      <w:marTop w:val="0"/>
      <w:marBottom w:val="0"/>
      <w:divBdr>
        <w:top w:val="none" w:sz="0" w:space="0" w:color="auto"/>
        <w:left w:val="none" w:sz="0" w:space="0" w:color="auto"/>
        <w:bottom w:val="none" w:sz="0" w:space="0" w:color="auto"/>
        <w:right w:val="none" w:sz="0" w:space="0" w:color="auto"/>
      </w:divBdr>
    </w:div>
    <w:div w:id="194661831">
      <w:bodyDiv w:val="1"/>
      <w:marLeft w:val="0"/>
      <w:marRight w:val="0"/>
      <w:marTop w:val="0"/>
      <w:marBottom w:val="0"/>
      <w:divBdr>
        <w:top w:val="none" w:sz="0" w:space="0" w:color="auto"/>
        <w:left w:val="none" w:sz="0" w:space="0" w:color="auto"/>
        <w:bottom w:val="none" w:sz="0" w:space="0" w:color="auto"/>
        <w:right w:val="none" w:sz="0" w:space="0" w:color="auto"/>
      </w:divBdr>
    </w:div>
    <w:div w:id="219678514">
      <w:bodyDiv w:val="1"/>
      <w:marLeft w:val="0"/>
      <w:marRight w:val="0"/>
      <w:marTop w:val="0"/>
      <w:marBottom w:val="0"/>
      <w:divBdr>
        <w:top w:val="none" w:sz="0" w:space="0" w:color="auto"/>
        <w:left w:val="none" w:sz="0" w:space="0" w:color="auto"/>
        <w:bottom w:val="none" w:sz="0" w:space="0" w:color="auto"/>
        <w:right w:val="none" w:sz="0" w:space="0" w:color="auto"/>
      </w:divBdr>
    </w:div>
    <w:div w:id="325255195">
      <w:bodyDiv w:val="1"/>
      <w:marLeft w:val="0"/>
      <w:marRight w:val="0"/>
      <w:marTop w:val="0"/>
      <w:marBottom w:val="0"/>
      <w:divBdr>
        <w:top w:val="none" w:sz="0" w:space="0" w:color="auto"/>
        <w:left w:val="none" w:sz="0" w:space="0" w:color="auto"/>
        <w:bottom w:val="none" w:sz="0" w:space="0" w:color="auto"/>
        <w:right w:val="none" w:sz="0" w:space="0" w:color="auto"/>
      </w:divBdr>
    </w:div>
    <w:div w:id="847596782">
      <w:bodyDiv w:val="1"/>
      <w:marLeft w:val="0"/>
      <w:marRight w:val="0"/>
      <w:marTop w:val="0"/>
      <w:marBottom w:val="0"/>
      <w:divBdr>
        <w:top w:val="none" w:sz="0" w:space="0" w:color="auto"/>
        <w:left w:val="none" w:sz="0" w:space="0" w:color="auto"/>
        <w:bottom w:val="none" w:sz="0" w:space="0" w:color="auto"/>
        <w:right w:val="none" w:sz="0" w:space="0" w:color="auto"/>
      </w:divBdr>
    </w:div>
    <w:div w:id="914707436">
      <w:bodyDiv w:val="1"/>
      <w:marLeft w:val="0"/>
      <w:marRight w:val="0"/>
      <w:marTop w:val="0"/>
      <w:marBottom w:val="0"/>
      <w:divBdr>
        <w:top w:val="none" w:sz="0" w:space="0" w:color="auto"/>
        <w:left w:val="none" w:sz="0" w:space="0" w:color="auto"/>
        <w:bottom w:val="none" w:sz="0" w:space="0" w:color="auto"/>
        <w:right w:val="none" w:sz="0" w:space="0" w:color="auto"/>
      </w:divBdr>
    </w:div>
    <w:div w:id="1008827676">
      <w:bodyDiv w:val="1"/>
      <w:marLeft w:val="0"/>
      <w:marRight w:val="0"/>
      <w:marTop w:val="0"/>
      <w:marBottom w:val="0"/>
      <w:divBdr>
        <w:top w:val="none" w:sz="0" w:space="0" w:color="auto"/>
        <w:left w:val="none" w:sz="0" w:space="0" w:color="auto"/>
        <w:bottom w:val="none" w:sz="0" w:space="0" w:color="auto"/>
        <w:right w:val="none" w:sz="0" w:space="0" w:color="auto"/>
      </w:divBdr>
    </w:div>
    <w:div w:id="1065105434">
      <w:bodyDiv w:val="1"/>
      <w:marLeft w:val="0"/>
      <w:marRight w:val="0"/>
      <w:marTop w:val="0"/>
      <w:marBottom w:val="0"/>
      <w:divBdr>
        <w:top w:val="none" w:sz="0" w:space="0" w:color="auto"/>
        <w:left w:val="none" w:sz="0" w:space="0" w:color="auto"/>
        <w:bottom w:val="none" w:sz="0" w:space="0" w:color="auto"/>
        <w:right w:val="none" w:sz="0" w:space="0" w:color="auto"/>
      </w:divBdr>
    </w:div>
    <w:div w:id="1103382435">
      <w:bodyDiv w:val="1"/>
      <w:marLeft w:val="0"/>
      <w:marRight w:val="0"/>
      <w:marTop w:val="0"/>
      <w:marBottom w:val="0"/>
      <w:divBdr>
        <w:top w:val="none" w:sz="0" w:space="0" w:color="auto"/>
        <w:left w:val="none" w:sz="0" w:space="0" w:color="auto"/>
        <w:bottom w:val="none" w:sz="0" w:space="0" w:color="auto"/>
        <w:right w:val="none" w:sz="0" w:space="0" w:color="auto"/>
      </w:divBdr>
    </w:div>
    <w:div w:id="1716856373">
      <w:bodyDiv w:val="1"/>
      <w:marLeft w:val="0"/>
      <w:marRight w:val="0"/>
      <w:marTop w:val="0"/>
      <w:marBottom w:val="0"/>
      <w:divBdr>
        <w:top w:val="none" w:sz="0" w:space="0" w:color="auto"/>
        <w:left w:val="none" w:sz="0" w:space="0" w:color="auto"/>
        <w:bottom w:val="none" w:sz="0" w:space="0" w:color="auto"/>
        <w:right w:val="none" w:sz="0" w:space="0" w:color="auto"/>
      </w:divBdr>
    </w:div>
    <w:div w:id="1740327605">
      <w:bodyDiv w:val="1"/>
      <w:marLeft w:val="0"/>
      <w:marRight w:val="0"/>
      <w:marTop w:val="0"/>
      <w:marBottom w:val="0"/>
      <w:divBdr>
        <w:top w:val="none" w:sz="0" w:space="0" w:color="auto"/>
        <w:left w:val="none" w:sz="0" w:space="0" w:color="auto"/>
        <w:bottom w:val="none" w:sz="0" w:space="0" w:color="auto"/>
        <w:right w:val="none" w:sz="0" w:space="0" w:color="auto"/>
      </w:divBdr>
    </w:div>
    <w:div w:id="1849905863">
      <w:bodyDiv w:val="1"/>
      <w:marLeft w:val="0"/>
      <w:marRight w:val="0"/>
      <w:marTop w:val="0"/>
      <w:marBottom w:val="0"/>
      <w:divBdr>
        <w:top w:val="none" w:sz="0" w:space="0" w:color="auto"/>
        <w:left w:val="none" w:sz="0" w:space="0" w:color="auto"/>
        <w:bottom w:val="none" w:sz="0" w:space="0" w:color="auto"/>
        <w:right w:val="none" w:sz="0" w:space="0" w:color="auto"/>
      </w:divBdr>
    </w:div>
    <w:div w:id="1964842872">
      <w:bodyDiv w:val="1"/>
      <w:marLeft w:val="0"/>
      <w:marRight w:val="0"/>
      <w:marTop w:val="0"/>
      <w:marBottom w:val="0"/>
      <w:divBdr>
        <w:top w:val="none" w:sz="0" w:space="0" w:color="auto"/>
        <w:left w:val="none" w:sz="0" w:space="0" w:color="auto"/>
        <w:bottom w:val="none" w:sz="0" w:space="0" w:color="auto"/>
        <w:right w:val="none" w:sz="0" w:space="0" w:color="auto"/>
      </w:divBdr>
    </w:div>
    <w:div w:id="211347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aselaw.nsw.gov.au/action/PJUDG?jgmtid=17541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2018Review@swa.gov.au" TargetMode="Externa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gage.swa.gov.au/review-consultation" TargetMode="External"/><Relationship Id="rId20" Type="http://schemas.openxmlformats.org/officeDocument/2006/relationships/hyperlink" Target="https://www.ohsalert.com.au/files/2017/abbcvpowellFCAFC89.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hyperlink" Target="https://www.worksafe.vic.gov.au/laws/ohs" TargetMode="External"/><Relationship Id="rId5" Type="http://schemas.openxmlformats.org/officeDocument/2006/relationships/settings" Target="settings.xml"/><Relationship Id="rId15" Type="http://schemas.openxmlformats.org/officeDocument/2006/relationships/hyperlink" Target="mailto:info@swa.gov.au" TargetMode="External"/><Relationship Id="rId23" Type="http://schemas.openxmlformats.org/officeDocument/2006/relationships/chart" Target="charts/chart3.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s://www.safeworkaustralia.gov.au/resources_publications/model-codes-of-pract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reativecommons.org/licenses/by/4.0/" TargetMode="External"/><Relationship Id="rId22" Type="http://schemas.openxmlformats.org/officeDocument/2006/relationships/chart" Target="charts/chart2.xm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ris.pmc.gov.au/2017/01/18/improving-model-work-health-and-safety-laws" TargetMode="External"/><Relationship Id="rId3" Type="http://schemas.openxmlformats.org/officeDocument/2006/relationships/hyperlink" Target="http://www.austlii.edu.au/au/legis/nsw/consol_act/ptptahva2016519/" TargetMode="External"/><Relationship Id="rId7" Type="http://schemas.openxmlformats.org/officeDocument/2006/relationships/hyperlink" Target="http://ris.pmc.gov.au/2017/01/18/improving-model-work-health-and-safety-laws" TargetMode="External"/><Relationship Id="rId2" Type="http://schemas.openxmlformats.org/officeDocument/2006/relationships/hyperlink" Target="http://ris.pmc.gov.au/2017/01/18/improving-model-work-health-and-safety-laws" TargetMode="External"/><Relationship Id="rId1" Type="http://schemas.openxmlformats.org/officeDocument/2006/relationships/hyperlink" Target="https://www.ohsalert.com.au/nl06_news_selected.php?selkey=54004" TargetMode="External"/><Relationship Id="rId6" Type="http://schemas.openxmlformats.org/officeDocument/2006/relationships/hyperlink" Target="https://www.worksafe.qld.gov.au/forms-and-resources/newsletter/esafe-newsletters/esafe-editions/esafe/december-2017/first-prosecution-under-s46-failure-to-consult-with-other-duty-holders" TargetMode="External"/><Relationship Id="rId11" Type="http://schemas.openxmlformats.org/officeDocument/2006/relationships/hyperlink" Target="http://www.austlii.edu.au/cgi-bin/disp.pl/au/cases/nsw/NSWIRComm/2012/89.html?stem=0&amp;synonyms=0&amp;query=Work%20Health%20and%20Safety%20Act%202011" TargetMode="External"/><Relationship Id="rId5" Type="http://schemas.openxmlformats.org/officeDocument/2006/relationships/hyperlink" Target="http://ris.pmc.gov.au/2017/01/18/improving-model-work-health-and-safety-laws" TargetMode="External"/><Relationship Id="rId10" Type="http://schemas.openxmlformats.org/officeDocument/2006/relationships/hyperlink" Target="https://www.safework.sa.gov.au/show_page.jsp?id=116644" TargetMode="External"/><Relationship Id="rId4" Type="http://schemas.openxmlformats.org/officeDocument/2006/relationships/hyperlink" Target="http://www.austlii.edu.au/au/legis/cth/consol_act/ca2001172/s9.html" TargetMode="External"/><Relationship Id="rId9" Type="http://schemas.openxmlformats.org/officeDocument/2006/relationships/hyperlink" Target="http://www.caselaw.nsw.gov.au/action/PJUDG?jgmtid=1754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GENCIES\SWA_HOME$\KG3053\Desktop\P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g3053\AppData\Local\Microsoft\Windows\INetCache\Content.Outlook\RYXX8QVA\Australian%20enforcement%20data%20-%20tren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g3053\AppData\Local\Microsoft\Windows\INetCache\Content.Outlook\RYXX8QVA\Australian%20enforcement%20data%20-%20tren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g3053\AppData\Local\Microsoft\Windows\INetCache\Content.Outlook\RYXX8QVA\Australian%20enforcement%20data%20-%20tren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g3053\AppData\Local\Microsoft\Windows\INetCache\Content.Outlook\RYXX8QVA\Australian%20enforcement%20data%20-%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Sheet5!$D$6</c:f>
              <c:strCache>
                <c:ptCount val="1"/>
                <c:pt idx="0">
                  <c:v>Number of fatalities (LHS)</c:v>
                </c:pt>
              </c:strCache>
            </c:strRef>
          </c:tx>
          <c:spPr>
            <a:ln>
              <a:solidFill>
                <a:srgbClr val="C00000"/>
              </a:solidFill>
            </a:ln>
          </c:spPr>
          <c:marker>
            <c:symbol val="none"/>
          </c:marker>
          <c:cat>
            <c:numRef>
              <c:f>Sheet5!$E$4:$R$4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Sheet5!$E$6:$R$6</c:f>
              <c:numCache>
                <c:formatCode>General</c:formatCode>
                <c:ptCount val="14"/>
                <c:pt idx="0">
                  <c:v>259</c:v>
                </c:pt>
                <c:pt idx="1">
                  <c:v>284</c:v>
                </c:pt>
                <c:pt idx="2">
                  <c:v>258</c:v>
                </c:pt>
                <c:pt idx="3">
                  <c:v>284</c:v>
                </c:pt>
                <c:pt idx="4">
                  <c:v>310</c:v>
                </c:pt>
                <c:pt idx="5">
                  <c:v>283</c:v>
                </c:pt>
                <c:pt idx="6">
                  <c:v>258</c:v>
                </c:pt>
                <c:pt idx="7">
                  <c:v>230</c:v>
                </c:pt>
                <c:pt idx="8">
                  <c:v>225</c:v>
                </c:pt>
                <c:pt idx="9">
                  <c:v>231</c:v>
                </c:pt>
                <c:pt idx="10">
                  <c:v>202</c:v>
                </c:pt>
                <c:pt idx="11">
                  <c:v>197</c:v>
                </c:pt>
                <c:pt idx="12">
                  <c:v>211</c:v>
                </c:pt>
                <c:pt idx="13">
                  <c:v>182</c:v>
                </c:pt>
              </c:numCache>
            </c:numRef>
          </c:val>
          <c:smooth val="0"/>
          <c:extLst xmlns:c16r2="http://schemas.microsoft.com/office/drawing/2015/06/chart">
            <c:ext xmlns:c16="http://schemas.microsoft.com/office/drawing/2014/chart" uri="{C3380CC4-5D6E-409C-BE32-E72D297353CC}">
              <c16:uniqueId val="{00000000-1241-4883-88CD-A2245E202217}"/>
            </c:ext>
          </c:extLst>
        </c:ser>
        <c:dLbls>
          <c:showLegendKey val="0"/>
          <c:showVal val="0"/>
          <c:showCatName val="0"/>
          <c:showSerName val="0"/>
          <c:showPercent val="0"/>
          <c:showBubbleSize val="0"/>
        </c:dLbls>
        <c:marker val="1"/>
        <c:smooth val="0"/>
        <c:axId val="82732544"/>
        <c:axId val="82734464"/>
      </c:lineChart>
      <c:lineChart>
        <c:grouping val="standard"/>
        <c:varyColors val="0"/>
        <c:ser>
          <c:idx val="0"/>
          <c:order val="0"/>
          <c:tx>
            <c:strRef>
              <c:f>Sheet5!$D$5</c:f>
              <c:strCache>
                <c:ptCount val="1"/>
                <c:pt idx="0">
                  <c:v>Fatality rate (RHS)</c:v>
                </c:pt>
              </c:strCache>
            </c:strRef>
          </c:tx>
          <c:spPr>
            <a:ln>
              <a:solidFill>
                <a:schemeClr val="tx1">
                  <a:lumMod val="65000"/>
                  <a:lumOff val="35000"/>
                </a:schemeClr>
              </a:solidFill>
            </a:ln>
          </c:spPr>
          <c:marker>
            <c:symbol val="none"/>
          </c:marker>
          <c:cat>
            <c:numRef>
              <c:f>Sheet5!$E$4:$R$4</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Sheet5!$E$5:$R$5</c:f>
              <c:numCache>
                <c:formatCode>#,##0.0</c:formatCode>
                <c:ptCount val="14"/>
                <c:pt idx="0">
                  <c:v>2.7317466455812389</c:v>
                </c:pt>
                <c:pt idx="1">
                  <c:v>2.919236845702915</c:v>
                </c:pt>
                <c:pt idx="2">
                  <c:v>2.576144284848866</c:v>
                </c:pt>
                <c:pt idx="3">
                  <c:v>2.7574336138148201</c:v>
                </c:pt>
                <c:pt idx="4">
                  <c:v>2.9203647158708872</c:v>
                </c:pt>
                <c:pt idx="5">
                  <c:v>2.6176723500218282</c:v>
                </c:pt>
                <c:pt idx="6">
                  <c:v>2.3666654619299821</c:v>
                </c:pt>
                <c:pt idx="7">
                  <c:v>2.0495117284427402</c:v>
                </c:pt>
                <c:pt idx="8">
                  <c:v>1.989892407844102</c:v>
                </c:pt>
                <c:pt idx="9">
                  <c:v>2.0276827641371442</c:v>
                </c:pt>
                <c:pt idx="10">
                  <c:v>1.7555960057235911</c:v>
                </c:pt>
                <c:pt idx="11">
                  <c:v>1.6820553384252659</c:v>
                </c:pt>
                <c:pt idx="12">
                  <c:v>1.7671157513579361</c:v>
                </c:pt>
                <c:pt idx="13">
                  <c:v>1.5234938233626101</c:v>
                </c:pt>
              </c:numCache>
            </c:numRef>
          </c:val>
          <c:smooth val="0"/>
          <c:extLst xmlns:c16r2="http://schemas.microsoft.com/office/drawing/2015/06/chart">
            <c:ext xmlns:c16="http://schemas.microsoft.com/office/drawing/2014/chart" uri="{C3380CC4-5D6E-409C-BE32-E72D297353CC}">
              <c16:uniqueId val="{00000001-1241-4883-88CD-A2245E202217}"/>
            </c:ext>
          </c:extLst>
        </c:ser>
        <c:dLbls>
          <c:showLegendKey val="0"/>
          <c:showVal val="0"/>
          <c:showCatName val="0"/>
          <c:showSerName val="0"/>
          <c:showPercent val="0"/>
          <c:showBubbleSize val="0"/>
        </c:dLbls>
        <c:marker val="1"/>
        <c:smooth val="0"/>
        <c:axId val="111248512"/>
        <c:axId val="83155200"/>
      </c:lineChart>
      <c:catAx>
        <c:axId val="82732544"/>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82734464"/>
        <c:crosses val="autoZero"/>
        <c:auto val="1"/>
        <c:lblAlgn val="ctr"/>
        <c:lblOffset val="100"/>
        <c:noMultiLvlLbl val="0"/>
      </c:catAx>
      <c:valAx>
        <c:axId val="82734464"/>
        <c:scaling>
          <c:orientation val="minMax"/>
        </c:scaling>
        <c:delete val="0"/>
        <c:axPos val="l"/>
        <c:majorGridlines/>
        <c:numFmt formatCode="General" sourceLinked="1"/>
        <c:majorTickMark val="out"/>
        <c:minorTickMark val="none"/>
        <c:tickLblPos val="nextTo"/>
        <c:crossAx val="82732544"/>
        <c:crosses val="autoZero"/>
        <c:crossBetween val="between"/>
      </c:valAx>
      <c:valAx>
        <c:axId val="83155200"/>
        <c:scaling>
          <c:orientation val="minMax"/>
        </c:scaling>
        <c:delete val="0"/>
        <c:axPos val="r"/>
        <c:numFmt formatCode="#,##0.0" sourceLinked="1"/>
        <c:majorTickMark val="out"/>
        <c:minorTickMark val="none"/>
        <c:tickLblPos val="nextTo"/>
        <c:crossAx val="111248512"/>
        <c:crosses val="max"/>
        <c:crossBetween val="between"/>
      </c:valAx>
      <c:catAx>
        <c:axId val="111248512"/>
        <c:scaling>
          <c:orientation val="minMax"/>
        </c:scaling>
        <c:delete val="1"/>
        <c:axPos val="b"/>
        <c:numFmt formatCode="General" sourceLinked="1"/>
        <c:majorTickMark val="out"/>
        <c:minorTickMark val="none"/>
        <c:tickLblPos val="nextTo"/>
        <c:crossAx val="83155200"/>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Australia!$A$4</c:f>
              <c:strCache>
                <c:ptCount val="1"/>
                <c:pt idx="0">
                  <c:v>Number of field active inspectors employed</c:v>
                </c:pt>
              </c:strCache>
            </c:strRef>
          </c:tx>
          <c:spPr>
            <a:ln>
              <a:solidFill>
                <a:srgbClr val="C00000"/>
              </a:solidFill>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Australia!$B$4:$K$4</c:f>
              <c:numCache>
                <c:formatCode>#,##0</c:formatCode>
                <c:ptCount val="10"/>
                <c:pt idx="0">
                  <c:v>1054.8</c:v>
                </c:pt>
                <c:pt idx="1">
                  <c:v>1043.5999999999999</c:v>
                </c:pt>
                <c:pt idx="2">
                  <c:v>1115.5999999999999</c:v>
                </c:pt>
                <c:pt idx="3">
                  <c:v>1087.9000000000001</c:v>
                </c:pt>
                <c:pt idx="4">
                  <c:v>1100.5999999999999</c:v>
                </c:pt>
                <c:pt idx="5">
                  <c:v>1081</c:v>
                </c:pt>
                <c:pt idx="6">
                  <c:v>1097</c:v>
                </c:pt>
                <c:pt idx="7">
                  <c:v>1106.5</c:v>
                </c:pt>
                <c:pt idx="8">
                  <c:v>1107.7</c:v>
                </c:pt>
                <c:pt idx="9">
                  <c:v>1114</c:v>
                </c:pt>
              </c:numCache>
            </c:numRef>
          </c:val>
          <c:smooth val="0"/>
          <c:extLst xmlns:c16r2="http://schemas.microsoft.com/office/drawing/2015/06/chart">
            <c:ext xmlns:c16="http://schemas.microsoft.com/office/drawing/2014/chart" uri="{C3380CC4-5D6E-409C-BE32-E72D297353CC}">
              <c16:uniqueId val="{00000000-B917-48BD-96E6-5EDB7C1C5140}"/>
            </c:ext>
          </c:extLst>
        </c:ser>
        <c:dLbls>
          <c:showLegendKey val="0"/>
          <c:showVal val="0"/>
          <c:showCatName val="0"/>
          <c:showSerName val="0"/>
          <c:showPercent val="0"/>
          <c:showBubbleSize val="0"/>
        </c:dLbls>
        <c:marker val="1"/>
        <c:smooth val="0"/>
        <c:axId val="117084544"/>
        <c:axId val="117092352"/>
      </c:lineChart>
      <c:catAx>
        <c:axId val="117084544"/>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117092352"/>
        <c:crosses val="autoZero"/>
        <c:auto val="1"/>
        <c:lblAlgn val="ctr"/>
        <c:lblOffset val="100"/>
        <c:noMultiLvlLbl val="0"/>
      </c:catAx>
      <c:valAx>
        <c:axId val="117092352"/>
        <c:scaling>
          <c:orientation val="minMax"/>
          <c:min val="900"/>
        </c:scaling>
        <c:delete val="0"/>
        <c:axPos val="l"/>
        <c:majorGridlines/>
        <c:title>
          <c:tx>
            <c:rich>
              <a:bodyPr rot="-5400000" vert="horz"/>
              <a:lstStyle/>
              <a:p>
                <a:pPr>
                  <a:defRPr b="0"/>
                </a:pPr>
                <a:r>
                  <a:rPr lang="en-US" b="0"/>
                  <a:t>Field active inspectors</a:t>
                </a:r>
              </a:p>
            </c:rich>
          </c:tx>
          <c:layout>
            <c:manualLayout>
              <c:xMode val="edge"/>
              <c:yMode val="edge"/>
              <c:x val="1.48936274270064E-2"/>
              <c:y val="0.134784622510422"/>
            </c:manualLayout>
          </c:layout>
          <c:overlay val="0"/>
        </c:title>
        <c:numFmt formatCode="#,##0" sourceLinked="1"/>
        <c:majorTickMark val="out"/>
        <c:minorTickMark val="none"/>
        <c:tickLblPos val="nextTo"/>
        <c:crossAx val="11708454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Australia!$A$10</c:f>
              <c:strCache>
                <c:ptCount val="1"/>
                <c:pt idx="0">
                  <c:v>Number of Proactive activities</c:v>
                </c:pt>
              </c:strCache>
            </c:strRef>
          </c:tx>
          <c:spPr>
            <a:ln>
              <a:solidFill>
                <a:schemeClr val="accent6">
                  <a:lumMod val="75000"/>
                </a:schemeClr>
              </a:solidFill>
            </a:ln>
          </c:spPr>
          <c:marker>
            <c:symbol val="none"/>
          </c:marker>
          <c:cat>
            <c:strRef>
              <c:f>Australia!$B$9:$K$9</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Australia!$B$10:$K$10</c:f>
              <c:numCache>
                <c:formatCode>#,##0</c:formatCode>
                <c:ptCount val="10"/>
                <c:pt idx="0">
                  <c:v>68388</c:v>
                </c:pt>
                <c:pt idx="1">
                  <c:v>68073</c:v>
                </c:pt>
                <c:pt idx="2">
                  <c:v>68633</c:v>
                </c:pt>
                <c:pt idx="3">
                  <c:v>86546</c:v>
                </c:pt>
                <c:pt idx="4">
                  <c:v>86469</c:v>
                </c:pt>
                <c:pt idx="5">
                  <c:v>86979</c:v>
                </c:pt>
                <c:pt idx="6">
                  <c:v>86287</c:v>
                </c:pt>
                <c:pt idx="7">
                  <c:v>90360</c:v>
                </c:pt>
                <c:pt idx="8">
                  <c:v>95391</c:v>
                </c:pt>
                <c:pt idx="9">
                  <c:v>102113</c:v>
                </c:pt>
              </c:numCache>
            </c:numRef>
          </c:val>
          <c:smooth val="0"/>
          <c:extLst xmlns:c16r2="http://schemas.microsoft.com/office/drawing/2015/06/chart">
            <c:ext xmlns:c16="http://schemas.microsoft.com/office/drawing/2014/chart" uri="{C3380CC4-5D6E-409C-BE32-E72D297353CC}">
              <c16:uniqueId val="{00000000-BAD2-4210-8A0F-94F10FE652DD}"/>
            </c:ext>
          </c:extLst>
        </c:ser>
        <c:ser>
          <c:idx val="3"/>
          <c:order val="1"/>
          <c:tx>
            <c:strRef>
              <c:f>Australia!$A$11</c:f>
              <c:strCache>
                <c:ptCount val="1"/>
                <c:pt idx="0">
                  <c:v>Number of Reactive activities</c:v>
                </c:pt>
              </c:strCache>
            </c:strRef>
          </c:tx>
          <c:spPr>
            <a:ln>
              <a:solidFill>
                <a:schemeClr val="tx1">
                  <a:lumMod val="65000"/>
                  <a:lumOff val="35000"/>
                </a:schemeClr>
              </a:solidFill>
            </a:ln>
          </c:spPr>
          <c:marker>
            <c:symbol val="none"/>
          </c:marker>
          <c:cat>
            <c:strRef>
              <c:f>Australia!$B$9:$K$9</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Australia!$B$11:$K$11</c:f>
              <c:numCache>
                <c:formatCode>#,##0</c:formatCode>
                <c:ptCount val="10"/>
                <c:pt idx="0">
                  <c:v>71713</c:v>
                </c:pt>
                <c:pt idx="1">
                  <c:v>71997</c:v>
                </c:pt>
                <c:pt idx="2">
                  <c:v>72982</c:v>
                </c:pt>
                <c:pt idx="3">
                  <c:v>110863</c:v>
                </c:pt>
                <c:pt idx="4">
                  <c:v>124924</c:v>
                </c:pt>
                <c:pt idx="5">
                  <c:v>126088</c:v>
                </c:pt>
                <c:pt idx="6">
                  <c:v>126147</c:v>
                </c:pt>
                <c:pt idx="7">
                  <c:v>114574</c:v>
                </c:pt>
                <c:pt idx="8">
                  <c:v>101878</c:v>
                </c:pt>
                <c:pt idx="9">
                  <c:v>103639</c:v>
                </c:pt>
              </c:numCache>
            </c:numRef>
          </c:val>
          <c:smooth val="0"/>
          <c:extLst xmlns:c16r2="http://schemas.microsoft.com/office/drawing/2015/06/chart">
            <c:ext xmlns:c16="http://schemas.microsoft.com/office/drawing/2014/chart" uri="{C3380CC4-5D6E-409C-BE32-E72D297353CC}">
              <c16:uniqueId val="{00000001-BAD2-4210-8A0F-94F10FE652DD}"/>
            </c:ext>
          </c:extLst>
        </c:ser>
        <c:ser>
          <c:idx val="1"/>
          <c:order val="2"/>
          <c:tx>
            <c:strRef>
              <c:f>Australia!$A$12</c:f>
              <c:strCache>
                <c:ptCount val="1"/>
                <c:pt idx="0">
                  <c:v>Total workplace interventions</c:v>
                </c:pt>
              </c:strCache>
            </c:strRef>
          </c:tx>
          <c:spPr>
            <a:ln>
              <a:solidFill>
                <a:srgbClr val="C00000"/>
              </a:solidFill>
            </a:ln>
          </c:spPr>
          <c:marker>
            <c:symbol val="none"/>
          </c:marker>
          <c:cat>
            <c:strRef>
              <c:f>Australia!$B$9:$K$9</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Australia!$B$12:$K$12</c:f>
              <c:numCache>
                <c:formatCode>#,##0</c:formatCode>
                <c:ptCount val="10"/>
                <c:pt idx="0">
                  <c:v>140101</c:v>
                </c:pt>
                <c:pt idx="1">
                  <c:v>140070</c:v>
                </c:pt>
                <c:pt idx="2">
                  <c:v>141615</c:v>
                </c:pt>
                <c:pt idx="3">
                  <c:v>197409</c:v>
                </c:pt>
                <c:pt idx="4">
                  <c:v>211393</c:v>
                </c:pt>
                <c:pt idx="5">
                  <c:v>213067</c:v>
                </c:pt>
                <c:pt idx="6">
                  <c:v>212434</c:v>
                </c:pt>
                <c:pt idx="7">
                  <c:v>204934</c:v>
                </c:pt>
                <c:pt idx="8">
                  <c:v>197269</c:v>
                </c:pt>
                <c:pt idx="9">
                  <c:v>205752</c:v>
                </c:pt>
              </c:numCache>
            </c:numRef>
          </c:val>
          <c:smooth val="0"/>
          <c:extLst xmlns:c16r2="http://schemas.microsoft.com/office/drawing/2015/06/chart">
            <c:ext xmlns:c16="http://schemas.microsoft.com/office/drawing/2014/chart" uri="{C3380CC4-5D6E-409C-BE32-E72D297353CC}">
              <c16:uniqueId val="{00000002-BAD2-4210-8A0F-94F10FE652DD}"/>
            </c:ext>
          </c:extLst>
        </c:ser>
        <c:dLbls>
          <c:showLegendKey val="0"/>
          <c:showVal val="0"/>
          <c:showCatName val="0"/>
          <c:showSerName val="0"/>
          <c:showPercent val="0"/>
          <c:showBubbleSize val="0"/>
        </c:dLbls>
        <c:marker val="1"/>
        <c:smooth val="0"/>
        <c:axId val="117790208"/>
        <c:axId val="117791744"/>
      </c:lineChart>
      <c:catAx>
        <c:axId val="117790208"/>
        <c:scaling>
          <c:orientation val="minMax"/>
        </c:scaling>
        <c:delete val="0"/>
        <c:axPos val="b"/>
        <c:numFmt formatCode="General" sourceLinked="0"/>
        <c:majorTickMark val="out"/>
        <c:minorTickMark val="none"/>
        <c:tickLblPos val="nextTo"/>
        <c:crossAx val="117791744"/>
        <c:crosses val="autoZero"/>
        <c:auto val="1"/>
        <c:lblAlgn val="ctr"/>
        <c:lblOffset val="100"/>
        <c:noMultiLvlLbl val="0"/>
      </c:catAx>
      <c:valAx>
        <c:axId val="117791744"/>
        <c:scaling>
          <c:orientation val="minMax"/>
        </c:scaling>
        <c:delete val="0"/>
        <c:axPos val="l"/>
        <c:majorGridlines/>
        <c:title>
          <c:tx>
            <c:rich>
              <a:bodyPr rot="-5400000" vert="horz"/>
              <a:lstStyle/>
              <a:p>
                <a:pPr>
                  <a:defRPr b="0"/>
                </a:pPr>
                <a:r>
                  <a:rPr lang="en-US" b="0"/>
                  <a:t>Proactive and reactive activities</a:t>
                </a:r>
              </a:p>
            </c:rich>
          </c:tx>
          <c:layout>
            <c:manualLayout>
              <c:xMode val="edge"/>
              <c:yMode val="edge"/>
              <c:x val="9.8804626842321497E-3"/>
              <c:y val="0.12564456746660899"/>
            </c:manualLayout>
          </c:layout>
          <c:overlay val="0"/>
        </c:title>
        <c:numFmt formatCode="#,##0" sourceLinked="1"/>
        <c:majorTickMark val="out"/>
        <c:minorTickMark val="none"/>
        <c:tickLblPos val="nextTo"/>
        <c:crossAx val="117790208"/>
        <c:crosses val="autoZero"/>
        <c:crossBetween val="between"/>
      </c:valAx>
      <c:spPr>
        <a:ln>
          <a:solidFill>
            <a:schemeClr val="bg1">
              <a:lumMod val="50000"/>
            </a:schemeClr>
          </a:solidFill>
        </a:ln>
      </c:spPr>
    </c:plotArea>
    <c:legend>
      <c:legendPos val="b"/>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1"/>
          <c:tx>
            <c:strRef>
              <c:f>Australia!$A$17</c:f>
              <c:strCache>
                <c:ptCount val="1"/>
                <c:pt idx="0">
                  <c:v>Number of improvement notices issued</c:v>
                </c:pt>
              </c:strCache>
            </c:strRef>
          </c:tx>
          <c:spPr>
            <a:ln>
              <a:solidFill>
                <a:srgbClr val="C00000"/>
              </a:solidFill>
              <a:prstDash val="solid"/>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Australia!$B$17:$K$17</c:f>
              <c:numCache>
                <c:formatCode>#,##0</c:formatCode>
                <c:ptCount val="10"/>
                <c:pt idx="0">
                  <c:v>53830</c:v>
                </c:pt>
                <c:pt idx="1">
                  <c:v>50291</c:v>
                </c:pt>
                <c:pt idx="2">
                  <c:v>50081</c:v>
                </c:pt>
                <c:pt idx="3">
                  <c:v>55913</c:v>
                </c:pt>
                <c:pt idx="4">
                  <c:v>51349</c:v>
                </c:pt>
                <c:pt idx="5">
                  <c:v>44805</c:v>
                </c:pt>
                <c:pt idx="6">
                  <c:v>42497</c:v>
                </c:pt>
                <c:pt idx="7">
                  <c:v>40429</c:v>
                </c:pt>
                <c:pt idx="8">
                  <c:v>38529</c:v>
                </c:pt>
                <c:pt idx="9">
                  <c:v>39827</c:v>
                </c:pt>
              </c:numCache>
            </c:numRef>
          </c:val>
          <c:smooth val="0"/>
          <c:extLst xmlns:c16r2="http://schemas.microsoft.com/office/drawing/2015/06/chart">
            <c:ext xmlns:c16="http://schemas.microsoft.com/office/drawing/2014/chart" uri="{C3380CC4-5D6E-409C-BE32-E72D297353CC}">
              <c16:uniqueId val="{00000000-DA65-4F79-AC4F-209DD955A746}"/>
            </c:ext>
          </c:extLst>
        </c:ser>
        <c:dLbls>
          <c:showLegendKey val="0"/>
          <c:showVal val="0"/>
          <c:showCatName val="0"/>
          <c:showSerName val="0"/>
          <c:showPercent val="0"/>
          <c:showBubbleSize val="0"/>
        </c:dLbls>
        <c:marker val="1"/>
        <c:smooth val="0"/>
        <c:axId val="144070528"/>
        <c:axId val="146913152"/>
      </c:lineChart>
      <c:lineChart>
        <c:grouping val="standard"/>
        <c:varyColors val="0"/>
        <c:ser>
          <c:idx val="0"/>
          <c:order val="0"/>
          <c:tx>
            <c:strRef>
              <c:f>Australia!$A$16</c:f>
              <c:strCache>
                <c:ptCount val="1"/>
                <c:pt idx="0">
                  <c:v>Number of infringement notices issued</c:v>
                </c:pt>
              </c:strCache>
            </c:strRef>
          </c:tx>
          <c:spPr>
            <a:ln>
              <a:solidFill>
                <a:schemeClr val="accent6">
                  <a:lumMod val="75000"/>
                </a:schemeClr>
              </a:solidFill>
              <a:prstDash val="solid"/>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Australia!$B$16:$K$16</c:f>
              <c:numCache>
                <c:formatCode>#,##0</c:formatCode>
                <c:ptCount val="10"/>
                <c:pt idx="0">
                  <c:v>1519</c:v>
                </c:pt>
                <c:pt idx="1">
                  <c:v>1514</c:v>
                </c:pt>
                <c:pt idx="2">
                  <c:v>1251</c:v>
                </c:pt>
                <c:pt idx="3">
                  <c:v>1143</c:v>
                </c:pt>
                <c:pt idx="4">
                  <c:v>970</c:v>
                </c:pt>
                <c:pt idx="5">
                  <c:v>612</c:v>
                </c:pt>
                <c:pt idx="6">
                  <c:v>232</c:v>
                </c:pt>
                <c:pt idx="7">
                  <c:v>180</c:v>
                </c:pt>
                <c:pt idx="8">
                  <c:v>152</c:v>
                </c:pt>
                <c:pt idx="9">
                  <c:v>166</c:v>
                </c:pt>
              </c:numCache>
            </c:numRef>
          </c:val>
          <c:smooth val="0"/>
          <c:extLst xmlns:c16r2="http://schemas.microsoft.com/office/drawing/2015/06/chart">
            <c:ext xmlns:c16="http://schemas.microsoft.com/office/drawing/2014/chart" uri="{C3380CC4-5D6E-409C-BE32-E72D297353CC}">
              <c16:uniqueId val="{00000001-DA65-4F79-AC4F-209DD955A746}"/>
            </c:ext>
          </c:extLst>
        </c:ser>
        <c:ser>
          <c:idx val="2"/>
          <c:order val="2"/>
          <c:tx>
            <c:strRef>
              <c:f>Australia!$A$18</c:f>
              <c:strCache>
                <c:ptCount val="1"/>
                <c:pt idx="0">
                  <c:v>Number of prohibition notices issued</c:v>
                </c:pt>
              </c:strCache>
            </c:strRef>
          </c:tx>
          <c:spPr>
            <a:ln>
              <a:solidFill>
                <a:schemeClr val="tx1">
                  <a:lumMod val="65000"/>
                  <a:lumOff val="35000"/>
                </a:schemeClr>
              </a:solidFill>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Australia!$B$18:$K$18</c:f>
              <c:numCache>
                <c:formatCode>#,##0</c:formatCode>
                <c:ptCount val="10"/>
                <c:pt idx="0">
                  <c:v>6697</c:v>
                </c:pt>
                <c:pt idx="1">
                  <c:v>6375</c:v>
                </c:pt>
                <c:pt idx="2">
                  <c:v>5776</c:v>
                </c:pt>
                <c:pt idx="3">
                  <c:v>5755</c:v>
                </c:pt>
                <c:pt idx="4">
                  <c:v>5292</c:v>
                </c:pt>
                <c:pt idx="5">
                  <c:v>4615</c:v>
                </c:pt>
                <c:pt idx="6">
                  <c:v>4202</c:v>
                </c:pt>
                <c:pt idx="7">
                  <c:v>3850</c:v>
                </c:pt>
                <c:pt idx="8">
                  <c:v>3610</c:v>
                </c:pt>
                <c:pt idx="9">
                  <c:v>3032</c:v>
                </c:pt>
              </c:numCache>
            </c:numRef>
          </c:val>
          <c:smooth val="0"/>
          <c:extLst xmlns:c16r2="http://schemas.microsoft.com/office/drawing/2015/06/chart">
            <c:ext xmlns:c16="http://schemas.microsoft.com/office/drawing/2014/chart" uri="{C3380CC4-5D6E-409C-BE32-E72D297353CC}">
              <c16:uniqueId val="{00000002-DA65-4F79-AC4F-209DD955A746}"/>
            </c:ext>
          </c:extLst>
        </c:ser>
        <c:dLbls>
          <c:showLegendKey val="0"/>
          <c:showVal val="0"/>
          <c:showCatName val="0"/>
          <c:showSerName val="0"/>
          <c:showPercent val="0"/>
          <c:showBubbleSize val="0"/>
        </c:dLbls>
        <c:marker val="1"/>
        <c:smooth val="0"/>
        <c:axId val="156547328"/>
        <c:axId val="152553728"/>
      </c:lineChart>
      <c:catAx>
        <c:axId val="144070528"/>
        <c:scaling>
          <c:orientation val="minMax"/>
        </c:scaling>
        <c:delete val="0"/>
        <c:axPos val="b"/>
        <c:numFmt formatCode="General" sourceLinked="0"/>
        <c:majorTickMark val="out"/>
        <c:minorTickMark val="none"/>
        <c:tickLblPos val="nextTo"/>
        <c:crossAx val="146913152"/>
        <c:crosses val="autoZero"/>
        <c:auto val="1"/>
        <c:lblAlgn val="ctr"/>
        <c:lblOffset val="100"/>
        <c:noMultiLvlLbl val="0"/>
      </c:catAx>
      <c:valAx>
        <c:axId val="146913152"/>
        <c:scaling>
          <c:orientation val="minMax"/>
          <c:max val="60000"/>
          <c:min val="30000"/>
        </c:scaling>
        <c:delete val="0"/>
        <c:axPos val="l"/>
        <c:majorGridlines/>
        <c:title>
          <c:tx>
            <c:rich>
              <a:bodyPr rot="-5400000" vert="horz"/>
              <a:lstStyle/>
              <a:p>
                <a:pPr>
                  <a:defRPr b="0"/>
                </a:pPr>
                <a:r>
                  <a:rPr lang="en-US" b="0"/>
                  <a:t>Improvement notices</a:t>
                </a:r>
              </a:p>
            </c:rich>
          </c:tx>
          <c:layout>
            <c:manualLayout>
              <c:xMode val="edge"/>
              <c:yMode val="edge"/>
              <c:x val="1.5504166630334E-2"/>
              <c:y val="0.16842674077504999"/>
            </c:manualLayout>
          </c:layout>
          <c:overlay val="0"/>
        </c:title>
        <c:numFmt formatCode="#,##0" sourceLinked="1"/>
        <c:majorTickMark val="out"/>
        <c:minorTickMark val="none"/>
        <c:tickLblPos val="nextTo"/>
        <c:crossAx val="144070528"/>
        <c:crosses val="autoZero"/>
        <c:crossBetween val="between"/>
        <c:majorUnit val="5000"/>
      </c:valAx>
      <c:valAx>
        <c:axId val="152553728"/>
        <c:scaling>
          <c:orientation val="minMax"/>
          <c:max val="7500"/>
          <c:min val="0"/>
        </c:scaling>
        <c:delete val="0"/>
        <c:axPos val="r"/>
        <c:title>
          <c:tx>
            <c:rich>
              <a:bodyPr rot="-5400000" vert="horz"/>
              <a:lstStyle/>
              <a:p>
                <a:pPr>
                  <a:defRPr b="0"/>
                </a:pPr>
                <a:r>
                  <a:rPr lang="en-US" b="0"/>
                  <a:t>Infringement &amp; prohibition  notices</a:t>
                </a:r>
              </a:p>
            </c:rich>
          </c:tx>
          <c:layout>
            <c:manualLayout>
              <c:xMode val="edge"/>
              <c:yMode val="edge"/>
              <c:x val="0.96886780319652499"/>
              <c:y val="2.91655730533683E-2"/>
            </c:manualLayout>
          </c:layout>
          <c:overlay val="0"/>
        </c:title>
        <c:numFmt formatCode="#,##0" sourceLinked="1"/>
        <c:majorTickMark val="out"/>
        <c:minorTickMark val="none"/>
        <c:tickLblPos val="nextTo"/>
        <c:crossAx val="156547328"/>
        <c:crosses val="max"/>
        <c:crossBetween val="between"/>
        <c:majorUnit val="1250"/>
      </c:valAx>
      <c:catAx>
        <c:axId val="156547328"/>
        <c:scaling>
          <c:orientation val="minMax"/>
        </c:scaling>
        <c:delete val="1"/>
        <c:axPos val="b"/>
        <c:numFmt formatCode="General" sourceLinked="0"/>
        <c:majorTickMark val="out"/>
        <c:minorTickMark val="none"/>
        <c:tickLblPos val="nextTo"/>
        <c:crossAx val="152553728"/>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Australia!$A$24</c:f>
              <c:strCache>
                <c:ptCount val="1"/>
                <c:pt idx="0">
                  <c:v>Number of legal proceedings finalised</c:v>
                </c:pt>
              </c:strCache>
            </c:strRef>
          </c:tx>
          <c:spPr>
            <a:ln>
              <a:solidFill>
                <a:srgbClr val="C00000"/>
              </a:solidFill>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Australia!$B$24:$K$24</c:f>
              <c:numCache>
                <c:formatCode>#,##0</c:formatCode>
                <c:ptCount val="10"/>
                <c:pt idx="0">
                  <c:v>658</c:v>
                </c:pt>
                <c:pt idx="1">
                  <c:v>532</c:v>
                </c:pt>
                <c:pt idx="2">
                  <c:v>463</c:v>
                </c:pt>
                <c:pt idx="3">
                  <c:v>448</c:v>
                </c:pt>
                <c:pt idx="4">
                  <c:v>397</c:v>
                </c:pt>
                <c:pt idx="5">
                  <c:v>406</c:v>
                </c:pt>
                <c:pt idx="6">
                  <c:v>340</c:v>
                </c:pt>
                <c:pt idx="7">
                  <c:v>269</c:v>
                </c:pt>
                <c:pt idx="8">
                  <c:v>308</c:v>
                </c:pt>
                <c:pt idx="9">
                  <c:v>275</c:v>
                </c:pt>
              </c:numCache>
            </c:numRef>
          </c:val>
          <c:smooth val="0"/>
          <c:extLst xmlns:c16r2="http://schemas.microsoft.com/office/drawing/2015/06/chart">
            <c:ext xmlns:c16="http://schemas.microsoft.com/office/drawing/2014/chart" uri="{C3380CC4-5D6E-409C-BE32-E72D297353CC}">
              <c16:uniqueId val="{00000000-679F-439A-819D-1D23661A0F29}"/>
            </c:ext>
          </c:extLst>
        </c:ser>
        <c:ser>
          <c:idx val="1"/>
          <c:order val="1"/>
          <c:tx>
            <c:strRef>
              <c:f>Australia!$A$25</c:f>
              <c:strCache>
                <c:ptCount val="1"/>
                <c:pt idx="0">
                  <c:v>Number of legal proceedings resulting in a conviction, order or agreement</c:v>
                </c:pt>
              </c:strCache>
            </c:strRef>
          </c:tx>
          <c:spPr>
            <a:ln>
              <a:solidFill>
                <a:schemeClr val="accent6">
                  <a:lumMod val="75000"/>
                </a:schemeClr>
              </a:solidFill>
              <a:prstDash val="solid"/>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Australia!$B$25:$K$25</c:f>
              <c:numCache>
                <c:formatCode>#,##0</c:formatCode>
                <c:ptCount val="10"/>
                <c:pt idx="0">
                  <c:v>595</c:v>
                </c:pt>
                <c:pt idx="1">
                  <c:v>480</c:v>
                </c:pt>
                <c:pt idx="2">
                  <c:v>402</c:v>
                </c:pt>
                <c:pt idx="3">
                  <c:v>396</c:v>
                </c:pt>
                <c:pt idx="4">
                  <c:v>331</c:v>
                </c:pt>
                <c:pt idx="5">
                  <c:v>358</c:v>
                </c:pt>
                <c:pt idx="6">
                  <c:v>291</c:v>
                </c:pt>
                <c:pt idx="7">
                  <c:v>231</c:v>
                </c:pt>
                <c:pt idx="8">
                  <c:v>275</c:v>
                </c:pt>
                <c:pt idx="9">
                  <c:v>242</c:v>
                </c:pt>
              </c:numCache>
            </c:numRef>
          </c:val>
          <c:smooth val="0"/>
          <c:extLst xmlns:c16r2="http://schemas.microsoft.com/office/drawing/2015/06/chart">
            <c:ext xmlns:c16="http://schemas.microsoft.com/office/drawing/2014/chart" uri="{C3380CC4-5D6E-409C-BE32-E72D297353CC}">
              <c16:uniqueId val="{00000001-679F-439A-819D-1D23661A0F29}"/>
            </c:ext>
          </c:extLst>
        </c:ser>
        <c:dLbls>
          <c:showLegendKey val="0"/>
          <c:showVal val="0"/>
          <c:showCatName val="0"/>
          <c:showSerName val="0"/>
          <c:showPercent val="0"/>
          <c:showBubbleSize val="0"/>
        </c:dLbls>
        <c:marker val="1"/>
        <c:smooth val="0"/>
        <c:axId val="221882240"/>
        <c:axId val="236960384"/>
      </c:lineChart>
      <c:lineChart>
        <c:grouping val="standard"/>
        <c:varyColors val="0"/>
        <c:ser>
          <c:idx val="2"/>
          <c:order val="2"/>
          <c:tx>
            <c:strRef>
              <c:f>Australia!$A$26</c:f>
              <c:strCache>
                <c:ptCount val="1"/>
                <c:pt idx="0">
                  <c:v>Total amount of fines awarded by the courts ($m)</c:v>
                </c:pt>
              </c:strCache>
            </c:strRef>
          </c:tx>
          <c:spPr>
            <a:ln w="28575">
              <a:solidFill>
                <a:schemeClr val="tx1">
                  <a:lumMod val="65000"/>
                  <a:lumOff val="35000"/>
                </a:schemeClr>
              </a:solidFill>
              <a:prstDash val="solid"/>
            </a:ln>
          </c:spPr>
          <c:marker>
            <c:symbol val="none"/>
          </c:marker>
          <c:cat>
            <c:strRef>
              <c:f>Australia!$B$3:$K$3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Australia!$B$26:$K$26</c:f>
              <c:numCache>
                <c:formatCode>#,##0.0</c:formatCode>
                <c:ptCount val="10"/>
                <c:pt idx="0">
                  <c:v>18.10295</c:v>
                </c:pt>
                <c:pt idx="1">
                  <c:v>16.949400000000001</c:v>
                </c:pt>
                <c:pt idx="2">
                  <c:v>17.894099999999991</c:v>
                </c:pt>
                <c:pt idx="3">
                  <c:v>19.334</c:v>
                </c:pt>
                <c:pt idx="4">
                  <c:v>15.541499999999999</c:v>
                </c:pt>
                <c:pt idx="5">
                  <c:v>22.004999999999999</c:v>
                </c:pt>
                <c:pt idx="6">
                  <c:v>14.491</c:v>
                </c:pt>
                <c:pt idx="7">
                  <c:v>10.0093</c:v>
                </c:pt>
                <c:pt idx="8">
                  <c:v>15.576000000000001</c:v>
                </c:pt>
                <c:pt idx="9">
                  <c:v>12.18</c:v>
                </c:pt>
              </c:numCache>
            </c:numRef>
          </c:val>
          <c:smooth val="0"/>
          <c:extLst xmlns:c16r2="http://schemas.microsoft.com/office/drawing/2015/06/chart">
            <c:ext xmlns:c16="http://schemas.microsoft.com/office/drawing/2014/chart" uri="{C3380CC4-5D6E-409C-BE32-E72D297353CC}">
              <c16:uniqueId val="{00000002-679F-439A-819D-1D23661A0F29}"/>
            </c:ext>
          </c:extLst>
        </c:ser>
        <c:dLbls>
          <c:showLegendKey val="0"/>
          <c:showVal val="0"/>
          <c:showCatName val="0"/>
          <c:showSerName val="0"/>
          <c:showPercent val="0"/>
          <c:showBubbleSize val="0"/>
        </c:dLbls>
        <c:marker val="1"/>
        <c:smooth val="0"/>
        <c:axId val="241772416"/>
        <c:axId val="239652864"/>
      </c:lineChart>
      <c:catAx>
        <c:axId val="221882240"/>
        <c:scaling>
          <c:orientation val="minMax"/>
        </c:scaling>
        <c:delete val="0"/>
        <c:axPos val="b"/>
        <c:numFmt formatCode="General" sourceLinked="0"/>
        <c:majorTickMark val="out"/>
        <c:minorTickMark val="none"/>
        <c:tickLblPos val="nextTo"/>
        <c:crossAx val="236960384"/>
        <c:crosses val="autoZero"/>
        <c:auto val="1"/>
        <c:lblAlgn val="ctr"/>
        <c:lblOffset val="100"/>
        <c:noMultiLvlLbl val="0"/>
      </c:catAx>
      <c:valAx>
        <c:axId val="236960384"/>
        <c:scaling>
          <c:orientation val="minMax"/>
          <c:max val="700"/>
          <c:min val="100"/>
        </c:scaling>
        <c:delete val="0"/>
        <c:axPos val="l"/>
        <c:majorGridlines/>
        <c:title>
          <c:tx>
            <c:rich>
              <a:bodyPr rot="-5400000" vert="horz"/>
              <a:lstStyle/>
              <a:p>
                <a:pPr>
                  <a:defRPr b="0"/>
                </a:pPr>
                <a:r>
                  <a:rPr lang="en-US" b="0"/>
                  <a:t>Legal proceedings</a:t>
                </a:r>
              </a:p>
            </c:rich>
          </c:tx>
          <c:layout>
            <c:manualLayout>
              <c:xMode val="edge"/>
              <c:yMode val="edge"/>
              <c:x val="1.18248964322959E-2"/>
              <c:y val="0.23171478565179399"/>
            </c:manualLayout>
          </c:layout>
          <c:overlay val="0"/>
        </c:title>
        <c:numFmt formatCode="#,##0" sourceLinked="1"/>
        <c:majorTickMark val="out"/>
        <c:minorTickMark val="none"/>
        <c:tickLblPos val="nextTo"/>
        <c:crossAx val="221882240"/>
        <c:crosses val="autoZero"/>
        <c:crossBetween val="between"/>
        <c:majorUnit val="100"/>
        <c:minorUnit val="10"/>
      </c:valAx>
      <c:valAx>
        <c:axId val="239652864"/>
        <c:scaling>
          <c:orientation val="minMax"/>
          <c:max val="30"/>
          <c:min val="0"/>
        </c:scaling>
        <c:delete val="0"/>
        <c:axPos val="r"/>
        <c:title>
          <c:tx>
            <c:rich>
              <a:bodyPr rot="-5400000" vert="horz"/>
              <a:lstStyle/>
              <a:p>
                <a:pPr>
                  <a:defRPr b="0"/>
                </a:pPr>
                <a:r>
                  <a:rPr lang="en-US" b="0"/>
                  <a:t>Fines awarded</a:t>
                </a:r>
              </a:p>
            </c:rich>
          </c:tx>
          <c:layout/>
          <c:overlay val="0"/>
        </c:title>
        <c:numFmt formatCode="#,##0.0" sourceLinked="1"/>
        <c:majorTickMark val="out"/>
        <c:minorTickMark val="none"/>
        <c:tickLblPos val="nextTo"/>
        <c:crossAx val="241772416"/>
        <c:crosses val="max"/>
        <c:crossBetween val="between"/>
        <c:majorUnit val="5"/>
      </c:valAx>
      <c:catAx>
        <c:axId val="241772416"/>
        <c:scaling>
          <c:orientation val="minMax"/>
        </c:scaling>
        <c:delete val="1"/>
        <c:axPos val="b"/>
        <c:numFmt formatCode="General" sourceLinked="0"/>
        <c:majorTickMark val="out"/>
        <c:minorTickMark val="none"/>
        <c:tickLblPos val="nextTo"/>
        <c:crossAx val="239652864"/>
        <c:crosses val="autoZero"/>
        <c:auto val="1"/>
        <c:lblAlgn val="ctr"/>
        <c:lblOffset val="100"/>
        <c:noMultiLvlLbl val="0"/>
      </c:cat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7B72B-12AB-4E78-822E-5984364C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75EA952D.dotm</Template>
  <TotalTime>8</TotalTime>
  <Pages>49</Pages>
  <Words>17337</Words>
  <Characters>98823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Boland</dc:creator>
  <cp:lastModifiedBy>Megan Martine</cp:lastModifiedBy>
  <cp:revision>10</cp:revision>
  <cp:lastPrinted>2018-02-18T22:22:00Z</cp:lastPrinted>
  <dcterms:created xsi:type="dcterms:W3CDTF">2018-02-18T21:56:00Z</dcterms:created>
  <dcterms:modified xsi:type="dcterms:W3CDTF">2018-02-18T22:22:00Z</dcterms:modified>
</cp:coreProperties>
</file>