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1E522A3" w14:textId="77777777" w:rsidR="00BD499F" w:rsidRPr="004C23F4" w:rsidRDefault="00135FD1" w:rsidP="00B40C60">
          <w:pPr>
            <w:pStyle w:val="Heading1"/>
            <w:jc w:val="center"/>
            <w:rPr>
              <w:rFonts w:ascii="Arial" w:hAnsi="Arial" w:cs="Arial"/>
            </w:rPr>
          </w:pPr>
          <w:r w:rsidRPr="00135FD1">
            <w:rPr>
              <w:rFonts w:ascii="Arial" w:hAnsi="Arial" w:cs="Arial"/>
            </w:rPr>
            <w:t>Bitumen fumes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48B0454E" w14:textId="77777777" w:rsidTr="00657CD4">
        <w:trPr>
          <w:cantSplit/>
          <w:tblHeader/>
        </w:trPr>
        <w:tc>
          <w:tcPr>
            <w:tcW w:w="3987" w:type="dxa"/>
          </w:tcPr>
          <w:p w14:paraId="2E6EC1A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14:paraId="6A07CF80" w14:textId="77777777" w:rsidR="00F43AD5" w:rsidRPr="00717D45" w:rsidRDefault="00135FD1" w:rsidP="00B76A41">
            <w:pPr>
              <w:pStyle w:val="Tablefont"/>
            </w:pPr>
            <w:r w:rsidRPr="00135FD1">
              <w:t>8052-42-4</w:t>
            </w:r>
          </w:p>
        </w:tc>
      </w:tr>
      <w:tr w:rsidR="00F43AD5" w:rsidRPr="004C23F4" w14:paraId="23550745" w14:textId="77777777" w:rsidTr="00657CD4">
        <w:trPr>
          <w:cantSplit/>
        </w:trPr>
        <w:tc>
          <w:tcPr>
            <w:tcW w:w="3987" w:type="dxa"/>
          </w:tcPr>
          <w:p w14:paraId="2D5F991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14:paraId="478062A4" w14:textId="77777777" w:rsidR="00F43AD5" w:rsidRPr="00717D45" w:rsidRDefault="007E7DEF" w:rsidP="007E7DEF">
            <w:pPr>
              <w:pStyle w:val="Tablefont"/>
            </w:pPr>
            <w:r>
              <w:t>Asphaltic bitumen</w:t>
            </w:r>
            <w:r w:rsidR="0019175C">
              <w:t>,</w:t>
            </w:r>
            <w:r>
              <w:t xml:space="preserve"> </w:t>
            </w:r>
            <w:proofErr w:type="spellStart"/>
            <w:r w:rsidR="0053502E">
              <w:t>asphaltum</w:t>
            </w:r>
            <w:proofErr w:type="spellEnd"/>
            <w:r w:rsidR="0019175C">
              <w:t>,</w:t>
            </w:r>
            <w:r>
              <w:t xml:space="preserve"> </w:t>
            </w:r>
            <w:r w:rsidR="0053502E">
              <w:t>bitumen</w:t>
            </w:r>
            <w:r w:rsidR="0019175C">
              <w:t>,</w:t>
            </w:r>
            <w:r>
              <w:t xml:space="preserve"> </w:t>
            </w:r>
            <w:r w:rsidR="00566E63">
              <w:br/>
            </w:r>
            <w:r w:rsidR="0053502E">
              <w:t xml:space="preserve">hot </w:t>
            </w:r>
            <w:r>
              <w:t>mix asphalt</w:t>
            </w:r>
            <w:r w:rsidR="0019175C">
              <w:t>,</w:t>
            </w:r>
            <w:r>
              <w:t xml:space="preserve"> </w:t>
            </w:r>
            <w:proofErr w:type="spellStart"/>
            <w:r w:rsidR="0053502E">
              <w:t>judean</w:t>
            </w:r>
            <w:proofErr w:type="spellEnd"/>
            <w:r w:rsidR="0053502E">
              <w:t xml:space="preserve"> </w:t>
            </w:r>
            <w:r>
              <w:t>pitch</w:t>
            </w:r>
            <w:r w:rsidR="0019175C">
              <w:t>,</w:t>
            </w:r>
            <w:r>
              <w:t xml:space="preserve"> </w:t>
            </w:r>
            <w:r w:rsidR="0053502E">
              <w:t xml:space="preserve">mineral </w:t>
            </w:r>
            <w:r>
              <w:t>pitch</w:t>
            </w:r>
            <w:r w:rsidR="0019175C">
              <w:t>,</w:t>
            </w:r>
            <w:r>
              <w:t xml:space="preserve"> </w:t>
            </w:r>
            <w:r w:rsidR="00566E63">
              <w:br/>
            </w:r>
            <w:r w:rsidR="0053502E">
              <w:t xml:space="preserve">petroleum </w:t>
            </w:r>
            <w:r>
              <w:t>asphalt</w:t>
            </w:r>
            <w:r w:rsidR="0019175C">
              <w:t>,</w:t>
            </w:r>
            <w:r>
              <w:t xml:space="preserve"> </w:t>
            </w:r>
            <w:r w:rsidR="0053502E">
              <w:t xml:space="preserve">road </w:t>
            </w:r>
            <w:r>
              <w:t>asphalt</w:t>
            </w:r>
            <w:r w:rsidR="0019175C">
              <w:t>,</w:t>
            </w:r>
            <w:r>
              <w:t xml:space="preserve"> </w:t>
            </w:r>
            <w:r w:rsidR="0053502E">
              <w:t xml:space="preserve">road </w:t>
            </w:r>
            <w:r>
              <w:t>tar</w:t>
            </w:r>
          </w:p>
        </w:tc>
      </w:tr>
    </w:tbl>
    <w:p w14:paraId="3F947456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F4B1E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6AF34B6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D3FEB1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82BE2F8" w14:textId="77777777" w:rsidR="002C7AFE" w:rsidRPr="00722A2F" w:rsidRDefault="00722A2F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3197C6E9" w14:textId="77777777" w:rsidTr="00921DE7">
        <w:trPr>
          <w:cantSplit/>
        </w:trPr>
        <w:tc>
          <w:tcPr>
            <w:tcW w:w="4077" w:type="dxa"/>
            <w:vAlign w:val="center"/>
          </w:tcPr>
          <w:p w14:paraId="2A86042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725B3F49" w14:textId="77777777" w:rsidR="002C7AFE" w:rsidRPr="006B461D" w:rsidRDefault="0019175C" w:rsidP="00017C82">
            <w:pPr>
              <w:pStyle w:val="Tablefont"/>
            </w:pPr>
            <w:r w:rsidRPr="006B461D">
              <w:t>—</w:t>
            </w:r>
          </w:p>
        </w:tc>
      </w:tr>
      <w:tr w:rsidR="002C7AFE" w:rsidRPr="004C23F4" w14:paraId="650E538A" w14:textId="77777777" w:rsidTr="00921DE7">
        <w:trPr>
          <w:cantSplit/>
        </w:trPr>
        <w:tc>
          <w:tcPr>
            <w:tcW w:w="4077" w:type="dxa"/>
            <w:vAlign w:val="center"/>
          </w:tcPr>
          <w:p w14:paraId="26B6A7F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857A2D3" w14:textId="77777777" w:rsidR="002C7AFE" w:rsidRPr="006B461D" w:rsidRDefault="0019175C" w:rsidP="00017C82">
            <w:pPr>
              <w:pStyle w:val="Tablefont"/>
            </w:pPr>
            <w:r w:rsidRPr="006B461D">
              <w:t>—</w:t>
            </w:r>
          </w:p>
        </w:tc>
      </w:tr>
      <w:tr w:rsidR="002C7AFE" w:rsidRPr="004C23F4" w14:paraId="13EDAAFA" w14:textId="77777777" w:rsidTr="00A2073D">
        <w:trPr>
          <w:cantSplit/>
        </w:trPr>
        <w:tc>
          <w:tcPr>
            <w:tcW w:w="4077" w:type="dxa"/>
          </w:tcPr>
          <w:p w14:paraId="71A7BBA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AD62246" w14:textId="77777777" w:rsidR="002C7AFE" w:rsidRPr="006B461D" w:rsidRDefault="0019175C" w:rsidP="008A36CF">
            <w:pPr>
              <w:pStyle w:val="Tablefont"/>
            </w:pPr>
            <w:r w:rsidRPr="006B461D">
              <w:t>—</w:t>
            </w:r>
          </w:p>
        </w:tc>
      </w:tr>
      <w:tr w:rsidR="002C7AFE" w:rsidRPr="004C23F4" w14:paraId="2F2448EB" w14:textId="77777777" w:rsidTr="00921DE7">
        <w:trPr>
          <w:cantSplit/>
        </w:trPr>
        <w:tc>
          <w:tcPr>
            <w:tcW w:w="4077" w:type="dxa"/>
            <w:vAlign w:val="center"/>
          </w:tcPr>
          <w:p w14:paraId="1FC5009B" w14:textId="77777777" w:rsidR="00F10C97" w:rsidRPr="002C58FF" w:rsidRDefault="00921DE7" w:rsidP="00025DF7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3B4EE3B" w14:textId="77777777" w:rsidR="002C7AFE" w:rsidRPr="006B461D" w:rsidRDefault="0019175C" w:rsidP="00017C82">
            <w:pPr>
              <w:pStyle w:val="Tablefont"/>
            </w:pPr>
            <w:r w:rsidRPr="006B461D">
              <w:t>—</w:t>
            </w:r>
          </w:p>
        </w:tc>
      </w:tr>
      <w:tr w:rsidR="00025DF7" w:rsidRPr="004C23F4" w14:paraId="647F4586" w14:textId="77777777" w:rsidTr="00025DF7">
        <w:trPr>
          <w:cantSplit/>
        </w:trPr>
        <w:tc>
          <w:tcPr>
            <w:tcW w:w="4077" w:type="dxa"/>
          </w:tcPr>
          <w:p w14:paraId="1E0E2009" w14:textId="77777777" w:rsidR="00025DF7" w:rsidRDefault="00025DF7" w:rsidP="00025DF7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01B5B02" w14:textId="16686626" w:rsidR="00025DF7" w:rsidRDefault="00025DF7" w:rsidP="00025DF7">
            <w:pPr>
              <w:pStyle w:val="Tablefont"/>
              <w:rPr>
                <w:b/>
              </w:rPr>
            </w:pPr>
            <w:r w:rsidRPr="00025DF7">
              <w:t xml:space="preserve">The recommended value is readily quantifiable through currently available sampling and analysis techniques. </w:t>
            </w:r>
          </w:p>
        </w:tc>
      </w:tr>
    </w:tbl>
    <w:p w14:paraId="019B11C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506C36F" w14:textId="77777777" w:rsidR="006639B4" w:rsidRPr="00722A2F" w:rsidRDefault="00722A2F" w:rsidP="000C139A">
      <w:pPr>
        <w:rPr>
          <w:rFonts w:cs="Arial"/>
        </w:rPr>
      </w:pPr>
      <w:r>
        <w:rPr>
          <w:rFonts w:cs="Arial"/>
        </w:rPr>
        <w:t>A TWA of 0.5 mg/m</w:t>
      </w:r>
      <w:r>
        <w:rPr>
          <w:rFonts w:cs="Arial"/>
          <w:vertAlign w:val="superscript"/>
        </w:rPr>
        <w:t>3</w:t>
      </w:r>
      <w:r w:rsidRPr="00657CD4">
        <w:rPr>
          <w:rFonts w:cs="Arial"/>
        </w:rPr>
        <w:t xml:space="preserve"> </w:t>
      </w:r>
      <w:r>
        <w:rPr>
          <w:rFonts w:cs="Arial"/>
        </w:rPr>
        <w:t xml:space="preserve">is recommended to protect for irritant effects </w:t>
      </w:r>
      <w:r w:rsidR="00423C68">
        <w:rPr>
          <w:rFonts w:cs="Arial"/>
        </w:rPr>
        <w:t xml:space="preserve">of </w:t>
      </w:r>
      <w:r>
        <w:rPr>
          <w:rFonts w:cs="Arial"/>
        </w:rPr>
        <w:t xml:space="preserve">the respiratory tract and eyes </w:t>
      </w:r>
      <w:r w:rsidR="00423C68">
        <w:rPr>
          <w:rFonts w:cs="Arial"/>
        </w:rPr>
        <w:t xml:space="preserve">in </w:t>
      </w:r>
      <w:r>
        <w:rPr>
          <w:rFonts w:cs="Arial"/>
        </w:rPr>
        <w:t>exposed workers.</w:t>
      </w:r>
      <w:r w:rsidR="0053502E">
        <w:rPr>
          <w:rFonts w:cs="Arial"/>
        </w:rPr>
        <w:t xml:space="preserve"> </w:t>
      </w:r>
      <w:r>
        <w:rPr>
          <w:rFonts w:cs="Arial"/>
        </w:rPr>
        <w:t xml:space="preserve">The TWA is also </w:t>
      </w:r>
      <w:r w:rsidR="00CD7810">
        <w:rPr>
          <w:rFonts w:cs="Arial"/>
        </w:rPr>
        <w:t xml:space="preserve">recommended </w:t>
      </w:r>
      <w:r>
        <w:rPr>
          <w:rFonts w:cs="Arial"/>
        </w:rPr>
        <w:t xml:space="preserve">to minimise </w:t>
      </w:r>
      <w:r w:rsidR="00657CD4">
        <w:rPr>
          <w:rFonts w:cs="Arial"/>
        </w:rPr>
        <w:t xml:space="preserve">potential </w:t>
      </w:r>
      <w:r>
        <w:rPr>
          <w:rFonts w:cs="Arial"/>
        </w:rPr>
        <w:t>carcinogenic risks.</w:t>
      </w:r>
    </w:p>
    <w:p w14:paraId="5F844A9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12F9E2C" w14:textId="0C3A82C5" w:rsidR="006639B4" w:rsidRDefault="00C37E1F" w:rsidP="006639B4">
      <w:r>
        <w:t xml:space="preserve">Bitumen is a black or brown solid or viscous liquid that is taken from distillation of crude petroleum oil. It is a complex mixture of chemicals, determined by the crude source, the refining process and application. </w:t>
      </w:r>
      <w:r w:rsidR="0076681A">
        <w:t>Heated asphalts release vapours that condense upon cooling, termed asphalt or bitumen fume</w:t>
      </w:r>
      <w:r w:rsidR="006B461D">
        <w:t>s</w:t>
      </w:r>
      <w:r w:rsidR="0076681A">
        <w:t xml:space="preserve">. </w:t>
      </w:r>
      <w:r>
        <w:t>Bitumen</w:t>
      </w:r>
      <w:r w:rsidR="0076681A">
        <w:t xml:space="preserve"> fume</w:t>
      </w:r>
      <w:r w:rsidR="006B461D">
        <w:t>s comprise of</w:t>
      </w:r>
      <w:r w:rsidR="0076681A">
        <w:t xml:space="preserve"> a complex mixture of </w:t>
      </w:r>
      <w:r w:rsidR="00722A2F">
        <w:t xml:space="preserve">constituents </w:t>
      </w:r>
      <w:r>
        <w:t>and thus</w:t>
      </w:r>
      <w:r w:rsidR="00722A2F">
        <w:t xml:space="preserve"> evaluating</w:t>
      </w:r>
      <w:r>
        <w:t xml:space="preserve"> toxicity</w:t>
      </w:r>
      <w:r w:rsidR="00722A2F">
        <w:t xml:space="preserve"> is problematic (ACGIH, 20</w:t>
      </w:r>
      <w:r w:rsidR="00BA3FEC">
        <w:t>18</w:t>
      </w:r>
      <w:r w:rsidR="00722A2F">
        <w:t>; HCOTN, 2007, NICNAS, 2018).</w:t>
      </w:r>
    </w:p>
    <w:p w14:paraId="4AD3EF6D" w14:textId="2CCC02AC" w:rsidR="00722A2F" w:rsidRDefault="00C37AD0" w:rsidP="006639B4">
      <w:r>
        <w:t>Bitumen fumes</w:t>
      </w:r>
      <w:r w:rsidRPr="00097B0D">
        <w:t xml:space="preserve"> </w:t>
      </w:r>
      <w:r>
        <w:t>are reported to be</w:t>
      </w:r>
      <w:r w:rsidRPr="00097B0D">
        <w:t xml:space="preserve"> associated with carcinogenicity and mutagenicity in humans and animals</w:t>
      </w:r>
      <w:r>
        <w:t>. Howev</w:t>
      </w:r>
      <w:r w:rsidR="006B461D">
        <w:t>er, evidence is limited and in</w:t>
      </w:r>
      <w:r>
        <w:t>conclusive (ACGIH, 2018; HCOTN, 2007; NICNAS,</w:t>
      </w:r>
      <w:r w:rsidR="00566DFE">
        <w:t> </w:t>
      </w:r>
      <w:r>
        <w:t xml:space="preserve">2018). </w:t>
      </w:r>
      <w:r w:rsidR="00125556">
        <w:t xml:space="preserve">A study in roofers reported conjunctivitis at concentrations greater than 0.2 </w:t>
      </w:r>
      <w:r w:rsidRPr="006961B8">
        <w:rPr>
          <w:rFonts w:cs="Arial"/>
        </w:rPr>
        <w:t>mg/m</w:t>
      </w:r>
      <w:r w:rsidRPr="006961B8">
        <w:rPr>
          <w:rFonts w:cs="Arial"/>
          <w:vertAlign w:val="superscript"/>
        </w:rPr>
        <w:t>3</w:t>
      </w:r>
      <w:r>
        <w:t>. However, this study noted that</w:t>
      </w:r>
      <w:r w:rsidR="00125556">
        <w:t xml:space="preserve"> these effects </w:t>
      </w:r>
      <w:r w:rsidR="004F3E66">
        <w:t>might</w:t>
      </w:r>
      <w:r w:rsidR="00125556">
        <w:t xml:space="preserve"> be associated with coal tar pitch. Another worker study reported mucous membrane irritation at greater than 0.4</w:t>
      </w:r>
      <w:r w:rsidR="00125556" w:rsidRPr="00722A2F">
        <w:t xml:space="preserve"> mg/m</w:t>
      </w:r>
      <w:r w:rsidR="00125556" w:rsidRPr="00722A2F">
        <w:rPr>
          <w:vertAlign w:val="superscript"/>
        </w:rPr>
        <w:t>3</w:t>
      </w:r>
      <w:r w:rsidR="00125556">
        <w:rPr>
          <w:vertAlign w:val="superscript"/>
        </w:rPr>
        <w:t xml:space="preserve"> </w:t>
      </w:r>
      <w:r w:rsidR="00125556">
        <w:t>but the symptoms did not correlate</w:t>
      </w:r>
      <w:r w:rsidR="00125556" w:rsidRPr="009C398A">
        <w:t xml:space="preserve"> with the amount of volatile compounds</w:t>
      </w:r>
      <w:r w:rsidR="00125556">
        <w:t xml:space="preserve">. </w:t>
      </w:r>
      <w:r w:rsidR="00A6773F">
        <w:t>These</w:t>
      </w:r>
      <w:r w:rsidR="00CA2F25">
        <w:t xml:space="preserve"> </w:t>
      </w:r>
      <w:r w:rsidR="00EF63FF">
        <w:t xml:space="preserve">results are considered as non-specific irritant effects </w:t>
      </w:r>
      <w:r w:rsidR="007C5D94">
        <w:t xml:space="preserve">and </w:t>
      </w:r>
      <w:r w:rsidR="00EF63FF">
        <w:t xml:space="preserve">associated with coal tar pitch or other substances present in </w:t>
      </w:r>
      <w:r>
        <w:t xml:space="preserve">the </w:t>
      </w:r>
      <w:r w:rsidR="00EF63FF">
        <w:t>fumes</w:t>
      </w:r>
      <w:r w:rsidR="007C5D94">
        <w:t>. A</w:t>
      </w:r>
      <w:r w:rsidR="00CA2F25">
        <w:t>nimal studies</w:t>
      </w:r>
      <w:r w:rsidR="007C5D94" w:rsidRPr="007C5D94">
        <w:t xml:space="preserve"> </w:t>
      </w:r>
      <w:r w:rsidR="007C5D94">
        <w:t xml:space="preserve">also showed </w:t>
      </w:r>
      <w:r w:rsidR="007C5D94" w:rsidRPr="007C5D94">
        <w:t xml:space="preserve">consistent </w:t>
      </w:r>
      <w:r w:rsidR="007C5D94">
        <w:t xml:space="preserve">results indicating </w:t>
      </w:r>
      <w:r w:rsidR="007C5D94" w:rsidRPr="007C5D94">
        <w:t>non</w:t>
      </w:r>
      <w:r w:rsidR="00004F37">
        <w:t>-</w:t>
      </w:r>
      <w:r w:rsidR="007C5D94" w:rsidRPr="007C5D94">
        <w:t xml:space="preserve">specific </w:t>
      </w:r>
      <w:r w:rsidR="008A3FDD" w:rsidRPr="007C5D94">
        <w:t>irritati</w:t>
      </w:r>
      <w:r w:rsidR="008A3FDD">
        <w:t>on</w:t>
      </w:r>
      <w:r w:rsidR="00CA2F25">
        <w:t xml:space="preserve">. </w:t>
      </w:r>
      <w:r>
        <w:t>The key study for the recommended TWA is a</w:t>
      </w:r>
      <w:r w:rsidR="00722A2F">
        <w:t xml:space="preserve"> study of </w:t>
      </w:r>
      <w:r w:rsidR="00722A2F" w:rsidRPr="00722A2F">
        <w:t xml:space="preserve">170 asphalt workers </w:t>
      </w:r>
      <w:r w:rsidR="00C112BD" w:rsidRPr="00722A2F">
        <w:t>evaluat</w:t>
      </w:r>
      <w:r w:rsidR="00C112BD">
        <w:t>ing</w:t>
      </w:r>
      <w:r w:rsidR="00C112BD" w:rsidRPr="00722A2F">
        <w:t xml:space="preserve"> </w:t>
      </w:r>
      <w:r w:rsidR="00C112BD">
        <w:t>personal exposures</w:t>
      </w:r>
      <w:r w:rsidR="00C112BD" w:rsidRPr="00722A2F">
        <w:t xml:space="preserve"> </w:t>
      </w:r>
      <w:r w:rsidR="00722A2F" w:rsidRPr="00722A2F">
        <w:t>ove</w:t>
      </w:r>
      <w:r w:rsidR="00722A2F">
        <w:t xml:space="preserve">r </w:t>
      </w:r>
      <w:r w:rsidR="00BA3FEC">
        <w:t>two</w:t>
      </w:r>
      <w:r w:rsidR="00722A2F">
        <w:t xml:space="preserve"> days</w:t>
      </w:r>
      <w:r w:rsidR="00BA3FEC">
        <w:t>,</w:t>
      </w:r>
      <w:r w:rsidR="00722A2F">
        <w:t xml:space="preserve"> </w:t>
      </w:r>
      <w:r w:rsidR="00097B0D">
        <w:t>reported</w:t>
      </w:r>
      <w:r w:rsidR="00722A2F">
        <w:t xml:space="preserve"> n</w:t>
      </w:r>
      <w:r w:rsidR="00722A2F" w:rsidRPr="00722A2F">
        <w:t>o change in pulmonary function and minimal symptoms</w:t>
      </w:r>
      <w:r w:rsidR="00C112BD" w:rsidRPr="00C112BD">
        <w:t xml:space="preserve"> </w:t>
      </w:r>
      <w:r w:rsidR="00CE49E0">
        <w:t xml:space="preserve">at exposures </w:t>
      </w:r>
      <w:r w:rsidR="00C112BD" w:rsidRPr="00722A2F">
        <w:t>below 0.5 mg/m</w:t>
      </w:r>
      <w:r w:rsidR="00C112BD" w:rsidRPr="00722A2F">
        <w:rPr>
          <w:vertAlign w:val="superscript"/>
        </w:rPr>
        <w:t>3</w:t>
      </w:r>
      <w:r w:rsidR="00C112BD">
        <w:t xml:space="preserve"> (ACGIH, 2018)</w:t>
      </w:r>
      <w:r w:rsidR="00722A2F">
        <w:t>.</w:t>
      </w:r>
      <w:r w:rsidR="003F4B1E">
        <w:t xml:space="preserve"> </w:t>
      </w:r>
    </w:p>
    <w:p w14:paraId="41D32D52" w14:textId="5A10732B" w:rsidR="009334C1" w:rsidRPr="009334C1" w:rsidRDefault="009848F2" w:rsidP="006639B4">
      <w:r>
        <w:t>The</w:t>
      </w:r>
      <w:r w:rsidR="009334C1">
        <w:t xml:space="preserve"> </w:t>
      </w:r>
      <w:r>
        <w:t xml:space="preserve">recommended </w:t>
      </w:r>
      <w:r w:rsidR="009334C1">
        <w:t xml:space="preserve">TWA of </w:t>
      </w:r>
      <w:r w:rsidR="009334C1" w:rsidRPr="00722A2F">
        <w:t>0.5 mg/m</w:t>
      </w:r>
      <w:r w:rsidR="009334C1" w:rsidRPr="00722A2F">
        <w:rPr>
          <w:vertAlign w:val="superscript"/>
        </w:rPr>
        <w:t>3</w:t>
      </w:r>
      <w:r w:rsidR="009334C1" w:rsidRPr="009334C1">
        <w:t xml:space="preserve"> </w:t>
      </w:r>
      <w:r w:rsidR="009334C1">
        <w:t xml:space="preserve">is </w:t>
      </w:r>
      <w:r>
        <w:t>considered</w:t>
      </w:r>
      <w:r w:rsidR="009334C1">
        <w:t xml:space="preserve"> </w:t>
      </w:r>
      <w:r>
        <w:t xml:space="preserve">to </w:t>
      </w:r>
      <w:r w:rsidR="009334C1">
        <w:t>protect</w:t>
      </w:r>
      <w:r>
        <w:t xml:space="preserve"> for the irritation</w:t>
      </w:r>
      <w:r w:rsidR="009334C1">
        <w:t xml:space="preserve"> and carcinogenic </w:t>
      </w:r>
      <w:r>
        <w:t xml:space="preserve">effects </w:t>
      </w:r>
      <w:r w:rsidR="009334C1">
        <w:t xml:space="preserve">in exposed workers. </w:t>
      </w:r>
    </w:p>
    <w:p w14:paraId="3F9502BD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5296D3D7" w14:textId="77777777" w:rsidR="00EF700E" w:rsidRPr="00EF700E" w:rsidRDefault="00EF700E" w:rsidP="00EF700E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carcinogen according to the Globally Harmoni</w:t>
      </w:r>
      <w:r w:rsidR="00657CD4">
        <w:rPr>
          <w:rFonts w:cs="Arial"/>
        </w:rPr>
        <w:t>z</w:t>
      </w:r>
      <w:r w:rsidRPr="00EF700E">
        <w:rPr>
          <w:rFonts w:cs="Arial"/>
        </w:rPr>
        <w:t>ed System of Classification and Labelling o</w:t>
      </w:r>
      <w:r w:rsidR="007D66E8">
        <w:rPr>
          <w:rFonts w:cs="Arial"/>
        </w:rPr>
        <w:t>f</w:t>
      </w:r>
      <w:r w:rsidRPr="00EF700E">
        <w:rPr>
          <w:rFonts w:cs="Arial"/>
        </w:rPr>
        <w:t xml:space="preserve"> Chemicals (GHS). </w:t>
      </w:r>
    </w:p>
    <w:p w14:paraId="7F49CE5F" w14:textId="77777777" w:rsidR="00EF700E" w:rsidRPr="004C23F4" w:rsidRDefault="00EF700E" w:rsidP="00EF700E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</w:t>
      </w:r>
      <w:r>
        <w:rPr>
          <w:rFonts w:cs="Arial"/>
        </w:rPr>
        <w:t>skin</w:t>
      </w:r>
      <w:r w:rsidR="00FB3DC9">
        <w:rPr>
          <w:rFonts w:cs="Arial"/>
        </w:rPr>
        <w:t xml:space="preserve"> sensitiser</w:t>
      </w:r>
      <w:r>
        <w:rPr>
          <w:rFonts w:cs="Arial"/>
        </w:rPr>
        <w:t xml:space="preserve"> or </w:t>
      </w:r>
      <w:r w:rsidRPr="00EF700E">
        <w:rPr>
          <w:rFonts w:cs="Arial"/>
        </w:rPr>
        <w:t>respiratory sensitiser according to the GHS</w:t>
      </w:r>
      <w:r w:rsidR="0019175C">
        <w:rPr>
          <w:rFonts w:cs="Arial"/>
        </w:rPr>
        <w:t>.</w:t>
      </w:r>
    </w:p>
    <w:p w14:paraId="4D7F0899" w14:textId="74CF9A50" w:rsidR="00EF700E" w:rsidRPr="00EF700E" w:rsidRDefault="00566DFE" w:rsidP="00EF700E">
      <w:pPr>
        <w:rPr>
          <w:rFonts w:cs="Arial"/>
        </w:rPr>
      </w:pPr>
      <w:r>
        <w:rPr>
          <w:rFonts w:cs="Arial"/>
        </w:rPr>
        <w:t>There are i</w:t>
      </w:r>
      <w:r w:rsidR="00EF700E">
        <w:rPr>
          <w:rFonts w:cs="Arial"/>
        </w:rPr>
        <w:t xml:space="preserve">nsufficient </w:t>
      </w:r>
      <w:r w:rsidR="007D66E8">
        <w:rPr>
          <w:rFonts w:cs="Arial"/>
        </w:rPr>
        <w:t xml:space="preserve">data </w:t>
      </w:r>
      <w:r w:rsidR="00EF700E">
        <w:rPr>
          <w:rFonts w:cs="Arial"/>
        </w:rPr>
        <w:t>to recommend a</w:t>
      </w:r>
      <w:r w:rsidR="00EF700E" w:rsidRPr="00EF700E">
        <w:rPr>
          <w:rFonts w:cs="Arial"/>
        </w:rPr>
        <w:t xml:space="preserve"> skin notation</w:t>
      </w:r>
      <w:r w:rsidR="0019175C">
        <w:rPr>
          <w:rFonts w:cs="Arial"/>
        </w:rPr>
        <w:t>.</w:t>
      </w:r>
      <w:r w:rsidR="00EF700E" w:rsidRPr="00EF700E">
        <w:rPr>
          <w:rFonts w:cs="Arial"/>
        </w:rPr>
        <w:t xml:space="preserve"> </w:t>
      </w:r>
    </w:p>
    <w:p w14:paraId="1D79B99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1D2825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63DE45C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F33640D" w14:textId="77777777" w:rsidTr="00657CD4">
        <w:trPr>
          <w:gridAfter w:val="1"/>
          <w:wAfter w:w="8" w:type="pct"/>
          <w:trHeight w:val="393"/>
          <w:tblHeader/>
        </w:trPr>
        <w:tc>
          <w:tcPr>
            <w:tcW w:w="0" w:type="pct"/>
            <w:shd w:val="clear" w:color="auto" w:fill="BFBFBF" w:themeFill="background1" w:themeFillShade="BF"/>
            <w:vAlign w:val="center"/>
          </w:tcPr>
          <w:p w14:paraId="6128A44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15EFEF4" w14:textId="77777777" w:rsidTr="00657CD4">
        <w:tc>
          <w:tcPr>
            <w:tcW w:w="0" w:type="pct"/>
            <w:gridSpan w:val="2"/>
            <w:shd w:val="clear" w:color="auto" w:fill="F2F2F2" w:themeFill="background1" w:themeFillShade="F2"/>
          </w:tcPr>
          <w:p w14:paraId="21923744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1512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15126">
                  <w:t>TWA: 5 mg/m</w:t>
                </w:r>
                <w:r w:rsidR="0031512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2081FA3" w14:textId="77777777" w:rsidTr="00657CD4">
        <w:trPr>
          <w:gridAfter w:val="1"/>
          <w:wAfter w:w="8" w:type="pct"/>
        </w:trPr>
        <w:tc>
          <w:tcPr>
            <w:tcW w:w="0" w:type="pct"/>
          </w:tcPr>
          <w:p w14:paraId="3467828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371F5DC" w14:textId="77777777" w:rsidTr="00657CD4">
        <w:trPr>
          <w:gridAfter w:val="1"/>
          <w:wAfter w:w="8" w:type="pct"/>
        </w:trPr>
        <w:tc>
          <w:tcPr>
            <w:tcW w:w="0" w:type="pct"/>
            <w:shd w:val="clear" w:color="auto" w:fill="F2F2F2" w:themeFill="background1" w:themeFillShade="F2"/>
          </w:tcPr>
          <w:p w14:paraId="0CB268F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95E5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95E56">
                  <w:t>TLV-TWA: 0.5 mg/m</w:t>
                </w:r>
                <w:r w:rsidR="00D95E56">
                  <w:rPr>
                    <w:vertAlign w:val="superscript"/>
                  </w:rPr>
                  <w:t>3</w:t>
                </w:r>
                <w:r w:rsidR="00213025">
                  <w:rPr>
                    <w:vertAlign w:val="superscript"/>
                  </w:rPr>
                  <w:t xml:space="preserve"> </w:t>
                </w:r>
              </w:sdtContent>
            </w:sdt>
            <w:r w:rsidR="003F4B1E">
              <w:t>(as benzene-soluble inhalable aerosol)</w:t>
            </w:r>
          </w:p>
        </w:tc>
      </w:tr>
      <w:tr w:rsidR="00C978F0" w:rsidRPr="00DA352E" w14:paraId="443F09E1" w14:textId="77777777" w:rsidTr="00657CD4">
        <w:trPr>
          <w:gridAfter w:val="1"/>
          <w:wAfter w:w="8" w:type="pct"/>
        </w:trPr>
        <w:tc>
          <w:tcPr>
            <w:tcW w:w="0" w:type="pct"/>
          </w:tcPr>
          <w:p w14:paraId="35F1C022" w14:textId="77777777" w:rsidR="003C6272" w:rsidRPr="003C6272" w:rsidRDefault="00D95E56" w:rsidP="003C6272">
            <w:pPr>
              <w:spacing w:before="60" w:after="60"/>
            </w:pPr>
            <w:r>
              <w:t xml:space="preserve">TLV-TWA </w:t>
            </w:r>
            <w:r w:rsidR="003C6272" w:rsidRPr="003C6272">
              <w:t xml:space="preserve">recommended to </w:t>
            </w:r>
            <w:r w:rsidR="006162EA">
              <w:t>protect for mucous membrane and ocular irritation</w:t>
            </w:r>
            <w:r w:rsidR="0019175C">
              <w:t>.</w:t>
            </w:r>
          </w:p>
          <w:p w14:paraId="1664A8AD" w14:textId="77777777" w:rsidR="003C6272" w:rsidRPr="003C6272" w:rsidRDefault="003C6272" w:rsidP="003C6272">
            <w:pPr>
              <w:spacing w:before="60" w:after="60"/>
            </w:pPr>
            <w:r w:rsidRPr="003C6272">
              <w:t>Summary of data:</w:t>
            </w:r>
          </w:p>
          <w:p w14:paraId="2EA7C3E6" w14:textId="77777777" w:rsidR="007302CC" w:rsidRDefault="007302CC" w:rsidP="007302CC">
            <w:pPr>
              <w:spacing w:before="60" w:after="60"/>
            </w:pPr>
            <w:r>
              <w:t>The terms asphalt, bitumen, pitch and tar are used interchangeably which add to misunderstanding</w:t>
            </w:r>
            <w:r w:rsidR="0019175C">
              <w:t>s</w:t>
            </w:r>
            <w:r>
              <w:t xml:space="preserve"> in the literature</w:t>
            </w:r>
            <w:r w:rsidR="003151A9">
              <w:t xml:space="preserve"> and the complexity of evaluation</w:t>
            </w:r>
            <w:r>
              <w:t>.</w:t>
            </w:r>
          </w:p>
          <w:p w14:paraId="75131A3B" w14:textId="77777777" w:rsidR="007302CC" w:rsidRDefault="007302CC" w:rsidP="007302CC">
            <w:pPr>
              <w:spacing w:before="60" w:after="60"/>
            </w:pPr>
            <w:r>
              <w:t xml:space="preserve">The major chemical groups of bitumen are </w:t>
            </w:r>
            <w:proofErr w:type="spellStart"/>
            <w:r>
              <w:t>asphaltenes</w:t>
            </w:r>
            <w:proofErr w:type="spellEnd"/>
            <w:r>
              <w:t xml:space="preserve">, saturates (straight and branch-chained hydrocarbons), </w:t>
            </w:r>
            <w:proofErr w:type="spellStart"/>
            <w:r>
              <w:t>cyclics</w:t>
            </w:r>
            <w:proofErr w:type="spellEnd"/>
            <w:r>
              <w:t xml:space="preserve"> (</w:t>
            </w:r>
            <w:proofErr w:type="spellStart"/>
            <w:r>
              <w:t>naphthene</w:t>
            </w:r>
            <w:proofErr w:type="spellEnd"/>
            <w:r>
              <w:t xml:space="preserve"> and aromatics), resins and oils comprising saturated and </w:t>
            </w:r>
            <w:r w:rsidR="007E7DEF">
              <w:t xml:space="preserve">unsaturated </w:t>
            </w:r>
            <w:r>
              <w:t>hydrocarbons</w:t>
            </w:r>
            <w:r w:rsidR="007E7DEF">
              <w:t>.</w:t>
            </w:r>
          </w:p>
          <w:p w14:paraId="78E234CD" w14:textId="77777777" w:rsidR="003C6272" w:rsidRPr="003C6272" w:rsidRDefault="003C6272" w:rsidP="007302CC">
            <w:pPr>
              <w:spacing w:before="60" w:after="60"/>
            </w:pPr>
            <w:r w:rsidRPr="003C6272">
              <w:t>Human data:</w:t>
            </w:r>
          </w:p>
          <w:p w14:paraId="1910A7EB" w14:textId="77777777" w:rsidR="003D7569" w:rsidRDefault="003D7569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Irritation of conjunctiva and mucous membranes following exposure</w:t>
            </w:r>
          </w:p>
          <w:p w14:paraId="2F069732" w14:textId="77777777" w:rsidR="003D7569" w:rsidRDefault="003D7569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Increase in mucous membrane irritation associated with increase in asphalt temperature</w:t>
            </w:r>
          </w:p>
          <w:p w14:paraId="2AE3352D" w14:textId="77777777" w:rsidR="00A47A94" w:rsidRDefault="00423C68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B</w:t>
            </w:r>
            <w:r w:rsidR="00E11CA4">
              <w:t xml:space="preserve">urns, </w:t>
            </w:r>
            <w:proofErr w:type="spellStart"/>
            <w:r w:rsidR="00A47A94">
              <w:t>epitheliomas</w:t>
            </w:r>
            <w:proofErr w:type="spellEnd"/>
            <w:r w:rsidR="00E11CA4">
              <w:t>, headaches, rhinitis, bronchitis, laryngitis, laryngeal cancers and other adverse health effects</w:t>
            </w:r>
            <w:r w:rsidR="00A47A94">
              <w:t xml:space="preserve"> </w:t>
            </w:r>
            <w:r>
              <w:t xml:space="preserve">reported in </w:t>
            </w:r>
            <w:r w:rsidR="00A47A94">
              <w:t>workers exposed to coal-oil, tar, asphalt and soot</w:t>
            </w:r>
          </w:p>
          <w:p w14:paraId="697BDB48" w14:textId="5DDB0682" w:rsidR="00566E63" w:rsidRDefault="00B2574D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 xml:space="preserve">Conjunctivitis in roofers reported at </w:t>
            </w:r>
            <w:r w:rsidR="0003194A">
              <w:t>&gt;</w:t>
            </w:r>
            <w:r w:rsidR="00452674">
              <w:t>0.2 mg/m</w:t>
            </w:r>
            <w:r w:rsidR="00452674">
              <w:rPr>
                <w:vertAlign w:val="superscript"/>
              </w:rPr>
              <w:t>3</w:t>
            </w:r>
          </w:p>
          <w:p w14:paraId="4F98547D" w14:textId="77777777" w:rsidR="00452674" w:rsidRDefault="00B2574D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 xml:space="preserve">effects </w:t>
            </w:r>
            <w:r w:rsidR="00263F08">
              <w:t xml:space="preserve">may </w:t>
            </w:r>
            <w:r w:rsidR="0003194A">
              <w:t>be</w:t>
            </w:r>
            <w:r w:rsidR="00263F08">
              <w:t xml:space="preserve"> associated with coal tar pitch</w:t>
            </w:r>
            <w:r w:rsidR="001101FD">
              <w:t xml:space="preserve"> </w:t>
            </w:r>
          </w:p>
          <w:p w14:paraId="21EE1881" w14:textId="4D03F057" w:rsidR="002A6573" w:rsidRDefault="003D7569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M</w:t>
            </w:r>
            <w:r w:rsidR="00263F08">
              <w:t xml:space="preserve">ucous membrane irritation </w:t>
            </w:r>
            <w:r>
              <w:t xml:space="preserve">in workers </w:t>
            </w:r>
            <w:r w:rsidR="00263F08">
              <w:t xml:space="preserve">reported </w:t>
            </w:r>
            <w:r w:rsidR="00B2574D">
              <w:t xml:space="preserve">at </w:t>
            </w:r>
            <w:r w:rsidR="00263F08" w:rsidRPr="00566DFE">
              <w:t>≥</w:t>
            </w:r>
            <w:r w:rsidR="00263F08">
              <w:t>0.4</w:t>
            </w:r>
            <w:r w:rsidR="003F4B1E">
              <w:t> </w:t>
            </w:r>
            <w:r w:rsidR="00263F08">
              <w:t>mg/m</w:t>
            </w:r>
            <w:r w:rsidR="00263F08" w:rsidRPr="00566DFE">
              <w:rPr>
                <w:vertAlign w:val="superscript"/>
              </w:rPr>
              <w:t>3</w:t>
            </w:r>
          </w:p>
          <w:p w14:paraId="462EBF37" w14:textId="77777777" w:rsidR="00263F08" w:rsidRDefault="00263F08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>symptoms did not correlate with the amount of volatile compounds (no further information)</w:t>
            </w:r>
          </w:p>
          <w:p w14:paraId="0A6A7D39" w14:textId="42934899" w:rsidR="00263F08" w:rsidRDefault="00FD2151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 xml:space="preserve">No change in pulmonary function and minimal symptoms </w:t>
            </w:r>
            <w:r w:rsidR="0067451A">
              <w:rPr>
                <w:rFonts w:cs="Arial"/>
              </w:rPr>
              <w:t>≤</w:t>
            </w:r>
            <w:r w:rsidR="00B2574D">
              <w:t>0.5 mg/m</w:t>
            </w:r>
            <w:r w:rsidR="00B2574D" w:rsidRPr="00566DFE">
              <w:rPr>
                <w:vertAlign w:val="superscript"/>
              </w:rPr>
              <w:t>3</w:t>
            </w:r>
            <w:r w:rsidR="003D7569">
              <w:t xml:space="preserve"> (measured by respirable particulate or benzene-soluble fraction of total particulate)</w:t>
            </w:r>
            <w:r w:rsidR="00B2574D">
              <w:t xml:space="preserve"> </w:t>
            </w:r>
            <w:r w:rsidR="00821564">
              <w:t>in asphalt workers</w:t>
            </w:r>
            <w:r w:rsidR="00B2574D">
              <w:t xml:space="preserve"> (n=170, 2 d)</w:t>
            </w:r>
          </w:p>
          <w:p w14:paraId="325297D3" w14:textId="77777777" w:rsidR="003D7569" w:rsidRDefault="001101FD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Epidemiological studies of roofers and highway paving workers identified i</w:t>
            </w:r>
            <w:r w:rsidR="00E13DCD">
              <w:t>ncreased rates of leukaemia and lung, urinary</w:t>
            </w:r>
            <w:r w:rsidR="007D66E8">
              <w:t xml:space="preserve"> </w:t>
            </w:r>
            <w:r w:rsidR="00E13DCD">
              <w:t>and digestive tract cancers</w:t>
            </w:r>
          </w:p>
          <w:p w14:paraId="36D5B831" w14:textId="4449C06C" w:rsidR="00D7452C" w:rsidRPr="003C6272" w:rsidRDefault="003D7569" w:rsidP="006B461D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Increase in asphalt temperature is associated with an increase in symptoms.</w:t>
            </w:r>
          </w:p>
          <w:p w14:paraId="4007FDF4" w14:textId="77777777" w:rsidR="00C978F0" w:rsidRDefault="00F5715B" w:rsidP="00F5715B">
            <w:pPr>
              <w:pStyle w:val="Tabletextprimarysource"/>
            </w:pPr>
            <w:r>
              <w:t>Animal data:</w:t>
            </w:r>
          </w:p>
          <w:p w14:paraId="0DA63E6E" w14:textId="77777777" w:rsidR="00F5715B" w:rsidRDefault="00B2574D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Frequent exposures to dense oil vapour from heated asphalt resulted in m</w:t>
            </w:r>
            <w:r w:rsidR="00F5715B">
              <w:t>inor transient conjunctivitis and slight corneal infiltration</w:t>
            </w:r>
            <w:r>
              <w:t xml:space="preserve"> (ra</w:t>
            </w:r>
            <w:r w:rsidR="00F5715B">
              <w:t>bbits</w:t>
            </w:r>
            <w:r>
              <w:t xml:space="preserve">; </w:t>
            </w:r>
            <w:r w:rsidR="00F5715B">
              <w:t>no further information)</w:t>
            </w:r>
          </w:p>
          <w:p w14:paraId="3DB5ABB2" w14:textId="77777777" w:rsidR="00F5715B" w:rsidRDefault="001D3881" w:rsidP="00B56564">
            <w:pPr>
              <w:numPr>
                <w:ilvl w:val="0"/>
                <w:numId w:val="4"/>
              </w:numPr>
              <w:spacing w:before="60" w:after="60"/>
              <w:ind w:left="714" w:hanging="357"/>
            </w:pPr>
            <w:r>
              <w:t>S</w:t>
            </w:r>
            <w:r w:rsidR="002979E9">
              <w:t>tudies on chronic and carcinogenic effects related to solutions, emulsions or fractions of whole asphalt</w:t>
            </w:r>
            <w:r>
              <w:t xml:space="preserve"> (not fumes)</w:t>
            </w:r>
            <w:r w:rsidR="002979E9">
              <w:t xml:space="preserve"> with v</w:t>
            </w:r>
            <w:r w:rsidR="00657258">
              <w:t>arying outcomes</w:t>
            </w:r>
            <w:r w:rsidR="00496F9B">
              <w:t>:</w:t>
            </w:r>
          </w:p>
          <w:p w14:paraId="7D88AC2B" w14:textId="77777777" w:rsidR="00657258" w:rsidRDefault="00624CE7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 xml:space="preserve">pneumonitis, patchy emphysema, localised bronchitis and papillary adenoma at autopsy reported in mice following exposure to </w:t>
            </w:r>
            <w:r w:rsidR="00657258">
              <w:t xml:space="preserve">an </w:t>
            </w:r>
            <w:r w:rsidR="00902279">
              <w:t>aerosol</w:t>
            </w:r>
            <w:r w:rsidR="00657258">
              <w:t xml:space="preserve"> of asphalt </w:t>
            </w:r>
            <w:r>
              <w:t xml:space="preserve">(n=20, </w:t>
            </w:r>
            <w:r w:rsidR="00EB4B44">
              <w:t>30</w:t>
            </w:r>
            <w:r>
              <w:t> </w:t>
            </w:r>
            <w:r w:rsidR="00EB4B44">
              <w:t>min/d, 5 d/wk</w:t>
            </w:r>
            <w:r w:rsidR="00AF5585">
              <w:t>,</w:t>
            </w:r>
            <w:r w:rsidR="00EB4B44">
              <w:t xml:space="preserve"> up to 82 w</w:t>
            </w:r>
            <w:r w:rsidR="00496F9B">
              <w:t>k</w:t>
            </w:r>
            <w:r w:rsidR="00EB4B44">
              <w:t>;</w:t>
            </w:r>
            <w:r>
              <w:t xml:space="preserve"> </w:t>
            </w:r>
            <w:r w:rsidR="00EB4B44">
              <w:t>no concentration provided</w:t>
            </w:r>
            <w:r w:rsidR="00995618">
              <w:t>)</w:t>
            </w:r>
          </w:p>
          <w:p w14:paraId="7F41EC06" w14:textId="596B0F78" w:rsidR="007D66E8" w:rsidRDefault="00624CE7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>emphysema, focal lung collapse, epithelial hyperplasia</w:t>
            </w:r>
            <w:r w:rsidR="007D66E8">
              <w:t xml:space="preserve"> </w:t>
            </w:r>
            <w:r>
              <w:t xml:space="preserve">and large areas of </w:t>
            </w:r>
            <w:proofErr w:type="spellStart"/>
            <w:r>
              <w:t>peribronchial</w:t>
            </w:r>
            <w:proofErr w:type="spellEnd"/>
            <w:r>
              <w:t xml:space="preserve"> round cell infiltration observed in </w:t>
            </w:r>
            <w:r w:rsidR="00EB4B44">
              <w:t xml:space="preserve">mice exposed to asphalt smoke </w:t>
            </w:r>
            <w:r>
              <w:t>(n=30,</w:t>
            </w:r>
            <w:r w:rsidR="00127ACC">
              <w:t xml:space="preserve"> </w:t>
            </w:r>
            <w:r w:rsidR="00102578">
              <w:t>6</w:t>
            </w:r>
            <w:r w:rsidR="00ED0B0E">
              <w:t>–</w:t>
            </w:r>
            <w:r w:rsidR="005E46D4">
              <w:t>7.5 h/d, 5 </w:t>
            </w:r>
            <w:r w:rsidR="00EB4B44">
              <w:t>d/wk</w:t>
            </w:r>
            <w:r w:rsidR="00AF5585">
              <w:t>,</w:t>
            </w:r>
            <w:r w:rsidR="00EB4B44">
              <w:t xml:space="preserve"> up to 21 mo)</w:t>
            </w:r>
            <w:r w:rsidR="00127ACC">
              <w:t xml:space="preserve">; no concentration provided; effects </w:t>
            </w:r>
            <w:r w:rsidR="00617ABF">
              <w:t xml:space="preserve">reported are consistent with </w:t>
            </w:r>
            <w:r w:rsidR="00127ACC">
              <w:t>exposure to any nonspecific respiratory irritant</w:t>
            </w:r>
            <w:r w:rsidR="00995618">
              <w:t>.</w:t>
            </w:r>
          </w:p>
          <w:p w14:paraId="1F088C81" w14:textId="77777777" w:rsidR="00D7452C" w:rsidRDefault="00D7452C" w:rsidP="006961B8">
            <w:pPr>
              <w:pStyle w:val="ListBullet"/>
              <w:ind w:left="1440"/>
            </w:pPr>
          </w:p>
          <w:p w14:paraId="2603011D" w14:textId="77777777" w:rsidR="00F5715B" w:rsidRDefault="00F5715B" w:rsidP="00F5715B">
            <w:pPr>
              <w:pStyle w:val="Tabletextprimarysource"/>
            </w:pPr>
            <w:r>
              <w:lastRenderedPageBreak/>
              <w:t>Carcinogenicity</w:t>
            </w:r>
            <w:r w:rsidR="00AF5585">
              <w:t>:</w:t>
            </w:r>
          </w:p>
          <w:p w14:paraId="5C4E7D9D" w14:textId="76085B2A" w:rsidR="002A6573" w:rsidRDefault="00140E1F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Asphalt fumes reported as carcinogenic in animals</w:t>
            </w:r>
            <w:r w:rsidR="00566DFE">
              <w:t>:</w:t>
            </w:r>
          </w:p>
          <w:p w14:paraId="4A35E632" w14:textId="77777777" w:rsidR="00140E1F" w:rsidRDefault="002A6573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>c</w:t>
            </w:r>
            <w:r w:rsidR="00617ABF">
              <w:t xml:space="preserve">arcinogenicity </w:t>
            </w:r>
            <w:r w:rsidR="00140E1F">
              <w:t xml:space="preserve">likely related to </w:t>
            </w:r>
            <w:r w:rsidR="00617ABF">
              <w:t>PAH</w:t>
            </w:r>
            <w:r w:rsidR="00140E1F">
              <w:t xml:space="preserve"> and other substances</w:t>
            </w:r>
            <w:r w:rsidR="00617ABF">
              <w:t xml:space="preserve"> present in fumes</w:t>
            </w:r>
          </w:p>
          <w:p w14:paraId="10CCF72A" w14:textId="68CDAD7D" w:rsidR="002A6573" w:rsidRDefault="001D364A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1D364A">
              <w:t>Asphalt fumes appear mutagenic, although substantially less so than coal tar pitch fumes</w:t>
            </w:r>
            <w:r w:rsidR="00566DFE">
              <w:t>:</w:t>
            </w:r>
          </w:p>
          <w:p w14:paraId="2232C86C" w14:textId="77777777" w:rsidR="00140E1F" w:rsidRDefault="002A6573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>l</w:t>
            </w:r>
            <w:r w:rsidR="00140E1F">
              <w:t>ow potency carcinogenicity in rats if exposure materials do not involve coal tar</w:t>
            </w:r>
          </w:p>
          <w:p w14:paraId="113F99A0" w14:textId="412E4B88" w:rsidR="002A6573" w:rsidRDefault="001D364A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Epidemiological evidence of increased rates of leukaemia and lung, urinary and digestive tract cancers</w:t>
            </w:r>
            <w:r w:rsidR="00566DFE">
              <w:t>:</w:t>
            </w:r>
          </w:p>
          <w:p w14:paraId="4FF5400D" w14:textId="75E1DB37" w:rsidR="001D364A" w:rsidRDefault="001D364A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proofErr w:type="gramStart"/>
            <w:r>
              <w:t>information</w:t>
            </w:r>
            <w:proofErr w:type="gramEnd"/>
            <w:r>
              <w:t xml:space="preserve"> on confounders such as smoking and coal tar exposure not available</w:t>
            </w:r>
            <w:r w:rsidR="006253BA">
              <w:t>;</w:t>
            </w:r>
            <w:r>
              <w:t xml:space="preserve"> introducing questions on validity</w:t>
            </w:r>
            <w:r w:rsidR="00AF5585">
              <w:t>.</w:t>
            </w:r>
          </w:p>
          <w:p w14:paraId="0EA72404" w14:textId="77777777" w:rsidR="00D7452C" w:rsidRDefault="00D7452C" w:rsidP="006961B8">
            <w:pPr>
              <w:pStyle w:val="ListBullet"/>
              <w:ind w:left="1440"/>
            </w:pPr>
          </w:p>
          <w:p w14:paraId="3D1D7981" w14:textId="77777777" w:rsidR="00BA3FEC" w:rsidRDefault="001D364A" w:rsidP="001D364A">
            <w:pPr>
              <w:pStyle w:val="Tabletextprimarysource"/>
            </w:pPr>
            <w:r>
              <w:t xml:space="preserve">Skin and </w:t>
            </w:r>
            <w:r w:rsidR="00010D26">
              <w:t>sensitiser</w:t>
            </w:r>
            <w:r w:rsidR="00821564">
              <w:t xml:space="preserve"> </w:t>
            </w:r>
            <w:r>
              <w:t xml:space="preserve">notations are not </w:t>
            </w:r>
            <w:r w:rsidR="00A70B55">
              <w:t>warranted</w:t>
            </w:r>
            <w:r>
              <w:t xml:space="preserve"> </w:t>
            </w:r>
            <w:r w:rsidR="00A70B55">
              <w:t>based on</w:t>
            </w:r>
            <w:r>
              <w:t xml:space="preserve"> the current information</w:t>
            </w:r>
            <w:r w:rsidR="00AF5585">
              <w:t>.</w:t>
            </w:r>
          </w:p>
          <w:p w14:paraId="2ECB31B7" w14:textId="77777777" w:rsidR="00BA3FEC" w:rsidRPr="00DA352E" w:rsidRDefault="00BA3FEC" w:rsidP="001D364A">
            <w:pPr>
              <w:pStyle w:val="Tabletextprimarysource"/>
            </w:pPr>
          </w:p>
        </w:tc>
      </w:tr>
      <w:tr w:rsidR="00C978F0" w:rsidRPr="00DA352E" w14:paraId="3A242409" w14:textId="77777777" w:rsidTr="00496F9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16AD2C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B23D0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B23D0">
                  <w:t>NA</w:t>
                </w:r>
              </w:sdtContent>
            </w:sdt>
          </w:p>
        </w:tc>
      </w:tr>
      <w:tr w:rsidR="00C978F0" w:rsidRPr="00DA352E" w14:paraId="05433EB3" w14:textId="77777777" w:rsidTr="00496F9B">
        <w:trPr>
          <w:gridAfter w:val="1"/>
          <w:wAfter w:w="8" w:type="pct"/>
          <w:cantSplit/>
        </w:trPr>
        <w:tc>
          <w:tcPr>
            <w:tcW w:w="4992" w:type="pct"/>
          </w:tcPr>
          <w:p w14:paraId="178732A8" w14:textId="77777777" w:rsidR="003C6272" w:rsidRPr="003C6272" w:rsidRDefault="005B7524" w:rsidP="003C6272">
            <w:pPr>
              <w:spacing w:before="60" w:after="60"/>
            </w:pPr>
            <w:r>
              <w:t>A MAK is not recommended.</w:t>
            </w:r>
          </w:p>
          <w:p w14:paraId="38AF1227" w14:textId="77777777" w:rsidR="003C6272" w:rsidRPr="003C6272" w:rsidRDefault="003C6272" w:rsidP="003C6272">
            <w:pPr>
              <w:spacing w:before="60" w:after="60"/>
            </w:pPr>
            <w:r w:rsidRPr="003C6272">
              <w:t xml:space="preserve">Summary of </w:t>
            </w:r>
            <w:r w:rsidR="00D15F4A">
              <w:t xml:space="preserve">additional </w:t>
            </w:r>
            <w:r w:rsidRPr="003C6272">
              <w:t>data:</w:t>
            </w:r>
          </w:p>
          <w:p w14:paraId="2F5821B5" w14:textId="77777777" w:rsidR="005B7524" w:rsidRDefault="005B7524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Evidence derived from ACGIH and NIOSH reviews</w:t>
            </w:r>
          </w:p>
          <w:p w14:paraId="6311F7CA" w14:textId="77777777" w:rsidR="00423C68" w:rsidRDefault="00D15F4A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No evidence for a tumorigenic effect of inhaled bitumen fumes in animals</w:t>
            </w:r>
            <w:r w:rsidR="00213025">
              <w:t>:</w:t>
            </w:r>
          </w:p>
          <w:p w14:paraId="435BF4D2" w14:textId="77777777" w:rsidR="00D15F4A" w:rsidRDefault="005B7524" w:rsidP="00B56564">
            <w:pPr>
              <w:numPr>
                <w:ilvl w:val="1"/>
                <w:numId w:val="4"/>
              </w:numPr>
              <w:spacing w:before="60" w:after="60"/>
              <w:ind w:left="1151" w:hanging="357"/>
            </w:pPr>
            <w:r>
              <w:t>evidence for carcinogenicity when applied to skin</w:t>
            </w:r>
          </w:p>
          <w:p w14:paraId="39CC0078" w14:textId="77777777" w:rsidR="005B7524" w:rsidRDefault="005B7524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Unclear whether carcinogenic in humans</w:t>
            </w:r>
            <w:r w:rsidR="00AF5585">
              <w:t>.</w:t>
            </w:r>
          </w:p>
          <w:p w14:paraId="623ACFD0" w14:textId="77777777" w:rsidR="00BA3FEC" w:rsidRPr="00DA352E" w:rsidRDefault="00BA3FEC" w:rsidP="006D73F7">
            <w:pPr>
              <w:ind w:left="714"/>
            </w:pPr>
          </w:p>
        </w:tc>
      </w:tr>
      <w:tr w:rsidR="00C978F0" w:rsidRPr="00DA352E" w14:paraId="5F339F8F" w14:textId="77777777" w:rsidTr="00496F9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FC90E3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B752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B7524">
                  <w:t>NA</w:t>
                </w:r>
                <w:proofErr w:type="spellEnd"/>
              </w:sdtContent>
            </w:sdt>
          </w:p>
        </w:tc>
      </w:tr>
      <w:tr w:rsidR="00C978F0" w:rsidRPr="00DA352E" w14:paraId="0D1056A8" w14:textId="77777777" w:rsidTr="00496F9B">
        <w:trPr>
          <w:gridAfter w:val="1"/>
          <w:wAfter w:w="8" w:type="pct"/>
          <w:cantSplit/>
        </w:trPr>
        <w:tc>
          <w:tcPr>
            <w:tcW w:w="4992" w:type="pct"/>
          </w:tcPr>
          <w:p w14:paraId="5A7D1EB8" w14:textId="77777777" w:rsidR="005B7524" w:rsidRPr="00DA352E" w:rsidRDefault="005B7524" w:rsidP="005B7524">
            <w:pPr>
              <w:pStyle w:val="Tabletextprimarysource"/>
            </w:pPr>
            <w:r>
              <w:t>No report</w:t>
            </w:r>
            <w:r w:rsidR="002A6573">
              <w:t>.</w:t>
            </w:r>
          </w:p>
        </w:tc>
      </w:tr>
      <w:tr w:rsidR="00DA352E" w:rsidRPr="00DA352E" w14:paraId="14D5977C" w14:textId="77777777" w:rsidTr="00496F9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6D92E6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B752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B7524">
                  <w:t>NA</w:t>
                </w:r>
                <w:proofErr w:type="spellEnd"/>
              </w:sdtContent>
            </w:sdt>
          </w:p>
        </w:tc>
      </w:tr>
      <w:tr w:rsidR="00DA352E" w:rsidRPr="00DA352E" w14:paraId="5098CF20" w14:textId="77777777" w:rsidTr="00496F9B">
        <w:trPr>
          <w:gridAfter w:val="1"/>
          <w:wAfter w:w="8" w:type="pct"/>
          <w:cantSplit/>
        </w:trPr>
        <w:tc>
          <w:tcPr>
            <w:tcW w:w="4992" w:type="pct"/>
          </w:tcPr>
          <w:p w14:paraId="61212BC3" w14:textId="77777777" w:rsidR="00DA352E" w:rsidRPr="00DA352E" w:rsidRDefault="005B7524" w:rsidP="003365A5">
            <w:pPr>
              <w:pStyle w:val="Tabletextprimarysource"/>
            </w:pPr>
            <w:r>
              <w:t>No report</w:t>
            </w:r>
            <w:r w:rsidR="002A6573">
              <w:t>.</w:t>
            </w:r>
          </w:p>
        </w:tc>
      </w:tr>
      <w:tr w:rsidR="00DA352E" w:rsidRPr="00DA352E" w14:paraId="19D01386" w14:textId="77777777" w:rsidTr="00496F9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4EDF1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151A9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151A9">
                  <w:t>NA</w:t>
                </w:r>
              </w:sdtContent>
            </w:sdt>
          </w:p>
        </w:tc>
      </w:tr>
      <w:tr w:rsidR="00DA352E" w:rsidRPr="00DA352E" w14:paraId="32181967" w14:textId="77777777" w:rsidTr="00496F9B">
        <w:trPr>
          <w:gridAfter w:val="1"/>
          <w:wAfter w:w="8" w:type="pct"/>
          <w:cantSplit/>
        </w:trPr>
        <w:tc>
          <w:tcPr>
            <w:tcW w:w="4992" w:type="pct"/>
          </w:tcPr>
          <w:p w14:paraId="5E89C3AF" w14:textId="77777777" w:rsidR="007860AF" w:rsidRDefault="00995618" w:rsidP="007860AF">
            <w:pPr>
              <w:spacing w:before="60" w:after="60"/>
            </w:pPr>
            <w:r>
              <w:t>A</w:t>
            </w:r>
            <w:r w:rsidR="007860AF">
              <w:t xml:space="preserve">vailable data is too limited to provide a health-based </w:t>
            </w:r>
            <w:r w:rsidR="00ED0B0E">
              <w:t>OEL</w:t>
            </w:r>
            <w:r w:rsidR="003151A9">
              <w:t>.</w:t>
            </w:r>
            <w:r w:rsidR="007860AF" w:rsidRPr="003C6272">
              <w:t xml:space="preserve"> </w:t>
            </w:r>
          </w:p>
          <w:p w14:paraId="6624FFC4" w14:textId="77777777" w:rsidR="003C6272" w:rsidRPr="003C6272" w:rsidRDefault="003C6272" w:rsidP="007860AF">
            <w:pPr>
              <w:spacing w:before="60" w:after="60"/>
            </w:pPr>
            <w:r w:rsidRPr="003C6272">
              <w:t xml:space="preserve">Summary of </w:t>
            </w:r>
            <w:r w:rsidR="007860AF">
              <w:t xml:space="preserve">additional </w:t>
            </w:r>
            <w:r w:rsidRPr="003C6272">
              <w:t>data:</w:t>
            </w:r>
          </w:p>
          <w:p w14:paraId="3474F153" w14:textId="77777777" w:rsidR="00DA352E" w:rsidRDefault="00B73780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Non-carcinogenic a</w:t>
            </w:r>
            <w:r w:rsidR="003151A9">
              <w:t xml:space="preserve">cute and repeated bitumen fume exposure </w:t>
            </w:r>
            <w:r>
              <w:t xml:space="preserve">reported </w:t>
            </w:r>
            <w:r w:rsidR="003151A9">
              <w:t>as nose and throat irritation</w:t>
            </w:r>
          </w:p>
          <w:p w14:paraId="2B706407" w14:textId="77777777" w:rsidR="00BA3FEC" w:rsidRDefault="00211A44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>
              <w:t>NOAEL 20 mg/m</w:t>
            </w:r>
            <w:r w:rsidRPr="00566DFE">
              <w:rPr>
                <w:vertAlign w:val="superscript"/>
              </w:rPr>
              <w:t>3</w:t>
            </w:r>
            <w:r w:rsidRPr="00B56564">
              <w:t xml:space="preserve"> </w:t>
            </w:r>
            <w:r>
              <w:t>in rats (bitumen fumes, 6 h/d, 5 d/w</w:t>
            </w:r>
            <w:r w:rsidR="00AF5585">
              <w:t>k</w:t>
            </w:r>
            <w:r>
              <w:t xml:space="preserve"> for 14 </w:t>
            </w:r>
            <w:r w:rsidR="0053502E">
              <w:t>wk</w:t>
            </w:r>
            <w:r>
              <w:t>)</w:t>
            </w:r>
            <w:r w:rsidR="00AF5585">
              <w:t>.</w:t>
            </w:r>
          </w:p>
          <w:p w14:paraId="055BE976" w14:textId="7347FAE0" w:rsidR="005E46D4" w:rsidRPr="00DA352E" w:rsidRDefault="005E46D4" w:rsidP="005E46D4">
            <w:pPr>
              <w:ind w:left="714"/>
            </w:pPr>
          </w:p>
        </w:tc>
      </w:tr>
    </w:tbl>
    <w:p w14:paraId="61934D7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53AA8EF4" w14:textId="77777777" w:rsidTr="0076681A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6B0FF89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EC1A12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551758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61173DC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3DA7FAE" w14:textId="77777777" w:rsidTr="006D73F7">
        <w:tc>
          <w:tcPr>
            <w:tcW w:w="0" w:type="dxa"/>
          </w:tcPr>
          <w:p w14:paraId="513B0A4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0" w:type="dxa"/>
          </w:tcPr>
          <w:p w14:paraId="6106CF69" w14:textId="77777777" w:rsidR="004966BF" w:rsidRPr="00CE617F" w:rsidRDefault="00BD045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02E7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0" w:type="dxa"/>
          </w:tcPr>
          <w:p w14:paraId="5D4FEC20" w14:textId="77777777" w:rsidR="004966BF" w:rsidRPr="004C23F4" w:rsidRDefault="00E02E7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0" w:type="dxa"/>
          </w:tcPr>
          <w:p w14:paraId="5E226090" w14:textId="77777777" w:rsidR="004966BF" w:rsidRPr="00B56564" w:rsidRDefault="00E02E74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B56564">
              <w:t>Hazardous properties depend on the for</w:t>
            </w:r>
            <w:r w:rsidR="00423C68" w:rsidRPr="00B56564">
              <w:t>m,</w:t>
            </w:r>
            <w:r w:rsidRPr="00B56564">
              <w:t xml:space="preserve"> ambient temperature and fumes produced from heating</w:t>
            </w:r>
          </w:p>
          <w:p w14:paraId="67DF6574" w14:textId="77777777" w:rsidR="00E02E74" w:rsidRPr="00B56564" w:rsidRDefault="00E02E74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B56564">
              <w:t>Temperature of fume generation affects the chemical composition in the fume</w:t>
            </w:r>
          </w:p>
          <w:p w14:paraId="0043F7A0" w14:textId="77777777" w:rsidR="00E02E74" w:rsidRPr="00B56564" w:rsidRDefault="0076681A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B56564">
              <w:t>NOAEC 28 mg/m</w:t>
            </w:r>
            <w:r w:rsidRPr="006B461D">
              <w:rPr>
                <w:vertAlign w:val="superscript"/>
              </w:rPr>
              <w:t>3</w:t>
            </w:r>
            <w:r w:rsidRPr="00B56564">
              <w:t xml:space="preserve"> in rats (90 d)</w:t>
            </w:r>
          </w:p>
          <w:p w14:paraId="4A7F587E" w14:textId="77777777" w:rsidR="0076681A" w:rsidRPr="00B56564" w:rsidRDefault="0076681A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B56564">
              <w:lastRenderedPageBreak/>
              <w:t>Asphalt fume condensates are mutagenic (related to the temperature at which they are generated and levels of polycyclic aromatic compounds)</w:t>
            </w:r>
          </w:p>
          <w:p w14:paraId="1272A96D" w14:textId="77777777" w:rsidR="0076681A" w:rsidRPr="004C23F4" w:rsidRDefault="0076681A" w:rsidP="00B56564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B56564">
              <w:t>As fumes from asphalts have been associated with carcinogenicity and mutagenicity in humans and animals, consideration</w:t>
            </w:r>
            <w:r w:rsidR="00CD4309" w:rsidRPr="00B56564">
              <w:t xml:space="preserve"> must be made for </w:t>
            </w:r>
            <w:r w:rsidRPr="00B56564">
              <w:t>whether current exposure standard is adequate to minimise the risk to exposed workers</w:t>
            </w:r>
            <w:r w:rsidR="00AF5585" w:rsidRPr="00B56564">
              <w:t>.</w:t>
            </w:r>
          </w:p>
        </w:tc>
      </w:tr>
    </w:tbl>
    <w:bookmarkEnd w:id="0"/>
    <w:p w14:paraId="00612230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1779350" w14:textId="77777777" w:rsidTr="0076681A">
        <w:trPr>
          <w:trHeight w:val="454"/>
          <w:tblHeader/>
        </w:trPr>
        <w:tc>
          <w:tcPr>
            <w:tcW w:w="6597" w:type="dxa"/>
            <w:vAlign w:val="center"/>
          </w:tcPr>
          <w:p w14:paraId="2969351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426D99F" w14:textId="77777777" w:rsidR="002E0D61" w:rsidRDefault="0076681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7F2F5D4" w14:textId="77777777" w:rsidTr="0076681A">
        <w:trPr>
          <w:trHeight w:val="454"/>
        </w:trPr>
        <w:tc>
          <w:tcPr>
            <w:tcW w:w="6597" w:type="dxa"/>
            <w:vAlign w:val="center"/>
          </w:tcPr>
          <w:p w14:paraId="035B22C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A520768" w14:textId="77777777" w:rsidR="008A36CF" w:rsidRDefault="0076681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2A6573" w14:paraId="0CA93DB7" w14:textId="77777777" w:rsidTr="00FF0387">
        <w:trPr>
          <w:trHeight w:val="454"/>
        </w:trPr>
        <w:sdt>
          <w:sdtPr>
            <w:rPr>
              <w:b/>
            </w:rPr>
            <w:id w:val="1830936485"/>
            <w:placeholder>
              <w:docPart w:val="D63154C042B142E48534F1C834F6A13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ECD7FB5" w14:textId="77777777" w:rsidR="002A6573" w:rsidRDefault="002A657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53B14BB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199A7E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3B30BE4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6DC043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0B2FDE3" w14:textId="77777777" w:rsidTr="00812887">
        <w:trPr>
          <w:cantSplit/>
        </w:trPr>
        <w:tc>
          <w:tcPr>
            <w:tcW w:w="3227" w:type="dxa"/>
          </w:tcPr>
          <w:p w14:paraId="4ECA925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C5E175C" w14:textId="77777777" w:rsidR="00687890" w:rsidRPr="00DD2F9B" w:rsidRDefault="00AF5585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650BF9E5" w14:textId="77777777" w:rsidTr="00812887">
        <w:trPr>
          <w:cantSplit/>
        </w:trPr>
        <w:tc>
          <w:tcPr>
            <w:tcW w:w="3227" w:type="dxa"/>
          </w:tcPr>
          <w:p w14:paraId="7DC2C2A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3B29507" w14:textId="77777777" w:rsidR="007925F0" w:rsidRPr="00DD2F9B" w:rsidRDefault="00D95E5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114B8C05" w14:textId="77777777" w:rsidTr="00812887">
        <w:trPr>
          <w:cantSplit/>
        </w:trPr>
        <w:tc>
          <w:tcPr>
            <w:tcW w:w="3227" w:type="dxa"/>
          </w:tcPr>
          <w:p w14:paraId="177EA38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0553E7F" w14:textId="77777777" w:rsidR="00AF483F" w:rsidRPr="00DD2F9B" w:rsidRDefault="00AF558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3524504" w14:textId="77777777" w:rsidTr="00812887">
        <w:trPr>
          <w:cantSplit/>
        </w:trPr>
        <w:tc>
          <w:tcPr>
            <w:tcW w:w="3227" w:type="dxa"/>
          </w:tcPr>
          <w:p w14:paraId="1A47554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D9FB793" w14:textId="77777777" w:rsidR="00687890" w:rsidRPr="00DD2F9B" w:rsidRDefault="00AF558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F8A5A08" w14:textId="77777777" w:rsidTr="00812887">
        <w:trPr>
          <w:cantSplit/>
        </w:trPr>
        <w:tc>
          <w:tcPr>
            <w:tcW w:w="3227" w:type="dxa"/>
          </w:tcPr>
          <w:p w14:paraId="762E704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E968572" w14:textId="77777777" w:rsidR="00E41A26" w:rsidRPr="00DD2F9B" w:rsidRDefault="00AF558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4787483" w14:textId="77777777" w:rsidTr="00812887">
        <w:trPr>
          <w:cantSplit/>
        </w:trPr>
        <w:tc>
          <w:tcPr>
            <w:tcW w:w="3227" w:type="dxa"/>
          </w:tcPr>
          <w:p w14:paraId="19ACA2E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EF1272C" w14:textId="77777777" w:rsidR="002E0D61" w:rsidRPr="00DD2F9B" w:rsidRDefault="007E7DEF" w:rsidP="00DD2F9B">
            <w:pPr>
              <w:pStyle w:val="Tablefont"/>
            </w:pPr>
            <w:r w:rsidRPr="007E7DEF">
              <w:t>Carcinogenicity – A4</w:t>
            </w:r>
          </w:p>
        </w:tc>
      </w:tr>
      <w:tr w:rsidR="002E0D61" w:rsidRPr="004C23F4" w14:paraId="6E9596A1" w14:textId="77777777" w:rsidTr="00812887">
        <w:trPr>
          <w:cantSplit/>
        </w:trPr>
        <w:tc>
          <w:tcPr>
            <w:tcW w:w="3227" w:type="dxa"/>
          </w:tcPr>
          <w:p w14:paraId="2C1AA1E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4C1EC5E" w14:textId="77777777" w:rsidR="002E0D61" w:rsidRPr="00DD2F9B" w:rsidRDefault="00DB23D0" w:rsidP="00DD2F9B">
            <w:pPr>
              <w:pStyle w:val="Tablefont"/>
            </w:pPr>
            <w:r w:rsidRPr="00DB23D0">
              <w:t>Carcinogenicity – 2</w:t>
            </w:r>
            <w:r>
              <w:t xml:space="preserve">; </w:t>
            </w:r>
            <w:r w:rsidRPr="00DB23D0">
              <w:t>H (skin)</w:t>
            </w:r>
          </w:p>
        </w:tc>
      </w:tr>
      <w:tr w:rsidR="002E0D61" w:rsidRPr="004C23F4" w14:paraId="5F0BD5B2" w14:textId="77777777" w:rsidTr="00812887">
        <w:trPr>
          <w:cantSplit/>
        </w:trPr>
        <w:tc>
          <w:tcPr>
            <w:tcW w:w="3227" w:type="dxa"/>
          </w:tcPr>
          <w:p w14:paraId="7BC09F7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7B17CC2" w14:textId="77777777" w:rsidR="002E0D61" w:rsidRPr="00DD2F9B" w:rsidRDefault="00AF558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E729F82" w14:textId="77777777" w:rsidTr="00812887">
        <w:trPr>
          <w:cantSplit/>
        </w:trPr>
        <w:tc>
          <w:tcPr>
            <w:tcW w:w="3227" w:type="dxa"/>
          </w:tcPr>
          <w:p w14:paraId="641208D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2EA37FD" w14:textId="77777777" w:rsidR="002E0D61" w:rsidRPr="00DD2F9B" w:rsidRDefault="00AF558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C6250CD" w14:textId="77777777" w:rsidTr="00812887">
        <w:trPr>
          <w:cantSplit/>
        </w:trPr>
        <w:tc>
          <w:tcPr>
            <w:tcW w:w="3227" w:type="dxa"/>
          </w:tcPr>
          <w:p w14:paraId="5E5DF35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54D9537" w14:textId="77777777" w:rsidR="00386093" w:rsidRPr="00DD2F9B" w:rsidRDefault="00AF558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CF6A896" w14:textId="77777777" w:rsidTr="00812887">
        <w:trPr>
          <w:cantSplit/>
        </w:trPr>
        <w:tc>
          <w:tcPr>
            <w:tcW w:w="3227" w:type="dxa"/>
          </w:tcPr>
          <w:p w14:paraId="02C2789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99890C4" w14:textId="77777777" w:rsidR="00386093" w:rsidRPr="00DD2F9B" w:rsidRDefault="00AF558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DAE7D4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A09C1B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236B45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359AC6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0BFB1E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7B25DA7" w14:textId="77777777" w:rsidR="00932DCE" w:rsidRPr="004C23F4" w:rsidRDefault="00496F9B" w:rsidP="00F9496B">
            <w:pPr>
              <w:pStyle w:val="Tablefont"/>
            </w:pPr>
            <w:r>
              <w:t>Insufficient data to assign a skin notation</w:t>
            </w:r>
          </w:p>
        </w:tc>
      </w:tr>
    </w:tbl>
    <w:bookmarkEnd w:id="3"/>
    <w:p w14:paraId="7518A36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1A2190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D41F1B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5E231EC" w14:textId="77777777" w:rsidR="00EB3D1B" w:rsidRDefault="0076681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2A709C5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C8EA7A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D2E977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F74BD4B" w14:textId="77777777" w:rsidR="001B79E5" w:rsidRDefault="00716F6F" w:rsidP="001B79E5">
                <w:pPr>
                  <w:pStyle w:val="Tablefont"/>
                </w:pPr>
                <w:r>
                  <w:t>NA</w:t>
                </w:r>
              </w:p>
            </w:tc>
          </w:sdtContent>
        </w:sdt>
      </w:tr>
      <w:tr w:rsidR="00A31D99" w:rsidRPr="004C23F4" w14:paraId="51FC09E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7C2C7D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678C3C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8D6F80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15B85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54EBDD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F6ACC83" w14:textId="77777777" w:rsidTr="00EA6243">
        <w:trPr>
          <w:cantSplit/>
        </w:trPr>
        <w:tc>
          <w:tcPr>
            <w:tcW w:w="4077" w:type="dxa"/>
            <w:vAlign w:val="center"/>
          </w:tcPr>
          <w:p w14:paraId="79F6844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3D802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5F03E5" w14:textId="77777777" w:rsidTr="00EA6243">
        <w:trPr>
          <w:cantSplit/>
        </w:trPr>
        <w:tc>
          <w:tcPr>
            <w:tcW w:w="4077" w:type="dxa"/>
            <w:vAlign w:val="center"/>
          </w:tcPr>
          <w:p w14:paraId="2F347DB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C8407F" w14:textId="77777777" w:rsidR="00687890" w:rsidRPr="004C23F4" w:rsidRDefault="00716F6F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E06F40" w:rsidRPr="004C23F4" w14:paraId="03726C14" w14:textId="77777777" w:rsidTr="00EA6243">
        <w:trPr>
          <w:cantSplit/>
        </w:trPr>
        <w:tc>
          <w:tcPr>
            <w:tcW w:w="4077" w:type="dxa"/>
            <w:vAlign w:val="center"/>
          </w:tcPr>
          <w:p w14:paraId="0425296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0B2B910" w14:textId="77777777" w:rsidR="00E06F40" w:rsidRPr="00A006A0" w:rsidRDefault="00BD045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6F6F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7A8DB2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725D83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3EC128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28F1BB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7A0DC1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1E4DFC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46952F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128630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56CDDD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C882F97" w14:textId="77777777" w:rsidR="00020243" w:rsidRDefault="00D579D4" w:rsidP="00084859">
      <w:r w:rsidRPr="002022B6">
        <w:t>Deutsche Forschungsgemeinschaft (DFG)</w:t>
      </w:r>
      <w:r>
        <w:t xml:space="preserve"> (</w:t>
      </w:r>
      <w:r w:rsidR="00313532">
        <w:t>2000</w:t>
      </w:r>
      <w:r>
        <w:t xml:space="preserve">) </w:t>
      </w:r>
      <w:r w:rsidR="007D5D30">
        <w:t>Bitumen (vapour and aerosol)</w:t>
      </w:r>
      <w:r>
        <w:t xml:space="preserve"> – MAK value documentation.</w:t>
      </w:r>
    </w:p>
    <w:p w14:paraId="3F9698A2" w14:textId="77777777" w:rsidR="00020243" w:rsidRDefault="00555EB9" w:rsidP="00084859">
      <w:r w:rsidRPr="002022B6">
        <w:t>Health Council of the Netherlands</w:t>
      </w:r>
      <w:r>
        <w:t xml:space="preserve"> (HCOTN) (2008) Bitumen (vapour and aerosol)</w:t>
      </w:r>
      <w:r w:rsidRPr="005F7416">
        <w:t xml:space="preserve">. Health-based </w:t>
      </w:r>
      <w:r w:rsidR="00FD1B9C">
        <w:t>recommended occupational exposure limit</w:t>
      </w:r>
      <w:r w:rsidRPr="005F7416">
        <w:t xml:space="preserve">. The Hague: Health Council of the Netherlands; publication no. </w:t>
      </w:r>
      <w:r w:rsidR="00FD1B9C">
        <w:t>2007/01OSH</w:t>
      </w:r>
      <w:r>
        <w:t>.</w:t>
      </w:r>
    </w:p>
    <w:p w14:paraId="0F6A6488" w14:textId="77777777" w:rsidR="00020243" w:rsidRPr="00351FE0" w:rsidRDefault="00555EB9" w:rsidP="00084859">
      <w:r w:rsidRPr="002022B6">
        <w:t>National Industrial Chemicals Notification and Assessment Scheme (NICNAS)</w:t>
      </w:r>
      <w:r>
        <w:t xml:space="preserve"> (</w:t>
      </w:r>
      <w:r w:rsidR="00E165DD">
        <w:t>2018</w:t>
      </w:r>
      <w:r>
        <w:t xml:space="preserve">) </w:t>
      </w:r>
      <w:r w:rsidR="00E165DD">
        <w:t>Asphalt</w:t>
      </w:r>
      <w:r w:rsidRPr="0071660C">
        <w:t xml:space="preserve">: Human health </w:t>
      </w:r>
      <w:r w:rsidR="00476B00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sectPr w:rsidR="00020243" w:rsidRPr="00351FE0" w:rsidSect="00657CD4">
      <w:headerReference w:type="default" r:id="rId18"/>
      <w:pgSz w:w="11906" w:h="16838"/>
      <w:pgMar w:top="1440" w:right="1440" w:bottom="2127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1F308A" w16cid:durableId="212B3019"/>
  <w16cid:commentId w16cid:paraId="29FDD58D" w16cid:durableId="212B3043"/>
  <w16cid:commentId w16cid:paraId="4409162F" w16cid:durableId="212B3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CF49" w14:textId="77777777" w:rsidR="00F16ABC" w:rsidRDefault="00F16ABC" w:rsidP="00F43AD5">
      <w:pPr>
        <w:spacing w:after="0" w:line="240" w:lineRule="auto"/>
      </w:pPr>
      <w:r>
        <w:separator/>
      </w:r>
    </w:p>
  </w:endnote>
  <w:endnote w:type="continuationSeparator" w:id="0">
    <w:p w14:paraId="07C93638" w14:textId="77777777" w:rsidR="00F16ABC" w:rsidRDefault="00F16AB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B960" w14:textId="77777777" w:rsidR="00BD0451" w:rsidRDefault="00BD0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63A26AE" w14:textId="77777777" w:rsidR="008A36CF" w:rsidRDefault="00315126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Bitumen fumes </w:t>
        </w:r>
        <w:r w:rsidR="008A36CF">
          <w:rPr>
            <w:b/>
            <w:sz w:val="18"/>
            <w:szCs w:val="18"/>
          </w:rPr>
          <w:t>(</w:t>
        </w:r>
        <w:r w:rsidRPr="00315126">
          <w:rPr>
            <w:b/>
            <w:sz w:val="18"/>
            <w:szCs w:val="18"/>
          </w:rPr>
          <w:t>8052-42-4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FEAAA45" w14:textId="5011D31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D0451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65C2" w14:textId="77777777" w:rsidR="00BD0451" w:rsidRDefault="00BD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0778" w14:textId="77777777" w:rsidR="00F16ABC" w:rsidRDefault="00F16ABC" w:rsidP="00F43AD5">
      <w:pPr>
        <w:spacing w:after="0" w:line="240" w:lineRule="auto"/>
      </w:pPr>
      <w:r>
        <w:separator/>
      </w:r>
    </w:p>
  </w:footnote>
  <w:footnote w:type="continuationSeparator" w:id="0">
    <w:p w14:paraId="72950100" w14:textId="77777777" w:rsidR="00F16ABC" w:rsidRDefault="00F16AB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F978" w14:textId="77777777" w:rsidR="00BD0451" w:rsidRDefault="00BD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6797F" w14:textId="57374151" w:rsidR="008A36CF" w:rsidRDefault="00BD0451" w:rsidP="00F43AD5">
    <w:pPr>
      <w:pStyle w:val="Header"/>
      <w:jc w:val="right"/>
    </w:pPr>
    <w:sdt>
      <w:sdtPr>
        <w:id w:val="-7321362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89A91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3154B47C" wp14:editId="199CC507">
          <wp:extent cx="2938272" cy="594360"/>
          <wp:effectExtent l="0" t="0" r="0" b="0"/>
          <wp:docPr id="5" name="Picture 5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A66D" w14:textId="77777777" w:rsidR="00BD0451" w:rsidRDefault="00BD04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87E9" w14:textId="77777777" w:rsidR="00BD0451" w:rsidRDefault="00BD0451" w:rsidP="00BD0451">
    <w:pPr>
      <w:pStyle w:val="Header"/>
      <w:jc w:val="right"/>
    </w:pPr>
    <w:sdt>
      <w:sdtPr>
        <w:id w:val="1562747046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33F4D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0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5F7B8DB" wp14:editId="2B7B80C7">
          <wp:extent cx="2938272" cy="594360"/>
          <wp:effectExtent l="0" t="0" r="0" b="0"/>
          <wp:docPr id="6" name="Picture 6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05B94" w14:textId="481C77F9" w:rsidR="0019175C" w:rsidRDefault="0019175C" w:rsidP="0019175C">
    <w:pPr>
      <w:pStyle w:val="Header"/>
      <w:jc w:val="right"/>
    </w:pPr>
    <w:bookmarkStart w:id="5" w:name="_GoBack"/>
    <w:bookmarkEnd w:id="5"/>
  </w:p>
  <w:p w14:paraId="3CD5DD6F" w14:textId="77777777" w:rsidR="008A36CF" w:rsidRDefault="008A36CF" w:rsidP="001917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73602"/>
    <w:multiLevelType w:val="hybridMultilevel"/>
    <w:tmpl w:val="5DBEB1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F56F4"/>
    <w:multiLevelType w:val="hybridMultilevel"/>
    <w:tmpl w:val="323463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3588C"/>
    <w:multiLevelType w:val="hybridMultilevel"/>
    <w:tmpl w:val="8B0251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4003"/>
    <w:multiLevelType w:val="hybridMultilevel"/>
    <w:tmpl w:val="00CAA37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004CA8"/>
    <w:multiLevelType w:val="hybridMultilevel"/>
    <w:tmpl w:val="337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5106B"/>
    <w:multiLevelType w:val="hybridMultilevel"/>
    <w:tmpl w:val="265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0C40"/>
    <w:multiLevelType w:val="hybridMultilevel"/>
    <w:tmpl w:val="43C4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6492"/>
    <w:multiLevelType w:val="hybridMultilevel"/>
    <w:tmpl w:val="F54C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F37"/>
    <w:rsid w:val="00007B80"/>
    <w:rsid w:val="00010D26"/>
    <w:rsid w:val="00013A22"/>
    <w:rsid w:val="00014C3F"/>
    <w:rsid w:val="00017C82"/>
    <w:rsid w:val="00020243"/>
    <w:rsid w:val="00025DF7"/>
    <w:rsid w:val="0003194A"/>
    <w:rsid w:val="00032B88"/>
    <w:rsid w:val="00046DF5"/>
    <w:rsid w:val="0004782F"/>
    <w:rsid w:val="00052060"/>
    <w:rsid w:val="0005574A"/>
    <w:rsid w:val="00055FE1"/>
    <w:rsid w:val="00056EC2"/>
    <w:rsid w:val="00060B48"/>
    <w:rsid w:val="00067F32"/>
    <w:rsid w:val="00071807"/>
    <w:rsid w:val="000803E1"/>
    <w:rsid w:val="00083008"/>
    <w:rsid w:val="00084513"/>
    <w:rsid w:val="00084859"/>
    <w:rsid w:val="00092D94"/>
    <w:rsid w:val="00097B0D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2578"/>
    <w:rsid w:val="0010461E"/>
    <w:rsid w:val="00106FAA"/>
    <w:rsid w:val="001101FD"/>
    <w:rsid w:val="00113443"/>
    <w:rsid w:val="00125556"/>
    <w:rsid w:val="001269A7"/>
    <w:rsid w:val="00127ACC"/>
    <w:rsid w:val="00131092"/>
    <w:rsid w:val="00135FD1"/>
    <w:rsid w:val="00140E1F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15E4"/>
    <w:rsid w:val="0019175C"/>
    <w:rsid w:val="001A009E"/>
    <w:rsid w:val="001A1287"/>
    <w:rsid w:val="001A3859"/>
    <w:rsid w:val="001A3C9D"/>
    <w:rsid w:val="001A43F8"/>
    <w:rsid w:val="001A76D3"/>
    <w:rsid w:val="001B79E5"/>
    <w:rsid w:val="001C4C73"/>
    <w:rsid w:val="001D364A"/>
    <w:rsid w:val="001D388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A44"/>
    <w:rsid w:val="00213025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3F08"/>
    <w:rsid w:val="00276494"/>
    <w:rsid w:val="00277B0C"/>
    <w:rsid w:val="00277DBE"/>
    <w:rsid w:val="002979E9"/>
    <w:rsid w:val="002A6573"/>
    <w:rsid w:val="002B1A2C"/>
    <w:rsid w:val="002B5112"/>
    <w:rsid w:val="002C34F2"/>
    <w:rsid w:val="002C58FF"/>
    <w:rsid w:val="002C780E"/>
    <w:rsid w:val="002C7AFE"/>
    <w:rsid w:val="002D05D2"/>
    <w:rsid w:val="002E0D61"/>
    <w:rsid w:val="002E4C7B"/>
    <w:rsid w:val="0030740C"/>
    <w:rsid w:val="00313532"/>
    <w:rsid w:val="00315126"/>
    <w:rsid w:val="003151A9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3C1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6272"/>
    <w:rsid w:val="003D4FA3"/>
    <w:rsid w:val="003D7569"/>
    <w:rsid w:val="003E0807"/>
    <w:rsid w:val="003E51FB"/>
    <w:rsid w:val="003E6B39"/>
    <w:rsid w:val="003F07E1"/>
    <w:rsid w:val="003F4B1E"/>
    <w:rsid w:val="004030BC"/>
    <w:rsid w:val="00403F7D"/>
    <w:rsid w:val="00406785"/>
    <w:rsid w:val="004079B4"/>
    <w:rsid w:val="00417A56"/>
    <w:rsid w:val="00420957"/>
    <w:rsid w:val="00422A10"/>
    <w:rsid w:val="00423C68"/>
    <w:rsid w:val="004278FA"/>
    <w:rsid w:val="00430179"/>
    <w:rsid w:val="004414B5"/>
    <w:rsid w:val="00444482"/>
    <w:rsid w:val="00444B42"/>
    <w:rsid w:val="00445E44"/>
    <w:rsid w:val="004509E2"/>
    <w:rsid w:val="004515EE"/>
    <w:rsid w:val="00452674"/>
    <w:rsid w:val="004529F0"/>
    <w:rsid w:val="00460A03"/>
    <w:rsid w:val="00472A11"/>
    <w:rsid w:val="00472AAD"/>
    <w:rsid w:val="00474E33"/>
    <w:rsid w:val="00476803"/>
    <w:rsid w:val="00476B00"/>
    <w:rsid w:val="00485BFD"/>
    <w:rsid w:val="004867A2"/>
    <w:rsid w:val="004873F2"/>
    <w:rsid w:val="004904DC"/>
    <w:rsid w:val="00490D4C"/>
    <w:rsid w:val="00493A35"/>
    <w:rsid w:val="00494B93"/>
    <w:rsid w:val="0049527A"/>
    <w:rsid w:val="004966BF"/>
    <w:rsid w:val="00496F9B"/>
    <w:rsid w:val="00497984"/>
    <w:rsid w:val="004A5088"/>
    <w:rsid w:val="004B6523"/>
    <w:rsid w:val="004C1E3F"/>
    <w:rsid w:val="004C23F4"/>
    <w:rsid w:val="004C3475"/>
    <w:rsid w:val="004C58B6"/>
    <w:rsid w:val="004D16A3"/>
    <w:rsid w:val="004D4AA1"/>
    <w:rsid w:val="004D6D68"/>
    <w:rsid w:val="004E5EDD"/>
    <w:rsid w:val="004F3E66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502E"/>
    <w:rsid w:val="005446A2"/>
    <w:rsid w:val="00544D2F"/>
    <w:rsid w:val="00551BD8"/>
    <w:rsid w:val="00555EB9"/>
    <w:rsid w:val="00566DFE"/>
    <w:rsid w:val="00566E63"/>
    <w:rsid w:val="00581055"/>
    <w:rsid w:val="005843FF"/>
    <w:rsid w:val="00591E38"/>
    <w:rsid w:val="005A19C5"/>
    <w:rsid w:val="005A3034"/>
    <w:rsid w:val="005A462D"/>
    <w:rsid w:val="005B253B"/>
    <w:rsid w:val="005B7524"/>
    <w:rsid w:val="005B771D"/>
    <w:rsid w:val="005C5D16"/>
    <w:rsid w:val="005D3193"/>
    <w:rsid w:val="005D4A6E"/>
    <w:rsid w:val="005E46D4"/>
    <w:rsid w:val="005E6979"/>
    <w:rsid w:val="005E72BE"/>
    <w:rsid w:val="005E75CB"/>
    <w:rsid w:val="006013C1"/>
    <w:rsid w:val="0060669E"/>
    <w:rsid w:val="00610F2E"/>
    <w:rsid w:val="00611399"/>
    <w:rsid w:val="006162EA"/>
    <w:rsid w:val="00617ABF"/>
    <w:rsid w:val="00624C4E"/>
    <w:rsid w:val="00624CE7"/>
    <w:rsid w:val="00625200"/>
    <w:rsid w:val="006253BA"/>
    <w:rsid w:val="006363A8"/>
    <w:rsid w:val="00636DB7"/>
    <w:rsid w:val="00650905"/>
    <w:rsid w:val="006532ED"/>
    <w:rsid w:val="006549F2"/>
    <w:rsid w:val="006567B7"/>
    <w:rsid w:val="00657258"/>
    <w:rsid w:val="00657BFB"/>
    <w:rsid w:val="00657CD4"/>
    <w:rsid w:val="0066333C"/>
    <w:rsid w:val="006639B4"/>
    <w:rsid w:val="006650FE"/>
    <w:rsid w:val="0067305D"/>
    <w:rsid w:val="0067451A"/>
    <w:rsid w:val="00677D9B"/>
    <w:rsid w:val="00683894"/>
    <w:rsid w:val="006867F3"/>
    <w:rsid w:val="00687890"/>
    <w:rsid w:val="006901A2"/>
    <w:rsid w:val="00690368"/>
    <w:rsid w:val="0069079C"/>
    <w:rsid w:val="00690B53"/>
    <w:rsid w:val="00695B72"/>
    <w:rsid w:val="006961B8"/>
    <w:rsid w:val="006B160A"/>
    <w:rsid w:val="006B461D"/>
    <w:rsid w:val="006B4E6C"/>
    <w:rsid w:val="006B50B6"/>
    <w:rsid w:val="006D73F7"/>
    <w:rsid w:val="006D79EA"/>
    <w:rsid w:val="006E5D05"/>
    <w:rsid w:val="00701053"/>
    <w:rsid w:val="00701507"/>
    <w:rsid w:val="00714021"/>
    <w:rsid w:val="00716A0F"/>
    <w:rsid w:val="00716F6F"/>
    <w:rsid w:val="00717D45"/>
    <w:rsid w:val="007208F7"/>
    <w:rsid w:val="007218AF"/>
    <w:rsid w:val="00722A2F"/>
    <w:rsid w:val="007302CC"/>
    <w:rsid w:val="007365D1"/>
    <w:rsid w:val="00740E0E"/>
    <w:rsid w:val="00750212"/>
    <w:rsid w:val="00754779"/>
    <w:rsid w:val="0075716D"/>
    <w:rsid w:val="00765F14"/>
    <w:rsid w:val="0076681A"/>
    <w:rsid w:val="00770E31"/>
    <w:rsid w:val="007770F1"/>
    <w:rsid w:val="00783FB1"/>
    <w:rsid w:val="00785CDD"/>
    <w:rsid w:val="007860AF"/>
    <w:rsid w:val="00791847"/>
    <w:rsid w:val="007925F0"/>
    <w:rsid w:val="007939B3"/>
    <w:rsid w:val="0079509C"/>
    <w:rsid w:val="00796708"/>
    <w:rsid w:val="007B1B42"/>
    <w:rsid w:val="007C30EB"/>
    <w:rsid w:val="007C5D94"/>
    <w:rsid w:val="007D5D30"/>
    <w:rsid w:val="007D66E8"/>
    <w:rsid w:val="007E063C"/>
    <w:rsid w:val="007E2A4B"/>
    <w:rsid w:val="007E307D"/>
    <w:rsid w:val="007E6A4E"/>
    <w:rsid w:val="007E6C94"/>
    <w:rsid w:val="007E7DEF"/>
    <w:rsid w:val="007F1005"/>
    <w:rsid w:val="007F25E0"/>
    <w:rsid w:val="007F5328"/>
    <w:rsid w:val="00804F5A"/>
    <w:rsid w:val="00810C6D"/>
    <w:rsid w:val="00812887"/>
    <w:rsid w:val="00813912"/>
    <w:rsid w:val="00821564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3FDD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2279"/>
    <w:rsid w:val="009118A6"/>
    <w:rsid w:val="00913D7D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34C1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8F2"/>
    <w:rsid w:val="00984920"/>
    <w:rsid w:val="0099303A"/>
    <w:rsid w:val="00995618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398A"/>
    <w:rsid w:val="009C552A"/>
    <w:rsid w:val="009C5874"/>
    <w:rsid w:val="009D3B5A"/>
    <w:rsid w:val="009E0C05"/>
    <w:rsid w:val="009E0D1C"/>
    <w:rsid w:val="009E2214"/>
    <w:rsid w:val="009E355A"/>
    <w:rsid w:val="009E4036"/>
    <w:rsid w:val="009E63E2"/>
    <w:rsid w:val="009F05CF"/>
    <w:rsid w:val="009F0F3A"/>
    <w:rsid w:val="00A01D0C"/>
    <w:rsid w:val="00A03C66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A94"/>
    <w:rsid w:val="00A53681"/>
    <w:rsid w:val="00A633D4"/>
    <w:rsid w:val="00A6461A"/>
    <w:rsid w:val="00A6773F"/>
    <w:rsid w:val="00A70B55"/>
    <w:rsid w:val="00A84504"/>
    <w:rsid w:val="00A85485"/>
    <w:rsid w:val="00A8672F"/>
    <w:rsid w:val="00A93057"/>
    <w:rsid w:val="00A961D7"/>
    <w:rsid w:val="00A968B0"/>
    <w:rsid w:val="00AA70A0"/>
    <w:rsid w:val="00AB2672"/>
    <w:rsid w:val="00AB2817"/>
    <w:rsid w:val="00AB3A6F"/>
    <w:rsid w:val="00AB43C4"/>
    <w:rsid w:val="00AC32E7"/>
    <w:rsid w:val="00AC3A9F"/>
    <w:rsid w:val="00AC6D2F"/>
    <w:rsid w:val="00AD1798"/>
    <w:rsid w:val="00AD6DFB"/>
    <w:rsid w:val="00AE2745"/>
    <w:rsid w:val="00AE2F64"/>
    <w:rsid w:val="00AF42CB"/>
    <w:rsid w:val="00AF483F"/>
    <w:rsid w:val="00AF5585"/>
    <w:rsid w:val="00AF5E07"/>
    <w:rsid w:val="00AF5F06"/>
    <w:rsid w:val="00B00A25"/>
    <w:rsid w:val="00B1422A"/>
    <w:rsid w:val="00B1765C"/>
    <w:rsid w:val="00B213C4"/>
    <w:rsid w:val="00B2574D"/>
    <w:rsid w:val="00B40C60"/>
    <w:rsid w:val="00B479A9"/>
    <w:rsid w:val="00B52EDF"/>
    <w:rsid w:val="00B56564"/>
    <w:rsid w:val="00B71188"/>
    <w:rsid w:val="00B73780"/>
    <w:rsid w:val="00B76A41"/>
    <w:rsid w:val="00B87D4C"/>
    <w:rsid w:val="00B93646"/>
    <w:rsid w:val="00BA0B38"/>
    <w:rsid w:val="00BA1DBB"/>
    <w:rsid w:val="00BA3FEC"/>
    <w:rsid w:val="00BA4510"/>
    <w:rsid w:val="00BA529A"/>
    <w:rsid w:val="00BB612A"/>
    <w:rsid w:val="00BC4F08"/>
    <w:rsid w:val="00BD0451"/>
    <w:rsid w:val="00BD499F"/>
    <w:rsid w:val="00BD56DE"/>
    <w:rsid w:val="00BF2406"/>
    <w:rsid w:val="00C112BD"/>
    <w:rsid w:val="00C16315"/>
    <w:rsid w:val="00C3091E"/>
    <w:rsid w:val="00C37AD0"/>
    <w:rsid w:val="00C37E1F"/>
    <w:rsid w:val="00C40FF1"/>
    <w:rsid w:val="00C419E2"/>
    <w:rsid w:val="00C457DC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F25"/>
    <w:rsid w:val="00CA58FE"/>
    <w:rsid w:val="00CB1CB1"/>
    <w:rsid w:val="00CB6BC1"/>
    <w:rsid w:val="00CB6CB8"/>
    <w:rsid w:val="00CC1A68"/>
    <w:rsid w:val="00CC2123"/>
    <w:rsid w:val="00CD2BFD"/>
    <w:rsid w:val="00CD4309"/>
    <w:rsid w:val="00CD68D7"/>
    <w:rsid w:val="00CD7810"/>
    <w:rsid w:val="00CE49E0"/>
    <w:rsid w:val="00CE5AD6"/>
    <w:rsid w:val="00CE617F"/>
    <w:rsid w:val="00CE78EF"/>
    <w:rsid w:val="00CF0A71"/>
    <w:rsid w:val="00D048F7"/>
    <w:rsid w:val="00D0517E"/>
    <w:rsid w:val="00D122B9"/>
    <w:rsid w:val="00D140FC"/>
    <w:rsid w:val="00D15A5F"/>
    <w:rsid w:val="00D15F4A"/>
    <w:rsid w:val="00D21D8C"/>
    <w:rsid w:val="00D31357"/>
    <w:rsid w:val="00D33220"/>
    <w:rsid w:val="00D334D1"/>
    <w:rsid w:val="00D44C89"/>
    <w:rsid w:val="00D516CD"/>
    <w:rsid w:val="00D579D4"/>
    <w:rsid w:val="00D668E6"/>
    <w:rsid w:val="00D70670"/>
    <w:rsid w:val="00D7452C"/>
    <w:rsid w:val="00D74D80"/>
    <w:rsid w:val="00D76004"/>
    <w:rsid w:val="00D76624"/>
    <w:rsid w:val="00D87570"/>
    <w:rsid w:val="00D876E1"/>
    <w:rsid w:val="00D91CB9"/>
    <w:rsid w:val="00D95E56"/>
    <w:rsid w:val="00D97989"/>
    <w:rsid w:val="00D97D8D"/>
    <w:rsid w:val="00DA352E"/>
    <w:rsid w:val="00DB23D0"/>
    <w:rsid w:val="00DC7694"/>
    <w:rsid w:val="00DD1BF6"/>
    <w:rsid w:val="00DD2F9B"/>
    <w:rsid w:val="00DD6CAB"/>
    <w:rsid w:val="00DE2513"/>
    <w:rsid w:val="00DE26E8"/>
    <w:rsid w:val="00DF6F36"/>
    <w:rsid w:val="00E0084C"/>
    <w:rsid w:val="00E025AB"/>
    <w:rsid w:val="00E02B23"/>
    <w:rsid w:val="00E02E74"/>
    <w:rsid w:val="00E06F40"/>
    <w:rsid w:val="00E07CE8"/>
    <w:rsid w:val="00E11CA4"/>
    <w:rsid w:val="00E13DCD"/>
    <w:rsid w:val="00E165DD"/>
    <w:rsid w:val="00E26A07"/>
    <w:rsid w:val="00E32595"/>
    <w:rsid w:val="00E3263D"/>
    <w:rsid w:val="00E37CFD"/>
    <w:rsid w:val="00E41A26"/>
    <w:rsid w:val="00E46BCB"/>
    <w:rsid w:val="00E51CAF"/>
    <w:rsid w:val="00E57AC2"/>
    <w:rsid w:val="00E60F04"/>
    <w:rsid w:val="00E62AAC"/>
    <w:rsid w:val="00E67C2F"/>
    <w:rsid w:val="00E67EF5"/>
    <w:rsid w:val="00E72794"/>
    <w:rsid w:val="00E804EA"/>
    <w:rsid w:val="00E80A71"/>
    <w:rsid w:val="00E82337"/>
    <w:rsid w:val="00E92499"/>
    <w:rsid w:val="00E949AF"/>
    <w:rsid w:val="00E96077"/>
    <w:rsid w:val="00EA071D"/>
    <w:rsid w:val="00EA0A06"/>
    <w:rsid w:val="00EA6243"/>
    <w:rsid w:val="00EA74AB"/>
    <w:rsid w:val="00EB3D1B"/>
    <w:rsid w:val="00EB4B44"/>
    <w:rsid w:val="00ED0B0E"/>
    <w:rsid w:val="00ED1D89"/>
    <w:rsid w:val="00ED66BC"/>
    <w:rsid w:val="00EF233A"/>
    <w:rsid w:val="00EF303E"/>
    <w:rsid w:val="00EF3A40"/>
    <w:rsid w:val="00EF63FF"/>
    <w:rsid w:val="00EF700E"/>
    <w:rsid w:val="00EF7F78"/>
    <w:rsid w:val="00F01B08"/>
    <w:rsid w:val="00F01C4D"/>
    <w:rsid w:val="00F053FA"/>
    <w:rsid w:val="00F10C97"/>
    <w:rsid w:val="00F11C71"/>
    <w:rsid w:val="00F16019"/>
    <w:rsid w:val="00F16ABC"/>
    <w:rsid w:val="00F20E68"/>
    <w:rsid w:val="00F22093"/>
    <w:rsid w:val="00F236DF"/>
    <w:rsid w:val="00F43AD5"/>
    <w:rsid w:val="00F4402E"/>
    <w:rsid w:val="00F56DD0"/>
    <w:rsid w:val="00F5715B"/>
    <w:rsid w:val="00F6491C"/>
    <w:rsid w:val="00F67BBB"/>
    <w:rsid w:val="00F87D92"/>
    <w:rsid w:val="00F87F19"/>
    <w:rsid w:val="00F90AA7"/>
    <w:rsid w:val="00F92498"/>
    <w:rsid w:val="00F9496B"/>
    <w:rsid w:val="00F970C9"/>
    <w:rsid w:val="00FA06A8"/>
    <w:rsid w:val="00FA3DF5"/>
    <w:rsid w:val="00FA741F"/>
    <w:rsid w:val="00FB3DC9"/>
    <w:rsid w:val="00FB4E07"/>
    <w:rsid w:val="00FB755A"/>
    <w:rsid w:val="00FC60A2"/>
    <w:rsid w:val="00FD1871"/>
    <w:rsid w:val="00FD1B9C"/>
    <w:rsid w:val="00FD215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2E3F58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C6272"/>
    <w:pPr>
      <w:contextualSpacing/>
    </w:pPr>
  </w:style>
  <w:style w:type="table" w:styleId="LightShading-Accent2">
    <w:name w:val="Light Shading Accent 2"/>
    <w:aliases w:val="SWA Table Style"/>
    <w:basedOn w:val="TableNormal"/>
    <w:uiPriority w:val="60"/>
    <w:rsid w:val="00555EB9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B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B9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B9C"/>
    <w:rPr>
      <w:b/>
      <w:bCs/>
      <w:szCs w:val="20"/>
    </w:rPr>
  </w:style>
  <w:style w:type="paragraph" w:styleId="Revision">
    <w:name w:val="Revision"/>
    <w:hidden/>
    <w:uiPriority w:val="99"/>
    <w:semiHidden/>
    <w:rsid w:val="003D7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63154C042B142E48534F1C834F6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722D1-6D4B-44E4-9C15-841C18CC5BB1}"/>
      </w:docPartPr>
      <w:docPartBody>
        <w:p w:rsidR="002470A0" w:rsidRDefault="007E2572" w:rsidP="007E2572">
          <w:pPr>
            <w:pStyle w:val="D63154C042B142E48534F1C834F6A13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A0506"/>
    <w:rsid w:val="002470A0"/>
    <w:rsid w:val="002F7F6D"/>
    <w:rsid w:val="003101E8"/>
    <w:rsid w:val="0041451A"/>
    <w:rsid w:val="00590280"/>
    <w:rsid w:val="006D62E6"/>
    <w:rsid w:val="007E2572"/>
    <w:rsid w:val="00857D28"/>
    <w:rsid w:val="008E6006"/>
    <w:rsid w:val="009E1479"/>
    <w:rsid w:val="00D21A9F"/>
    <w:rsid w:val="00D33D91"/>
    <w:rsid w:val="00D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57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6D8C69B74204121944778F89FC4E022">
    <w:name w:val="D6D8C69B74204121944778F89FC4E022"/>
    <w:rsid w:val="00857D28"/>
    <w:rPr>
      <w:lang w:val="en-US" w:eastAsia="en-US"/>
    </w:rPr>
  </w:style>
  <w:style w:type="paragraph" w:customStyle="1" w:styleId="5F2518CCE56740AE89E8E9B4AD4A7FE0">
    <w:name w:val="5F2518CCE56740AE89E8E9B4AD4A7FE0"/>
    <w:rsid w:val="00857D28"/>
    <w:rPr>
      <w:lang w:val="en-US" w:eastAsia="en-US"/>
    </w:rPr>
  </w:style>
  <w:style w:type="paragraph" w:customStyle="1" w:styleId="DC1ECD6F5A374F5A9CA1183E6E20950E">
    <w:name w:val="DC1ECD6F5A374F5A9CA1183E6E20950E"/>
    <w:rsid w:val="00857D28"/>
    <w:rPr>
      <w:lang w:val="en-US" w:eastAsia="en-US"/>
    </w:rPr>
  </w:style>
  <w:style w:type="paragraph" w:customStyle="1" w:styleId="898D36D407584F028E0FEE8CD944CCEC">
    <w:name w:val="898D36D407584F028E0FEE8CD944CCEC"/>
    <w:rsid w:val="00857D28"/>
    <w:rPr>
      <w:lang w:val="en-US" w:eastAsia="en-US"/>
    </w:rPr>
  </w:style>
  <w:style w:type="paragraph" w:customStyle="1" w:styleId="3D31A6799F754E948CB521B490542F95">
    <w:name w:val="3D31A6799F754E948CB521B490542F95"/>
    <w:rsid w:val="00857D28"/>
    <w:rPr>
      <w:lang w:val="en-US" w:eastAsia="en-US"/>
    </w:rPr>
  </w:style>
  <w:style w:type="paragraph" w:customStyle="1" w:styleId="4EAEBF1B75DB4DBC87847B1AD5673698">
    <w:name w:val="4EAEBF1B75DB4DBC87847B1AD5673698"/>
    <w:rsid w:val="00857D28"/>
    <w:rPr>
      <w:lang w:val="en-US" w:eastAsia="en-US"/>
    </w:rPr>
  </w:style>
  <w:style w:type="paragraph" w:customStyle="1" w:styleId="6A4C42DF33DD4068A5A1F82C1A2C0DCF">
    <w:name w:val="6A4C42DF33DD4068A5A1F82C1A2C0DCF"/>
    <w:rsid w:val="00857D28"/>
    <w:rPr>
      <w:lang w:val="en-US" w:eastAsia="en-US"/>
    </w:rPr>
  </w:style>
  <w:style w:type="paragraph" w:customStyle="1" w:styleId="18A0FCBD78CE4A86B33E72AA8F752E70">
    <w:name w:val="18A0FCBD78CE4A86B33E72AA8F752E70"/>
    <w:rsid w:val="00857D28"/>
    <w:rPr>
      <w:lang w:val="en-US" w:eastAsia="en-US"/>
    </w:rPr>
  </w:style>
  <w:style w:type="paragraph" w:customStyle="1" w:styleId="3368FA52F05F4CA08BAF97B8749EBFC7">
    <w:name w:val="3368FA52F05F4CA08BAF97B8749EBFC7"/>
    <w:rsid w:val="00857D28"/>
    <w:rPr>
      <w:lang w:val="en-US" w:eastAsia="en-US"/>
    </w:rPr>
  </w:style>
  <w:style w:type="paragraph" w:customStyle="1" w:styleId="670FF1DB3BBC4B459FC8E8EB7AF73DD7">
    <w:name w:val="670FF1DB3BBC4B459FC8E8EB7AF73DD7"/>
    <w:rsid w:val="00857D28"/>
    <w:rPr>
      <w:lang w:val="en-US" w:eastAsia="en-US"/>
    </w:rPr>
  </w:style>
  <w:style w:type="paragraph" w:customStyle="1" w:styleId="8E797598A2FA4E69927FBFC6A01BD1E6">
    <w:name w:val="8E797598A2FA4E69927FBFC6A01BD1E6"/>
    <w:rsid w:val="00857D28"/>
    <w:rPr>
      <w:lang w:val="en-US" w:eastAsia="en-US"/>
    </w:rPr>
  </w:style>
  <w:style w:type="paragraph" w:customStyle="1" w:styleId="2E5A0B2D4F7443DFB7C6E7EBBA82A8F3">
    <w:name w:val="2E5A0B2D4F7443DFB7C6E7EBBA82A8F3"/>
    <w:rsid w:val="00857D28"/>
    <w:rPr>
      <w:lang w:val="en-US" w:eastAsia="en-US"/>
    </w:rPr>
  </w:style>
  <w:style w:type="paragraph" w:customStyle="1" w:styleId="D8D113AA869E4692B6AA734E33C25CED">
    <w:name w:val="D8D113AA869E4692B6AA734E33C25CED"/>
    <w:rsid w:val="00857D28"/>
    <w:rPr>
      <w:lang w:val="en-US" w:eastAsia="en-US"/>
    </w:rPr>
  </w:style>
  <w:style w:type="paragraph" w:customStyle="1" w:styleId="A7BA4BDE289E410FA3A028B6A1EF9524">
    <w:name w:val="A7BA4BDE289E410FA3A028B6A1EF9524"/>
    <w:rsid w:val="00857D28"/>
    <w:rPr>
      <w:lang w:val="en-US" w:eastAsia="en-US"/>
    </w:rPr>
  </w:style>
  <w:style w:type="paragraph" w:customStyle="1" w:styleId="904030B0CEE9476286D5BCC106A7FCA9">
    <w:name w:val="904030B0CEE9476286D5BCC106A7FCA9"/>
    <w:rsid w:val="00857D28"/>
    <w:rPr>
      <w:lang w:val="en-US" w:eastAsia="en-US"/>
    </w:rPr>
  </w:style>
  <w:style w:type="paragraph" w:customStyle="1" w:styleId="D498CCE9636D4DF182340291F9B21A14">
    <w:name w:val="D498CCE9636D4DF182340291F9B21A14"/>
    <w:rsid w:val="00857D28"/>
    <w:rPr>
      <w:lang w:val="en-US" w:eastAsia="en-US"/>
    </w:rPr>
  </w:style>
  <w:style w:type="paragraph" w:customStyle="1" w:styleId="BA213D59945947EF8002966B2AB0B174">
    <w:name w:val="BA213D59945947EF8002966B2AB0B174"/>
    <w:rsid w:val="00857D28"/>
    <w:rPr>
      <w:lang w:val="en-US" w:eastAsia="en-US"/>
    </w:rPr>
  </w:style>
  <w:style w:type="paragraph" w:customStyle="1" w:styleId="D63154C042B142E48534F1C834F6A132">
    <w:name w:val="D63154C042B142E48534F1C834F6A132"/>
    <w:rsid w:val="007E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BB4B-A1B0-4036-9A61-28AC46DB1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7482AE-89E3-43C1-9C4B-D1FF62F9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53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8</cp:revision>
  <cp:lastPrinted>2018-10-22T22:41:00Z</cp:lastPrinted>
  <dcterms:created xsi:type="dcterms:W3CDTF">2019-09-17T02:26:00Z</dcterms:created>
  <dcterms:modified xsi:type="dcterms:W3CDTF">2019-09-24T01:17:00Z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