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62E2" w14:textId="77777777" w:rsidR="00BD499F" w:rsidRPr="004C23F4" w:rsidRDefault="00322598" w:rsidP="00B40C60">
      <w:pPr>
        <w:pStyle w:val="Heading1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ameofChemical"/>
          <w:tag w:val="NameofChemical"/>
          <w:id w:val="1425919599"/>
          <w:lock w:val="sdtLocked"/>
          <w:placeholder>
            <w:docPart w:val="CE1736E50B02464986D1BEC8B7ACDE96"/>
          </w:placeholder>
          <w:text/>
        </w:sdtPr>
        <w:sdtEndPr/>
        <w:sdtContent>
          <w:r w:rsidR="00E13CAD" w:rsidDel="00012A2D">
            <w:rPr>
              <w:rFonts w:ascii="Arial" w:hAnsi="Arial" w:cs="Arial"/>
            </w:rPr>
            <w:t>Bromine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8"/>
        <w:gridCol w:w="5038"/>
      </w:tblGrid>
      <w:tr w:rsidR="00F43AD5" w:rsidRPr="004C23F4" w14:paraId="7F447FCC" w14:textId="77777777" w:rsidTr="008A5BE4">
        <w:trPr>
          <w:cantSplit/>
          <w:tblHeader/>
        </w:trPr>
        <w:tc>
          <w:tcPr>
            <w:tcW w:w="3988" w:type="dxa"/>
          </w:tcPr>
          <w:p w14:paraId="31C35384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38" w:type="dxa"/>
          </w:tcPr>
          <w:p w14:paraId="2D67B982" w14:textId="77777777" w:rsidR="00F43AD5" w:rsidRPr="00717D45" w:rsidRDefault="00E13CAD" w:rsidP="00B76A41">
            <w:pPr>
              <w:pStyle w:val="Tablefont"/>
            </w:pPr>
            <w:r>
              <w:t>7726-95-6</w:t>
            </w:r>
          </w:p>
        </w:tc>
      </w:tr>
      <w:tr w:rsidR="00F43AD5" w:rsidRPr="004C23F4" w14:paraId="32902A07" w14:textId="77777777" w:rsidTr="008A5BE4">
        <w:trPr>
          <w:cantSplit/>
        </w:trPr>
        <w:tc>
          <w:tcPr>
            <w:tcW w:w="3988" w:type="dxa"/>
          </w:tcPr>
          <w:p w14:paraId="01E7B19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38" w:type="dxa"/>
          </w:tcPr>
          <w:p w14:paraId="3093D647" w14:textId="77777777" w:rsidR="00F43AD5" w:rsidRPr="00717D45" w:rsidRDefault="00EA07C8" w:rsidP="00B76A41">
            <w:pPr>
              <w:pStyle w:val="Tablefont"/>
            </w:pPr>
            <w:proofErr w:type="spellStart"/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Dibromine</w:t>
            </w:r>
            <w:proofErr w:type="spellEnd"/>
          </w:p>
        </w:tc>
      </w:tr>
      <w:tr w:rsidR="00F43AD5" w:rsidRPr="004C23F4" w14:paraId="777E528B" w14:textId="77777777" w:rsidTr="008A5BE4">
        <w:trPr>
          <w:cantSplit/>
        </w:trPr>
        <w:tc>
          <w:tcPr>
            <w:tcW w:w="3988" w:type="dxa"/>
          </w:tcPr>
          <w:p w14:paraId="5FA91CEB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38" w:type="dxa"/>
          </w:tcPr>
          <w:p w14:paraId="75C73D0F" w14:textId="77777777" w:rsidR="00F43AD5" w:rsidRPr="00E13CAD" w:rsidRDefault="00E13CAD" w:rsidP="00B76A41">
            <w:pPr>
              <w:pStyle w:val="Tablefont"/>
            </w:pPr>
            <w:r>
              <w:t>Br</w:t>
            </w:r>
            <w:r>
              <w:rPr>
                <w:vertAlign w:val="subscript"/>
              </w:rPr>
              <w:t>2</w:t>
            </w:r>
          </w:p>
        </w:tc>
      </w:tr>
    </w:tbl>
    <w:p w14:paraId="65F12C13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2238DD" w:rsidDel="00012A2D">
            <w:rPr>
              <w:rStyle w:val="WESstatus"/>
            </w:rPr>
            <w:t>(interim)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97"/>
        <w:gridCol w:w="5029"/>
      </w:tblGrid>
      <w:tr w:rsidR="002C7AFE" w:rsidRPr="004C23F4" w14:paraId="05704AC6" w14:textId="77777777" w:rsidTr="00610F2E">
        <w:trPr>
          <w:cantSplit/>
          <w:tblHeader/>
        </w:trPr>
        <w:tc>
          <w:tcPr>
            <w:tcW w:w="4077" w:type="dxa"/>
            <w:vAlign w:val="center"/>
          </w:tcPr>
          <w:p w14:paraId="7034B26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165" w:type="dxa"/>
          </w:tcPr>
          <w:p w14:paraId="30AD5A5C" w14:textId="77777777" w:rsidR="002C7AFE" w:rsidRPr="00F90B74" w:rsidRDefault="00F90B7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0.1 ppm (0.66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50786185" w14:textId="77777777" w:rsidTr="00921DE7">
        <w:trPr>
          <w:cantSplit/>
        </w:trPr>
        <w:tc>
          <w:tcPr>
            <w:tcW w:w="4077" w:type="dxa"/>
            <w:vAlign w:val="center"/>
          </w:tcPr>
          <w:p w14:paraId="3FF14F1E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165" w:type="dxa"/>
          </w:tcPr>
          <w:p w14:paraId="27750CCA" w14:textId="77777777" w:rsidR="002C7AFE" w:rsidRPr="008A5BE4" w:rsidRDefault="00F90B74" w:rsidP="00017C82">
            <w:pPr>
              <w:pStyle w:val="Tablefont"/>
            </w:pPr>
            <w:r w:rsidRPr="008A5BE4">
              <w:t>—</w:t>
            </w:r>
          </w:p>
        </w:tc>
      </w:tr>
      <w:tr w:rsidR="002C7AFE" w:rsidRPr="004C23F4" w14:paraId="5987B62A" w14:textId="77777777" w:rsidTr="00921DE7">
        <w:trPr>
          <w:cantSplit/>
        </w:trPr>
        <w:tc>
          <w:tcPr>
            <w:tcW w:w="4077" w:type="dxa"/>
            <w:vAlign w:val="center"/>
          </w:tcPr>
          <w:p w14:paraId="354217BD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165" w:type="dxa"/>
          </w:tcPr>
          <w:p w14:paraId="43958121" w14:textId="77777777" w:rsidR="002C7AFE" w:rsidRPr="00F90B74" w:rsidRDefault="00F90B7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0.2 ppm (1.3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2C7AFE" w:rsidRPr="004C23F4" w14:paraId="7384EBD5" w14:textId="77777777" w:rsidTr="00A2073D">
        <w:trPr>
          <w:cantSplit/>
        </w:trPr>
        <w:tc>
          <w:tcPr>
            <w:tcW w:w="4077" w:type="dxa"/>
          </w:tcPr>
          <w:p w14:paraId="466447AB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165" w:type="dxa"/>
          </w:tcPr>
          <w:p w14:paraId="101E3FDE" w14:textId="77777777" w:rsidR="002C7AFE" w:rsidRPr="008A5BE4" w:rsidRDefault="00F90B74" w:rsidP="008A36CF">
            <w:pPr>
              <w:pStyle w:val="Tablefont"/>
            </w:pPr>
            <w:r w:rsidRPr="008A5BE4">
              <w:t>—</w:t>
            </w:r>
          </w:p>
        </w:tc>
      </w:tr>
      <w:tr w:rsidR="002C7AFE" w:rsidRPr="004C23F4" w14:paraId="5DD34050" w14:textId="77777777" w:rsidTr="00921DE7">
        <w:trPr>
          <w:cantSplit/>
        </w:trPr>
        <w:tc>
          <w:tcPr>
            <w:tcW w:w="4077" w:type="dxa"/>
            <w:vAlign w:val="center"/>
          </w:tcPr>
          <w:p w14:paraId="4D582F75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165" w:type="dxa"/>
          </w:tcPr>
          <w:p w14:paraId="4B2176B1" w14:textId="77777777" w:rsidR="002C7AFE" w:rsidRPr="00F90B74" w:rsidRDefault="00F90B74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 ppm (19.6 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9F04D2" w:rsidRPr="004C23F4" w14:paraId="7B2AA82E" w14:textId="77777777" w:rsidTr="00921DE7">
        <w:trPr>
          <w:cantSplit/>
        </w:trPr>
        <w:tc>
          <w:tcPr>
            <w:tcW w:w="4077" w:type="dxa"/>
            <w:vAlign w:val="center"/>
          </w:tcPr>
          <w:p w14:paraId="0C571901" w14:textId="77777777" w:rsidR="009F04D2" w:rsidRDefault="009F04D2" w:rsidP="008A5BE4">
            <w:pPr>
              <w:pStyle w:val="Tablerowright"/>
            </w:pPr>
            <w:r>
              <w:t>Sampling and analysis:</w:t>
            </w:r>
          </w:p>
        </w:tc>
        <w:tc>
          <w:tcPr>
            <w:tcW w:w="5165" w:type="dxa"/>
          </w:tcPr>
          <w:p w14:paraId="0466E9F9" w14:textId="2CF1DACA" w:rsidR="009F04D2" w:rsidRPr="008A5BE4" w:rsidRDefault="00C0353C" w:rsidP="00017C82">
            <w:pPr>
              <w:pStyle w:val="Tablefont"/>
            </w:pPr>
            <w:r w:rsidRPr="008A5BE4">
              <w:t>The recommended value is quantifiable through available sampling and analysis techniques.</w:t>
            </w:r>
          </w:p>
        </w:tc>
      </w:tr>
    </w:tbl>
    <w:p w14:paraId="2E82EBCA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F9C809E" w14:textId="77777777" w:rsidR="00AE329A" w:rsidRDefault="0007300F" w:rsidP="000C139A">
      <w:pPr>
        <w:rPr>
          <w:rFonts w:cs="Arial"/>
        </w:rPr>
      </w:pPr>
      <w:r w:rsidRPr="0007300F">
        <w:rPr>
          <w:rFonts w:cs="Arial"/>
        </w:rPr>
        <w:t xml:space="preserve">A TWA of </w:t>
      </w:r>
      <w:r w:rsidR="00F90B74">
        <w:rPr>
          <w:rFonts w:cs="Arial"/>
        </w:rPr>
        <w:t>0.1</w:t>
      </w:r>
      <w:r w:rsidRPr="0007300F">
        <w:rPr>
          <w:rFonts w:cs="Arial"/>
        </w:rPr>
        <w:t xml:space="preserve"> ppm (</w:t>
      </w:r>
      <w:r w:rsidR="00F90B74">
        <w:rPr>
          <w:rFonts w:cs="Arial"/>
        </w:rPr>
        <w:t>0.66</w:t>
      </w:r>
      <w:r w:rsidRPr="0007300F">
        <w:rPr>
          <w:rFonts w:cs="Arial"/>
        </w:rPr>
        <w:t xml:space="preserve"> mg/m</w:t>
      </w:r>
      <w:r w:rsidRPr="00F90B74">
        <w:rPr>
          <w:rFonts w:cs="Arial"/>
          <w:vertAlign w:val="superscript"/>
        </w:rPr>
        <w:t>3</w:t>
      </w:r>
      <w:r w:rsidR="00F90B74">
        <w:rPr>
          <w:rFonts w:cs="Arial"/>
        </w:rPr>
        <w:t>) is recommended</w:t>
      </w:r>
      <w:r w:rsidRPr="0007300F">
        <w:rPr>
          <w:rFonts w:cs="Arial"/>
        </w:rPr>
        <w:t xml:space="preserve"> to </w:t>
      </w:r>
      <w:r w:rsidR="00F90B74">
        <w:rPr>
          <w:rFonts w:cs="Arial"/>
        </w:rPr>
        <w:t>minimise potential</w:t>
      </w:r>
      <w:r w:rsidRPr="0007300F">
        <w:rPr>
          <w:rFonts w:cs="Arial"/>
        </w:rPr>
        <w:t xml:space="preserve"> for </w:t>
      </w:r>
      <w:r w:rsidR="00F90B74">
        <w:rPr>
          <w:rFonts w:cs="Arial"/>
        </w:rPr>
        <w:t xml:space="preserve">irritation to the eyes, respiratory tract and mucous membranes </w:t>
      </w:r>
      <w:r w:rsidR="00EC31DA">
        <w:rPr>
          <w:rFonts w:cs="Arial"/>
        </w:rPr>
        <w:t>in exposed workers</w:t>
      </w:r>
      <w:r w:rsidRPr="0007300F">
        <w:rPr>
          <w:rFonts w:cs="Arial"/>
        </w:rPr>
        <w:t>.</w:t>
      </w:r>
      <w:r>
        <w:rPr>
          <w:rFonts w:cs="Arial"/>
        </w:rPr>
        <w:t xml:space="preserve"> </w:t>
      </w:r>
    </w:p>
    <w:p w14:paraId="61FF1E3D" w14:textId="77777777" w:rsidR="006639B4" w:rsidRDefault="00F90B74" w:rsidP="000C139A">
      <w:pPr>
        <w:rPr>
          <w:rFonts w:cs="Arial"/>
        </w:rPr>
      </w:pPr>
      <w:r>
        <w:rPr>
          <w:rFonts w:cs="Arial"/>
        </w:rPr>
        <w:t>A</w:t>
      </w:r>
      <w:r w:rsidRPr="00F90B74">
        <w:rPr>
          <w:rFonts w:cs="Arial"/>
        </w:rPr>
        <w:t xml:space="preserve"> peak limitation of </w:t>
      </w:r>
      <w:r>
        <w:rPr>
          <w:rFonts w:cs="Arial"/>
        </w:rPr>
        <w:t xml:space="preserve">0.2 </w:t>
      </w:r>
      <w:r w:rsidRPr="00F90B74">
        <w:rPr>
          <w:rFonts w:cs="Arial"/>
        </w:rPr>
        <w:t>ppm (</w:t>
      </w:r>
      <w:r>
        <w:rPr>
          <w:rFonts w:cs="Arial"/>
        </w:rPr>
        <w:t>1.3</w:t>
      </w:r>
      <w:r w:rsidR="00807B98">
        <w:rPr>
          <w:rFonts w:cs="Arial"/>
        </w:rPr>
        <w:t> </w:t>
      </w:r>
      <w:r w:rsidRPr="00F90B74">
        <w:rPr>
          <w:rFonts w:cs="Arial"/>
        </w:rPr>
        <w:t>mg/m</w:t>
      </w:r>
      <w:r w:rsidRPr="00F90B74">
        <w:rPr>
          <w:rFonts w:cs="Arial"/>
          <w:vertAlign w:val="superscript"/>
        </w:rPr>
        <w:t>3</w:t>
      </w:r>
      <w:r w:rsidRPr="00F90B74">
        <w:rPr>
          <w:rFonts w:cs="Arial"/>
        </w:rPr>
        <w:t>) is recommended to</w:t>
      </w:r>
      <w:r>
        <w:rPr>
          <w:rFonts w:cs="Arial"/>
        </w:rPr>
        <w:t xml:space="preserve"> protect for severe</w:t>
      </w:r>
      <w:r w:rsidRPr="00F90B74">
        <w:rPr>
          <w:rFonts w:cs="Arial"/>
        </w:rPr>
        <w:t xml:space="preserve"> </w:t>
      </w:r>
      <w:r>
        <w:rPr>
          <w:rFonts w:cs="Arial"/>
        </w:rPr>
        <w:t xml:space="preserve">irritation </w:t>
      </w:r>
      <w:r w:rsidRPr="00F90B74">
        <w:rPr>
          <w:rFonts w:cs="Arial"/>
        </w:rPr>
        <w:t xml:space="preserve">in </w:t>
      </w:r>
      <w:r w:rsidR="00E45B2E">
        <w:rPr>
          <w:rFonts w:cs="Arial"/>
        </w:rPr>
        <w:t xml:space="preserve">acutely </w:t>
      </w:r>
      <w:r>
        <w:rPr>
          <w:rFonts w:cs="Arial"/>
        </w:rPr>
        <w:t xml:space="preserve">exposed </w:t>
      </w:r>
      <w:r w:rsidRPr="00F90B74">
        <w:rPr>
          <w:rFonts w:cs="Arial"/>
        </w:rPr>
        <w:t>workers</w:t>
      </w:r>
      <w:r w:rsidR="00E45B2E">
        <w:rPr>
          <w:rFonts w:cs="Arial"/>
        </w:rPr>
        <w:t>.</w:t>
      </w:r>
    </w:p>
    <w:p w14:paraId="1337F948" w14:textId="77777777" w:rsidR="00AE329A" w:rsidRPr="004C23F4" w:rsidRDefault="00AE329A" w:rsidP="000C139A">
      <w:pPr>
        <w:rPr>
          <w:rFonts w:cs="Arial"/>
        </w:rPr>
      </w:pPr>
      <w:r>
        <w:rPr>
          <w:rFonts w:cs="Arial"/>
        </w:rPr>
        <w:t>Investigation of additional data sources is recommended at the next scheduled review, particularly for chronic exposure data.</w:t>
      </w:r>
    </w:p>
    <w:p w14:paraId="656300F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55B34304" w14:textId="3EAAD8E5" w:rsidR="008A5BE4" w:rsidRDefault="002238DD" w:rsidP="006639B4">
      <w:pPr>
        <w:rPr>
          <w:rFonts w:cs="Arial"/>
        </w:rPr>
      </w:pPr>
      <w:r>
        <w:rPr>
          <w:rFonts w:cs="Arial"/>
        </w:rPr>
        <w:t xml:space="preserve">Bromine is </w:t>
      </w:r>
      <w:r w:rsidR="004934EE">
        <w:rPr>
          <w:rFonts w:cs="Arial"/>
        </w:rPr>
        <w:t xml:space="preserve">used </w:t>
      </w:r>
      <w:r w:rsidR="00015B9B">
        <w:rPr>
          <w:rFonts w:cs="Arial"/>
        </w:rPr>
        <w:t xml:space="preserve">in chemical manufacture, organic syntheses, water purification, </w:t>
      </w:r>
      <w:r w:rsidR="00E45B2E">
        <w:rPr>
          <w:rFonts w:cs="Arial"/>
        </w:rPr>
        <w:t>fumigant production</w:t>
      </w:r>
      <w:r w:rsidR="00015B9B">
        <w:rPr>
          <w:rFonts w:cs="Arial"/>
        </w:rPr>
        <w:t xml:space="preserve"> and analytical reagent</w:t>
      </w:r>
      <w:r w:rsidR="00E45B2E">
        <w:rPr>
          <w:rFonts w:cs="Arial"/>
        </w:rPr>
        <w:t>s</w:t>
      </w:r>
      <w:r w:rsidR="00015B9B">
        <w:rPr>
          <w:rFonts w:cs="Arial"/>
        </w:rPr>
        <w:t>.</w:t>
      </w:r>
      <w:r w:rsidR="00264FCC">
        <w:rPr>
          <w:rFonts w:cs="Arial"/>
        </w:rPr>
        <w:t xml:space="preserve"> </w:t>
      </w:r>
    </w:p>
    <w:p w14:paraId="222809D3" w14:textId="7D2D80CD" w:rsidR="000E07FA" w:rsidRDefault="002238DD" w:rsidP="006639B4">
      <w:pPr>
        <w:rPr>
          <w:rFonts w:cs="Arial"/>
        </w:rPr>
      </w:pPr>
      <w:r>
        <w:rPr>
          <w:rFonts w:cs="Arial"/>
        </w:rPr>
        <w:t>Contact with moisture produces corrosive hydrolysis products</w:t>
      </w:r>
      <w:r w:rsidR="00AE329A">
        <w:rPr>
          <w:rFonts w:cs="Arial"/>
        </w:rPr>
        <w:t xml:space="preserve"> </w:t>
      </w:r>
      <w:r>
        <w:rPr>
          <w:rFonts w:cs="Arial"/>
        </w:rPr>
        <w:t xml:space="preserve">including </w:t>
      </w:r>
      <w:proofErr w:type="spellStart"/>
      <w:r>
        <w:rPr>
          <w:rFonts w:cs="Arial"/>
        </w:rPr>
        <w:t>hydrobromic</w:t>
      </w:r>
      <w:proofErr w:type="spellEnd"/>
      <w:r>
        <w:rPr>
          <w:rFonts w:cs="Arial"/>
        </w:rPr>
        <w:t xml:space="preserve"> acid</w:t>
      </w:r>
      <w:r w:rsidR="00DF4B0F">
        <w:rPr>
          <w:rFonts w:cs="Arial"/>
        </w:rPr>
        <w:t xml:space="preserve"> (</w:t>
      </w:r>
      <w:proofErr w:type="spellStart"/>
      <w:r w:rsidR="00DF4B0F">
        <w:rPr>
          <w:rFonts w:cs="Arial"/>
        </w:rPr>
        <w:t>HBr</w:t>
      </w:r>
      <w:proofErr w:type="spellEnd"/>
      <w:r w:rsidR="00DF4B0F">
        <w:rPr>
          <w:rFonts w:cs="Arial"/>
        </w:rPr>
        <w:t>)</w:t>
      </w:r>
      <w:r w:rsidR="00AE329A">
        <w:rPr>
          <w:rFonts w:cs="Arial"/>
        </w:rPr>
        <w:t>. This contact results in the</w:t>
      </w:r>
      <w:r>
        <w:rPr>
          <w:rFonts w:cs="Arial"/>
        </w:rPr>
        <w:t xml:space="preserve"> critical effect of irritation </w:t>
      </w:r>
      <w:r w:rsidR="00F166D0">
        <w:rPr>
          <w:rFonts w:cs="Arial"/>
        </w:rPr>
        <w:t xml:space="preserve">of </w:t>
      </w:r>
      <w:r>
        <w:rPr>
          <w:rFonts w:cs="Arial"/>
        </w:rPr>
        <w:t>the eyes, respiratory tract and mucous membranes</w:t>
      </w:r>
      <w:r w:rsidR="00DF4B0F">
        <w:rPr>
          <w:rFonts w:cs="Arial"/>
        </w:rPr>
        <w:t xml:space="preserve"> (DFG, 2013)</w:t>
      </w:r>
      <w:r>
        <w:rPr>
          <w:rFonts w:cs="Arial"/>
        </w:rPr>
        <w:t xml:space="preserve">. </w:t>
      </w:r>
      <w:r w:rsidR="00E113C8">
        <w:rPr>
          <w:rFonts w:cs="Arial"/>
        </w:rPr>
        <w:t>Acute human exposure data suggests t</w:t>
      </w:r>
      <w:r w:rsidR="00DF4B0F">
        <w:rPr>
          <w:rFonts w:cs="Arial"/>
        </w:rPr>
        <w:t xml:space="preserve">he severity of these symptoms increases steeply with </w:t>
      </w:r>
      <w:r w:rsidR="00E113C8">
        <w:rPr>
          <w:rFonts w:cs="Arial"/>
        </w:rPr>
        <w:t>concentration</w:t>
      </w:r>
      <w:r w:rsidR="00AE329A">
        <w:rPr>
          <w:rFonts w:cs="Arial"/>
        </w:rPr>
        <w:t>. However,</w:t>
      </w:r>
      <w:r w:rsidR="0008616A">
        <w:rPr>
          <w:rFonts w:cs="Arial"/>
        </w:rPr>
        <w:t xml:space="preserve"> chronic exposures have not been studied in animals </w:t>
      </w:r>
      <w:r w:rsidR="000633D6">
        <w:rPr>
          <w:rFonts w:cs="Arial"/>
        </w:rPr>
        <w:t>n</w:t>
      </w:r>
      <w:r w:rsidR="0008616A">
        <w:rPr>
          <w:rFonts w:cs="Arial"/>
        </w:rPr>
        <w:t xml:space="preserve">or humans </w:t>
      </w:r>
      <w:r w:rsidR="00AE10BE">
        <w:rPr>
          <w:rFonts w:cs="Arial"/>
        </w:rPr>
        <w:t>(ACGIH, 2018</w:t>
      </w:r>
      <w:r w:rsidR="00E24604">
        <w:rPr>
          <w:rFonts w:cs="Arial"/>
        </w:rPr>
        <w:t>; DFG, 2013)</w:t>
      </w:r>
      <w:r>
        <w:rPr>
          <w:rFonts w:cs="Arial"/>
        </w:rPr>
        <w:t xml:space="preserve">. </w:t>
      </w:r>
    </w:p>
    <w:p w14:paraId="7F69A5BD" w14:textId="77777777" w:rsidR="008A5BE4" w:rsidRDefault="0008616A" w:rsidP="006639B4">
      <w:pPr>
        <w:rPr>
          <w:rFonts w:cs="Arial"/>
        </w:rPr>
      </w:pPr>
      <w:r>
        <w:rPr>
          <w:rFonts w:cs="Arial"/>
        </w:rPr>
        <w:t xml:space="preserve">The TWA is </w:t>
      </w:r>
      <w:r w:rsidR="00FD2987">
        <w:rPr>
          <w:rFonts w:cs="Arial"/>
        </w:rPr>
        <w:t>based on a</w:t>
      </w:r>
      <w:r w:rsidR="00383B18">
        <w:rPr>
          <w:rFonts w:cs="Arial"/>
        </w:rPr>
        <w:t>n</w:t>
      </w:r>
      <w:r w:rsidR="00FD2987">
        <w:rPr>
          <w:rFonts w:cs="Arial"/>
        </w:rPr>
        <w:t xml:space="preserve"> </w:t>
      </w:r>
      <w:r w:rsidR="00383B18" w:rsidRPr="00EA3FC3">
        <w:rPr>
          <w:rFonts w:cs="Arial"/>
        </w:rPr>
        <w:t xml:space="preserve">occupational </w:t>
      </w:r>
      <w:r w:rsidR="00FD2987" w:rsidRPr="00EA3FC3">
        <w:rPr>
          <w:rFonts w:cs="Arial"/>
        </w:rPr>
        <w:t xml:space="preserve">threshold </w:t>
      </w:r>
      <w:r w:rsidR="00383B18" w:rsidRPr="00EA3FC3">
        <w:rPr>
          <w:rFonts w:cs="Arial"/>
        </w:rPr>
        <w:t>cited in</w:t>
      </w:r>
      <w:r w:rsidR="00383B18">
        <w:rPr>
          <w:rFonts w:cs="Arial"/>
        </w:rPr>
        <w:t xml:space="preserve"> ACGIH </w:t>
      </w:r>
      <w:r w:rsidR="00AE329A">
        <w:rPr>
          <w:rFonts w:cs="Arial"/>
        </w:rPr>
        <w:t>(2018) and</w:t>
      </w:r>
      <w:r w:rsidR="00383B18">
        <w:rPr>
          <w:rFonts w:cs="Arial"/>
        </w:rPr>
        <w:t xml:space="preserve"> is supported by a </w:t>
      </w:r>
      <w:r w:rsidR="00383B18" w:rsidRPr="00EA3FC3">
        <w:rPr>
          <w:rFonts w:cs="Arial"/>
        </w:rPr>
        <w:t>LOAEL</w:t>
      </w:r>
      <w:r w:rsidR="00383B18">
        <w:rPr>
          <w:rFonts w:cs="Arial"/>
        </w:rPr>
        <w:t xml:space="preserve"> of 0.2 ppm for eye irritation reported in an acute inhalational exposure study in humans (DFG, 2013; HCOTN, 2005). </w:t>
      </w:r>
    </w:p>
    <w:p w14:paraId="76A25703" w14:textId="3B4F904D" w:rsidR="008A5BE4" w:rsidRDefault="008A5BE4" w:rsidP="006639B4">
      <w:pPr>
        <w:rPr>
          <w:rFonts w:cs="Arial"/>
        </w:rPr>
      </w:pPr>
      <w:r>
        <w:t>Higher concentrations are reported to cause severe symptoms (DFG, 2013). Additionally, there are</w:t>
      </w:r>
      <w:r w:rsidRPr="004934EE">
        <w:rPr>
          <w:rFonts w:cs="Arial"/>
        </w:rPr>
        <w:t xml:space="preserve"> </w:t>
      </w:r>
      <w:r>
        <w:rPr>
          <w:rFonts w:cs="Arial"/>
        </w:rPr>
        <w:t xml:space="preserve">reports of </w:t>
      </w:r>
      <w:r w:rsidRPr="00E113C8">
        <w:rPr>
          <w:rFonts w:cs="Arial"/>
        </w:rPr>
        <w:t>wide range of subjective i</w:t>
      </w:r>
      <w:r>
        <w:rPr>
          <w:rFonts w:cs="Arial"/>
        </w:rPr>
        <w:t>rritant</w:t>
      </w:r>
      <w:r w:rsidRPr="00E113C8">
        <w:rPr>
          <w:rFonts w:cs="Arial"/>
        </w:rPr>
        <w:t xml:space="preserve"> effects (ACGIH, 20</w:t>
      </w:r>
      <w:r>
        <w:rPr>
          <w:rFonts w:cs="Arial"/>
        </w:rPr>
        <w:t>18</w:t>
      </w:r>
      <w:r w:rsidRPr="00E113C8">
        <w:rPr>
          <w:rFonts w:cs="Arial"/>
        </w:rPr>
        <w:t>) and</w:t>
      </w:r>
      <w:r>
        <w:rPr>
          <w:rFonts w:cs="Arial"/>
        </w:rPr>
        <w:t xml:space="preserve"> there is a</w:t>
      </w:r>
      <w:r w:rsidRPr="00E113C8">
        <w:rPr>
          <w:rFonts w:cs="Arial"/>
        </w:rPr>
        <w:t xml:space="preserve"> lack of currently available chronic exposure data (DFG, 2013; HCOTN, 2005).</w:t>
      </w:r>
      <w:r>
        <w:rPr>
          <w:rFonts w:cs="Arial"/>
        </w:rPr>
        <w:t xml:space="preserve"> </w:t>
      </w:r>
      <w:r w:rsidR="00383B18">
        <w:rPr>
          <w:rFonts w:cs="Arial"/>
        </w:rPr>
        <w:t xml:space="preserve">A peak limitation is recommended due to the severity of </w:t>
      </w:r>
      <w:r>
        <w:rPr>
          <w:rFonts w:cs="Arial"/>
        </w:rPr>
        <w:t xml:space="preserve">these effects. </w:t>
      </w:r>
    </w:p>
    <w:p w14:paraId="750DA92F" w14:textId="1107E329" w:rsidR="006639B4" w:rsidRPr="004C23F4" w:rsidRDefault="00E113C8" w:rsidP="006639B4">
      <w:pPr>
        <w:rPr>
          <w:rFonts w:cs="Arial"/>
        </w:rPr>
      </w:pPr>
      <w:r>
        <w:rPr>
          <w:rFonts w:cs="Arial"/>
        </w:rPr>
        <w:t xml:space="preserve">Due to the wide </w:t>
      </w:r>
      <w:r w:rsidR="00F90B74">
        <w:rPr>
          <w:rFonts w:cs="Arial"/>
        </w:rPr>
        <w:t xml:space="preserve">range of reported </w:t>
      </w:r>
      <w:r w:rsidR="00F60AA7">
        <w:rPr>
          <w:rFonts w:cs="Arial"/>
        </w:rPr>
        <w:t xml:space="preserve">irritation effects </w:t>
      </w:r>
      <w:r w:rsidR="00F90B74">
        <w:rPr>
          <w:rFonts w:cs="Arial"/>
        </w:rPr>
        <w:t xml:space="preserve">and lack of chronic exposure data, a priority review of the TWA is recommended </w:t>
      </w:r>
      <w:r w:rsidR="00E45B2E">
        <w:rPr>
          <w:rFonts w:cs="Arial"/>
        </w:rPr>
        <w:t>at</w:t>
      </w:r>
      <w:r w:rsidR="00F90B74">
        <w:rPr>
          <w:rFonts w:cs="Arial"/>
        </w:rPr>
        <w:t xml:space="preserve"> the next scheduled review.</w:t>
      </w:r>
    </w:p>
    <w:p w14:paraId="28205F7F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7CFC4281" w14:textId="77777777" w:rsidR="00F90B74" w:rsidRPr="00F90B74" w:rsidRDefault="00F90B74" w:rsidP="00F90B74">
      <w:pPr>
        <w:rPr>
          <w:rFonts w:cs="Arial"/>
        </w:rPr>
      </w:pPr>
      <w:r w:rsidRPr="00F90B74">
        <w:rPr>
          <w:rFonts w:cs="Arial"/>
        </w:rPr>
        <w:t xml:space="preserve">Not classified as </w:t>
      </w:r>
      <w:r w:rsidR="006F3A54">
        <w:rPr>
          <w:rFonts w:cs="Arial"/>
        </w:rPr>
        <w:t>a carcinogen</w:t>
      </w:r>
      <w:r w:rsidR="006F3A54" w:rsidRPr="00F90B74">
        <w:rPr>
          <w:rFonts w:cs="Arial"/>
        </w:rPr>
        <w:t xml:space="preserve"> </w:t>
      </w:r>
      <w:r w:rsidRPr="00F90B74">
        <w:rPr>
          <w:rFonts w:cs="Arial"/>
        </w:rPr>
        <w:t>according to the Globally Harmonized System of Classification and Labelling of Chemicals (GHS).</w:t>
      </w:r>
    </w:p>
    <w:p w14:paraId="749057FB" w14:textId="77777777" w:rsidR="00F90B74" w:rsidRPr="00F90B74" w:rsidRDefault="00F90B74" w:rsidP="00F90B74">
      <w:pPr>
        <w:rPr>
          <w:rFonts w:cs="Arial"/>
        </w:rPr>
      </w:pPr>
      <w:r w:rsidRPr="00F90B74">
        <w:rPr>
          <w:rFonts w:cs="Arial"/>
        </w:rPr>
        <w:t>Not classified as</w:t>
      </w:r>
      <w:r w:rsidR="000E07FA">
        <w:rPr>
          <w:rFonts w:cs="Arial"/>
        </w:rPr>
        <w:t xml:space="preserve"> a</w:t>
      </w:r>
      <w:r w:rsidRPr="00F90B74">
        <w:rPr>
          <w:rFonts w:cs="Arial"/>
        </w:rPr>
        <w:t xml:space="preserve"> skin </w:t>
      </w:r>
      <w:r w:rsidR="000E07FA">
        <w:rPr>
          <w:rFonts w:cs="Arial"/>
        </w:rPr>
        <w:t>sensitiser or</w:t>
      </w:r>
      <w:r w:rsidR="000E07FA" w:rsidRPr="00F90B74">
        <w:rPr>
          <w:rFonts w:cs="Arial"/>
        </w:rPr>
        <w:t xml:space="preserve"> </w:t>
      </w:r>
      <w:r w:rsidRPr="00F90B74">
        <w:rPr>
          <w:rFonts w:cs="Arial"/>
        </w:rPr>
        <w:t>respiratory sensitiser according to the GHS.</w:t>
      </w:r>
    </w:p>
    <w:p w14:paraId="608C219B" w14:textId="77777777" w:rsidR="005E6979" w:rsidRPr="004C23F4" w:rsidRDefault="00E41DEE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  <w:r>
        <w:rPr>
          <w:rFonts w:cs="Arial"/>
        </w:rPr>
        <w:t>There are insufficient data to recommend a skin notation.</w:t>
      </w:r>
    </w:p>
    <w:p w14:paraId="7AF22706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6D00AB7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07B07C4C" w14:textId="77777777" w:rsidTr="00D42B84">
        <w:trPr>
          <w:gridAfter w:val="1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6637D9EE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D1EAE45" w14:textId="77777777" w:rsidTr="00D42B84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89D1441" w14:textId="77777777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i w:val="0"/>
                  </w:rPr>
                  <w:t>Y</w:t>
                </w:r>
                <w:r w:rsidRPr="003365A5">
                  <w:rPr>
                    <w:rStyle w:val="PlaceholderText"/>
                    <w:i w:val="0"/>
                  </w:rPr>
                  <w:t>ear</w:t>
                </w:r>
              </w:sdtContent>
            </w:sdt>
            <w:r w:rsidRPr="003365A5"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B31EE">
                  <w:t>TWA: 0.1 ppm (0.66 mg/m</w:t>
                </w:r>
                <w:r w:rsidR="003B31EE" w:rsidRPr="00E41DEE">
                  <w:rPr>
                    <w:vertAlign w:val="superscript"/>
                  </w:rPr>
                  <w:t>3</w:t>
                </w:r>
                <w:r w:rsidR="003B31EE">
                  <w:t xml:space="preserve">); </w:t>
                </w:r>
                <w:r w:rsidR="003B31EE" w:rsidRPr="003B31EE">
                  <w:t>STEL: 0.2 ppm (1.3 mg/m</w:t>
                </w:r>
                <w:r w:rsidR="003B31EE" w:rsidRPr="003B31EE">
                  <w:rPr>
                    <w:vertAlign w:val="superscript"/>
                  </w:rPr>
                  <w:t>3</w:t>
                </w:r>
                <w:r w:rsidR="003B31EE">
                  <w:t>)</w:t>
                </w:r>
              </w:sdtContent>
            </w:sdt>
          </w:p>
        </w:tc>
      </w:tr>
      <w:tr w:rsidR="00C978F0" w:rsidRPr="00DA352E" w14:paraId="7AC412E1" w14:textId="77777777" w:rsidTr="00D42B84">
        <w:trPr>
          <w:gridAfter w:val="1"/>
          <w:wAfter w:w="8" w:type="pct"/>
        </w:trPr>
        <w:tc>
          <w:tcPr>
            <w:tcW w:w="4992" w:type="pct"/>
          </w:tcPr>
          <w:p w14:paraId="7D1070CB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7C7B98B6" w14:textId="77777777" w:rsidTr="00D42B8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F153ABF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031DA5" w:rsidDel="00012A2D">
                  <w:t>2001</w:t>
                </w:r>
              </w:sdtContent>
            </w:sdt>
            <w:r w:rsidR="00916EC0" w:rsidRPr="003365A5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031DA5">
                  <w:t>TLV-TWA: 0.1 ppm (0.66 mg/m</w:t>
                </w:r>
                <w:r w:rsidR="00031DA5">
                  <w:rPr>
                    <w:vertAlign w:val="superscript"/>
                  </w:rPr>
                  <w:t>3</w:t>
                </w:r>
                <w:r w:rsidR="00031DA5">
                  <w:t>); TLV-STEL: 0.2 ppm (1.3 mg/m</w:t>
                </w:r>
                <w:r w:rsidR="00031DA5">
                  <w:rPr>
                    <w:vertAlign w:val="superscript"/>
                  </w:rPr>
                  <w:t>3</w:t>
                </w:r>
              </w:sdtContent>
            </w:sdt>
            <w:r w:rsidR="00031DA5">
              <w:t>)</w:t>
            </w:r>
          </w:p>
        </w:tc>
      </w:tr>
      <w:tr w:rsidR="00C978F0" w:rsidRPr="00DA352E" w14:paraId="60770E2F" w14:textId="77777777" w:rsidTr="00D42B84">
        <w:trPr>
          <w:gridAfter w:val="1"/>
          <w:wAfter w:w="8" w:type="pct"/>
        </w:trPr>
        <w:tc>
          <w:tcPr>
            <w:tcW w:w="4992" w:type="pct"/>
          </w:tcPr>
          <w:p w14:paraId="2C9E6A77" w14:textId="77777777" w:rsidR="00AE329A" w:rsidRDefault="00E13CAD" w:rsidP="00EA07C8">
            <w:pPr>
              <w:pStyle w:val="Tabletextprimarysource"/>
            </w:pPr>
            <w:r>
              <w:t>TLV-TWA intended to protect for irritation of the respiratory tract and injury of lung tissue. TLV</w:t>
            </w:r>
            <w:r w:rsidR="00046FDA">
              <w:noBreakHyphen/>
            </w:r>
            <w:r>
              <w:t xml:space="preserve">STEL intended to provide additional protection for effects for chronic exposures at the concentration of the TLV-TWA. </w:t>
            </w:r>
          </w:p>
          <w:p w14:paraId="546723E2" w14:textId="77777777" w:rsidR="00E13CAD" w:rsidRDefault="00E13CAD" w:rsidP="00EA07C8">
            <w:pPr>
              <w:pStyle w:val="Tabletextprimarysource"/>
            </w:pPr>
            <w:r>
              <w:t>Insufficient data to assign notations for skin, sensitisation or carcinogenicity.</w:t>
            </w:r>
          </w:p>
          <w:p w14:paraId="13D867FA" w14:textId="77777777" w:rsidR="00AE329A" w:rsidRDefault="00D37742" w:rsidP="00EA07C8">
            <w:pPr>
              <w:pStyle w:val="Tabletextprimarysource"/>
            </w:pPr>
            <w:r>
              <w:t>Extremely irritating to eyes and mucous membranes</w:t>
            </w:r>
            <w:r w:rsidR="00912016">
              <w:t xml:space="preserve"> and can produce lesions of the upper respiratory tract</w:t>
            </w:r>
            <w:r w:rsidR="00A52FD6">
              <w:t xml:space="preserve">. </w:t>
            </w:r>
          </w:p>
          <w:p w14:paraId="7019913F" w14:textId="77777777" w:rsidR="00AE329A" w:rsidRDefault="00A52FD6" w:rsidP="00EA07C8">
            <w:pPr>
              <w:pStyle w:val="Tabletextprimarysource"/>
            </w:pPr>
            <w:r>
              <w:t>TLV-TWA based on recommendation from cited report that a concentration of 0.1</w:t>
            </w:r>
            <w:r w:rsidR="00807B98">
              <w:t> </w:t>
            </w:r>
            <w:r>
              <w:t xml:space="preserve">ppm should not be exceeded for prolonged exposure (derivation not discussed). </w:t>
            </w:r>
          </w:p>
          <w:p w14:paraId="1FE61D44" w14:textId="77777777" w:rsidR="00D37742" w:rsidRDefault="00A52FD6" w:rsidP="00EA07C8">
            <w:pPr>
              <w:pStyle w:val="Tabletextprimarysource"/>
            </w:pPr>
            <w:r>
              <w:t>TLV-STEL based on symptoms presented in patients acutely exposed after accidental release of 0.2</w:t>
            </w:r>
            <w:r w:rsidR="000E07FA">
              <w:t>–</w:t>
            </w:r>
            <w:r>
              <w:t xml:space="preserve">0.5 ppm. </w:t>
            </w:r>
          </w:p>
          <w:p w14:paraId="59FD8B73" w14:textId="77777777" w:rsidR="00AE329A" w:rsidRDefault="00AE329A" w:rsidP="00EA07C8">
            <w:pPr>
              <w:pStyle w:val="Tabletextprimarysource"/>
            </w:pPr>
            <w:r>
              <w:t>Summary of data:</w:t>
            </w:r>
          </w:p>
          <w:p w14:paraId="6EDB9B22" w14:textId="77777777" w:rsidR="00D37742" w:rsidRDefault="00D37742" w:rsidP="00EA07C8">
            <w:pPr>
              <w:pStyle w:val="Tabletextprimarysource"/>
            </w:pPr>
            <w:r>
              <w:t>Human data:</w:t>
            </w:r>
          </w:p>
          <w:p w14:paraId="79DB57D1" w14:textId="77777777" w:rsidR="00D37742" w:rsidRDefault="00D37742" w:rsidP="00605571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Wide range of reported odour thresholds: 0.01</w:t>
            </w:r>
            <w:r w:rsidR="000E07FA">
              <w:t>–</w:t>
            </w:r>
            <w:r>
              <w:t>3.8 ppm</w:t>
            </w:r>
          </w:p>
          <w:p w14:paraId="6EC4DF7D" w14:textId="77777777" w:rsidR="00AE329A" w:rsidRDefault="00DB2B05" w:rsidP="00605571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Low concentrations (not specified) cause excessive mucous secretion, inflammation of the eyelids, lachrymation, coughing, nose-bleeds, vertigo and headache</w:t>
            </w:r>
            <w:r w:rsidR="00E649A9">
              <w:t>s</w:t>
            </w:r>
          </w:p>
          <w:p w14:paraId="11BEB447" w14:textId="77777777" w:rsidR="00AE329A" w:rsidRDefault="00AE329A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s</w:t>
            </w:r>
            <w:r w:rsidR="00DB2B05">
              <w:t>ymptoms may be followed by gastric disturbances</w:t>
            </w:r>
            <w:r w:rsidR="00031DA5">
              <w:t xml:space="preserve"> and</w:t>
            </w:r>
            <w:r w:rsidR="00DB2B05">
              <w:t xml:space="preserve"> asthmatic bronchitis</w:t>
            </w:r>
          </w:p>
          <w:p w14:paraId="5C16B0A1" w14:textId="77777777" w:rsidR="00DB2B05" w:rsidRDefault="00AE329A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p</w:t>
            </w:r>
            <w:r w:rsidR="00DB2B05">
              <w:t xml:space="preserve">hotophobia, </w:t>
            </w:r>
            <w:proofErr w:type="spellStart"/>
            <w:r w:rsidR="00DB2B05">
              <w:t>blepharospasm</w:t>
            </w:r>
            <w:proofErr w:type="spellEnd"/>
            <w:r w:rsidR="00DB2B05">
              <w:t xml:space="preserve"> and chemical burns to the lungs reported (no further information provided)</w:t>
            </w:r>
          </w:p>
          <w:p w14:paraId="6D82EA1A" w14:textId="77777777" w:rsidR="00AE329A" w:rsidRDefault="00912016" w:rsidP="00605571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Cited report</w:t>
            </w:r>
            <w:r w:rsidR="00DB2B05">
              <w:t>s recommend</w:t>
            </w:r>
            <w:r>
              <w:t xml:space="preserve"> 0.08</w:t>
            </w:r>
            <w:r w:rsidR="000E07FA">
              <w:t>–</w:t>
            </w:r>
            <w:r w:rsidR="00DB2B05">
              <w:t>0.15</w:t>
            </w:r>
            <w:r>
              <w:t xml:space="preserve"> ppm not</w:t>
            </w:r>
            <w:r w:rsidR="003B31EE">
              <w:t xml:space="preserve"> </w:t>
            </w:r>
            <w:r>
              <w:t>be exceeded for prolonged exposures</w:t>
            </w:r>
          </w:p>
          <w:p w14:paraId="525BCA93" w14:textId="77777777" w:rsidR="00AE329A" w:rsidRDefault="00912016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0.5</w:t>
            </w:r>
            <w:r w:rsidR="004C20A5">
              <w:t>–</w:t>
            </w:r>
            <w:r>
              <w:t xml:space="preserve">0.6 ppm intolerable without </w:t>
            </w:r>
            <w:r w:rsidR="007E5759">
              <w:t>a respirator</w:t>
            </w:r>
          </w:p>
          <w:p w14:paraId="26774F3B" w14:textId="77777777" w:rsidR="00AE329A" w:rsidRDefault="007E5759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1.7</w:t>
            </w:r>
            <w:r w:rsidR="000E07FA">
              <w:t>–</w:t>
            </w:r>
            <w:r>
              <w:t>3.5 ppm causes severe choking</w:t>
            </w:r>
            <w:r w:rsidR="00DB2B05">
              <w:t xml:space="preserve"> and lachrymation</w:t>
            </w:r>
          </w:p>
          <w:p w14:paraId="4A275E81" w14:textId="77777777" w:rsidR="00AE329A" w:rsidRDefault="00DB2B05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4 </w:t>
            </w:r>
            <w:r w:rsidR="00031DA5">
              <w:t xml:space="preserve">ppm </w:t>
            </w:r>
            <w:r>
              <w:t>not</w:t>
            </w:r>
            <w:r w:rsidR="00031DA5">
              <w:t xml:space="preserve"> to</w:t>
            </w:r>
            <w:r>
              <w:t xml:space="preserve"> be exceeded for 0.5</w:t>
            </w:r>
            <w:r w:rsidR="000E07FA">
              <w:t>–</w:t>
            </w:r>
            <w:r>
              <w:t>1 h</w:t>
            </w:r>
          </w:p>
          <w:p w14:paraId="63614D0F" w14:textId="77777777" w:rsidR="007E5759" w:rsidRDefault="007E5759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10 ppm considered extremely dangerous (duration</w:t>
            </w:r>
            <w:r w:rsidR="00031DA5">
              <w:t xml:space="preserve">s generally </w:t>
            </w:r>
            <w:r w:rsidR="00EA07C8">
              <w:t>not specified</w:t>
            </w:r>
            <w:r>
              <w:t>)</w:t>
            </w:r>
          </w:p>
          <w:p w14:paraId="26D61C41" w14:textId="77777777" w:rsidR="00AE329A" w:rsidRDefault="00DB2B05" w:rsidP="00605571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Fatal exposure (unknown concentration) caused chemical burns to 20% of body and extensive damage to respiratory tract, kidneys and liver</w:t>
            </w:r>
          </w:p>
          <w:p w14:paraId="7F06C15A" w14:textId="77777777" w:rsidR="00DB2B05" w:rsidRDefault="00DB2B05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comparable to </w:t>
            </w:r>
            <w:r w:rsidR="009C2F64">
              <w:t xml:space="preserve">autopsy of </w:t>
            </w:r>
            <w:r>
              <w:t>rat exposed to 10 ppm</w:t>
            </w:r>
          </w:p>
          <w:p w14:paraId="41348E6F" w14:textId="77777777" w:rsidR="00AE329A" w:rsidRDefault="009C2F64" w:rsidP="00605571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Irritation of mucous membranes and respiratory tract in 91 patients exposed by accidental release at 0.2</w:t>
            </w:r>
            <w:r w:rsidR="000E07FA">
              <w:t>–</w:t>
            </w:r>
            <w:r>
              <w:t>0.5 ppm</w:t>
            </w:r>
          </w:p>
          <w:p w14:paraId="1849122A" w14:textId="77777777" w:rsidR="00DB2B05" w:rsidRDefault="00AE329A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s</w:t>
            </w:r>
            <w:r w:rsidR="009C2F64">
              <w:t xml:space="preserve">ymptoms lasted 3 d to 1 </w:t>
            </w:r>
            <w:proofErr w:type="spellStart"/>
            <w:r w:rsidR="009C2F64">
              <w:t>mo</w:t>
            </w:r>
            <w:proofErr w:type="spellEnd"/>
            <w:r w:rsidR="009C2F64">
              <w:t xml:space="preserve"> in 20</w:t>
            </w:r>
            <w:r w:rsidR="000E07FA">
              <w:t>–</w:t>
            </w:r>
            <w:r w:rsidR="009C2F64">
              <w:t>30% of cases</w:t>
            </w:r>
          </w:p>
          <w:p w14:paraId="464AA6EE" w14:textId="77777777" w:rsidR="009C2F64" w:rsidRDefault="00A52FD6" w:rsidP="00605571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Excessive irritation in workers exposed to 1 ppm during liquid handling (duration not specified)</w:t>
            </w:r>
          </w:p>
          <w:p w14:paraId="38F2D1DA" w14:textId="77777777" w:rsidR="00A52FD6" w:rsidRDefault="00A52FD6" w:rsidP="00605571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Calculated LD</w:t>
            </w:r>
            <w:r>
              <w:rPr>
                <w:vertAlign w:val="subscript"/>
              </w:rPr>
              <w:t>50</w:t>
            </w:r>
            <w:r>
              <w:t xml:space="preserve"> respectively for regular, vulnerable and average populations: </w:t>
            </w:r>
          </w:p>
          <w:p w14:paraId="5669666B" w14:textId="408010CC" w:rsidR="00A52FD6" w:rsidRDefault="00A52FD6" w:rsidP="00605571">
            <w:pPr>
              <w:pStyle w:val="ListBullet"/>
              <w:numPr>
                <w:ilvl w:val="1"/>
                <w:numId w:val="4"/>
              </w:numPr>
              <w:spacing w:before="60" w:after="60"/>
              <w:ind w:hanging="357"/>
              <w:contextualSpacing w:val="0"/>
            </w:pPr>
            <w:r>
              <w:t>10 min exposure: 650 ppm, 260 ppm, 546 ppm</w:t>
            </w:r>
            <w:r w:rsidR="00EA3FC3">
              <w:t>, respectively</w:t>
            </w:r>
          </w:p>
          <w:p w14:paraId="248B08FD" w14:textId="4F9874BA" w:rsidR="00A52FD6" w:rsidRDefault="00A52FD6" w:rsidP="00605571">
            <w:pPr>
              <w:pStyle w:val="ListBullet"/>
              <w:numPr>
                <w:ilvl w:val="1"/>
                <w:numId w:val="4"/>
              </w:numPr>
              <w:spacing w:before="60" w:after="60"/>
              <w:ind w:hanging="357"/>
              <w:contextualSpacing w:val="0"/>
            </w:pPr>
            <w:r>
              <w:t>30 min exposure: 375 ppm, 150 ppm, 315 ppm</w:t>
            </w:r>
            <w:r w:rsidR="00EA3FC3">
              <w:t>, respectively</w:t>
            </w:r>
          </w:p>
          <w:p w14:paraId="5189EE59" w14:textId="44972566" w:rsidR="000E07FA" w:rsidRDefault="004E2ACA" w:rsidP="008A5BE4">
            <w:pPr>
              <w:pStyle w:val="ListBullet"/>
              <w:numPr>
                <w:ilvl w:val="0"/>
                <w:numId w:val="4"/>
              </w:numPr>
              <w:spacing w:before="60" w:after="60"/>
              <w:ind w:hanging="357"/>
              <w:contextualSpacing w:val="0"/>
            </w:pPr>
            <w:r>
              <w:t>Approximately 1.5 times less toxic than chlorine</w:t>
            </w:r>
            <w:r w:rsidR="00B248C2">
              <w:t>.</w:t>
            </w:r>
          </w:p>
          <w:p w14:paraId="3389A0DA" w14:textId="77777777" w:rsidR="00E13CAD" w:rsidRDefault="00297F9F" w:rsidP="00EA07C8">
            <w:pPr>
              <w:pStyle w:val="Tabletextprimarysource"/>
            </w:pPr>
            <w:r>
              <w:t>Animal data:</w:t>
            </w:r>
          </w:p>
          <w:p w14:paraId="41ECA0D7" w14:textId="77777777" w:rsidR="00297F9F" w:rsidRDefault="00297F9F" w:rsidP="00605571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Oral lethal dose range: 2</w:t>
            </w:r>
            <w:r w:rsidR="004C20A5">
              <w:t>,</w:t>
            </w:r>
            <w:r>
              <w:t>600</w:t>
            </w:r>
            <w:r w:rsidR="004C20A5">
              <w:t>–</w:t>
            </w:r>
            <w:r>
              <w:t>5</w:t>
            </w:r>
            <w:r w:rsidR="004C20A5">
              <w:t>,</w:t>
            </w:r>
            <w:r>
              <w:t>500 mg/kg (mice, rats, guinea pigs, no further information)</w:t>
            </w:r>
          </w:p>
          <w:p w14:paraId="2DE3232F" w14:textId="77777777" w:rsidR="00297F9F" w:rsidRDefault="00297F9F" w:rsidP="00605571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Severe irritation and corneal clouding at 180 ppm (</w:t>
            </w:r>
            <w:r w:rsidR="00E649A9">
              <w:t xml:space="preserve">3 </w:t>
            </w:r>
            <w:r>
              <w:t>species, no further information)</w:t>
            </w:r>
          </w:p>
          <w:p w14:paraId="7DC99C0F" w14:textId="77777777" w:rsidR="00297F9F" w:rsidRDefault="00297F9F" w:rsidP="00605571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lastRenderedPageBreak/>
              <w:t>LC</w:t>
            </w:r>
            <w:r>
              <w:rPr>
                <w:vertAlign w:val="subscript"/>
              </w:rPr>
              <w:t>50</w:t>
            </w:r>
            <w:r>
              <w:t>: 750 ppm (mice, 9 min), 174 ppm (mice, 30 min), 240 ppm (mice, 60 and 100 min)</w:t>
            </w:r>
          </w:p>
          <w:p w14:paraId="3A74F16C" w14:textId="77777777" w:rsidR="00297F9F" w:rsidRDefault="00297F9F" w:rsidP="00605571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Lethal concentration 10% (LC</w:t>
            </w:r>
            <w:r>
              <w:rPr>
                <w:vertAlign w:val="subscript"/>
              </w:rPr>
              <w:t>10</w:t>
            </w:r>
            <w:r>
              <w:t>): 140 ppm (cats and guinea pigs, 7 h)</w:t>
            </w:r>
          </w:p>
          <w:p w14:paraId="335E8D62" w14:textId="77777777" w:rsidR="00297F9F" w:rsidRDefault="00B75CA4" w:rsidP="00605571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>CNS</w:t>
            </w:r>
            <w:r w:rsidR="00297F9F">
              <w:t xml:space="preserve"> disturbances at 300 ppm </w:t>
            </w:r>
            <w:r w:rsidR="00031DA5">
              <w:t>(rabbits and guinea pigs, 3 h)</w:t>
            </w:r>
          </w:p>
          <w:p w14:paraId="4D62B793" w14:textId="77777777" w:rsidR="00297F9F" w:rsidRDefault="00AE329A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a</w:t>
            </w:r>
            <w:r w:rsidR="00297F9F">
              <w:t>utopsy reported lung oedema, pseudomembranous deposits on trachea and bronchi and gastric mucosa haemorrhages</w:t>
            </w:r>
          </w:p>
          <w:p w14:paraId="5F296D79" w14:textId="77777777" w:rsidR="00297F9F" w:rsidRDefault="00D37742" w:rsidP="00605571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Respiratory, nervous and endocrine disturbances at 2 ppm in inhalation study (rats, mice and rabbits, 4 </w:t>
            </w:r>
            <w:proofErr w:type="spellStart"/>
            <w:r>
              <w:t>mo</w:t>
            </w:r>
            <w:proofErr w:type="spellEnd"/>
            <w:r>
              <w:t>, dose frequency not specified)</w:t>
            </w:r>
          </w:p>
          <w:p w14:paraId="5359AA73" w14:textId="77777777" w:rsidR="00D37742" w:rsidRDefault="00D37742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NOAEL: 0.02 ppm</w:t>
            </w:r>
          </w:p>
          <w:p w14:paraId="31ECE268" w14:textId="77777777" w:rsidR="00D37742" w:rsidRDefault="00D37742" w:rsidP="00605571">
            <w:pPr>
              <w:pStyle w:val="ListBullet"/>
              <w:numPr>
                <w:ilvl w:val="0"/>
                <w:numId w:val="3"/>
              </w:numPr>
              <w:spacing w:before="60" w:after="60"/>
              <w:ind w:hanging="357"/>
              <w:contextualSpacing w:val="0"/>
            </w:pPr>
            <w:r>
              <w:t xml:space="preserve">Altered behaviour and adverse haematological effects at 0.01 mg/kg in repeat feeding study (rats, 6 </w:t>
            </w:r>
            <w:proofErr w:type="spellStart"/>
            <w:r>
              <w:t>mo</w:t>
            </w:r>
            <w:proofErr w:type="spellEnd"/>
            <w:r>
              <w:t>, dose frequency not specified)</w:t>
            </w:r>
            <w:r w:rsidR="00E649A9">
              <w:t>.</w:t>
            </w:r>
          </w:p>
          <w:p w14:paraId="67B68772" w14:textId="77777777" w:rsidR="000E07FA" w:rsidRPr="00DA352E" w:rsidRDefault="000E07FA" w:rsidP="00E41DEE">
            <w:pPr>
              <w:pStyle w:val="ListBullet"/>
              <w:spacing w:before="60" w:after="60"/>
              <w:ind w:left="720"/>
            </w:pPr>
          </w:p>
        </w:tc>
      </w:tr>
      <w:tr w:rsidR="00C978F0" w:rsidRPr="00DA352E" w14:paraId="7AAA0DD2" w14:textId="77777777" w:rsidTr="00D42B8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5267FEE2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031DA5" w:rsidDel="00012A2D">
                  <w:t>2013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031DA5">
                  <w:t>MAK: not established</w:t>
                </w:r>
              </w:sdtContent>
            </w:sdt>
          </w:p>
        </w:tc>
      </w:tr>
      <w:tr w:rsidR="00C978F0" w:rsidRPr="00DA352E" w14:paraId="60A1F884" w14:textId="77777777" w:rsidTr="00D42B84">
        <w:trPr>
          <w:gridAfter w:val="1"/>
          <w:wAfter w:w="8" w:type="pct"/>
        </w:trPr>
        <w:tc>
          <w:tcPr>
            <w:tcW w:w="4992" w:type="pct"/>
          </w:tcPr>
          <w:p w14:paraId="68E13CCE" w14:textId="77777777" w:rsidR="00C978F0" w:rsidRDefault="00031DA5" w:rsidP="00677CA0">
            <w:pPr>
              <w:pStyle w:val="Tabletextprimarysource"/>
            </w:pPr>
            <w:r>
              <w:t>Summary of additional data:</w:t>
            </w:r>
          </w:p>
          <w:p w14:paraId="23E68D12" w14:textId="77777777" w:rsidR="00AE329A" w:rsidRDefault="007950D8" w:rsidP="00677CA0">
            <w:pPr>
              <w:pStyle w:val="Tabletextprimarysource"/>
            </w:pPr>
            <w:r>
              <w:t xml:space="preserve">Previous </w:t>
            </w:r>
            <w:r w:rsidR="005D44F7">
              <w:t xml:space="preserve">MAK </w:t>
            </w:r>
            <w:r>
              <w:t xml:space="preserve">(0.1 ppm) withdrawn </w:t>
            </w:r>
            <w:r w:rsidR="005D44F7">
              <w:t xml:space="preserve">due to inadequacy of available repeat-exposure data. </w:t>
            </w:r>
          </w:p>
          <w:p w14:paraId="5EBEA409" w14:textId="77777777" w:rsidR="00AE329A" w:rsidRDefault="005D44F7" w:rsidP="00677CA0">
            <w:pPr>
              <w:pStyle w:val="Tabletextprimarysource"/>
            </w:pPr>
            <w:r>
              <w:t>Acknowledge that LOAEL of 0.2</w:t>
            </w:r>
            <w:r w:rsidR="00530E62">
              <w:t xml:space="preserve"> </w:t>
            </w:r>
            <w:r>
              <w:t xml:space="preserve">ppm in case study of accidental exposure supports withdrawn MAK of 0.1 ppm. </w:t>
            </w:r>
          </w:p>
          <w:p w14:paraId="52A7C576" w14:textId="77777777" w:rsidR="007950D8" w:rsidRDefault="007950D8" w:rsidP="00677CA0">
            <w:pPr>
              <w:pStyle w:val="Tabletextprimarysource"/>
            </w:pPr>
            <w:r>
              <w:t xml:space="preserve">No sensitisation, skin absorption, </w:t>
            </w:r>
            <w:proofErr w:type="spellStart"/>
            <w:r>
              <w:t>genotoxicity</w:t>
            </w:r>
            <w:proofErr w:type="spellEnd"/>
            <w:r>
              <w:t xml:space="preserve"> or carcinogenicity data available.</w:t>
            </w:r>
            <w:r w:rsidR="00530E62">
              <w:t xml:space="preserve"> </w:t>
            </w:r>
          </w:p>
          <w:p w14:paraId="094F11B1" w14:textId="77777777" w:rsidR="007950D8" w:rsidRDefault="004E2ACA" w:rsidP="00E41DEE">
            <w:pPr>
              <w:pStyle w:val="ListBullet"/>
              <w:spacing w:before="60" w:after="60"/>
            </w:pPr>
            <w:r>
              <w:t xml:space="preserve">Formation of </w:t>
            </w:r>
            <w:proofErr w:type="spellStart"/>
            <w:r w:rsidR="00DF4B0F">
              <w:t>HBr</w:t>
            </w:r>
            <w:proofErr w:type="spellEnd"/>
            <w:r>
              <w:t xml:space="preserve"> on contact with moisture </w:t>
            </w:r>
            <w:r w:rsidR="002E5C0E">
              <w:t>likely to be primary cause of irritation from exposure</w:t>
            </w:r>
            <w:r w:rsidR="00046FDA">
              <w:t>.</w:t>
            </w:r>
            <w:r w:rsidR="002E5C0E">
              <w:t xml:space="preserve"> </w:t>
            </w:r>
          </w:p>
          <w:p w14:paraId="39667444" w14:textId="77777777" w:rsidR="004E2ACA" w:rsidRDefault="002E5C0E" w:rsidP="00E41DEE">
            <w:pPr>
              <w:pStyle w:val="ListBullet"/>
              <w:spacing w:before="60" w:after="60"/>
            </w:pPr>
            <w:r>
              <w:t>Bromide metabolite is preferentially reabsorbed over chloride and can lead to a chlorine imbalance</w:t>
            </w:r>
            <w:r w:rsidR="00D801D6">
              <w:t>.</w:t>
            </w:r>
          </w:p>
          <w:p w14:paraId="2A871AB0" w14:textId="77777777" w:rsidR="00031DA5" w:rsidRDefault="00031DA5" w:rsidP="00677CA0">
            <w:pPr>
              <w:pStyle w:val="Tabletextprimarysource"/>
            </w:pPr>
            <w:r>
              <w:t>Human data:</w:t>
            </w:r>
          </w:p>
          <w:p w14:paraId="1C179E71" w14:textId="77777777" w:rsidR="002E5C0E" w:rsidRDefault="002E5C0E" w:rsidP="00605571">
            <w:pPr>
              <w:pStyle w:val="ListBullet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 xml:space="preserve">Half-life of bromide metabolite </w:t>
            </w:r>
            <w:r w:rsidR="00E41DEE">
              <w:rPr>
                <w:rFonts w:cs="Arial"/>
              </w:rPr>
              <w:t>≈</w:t>
            </w:r>
            <w:r>
              <w:t>12 d in blood</w:t>
            </w:r>
          </w:p>
          <w:p w14:paraId="512619FC" w14:textId="77777777" w:rsidR="002E5C0E" w:rsidRDefault="002E5C0E" w:rsidP="00605571">
            <w:pPr>
              <w:pStyle w:val="ListBullet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>Serum bromide levels may be used to determine bromine exposure, but available data is inconclusive</w:t>
            </w:r>
          </w:p>
          <w:p w14:paraId="3DBFB695" w14:textId="3E7AAE28" w:rsidR="002E5C0E" w:rsidRDefault="002E5C0E" w:rsidP="00605571">
            <w:pPr>
              <w:pStyle w:val="ListBullet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>Subjective eye irritation at 0.02</w:t>
            </w:r>
            <w:r w:rsidR="000E07FA">
              <w:t>–</w:t>
            </w:r>
            <w:r>
              <w:t xml:space="preserve">0.05 ppm in single dose inhalation study (n=40, </w:t>
            </w:r>
            <w:r w:rsidR="00605571">
              <w:br/>
            </w:r>
            <w:r>
              <w:t>15</w:t>
            </w:r>
            <w:r w:rsidR="000E07FA">
              <w:t>–</w:t>
            </w:r>
            <w:r>
              <w:t>35</w:t>
            </w:r>
            <w:r w:rsidR="00807B98">
              <w:t> </w:t>
            </w:r>
            <w:r>
              <w:t>min)</w:t>
            </w:r>
          </w:p>
          <w:p w14:paraId="7ECC4A64" w14:textId="77777777" w:rsidR="002E5C0E" w:rsidRDefault="002E5C0E" w:rsidP="00605571">
            <w:pPr>
              <w:pStyle w:val="ListBullet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>Acute pain in nose and throat and eye irritation at 0.2</w:t>
            </w:r>
            <w:r w:rsidR="000E07FA">
              <w:t>–</w:t>
            </w:r>
            <w:r>
              <w:t>0.5 ppm single dose inhalation study (n=29, 45</w:t>
            </w:r>
            <w:r w:rsidR="004C20A5">
              <w:t>–</w:t>
            </w:r>
            <w:r>
              <w:t>55 min)</w:t>
            </w:r>
          </w:p>
          <w:p w14:paraId="7E4EDD7A" w14:textId="6E09C310" w:rsidR="00E41DEE" w:rsidRDefault="00EB36C9" w:rsidP="00605571">
            <w:pPr>
              <w:pStyle w:val="ListBullet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 xml:space="preserve">Persons with </w:t>
            </w:r>
            <w:r w:rsidR="00F60AA7">
              <w:t xml:space="preserve">varying levels of </w:t>
            </w:r>
            <w:r>
              <w:t>respiratory protection accidentally exposed to &gt;3 ppm (estimated) presented eye irritation, shortness of breath and chemical burns on the skin</w:t>
            </w:r>
          </w:p>
          <w:p w14:paraId="32939AF7" w14:textId="77777777" w:rsidR="00E41DEE" w:rsidRDefault="00E41DEE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d</w:t>
            </w:r>
            <w:r w:rsidR="000678BD">
              <w:t>iverse irritations reported 6</w:t>
            </w:r>
            <w:r w:rsidR="004C20A5">
              <w:t>–</w:t>
            </w:r>
            <w:r w:rsidR="000678BD">
              <w:t>8</w:t>
            </w:r>
            <w:r w:rsidR="00530E62">
              <w:t xml:space="preserve"> </w:t>
            </w:r>
            <w:proofErr w:type="spellStart"/>
            <w:r w:rsidR="00EB36C9">
              <w:t>wk</w:t>
            </w:r>
            <w:proofErr w:type="spellEnd"/>
            <w:r w:rsidR="00EB36C9">
              <w:t xml:space="preserve"> post-exposure, but no clinical signs of abnormality</w:t>
            </w:r>
          </w:p>
          <w:p w14:paraId="63ACC321" w14:textId="77777777" w:rsidR="00EB36C9" w:rsidRDefault="00E41DEE" w:rsidP="00605571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r>
              <w:t>w</w:t>
            </w:r>
            <w:r w:rsidR="006462BC">
              <w:t xml:space="preserve">eak evidence for </w:t>
            </w:r>
            <w:proofErr w:type="spellStart"/>
            <w:r w:rsidR="006462BC">
              <w:t>spermatogenic</w:t>
            </w:r>
            <w:proofErr w:type="spellEnd"/>
            <w:r w:rsidR="006462BC">
              <w:t xml:space="preserve"> suppression following exposure dis</w:t>
            </w:r>
            <w:r w:rsidR="000678BD">
              <w:t>missed due to small sample size</w:t>
            </w:r>
          </w:p>
          <w:p w14:paraId="6407A6A8" w14:textId="1F4F3F09" w:rsidR="000E07FA" w:rsidRDefault="00EB36C9" w:rsidP="008A5BE4">
            <w:pPr>
              <w:pStyle w:val="ListBullet"/>
              <w:numPr>
                <w:ilvl w:val="0"/>
                <w:numId w:val="6"/>
              </w:numPr>
              <w:spacing w:before="60" w:after="60"/>
              <w:ind w:hanging="357"/>
              <w:contextualSpacing w:val="0"/>
            </w:pPr>
            <w:r>
              <w:t>Skin contact with liquid or gaseous bromine causes ulcers and acne (no further information provided)</w:t>
            </w:r>
            <w:r w:rsidR="000E07FA">
              <w:t>.</w:t>
            </w:r>
          </w:p>
          <w:p w14:paraId="149157DF" w14:textId="77777777" w:rsidR="00031DA5" w:rsidRDefault="00031DA5" w:rsidP="00677CA0">
            <w:pPr>
              <w:pStyle w:val="Tabletextprimarysource"/>
            </w:pPr>
            <w:r>
              <w:t>Animal data:</w:t>
            </w:r>
          </w:p>
          <w:p w14:paraId="26E4BB83" w14:textId="77777777" w:rsidR="005D44F7" w:rsidRDefault="00031DA5" w:rsidP="00605571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>
              <w:t>LC</w:t>
            </w:r>
            <w:r>
              <w:rPr>
                <w:vertAlign w:val="subscript"/>
              </w:rPr>
              <w:t>50</w:t>
            </w:r>
            <w:r>
              <w:t xml:space="preserve">: </w:t>
            </w:r>
            <w:r w:rsidR="001F07F5">
              <w:t>4</w:t>
            </w:r>
            <w:r w:rsidR="004720C6">
              <w:t>07</w:t>
            </w:r>
            <w:r w:rsidR="001F07F5">
              <w:t xml:space="preserve"> ppm (rats, duration not specified)</w:t>
            </w:r>
          </w:p>
          <w:p w14:paraId="2FFA5E97" w14:textId="77777777" w:rsidR="005D44F7" w:rsidRDefault="00162E23" w:rsidP="00605571">
            <w:pPr>
              <w:pStyle w:val="ListBullet"/>
              <w:numPr>
                <w:ilvl w:val="0"/>
                <w:numId w:val="7"/>
              </w:numPr>
              <w:spacing w:before="60" w:after="60"/>
              <w:ind w:left="714" w:hanging="357"/>
              <w:contextualSpacing w:val="0"/>
            </w:pPr>
            <w:r>
              <w:t>18</w:t>
            </w:r>
            <w:r w:rsidR="004C20A5">
              <w:t>–</w:t>
            </w:r>
            <w:r>
              <w:t xml:space="preserve">23% </w:t>
            </w:r>
            <w:proofErr w:type="spellStart"/>
            <w:proofErr w:type="gramStart"/>
            <w:r w:rsidR="00E41DEE">
              <w:t>bw</w:t>
            </w:r>
            <w:proofErr w:type="spellEnd"/>
            <w:proofErr w:type="gramEnd"/>
            <w:r w:rsidR="005D44F7">
              <w:t xml:space="preserve"> reduction at 5</w:t>
            </w:r>
            <w:r w:rsidR="004C20A5">
              <w:t>–</w:t>
            </w:r>
            <w:r w:rsidR="005D44F7">
              <w:t>10 ppm in acute repeat dose inhalation study (mice, 3</w:t>
            </w:r>
            <w:r w:rsidR="00EC31DA">
              <w:t>/</w:t>
            </w:r>
            <w:r w:rsidR="005D44F7">
              <w:t>8 h)</w:t>
            </w:r>
            <w:r w:rsidR="000678BD">
              <w:t>.</w:t>
            </w:r>
          </w:p>
          <w:p w14:paraId="330BA411" w14:textId="77777777" w:rsidR="000E07FA" w:rsidRPr="005D44F7" w:rsidRDefault="000E07FA" w:rsidP="00E41DEE">
            <w:pPr>
              <w:pStyle w:val="ListBullet"/>
              <w:spacing w:before="60" w:after="60"/>
            </w:pPr>
          </w:p>
        </w:tc>
      </w:tr>
      <w:tr w:rsidR="00C978F0" w:rsidRPr="00DA352E" w14:paraId="4A128833" w14:textId="77777777" w:rsidTr="00D42B8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C7BFB6" w14:textId="77777777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264FCC" w:rsidDel="00012A2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proofErr w:type="spellStart"/>
                <w:r w:rsidR="00264FCC">
                  <w:t>NA</w:t>
                </w:r>
                <w:proofErr w:type="spellEnd"/>
              </w:sdtContent>
            </w:sdt>
          </w:p>
        </w:tc>
      </w:tr>
      <w:tr w:rsidR="00C978F0" w:rsidRPr="00DA352E" w14:paraId="4E183495" w14:textId="77777777" w:rsidTr="00D42B84">
        <w:trPr>
          <w:gridAfter w:val="1"/>
          <w:wAfter w:w="8" w:type="pct"/>
        </w:trPr>
        <w:tc>
          <w:tcPr>
            <w:tcW w:w="4992" w:type="pct"/>
          </w:tcPr>
          <w:p w14:paraId="43FFF99F" w14:textId="77777777" w:rsidR="00C978F0" w:rsidRPr="00DA352E" w:rsidRDefault="00264FCC" w:rsidP="003365A5">
            <w:pPr>
              <w:pStyle w:val="Tabletextprimarysource"/>
            </w:pPr>
            <w:r>
              <w:t>No report</w:t>
            </w:r>
            <w:r w:rsidR="00E41DEE">
              <w:t>.</w:t>
            </w:r>
          </w:p>
        </w:tc>
      </w:tr>
      <w:tr w:rsidR="00DA352E" w:rsidRPr="00DA352E" w14:paraId="2D3CAF8C" w14:textId="77777777" w:rsidTr="00D42B8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11A62095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264FCC" w:rsidDel="00012A2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proofErr w:type="spellStart"/>
                <w:r w:rsidR="00264FCC">
                  <w:t>NA</w:t>
                </w:r>
                <w:proofErr w:type="spellEnd"/>
              </w:sdtContent>
            </w:sdt>
          </w:p>
        </w:tc>
      </w:tr>
      <w:tr w:rsidR="00DA352E" w:rsidRPr="00DA352E" w14:paraId="5EFE6CFB" w14:textId="77777777" w:rsidTr="00D42B84">
        <w:trPr>
          <w:gridAfter w:val="1"/>
          <w:wAfter w:w="8" w:type="pct"/>
        </w:trPr>
        <w:tc>
          <w:tcPr>
            <w:tcW w:w="4992" w:type="pct"/>
          </w:tcPr>
          <w:p w14:paraId="0C276946" w14:textId="77777777" w:rsidR="00DA352E" w:rsidRPr="00DA352E" w:rsidRDefault="00264FCC" w:rsidP="003365A5">
            <w:pPr>
              <w:pStyle w:val="Tabletextprimarysource"/>
            </w:pPr>
            <w:r>
              <w:t>No report</w:t>
            </w:r>
            <w:r w:rsidR="00E41DEE">
              <w:t>.</w:t>
            </w:r>
          </w:p>
        </w:tc>
      </w:tr>
      <w:tr w:rsidR="00DA352E" w:rsidRPr="00DA352E" w14:paraId="7DC1AE5A" w14:textId="77777777" w:rsidTr="00D42B84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1A7CF1E" w14:textId="77777777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264FCC" w:rsidDel="00012A2D">
                  <w:t>2005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F90B74">
                  <w:t>8-hour TWA: 0.1 ppm (0.66 mg/m</w:t>
                </w:r>
                <w:r w:rsidR="00F90B74">
                  <w:rPr>
                    <w:vertAlign w:val="superscript"/>
                  </w:rPr>
                  <w:t>3</w:t>
                </w:r>
                <w:r w:rsidR="00F90B74">
                  <w:t>)</w:t>
                </w:r>
              </w:sdtContent>
            </w:sdt>
          </w:p>
        </w:tc>
      </w:tr>
      <w:tr w:rsidR="00DA352E" w:rsidRPr="00DA352E" w14:paraId="391C6669" w14:textId="77777777" w:rsidTr="00D42B84">
        <w:trPr>
          <w:gridAfter w:val="1"/>
          <w:wAfter w:w="8" w:type="pct"/>
        </w:trPr>
        <w:tc>
          <w:tcPr>
            <w:tcW w:w="4992" w:type="pct"/>
          </w:tcPr>
          <w:p w14:paraId="0A4AA796" w14:textId="77777777" w:rsidR="00DA352E" w:rsidRDefault="00015B9B" w:rsidP="00677CA0">
            <w:pPr>
              <w:pStyle w:val="ListBullet"/>
              <w:spacing w:before="60" w:after="60"/>
            </w:pPr>
            <w:r>
              <w:t>Summary of additional data:</w:t>
            </w:r>
          </w:p>
          <w:p w14:paraId="6D0BE6C1" w14:textId="77777777" w:rsidR="00162E23" w:rsidRDefault="00162E23" w:rsidP="00677CA0">
            <w:pPr>
              <w:pStyle w:val="ListBullet"/>
              <w:spacing w:before="60" w:after="60"/>
            </w:pPr>
            <w:r>
              <w:t>Current 8</w:t>
            </w:r>
            <w:r w:rsidR="00E649A9">
              <w:t xml:space="preserve"> </w:t>
            </w:r>
            <w:r>
              <w:t>h TWA is an administrative level</w:t>
            </w:r>
            <w:r w:rsidR="00294CD2">
              <w:t xml:space="preserve"> and</w:t>
            </w:r>
            <w:r w:rsidR="00264FCC">
              <w:t xml:space="preserve"> considered too high</w:t>
            </w:r>
            <w:r>
              <w:t xml:space="preserve">; recommends </w:t>
            </w:r>
            <w:r w:rsidR="00264FCC">
              <w:t>a health-based 15</w:t>
            </w:r>
            <w:r w:rsidR="00E649A9">
              <w:t xml:space="preserve"> </w:t>
            </w:r>
            <w:r w:rsidR="00264FCC">
              <w:t>min TWA of 0.2 ppm based on LOAEL of 0.2 ppm for irritation of the eyes, nose and throat in volunteers exposed to gradually increasing bromine concentrations (n=3, up to 50 min).</w:t>
            </w:r>
          </w:p>
          <w:p w14:paraId="7CA05BF7" w14:textId="77777777" w:rsidR="006462BC" w:rsidRDefault="006462BC" w:rsidP="00677CA0">
            <w:pPr>
              <w:pStyle w:val="ListBullet"/>
              <w:spacing w:before="60" w:after="60"/>
            </w:pPr>
            <w:r>
              <w:t>Human data:</w:t>
            </w:r>
          </w:p>
          <w:p w14:paraId="2EF51BA0" w14:textId="77777777" w:rsidR="00015B9B" w:rsidRDefault="00015B9B" w:rsidP="00605571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Reliability of accidental release case of 0.2</w:t>
            </w:r>
            <w:r w:rsidR="004C20A5">
              <w:t>–</w:t>
            </w:r>
            <w:r>
              <w:t>0.5 ppm questioned due to inappropriate sampling method</w:t>
            </w:r>
          </w:p>
          <w:p w14:paraId="6676B8B6" w14:textId="1E448883" w:rsidR="00D801D6" w:rsidRDefault="00515873" w:rsidP="008A5BE4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Arterial hypertension, chronic bronchitis and contact and allergic dermatitis reported in chronically exposed production workers (concentrations not specified, no further details provided)</w:t>
            </w:r>
            <w:r w:rsidR="00D801D6">
              <w:t>.</w:t>
            </w:r>
          </w:p>
          <w:p w14:paraId="739913AD" w14:textId="77777777" w:rsidR="006462BC" w:rsidRDefault="006462BC" w:rsidP="00677CA0">
            <w:pPr>
              <w:pStyle w:val="ListBullet"/>
              <w:spacing w:before="60" w:after="60"/>
            </w:pPr>
            <w:r>
              <w:t>Animal data:</w:t>
            </w:r>
          </w:p>
          <w:p w14:paraId="587743D0" w14:textId="77777777" w:rsidR="008A5BE4" w:rsidRDefault="00162E23" w:rsidP="00605571">
            <w:pPr>
              <w:pStyle w:val="ListBullet"/>
              <w:numPr>
                <w:ilvl w:val="0"/>
                <w:numId w:val="11"/>
              </w:numPr>
              <w:spacing w:before="60" w:after="60"/>
              <w:ind w:left="714" w:hanging="357"/>
              <w:contextualSpacing w:val="0"/>
            </w:pPr>
            <w:r>
              <w:t>Mortality in lethal concentration inhalation studies</w:t>
            </w:r>
            <w:r w:rsidR="002238DD">
              <w:t>,</w:t>
            </w:r>
            <w:r>
              <w:t xml:space="preserve"> also cited by other agencies</w:t>
            </w:r>
            <w:r w:rsidR="002238DD">
              <w:t>,</w:t>
            </w:r>
            <w:r>
              <w:t xml:space="preserve"> tended to occur in two distinct phases following exposure; either </w:t>
            </w:r>
            <w:r w:rsidR="00DF4B0F">
              <w:t>at</w:t>
            </w:r>
            <w:r>
              <w:t xml:space="preserve"> 4 or 8 d</w:t>
            </w:r>
            <w:r w:rsidR="00DF4B0F">
              <w:t xml:space="preserve"> post-exposure</w:t>
            </w:r>
          </w:p>
          <w:p w14:paraId="5294D3D3" w14:textId="4B270988" w:rsidR="006462BC" w:rsidRDefault="008A5BE4" w:rsidP="008A5BE4">
            <w:pPr>
              <w:pStyle w:val="ListBullet"/>
              <w:numPr>
                <w:ilvl w:val="1"/>
                <w:numId w:val="3"/>
              </w:numPr>
              <w:spacing w:before="60" w:after="60"/>
              <w:ind w:hanging="357"/>
              <w:contextualSpacing w:val="0"/>
            </w:pPr>
            <w:proofErr w:type="gramStart"/>
            <w:r>
              <w:t>e</w:t>
            </w:r>
            <w:r w:rsidR="00162E23">
              <w:t>arly</w:t>
            </w:r>
            <w:proofErr w:type="gramEnd"/>
            <w:r w:rsidR="00162E23">
              <w:t xml:space="preserve"> deaths caused by bronchospasm, later deaths by </w:t>
            </w:r>
            <w:proofErr w:type="spellStart"/>
            <w:r w:rsidR="00264FCC">
              <w:t>peribronchitis</w:t>
            </w:r>
            <w:proofErr w:type="spellEnd"/>
            <w:r w:rsidR="00264FCC">
              <w:t>.</w:t>
            </w:r>
          </w:p>
          <w:p w14:paraId="328F28C9" w14:textId="77777777" w:rsidR="00D801D6" w:rsidRPr="00162E23" w:rsidRDefault="00D801D6" w:rsidP="00E41DEE">
            <w:pPr>
              <w:pStyle w:val="ListBullet"/>
              <w:spacing w:before="60" w:after="60"/>
              <w:ind w:left="720"/>
            </w:pPr>
          </w:p>
        </w:tc>
      </w:tr>
    </w:tbl>
    <w:p w14:paraId="11919740" w14:textId="77777777" w:rsidR="00A20751" w:rsidRPr="004C23F4" w:rsidRDefault="00A20751" w:rsidP="00E41DEE">
      <w:pPr>
        <w:pStyle w:val="Heading3"/>
      </w:pPr>
      <w:bookmarkStart w:id="0" w:name="SecondSource"/>
      <w:r w:rsidRPr="004C23F4"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6"/>
        <w:gridCol w:w="422"/>
        <w:gridCol w:w="661"/>
        <w:gridCol w:w="6447"/>
      </w:tblGrid>
      <w:tr w:rsidR="004966BF" w:rsidRPr="00263255" w14:paraId="72FD6734" w14:textId="77777777" w:rsidTr="00677CA0">
        <w:trPr>
          <w:cantSplit/>
          <w:trHeight w:val="393"/>
          <w:tblHeader/>
        </w:trPr>
        <w:tc>
          <w:tcPr>
            <w:tcW w:w="1496" w:type="dxa"/>
            <w:shd w:val="clear" w:color="auto" w:fill="BFBFBF" w:themeFill="background1" w:themeFillShade="BF"/>
            <w:vAlign w:val="center"/>
          </w:tcPr>
          <w:p w14:paraId="19642235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2" w:type="dxa"/>
            <w:shd w:val="clear" w:color="auto" w:fill="BFBFBF" w:themeFill="background1" w:themeFillShade="BF"/>
            <w:vAlign w:val="center"/>
          </w:tcPr>
          <w:p w14:paraId="31810852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3E290D0D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7" w:type="dxa"/>
            <w:shd w:val="clear" w:color="auto" w:fill="BFBFBF" w:themeFill="background1" w:themeFillShade="BF"/>
            <w:vAlign w:val="center"/>
          </w:tcPr>
          <w:p w14:paraId="47E68EB4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3B21603F" w14:textId="77777777" w:rsidTr="00677CA0">
        <w:trPr>
          <w:cantSplit/>
        </w:trPr>
        <w:tc>
          <w:tcPr>
            <w:tcW w:w="1496" w:type="dxa"/>
          </w:tcPr>
          <w:p w14:paraId="7E6D3198" w14:textId="77777777" w:rsidR="004966BF" w:rsidRPr="004C23F4" w:rsidRDefault="004966BF" w:rsidP="00224EE2">
            <w:pPr>
              <w:pStyle w:val="Tablefont"/>
            </w:pPr>
            <w:r>
              <w:t>HSE</w:t>
            </w:r>
          </w:p>
        </w:tc>
        <w:tc>
          <w:tcPr>
            <w:tcW w:w="422" w:type="dxa"/>
          </w:tcPr>
          <w:p w14:paraId="3E14903A" w14:textId="77777777" w:rsidR="004966BF" w:rsidRPr="00CE617F" w:rsidRDefault="0032259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382551732"/>
                <w:placeholder>
                  <w:docPart w:val="8DD754E365844A4E82EC69A07E229629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6440AF" w:rsidDel="00012A2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5EDCC39" w14:textId="77777777" w:rsidR="004966BF" w:rsidRPr="004C23F4" w:rsidRDefault="006440AF" w:rsidP="00717D45">
            <w:pPr>
              <w:pStyle w:val="Tablefont"/>
            </w:pPr>
            <w:r>
              <w:t>2002</w:t>
            </w:r>
          </w:p>
        </w:tc>
        <w:tc>
          <w:tcPr>
            <w:tcW w:w="6447" w:type="dxa"/>
          </w:tcPr>
          <w:p w14:paraId="7EC087A9" w14:textId="61984F39" w:rsidR="004966BF" w:rsidRPr="004C23F4" w:rsidRDefault="006440AF" w:rsidP="00605571">
            <w:pPr>
              <w:pStyle w:val="ListBullet"/>
              <w:numPr>
                <w:ilvl w:val="0"/>
                <w:numId w:val="10"/>
              </w:numPr>
              <w:spacing w:before="60" w:after="60"/>
              <w:ind w:left="714" w:right="357" w:hanging="357"/>
              <w:contextualSpacing w:val="0"/>
            </w:pPr>
            <w:r>
              <w:t>8</w:t>
            </w:r>
            <w:r w:rsidR="00936EB5">
              <w:t xml:space="preserve"> </w:t>
            </w:r>
            <w:r>
              <w:t xml:space="preserve">h </w:t>
            </w:r>
            <w:r w:rsidRPr="00E41DEE">
              <w:rPr>
                <w:rStyle w:val="checkbox"/>
                <w:rFonts w:ascii="Arial" w:hAnsi="Arial" w:cs="Arial"/>
              </w:rPr>
              <w:t>TWA</w:t>
            </w:r>
            <w:r>
              <w:t xml:space="preserve">: </w:t>
            </w:r>
            <w:r w:rsidRPr="006440AF">
              <w:t>0.1</w:t>
            </w:r>
            <w:r w:rsidR="008A5BE4">
              <w:t xml:space="preserve"> ppm</w:t>
            </w:r>
            <w:r>
              <w:t>;</w:t>
            </w:r>
            <w:r w:rsidRPr="006440AF">
              <w:t xml:space="preserve"> </w:t>
            </w:r>
            <w:r>
              <w:t>STEL: 0.2</w:t>
            </w:r>
            <w:r w:rsidR="008A5BE4">
              <w:t xml:space="preserve"> ppm</w:t>
            </w:r>
            <w:r w:rsidR="00E41DEE">
              <w:t>.</w:t>
            </w:r>
          </w:p>
        </w:tc>
      </w:tr>
      <w:tr w:rsidR="004966BF" w:rsidRPr="004C23F4" w14:paraId="3F1813A0" w14:textId="77777777" w:rsidTr="00677CA0">
        <w:trPr>
          <w:cantSplit/>
        </w:trPr>
        <w:tc>
          <w:tcPr>
            <w:tcW w:w="1496" w:type="dxa"/>
          </w:tcPr>
          <w:p w14:paraId="0A76227D" w14:textId="77777777" w:rsidR="004966BF" w:rsidRDefault="004966BF" w:rsidP="00224EE2">
            <w:pPr>
              <w:pStyle w:val="Tablefont"/>
            </w:pPr>
            <w:r>
              <w:t>US NIOSH</w:t>
            </w:r>
          </w:p>
        </w:tc>
        <w:tc>
          <w:tcPr>
            <w:tcW w:w="422" w:type="dxa"/>
          </w:tcPr>
          <w:p w14:paraId="7115C177" w14:textId="77777777" w:rsidR="004966BF" w:rsidRDefault="00322598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-1814863282"/>
                <w:placeholder>
                  <w:docPart w:val="EA51C8540A4D4F0A9062F5B1698DCBB0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3B31EE" w:rsidDel="00012A2D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6AABEAF0" w14:textId="77777777" w:rsidR="004966BF" w:rsidRPr="004C23F4" w:rsidRDefault="000678BD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1994</w:t>
            </w:r>
          </w:p>
        </w:tc>
        <w:tc>
          <w:tcPr>
            <w:tcW w:w="6447" w:type="dxa"/>
          </w:tcPr>
          <w:p w14:paraId="6060EB00" w14:textId="77777777" w:rsidR="004966BF" w:rsidRPr="00605571" w:rsidRDefault="000678BD" w:rsidP="00605571">
            <w:pPr>
              <w:pStyle w:val="ListBullet"/>
              <w:numPr>
                <w:ilvl w:val="0"/>
                <w:numId w:val="10"/>
              </w:numPr>
              <w:spacing w:before="60" w:after="60"/>
              <w:ind w:left="714" w:right="357" w:hanging="357"/>
              <w:contextualSpacing w:val="0"/>
            </w:pPr>
            <w:r w:rsidRPr="00605571">
              <w:t>IDLH based on acute inhalation toxicity data in humans</w:t>
            </w:r>
          </w:p>
          <w:p w14:paraId="01245BD6" w14:textId="77777777" w:rsidR="000678BD" w:rsidRPr="00605571" w:rsidRDefault="00EC31DA" w:rsidP="00605571">
            <w:pPr>
              <w:pStyle w:val="ListBullet"/>
              <w:numPr>
                <w:ilvl w:val="0"/>
                <w:numId w:val="10"/>
              </w:numPr>
              <w:spacing w:before="60" w:after="60"/>
              <w:ind w:left="714" w:right="357" w:hanging="357"/>
              <w:contextualSpacing w:val="0"/>
            </w:pPr>
            <w:r w:rsidRPr="00605571">
              <w:t>Levels &gt;</w:t>
            </w:r>
            <w:r w:rsidR="000678BD" w:rsidRPr="00605571">
              <w:t>10 ppm intolerable in humans and causes respiratory damage (no further information provided)</w:t>
            </w:r>
          </w:p>
          <w:p w14:paraId="6AE3C561" w14:textId="77777777" w:rsidR="000678BD" w:rsidRPr="003B31EE" w:rsidRDefault="000678BD" w:rsidP="00605571">
            <w:pPr>
              <w:pStyle w:val="ListBullet"/>
              <w:numPr>
                <w:ilvl w:val="0"/>
                <w:numId w:val="10"/>
              </w:numPr>
              <w:spacing w:before="60" w:after="60"/>
              <w:ind w:left="714" w:right="357" w:hanging="357"/>
              <w:contextualSpacing w:val="0"/>
              <w:rPr>
                <w:rStyle w:val="checkbox"/>
                <w:rFonts w:ascii="Arial" w:hAnsi="Arial" w:cs="Arial"/>
              </w:rPr>
            </w:pPr>
            <w:r w:rsidRPr="00605571">
              <w:t>40</w:t>
            </w:r>
            <w:r w:rsidR="004C20A5" w:rsidRPr="00605571">
              <w:t>–</w:t>
            </w:r>
            <w:r w:rsidRPr="00605571">
              <w:t>60 ppm dangerous for brief exposures (no further information provided)</w:t>
            </w:r>
            <w:r w:rsidR="00936EB5" w:rsidRPr="00605571">
              <w:t>.</w:t>
            </w:r>
          </w:p>
        </w:tc>
      </w:tr>
    </w:tbl>
    <w:bookmarkEnd w:id="0"/>
    <w:p w14:paraId="19B5AA08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15010C9A" w14:textId="77777777" w:rsidTr="003B31EE">
        <w:trPr>
          <w:trHeight w:val="454"/>
          <w:tblHeader/>
        </w:trPr>
        <w:tc>
          <w:tcPr>
            <w:tcW w:w="6597" w:type="dxa"/>
            <w:vAlign w:val="center"/>
          </w:tcPr>
          <w:p w14:paraId="6948C4A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7AC3885" w14:textId="77777777" w:rsidR="002E0D61" w:rsidRDefault="003B31EE" w:rsidP="00C3091E">
                <w:pPr>
                  <w:pStyle w:val="Tablefont"/>
                  <w:keepNext/>
                  <w:keepLines/>
                  <w:spacing w:before="40" w:after="40"/>
                </w:pPr>
                <w:r w:rsidDel="00012A2D">
                  <w:t>Insufficient data</w:t>
                </w:r>
              </w:p>
            </w:tc>
          </w:sdtContent>
        </w:sdt>
      </w:tr>
      <w:tr w:rsidR="008A36CF" w14:paraId="247C5776" w14:textId="77777777" w:rsidTr="003B31EE">
        <w:trPr>
          <w:trHeight w:val="454"/>
        </w:trPr>
        <w:tc>
          <w:tcPr>
            <w:tcW w:w="6597" w:type="dxa"/>
            <w:vAlign w:val="center"/>
          </w:tcPr>
          <w:p w14:paraId="644D31F5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00825ED2" w14:textId="77777777" w:rsidR="008A36CF" w:rsidRDefault="003B31EE" w:rsidP="008A36CF">
                <w:pPr>
                  <w:pStyle w:val="Tablefont"/>
                  <w:keepNext/>
                  <w:keepLines/>
                  <w:spacing w:before="40" w:after="40"/>
                </w:pPr>
                <w:r w:rsidDel="00012A2D">
                  <w:t>Insufficient data</w:t>
                </w:r>
              </w:p>
            </w:tc>
          </w:sdtContent>
        </w:sdt>
      </w:tr>
      <w:tr w:rsidR="00E41DEE" w14:paraId="55F1EEF5" w14:textId="77777777" w:rsidTr="00C51820">
        <w:trPr>
          <w:trHeight w:val="454"/>
        </w:trPr>
        <w:sdt>
          <w:sdtPr>
            <w:rPr>
              <w:b/>
            </w:rPr>
            <w:id w:val="1830936485"/>
            <w:placeholder>
              <w:docPart w:val="48B58EB672EB4EF49B7DFA16BD3602A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5134140C" w14:textId="77777777" w:rsidR="00E41DEE" w:rsidRDefault="00E41DEE" w:rsidP="008A36CF">
                <w:pPr>
                  <w:pStyle w:val="Tablefont"/>
                  <w:keepNext/>
                  <w:keepLines/>
                  <w:spacing w:before="40" w:after="40"/>
                </w:pPr>
                <w:r w:rsidDel="00012A2D"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3D690006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2E7A9B5F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0032C9EA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3778C06B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34B504B" w14:textId="77777777" w:rsidTr="00812887">
        <w:trPr>
          <w:cantSplit/>
        </w:trPr>
        <w:tc>
          <w:tcPr>
            <w:tcW w:w="3227" w:type="dxa"/>
          </w:tcPr>
          <w:p w14:paraId="30A74CD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1D3C09A9" w14:textId="77777777" w:rsidR="00687890" w:rsidRPr="00DD2F9B" w:rsidRDefault="003B31EE" w:rsidP="00DD2F9B">
            <w:pPr>
              <w:pStyle w:val="Tablefont"/>
            </w:pPr>
            <w:r>
              <w:t>—</w:t>
            </w:r>
          </w:p>
        </w:tc>
      </w:tr>
      <w:tr w:rsidR="007925F0" w:rsidRPr="004C23F4" w14:paraId="194F6AEC" w14:textId="77777777" w:rsidTr="00812887">
        <w:trPr>
          <w:cantSplit/>
        </w:trPr>
        <w:tc>
          <w:tcPr>
            <w:tcW w:w="3227" w:type="dxa"/>
          </w:tcPr>
          <w:p w14:paraId="1B54140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03922984" w14:textId="77777777" w:rsidR="007925F0" w:rsidRPr="00DD2F9B" w:rsidRDefault="003B31EE" w:rsidP="00DD2F9B">
            <w:pPr>
              <w:pStyle w:val="Tablefont"/>
            </w:pPr>
            <w:r>
              <w:t>—</w:t>
            </w:r>
          </w:p>
        </w:tc>
      </w:tr>
      <w:tr w:rsidR="00AF483F" w:rsidRPr="004C23F4" w14:paraId="4875EA23" w14:textId="77777777" w:rsidTr="00812887">
        <w:trPr>
          <w:cantSplit/>
        </w:trPr>
        <w:tc>
          <w:tcPr>
            <w:tcW w:w="3227" w:type="dxa"/>
          </w:tcPr>
          <w:p w14:paraId="16C59B88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35EC61EF" w14:textId="77777777" w:rsidR="00AF483F" w:rsidRPr="00DD2F9B" w:rsidRDefault="003B31EE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336BE8C3" w14:textId="77777777" w:rsidTr="00812887">
        <w:trPr>
          <w:cantSplit/>
        </w:trPr>
        <w:tc>
          <w:tcPr>
            <w:tcW w:w="3227" w:type="dxa"/>
          </w:tcPr>
          <w:p w14:paraId="6EA41229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75999BE" w14:textId="77777777" w:rsidR="00687890" w:rsidRPr="00DD2F9B" w:rsidRDefault="003B31EE" w:rsidP="00DD2F9B">
            <w:pPr>
              <w:pStyle w:val="Tablefont"/>
            </w:pPr>
            <w:r>
              <w:t>—</w:t>
            </w:r>
          </w:p>
        </w:tc>
      </w:tr>
      <w:tr w:rsidR="00E41A26" w:rsidRPr="004C23F4" w14:paraId="43282D5A" w14:textId="77777777" w:rsidTr="00812887">
        <w:trPr>
          <w:cantSplit/>
        </w:trPr>
        <w:tc>
          <w:tcPr>
            <w:tcW w:w="3227" w:type="dxa"/>
          </w:tcPr>
          <w:p w14:paraId="4DCD5968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59EBB914" w14:textId="77777777" w:rsidR="00E41A26" w:rsidRPr="00DD2F9B" w:rsidRDefault="003B31E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348A3ED5" w14:textId="77777777" w:rsidTr="00812887">
        <w:trPr>
          <w:cantSplit/>
        </w:trPr>
        <w:tc>
          <w:tcPr>
            <w:tcW w:w="3227" w:type="dxa"/>
          </w:tcPr>
          <w:p w14:paraId="77609D8C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50890B7B" w14:textId="77777777" w:rsidR="002E0D61" w:rsidRPr="00DD2F9B" w:rsidRDefault="003B31E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219EF9B3" w14:textId="77777777" w:rsidTr="00812887">
        <w:trPr>
          <w:cantSplit/>
        </w:trPr>
        <w:tc>
          <w:tcPr>
            <w:tcW w:w="3227" w:type="dxa"/>
          </w:tcPr>
          <w:p w14:paraId="3699405B" w14:textId="77777777" w:rsidR="004079B4" w:rsidRPr="004C23F4" w:rsidRDefault="002E0D61" w:rsidP="00F4402E">
            <w:pPr>
              <w:pStyle w:val="Tablefont"/>
            </w:pPr>
            <w:r>
              <w:lastRenderedPageBreak/>
              <w:t>DFG</w:t>
            </w:r>
          </w:p>
        </w:tc>
        <w:tc>
          <w:tcPr>
            <w:tcW w:w="6015" w:type="dxa"/>
          </w:tcPr>
          <w:p w14:paraId="3046A7C5" w14:textId="77777777" w:rsidR="002E0D61" w:rsidRPr="00DD2F9B" w:rsidRDefault="003B31EE" w:rsidP="00DD2F9B">
            <w:pPr>
              <w:pStyle w:val="Tablefont"/>
            </w:pPr>
            <w:r>
              <w:t>—</w:t>
            </w:r>
          </w:p>
        </w:tc>
      </w:tr>
      <w:tr w:rsidR="002E0D61" w:rsidRPr="004C23F4" w14:paraId="52A7D290" w14:textId="77777777" w:rsidTr="00812887">
        <w:trPr>
          <w:cantSplit/>
        </w:trPr>
        <w:tc>
          <w:tcPr>
            <w:tcW w:w="3227" w:type="dxa"/>
          </w:tcPr>
          <w:p w14:paraId="6ADE064A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2A442E9" w14:textId="77777777" w:rsidR="002E0D61" w:rsidRPr="00DD2F9B" w:rsidRDefault="003B31EE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445CCA5D" w14:textId="77777777" w:rsidTr="00812887">
        <w:trPr>
          <w:cantSplit/>
        </w:trPr>
        <w:tc>
          <w:tcPr>
            <w:tcW w:w="3227" w:type="dxa"/>
          </w:tcPr>
          <w:p w14:paraId="0B45CA10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0F6582EF" w14:textId="77777777" w:rsidR="002E0D61" w:rsidRPr="00DD2F9B" w:rsidRDefault="003B31EE" w:rsidP="00DD2F9B">
            <w:pPr>
              <w:pStyle w:val="Tablefont"/>
            </w:pPr>
            <w:r>
              <w:t>—</w:t>
            </w:r>
          </w:p>
        </w:tc>
      </w:tr>
      <w:tr w:rsidR="00386093" w:rsidRPr="004C23F4" w14:paraId="291E8BC0" w14:textId="77777777" w:rsidTr="00812887">
        <w:trPr>
          <w:cantSplit/>
        </w:trPr>
        <w:tc>
          <w:tcPr>
            <w:tcW w:w="3227" w:type="dxa"/>
          </w:tcPr>
          <w:p w14:paraId="36CC2CD3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51E068BA" w14:textId="77777777" w:rsidR="00386093" w:rsidRPr="00DD2F9B" w:rsidRDefault="003B31EE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58E06A2" w14:textId="77777777" w:rsidTr="00812887">
        <w:trPr>
          <w:cantSplit/>
        </w:trPr>
        <w:tc>
          <w:tcPr>
            <w:tcW w:w="3227" w:type="dxa"/>
          </w:tcPr>
          <w:p w14:paraId="13E418F9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309EC23A" w14:textId="77777777" w:rsidR="00386093" w:rsidRPr="00DD2F9B" w:rsidRDefault="00681DB3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44A14D58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7B20F04C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1F53697C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9AF90D1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20DF80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p w14:paraId="5E027F6E" w14:textId="77777777" w:rsidR="00932DCE" w:rsidRPr="004C23F4" w:rsidRDefault="003B31EE" w:rsidP="00F9496B">
            <w:pPr>
              <w:pStyle w:val="Tablefont"/>
            </w:pPr>
            <w:r>
              <w:t>Insufficient data to assign a skin notation</w:t>
            </w:r>
            <w:r w:rsidR="00E41DEE">
              <w:t>.</w:t>
            </w:r>
          </w:p>
        </w:tc>
      </w:tr>
    </w:tbl>
    <w:bookmarkEnd w:id="3"/>
    <w:p w14:paraId="394F54F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3C9638B3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37AEFAE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0E49B44A" w14:textId="77777777" w:rsidR="00EB3D1B" w:rsidRDefault="003B31EE" w:rsidP="00EB3D1B">
                <w:pPr>
                  <w:pStyle w:val="Tablefont"/>
                </w:pPr>
                <w:r w:rsidDel="00012A2D">
                  <w:t>Yes</w:t>
                </w:r>
              </w:p>
            </w:tc>
          </w:sdtContent>
        </w:sdt>
      </w:tr>
    </w:tbl>
    <w:p w14:paraId="6A09FF3F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2FCB44B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C91F40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264B3F61" w14:textId="77777777" w:rsidR="001B79E5" w:rsidRDefault="00031DA5" w:rsidP="001B79E5">
                <w:pPr>
                  <w:pStyle w:val="Tablefont"/>
                </w:pPr>
                <w:r>
                  <w:t>159.81</w:t>
                </w:r>
              </w:p>
            </w:tc>
          </w:sdtContent>
        </w:sdt>
      </w:tr>
      <w:tr w:rsidR="00A31D99" w:rsidRPr="004C23F4" w14:paraId="0B03965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4188144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</w:t>
            </w:r>
            <w:proofErr w:type="spellStart"/>
            <w:r>
              <w:t>kPa</w:t>
            </w:r>
            <w:proofErr w:type="spellEnd"/>
            <w:r>
              <w:t xml:space="preserve">: </w:t>
            </w:r>
          </w:p>
        </w:tc>
        <w:tc>
          <w:tcPr>
            <w:tcW w:w="5165" w:type="dxa"/>
            <w:vAlign w:val="center"/>
          </w:tcPr>
          <w:p w14:paraId="5B23E48B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08B9D6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3AB6C63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0269D135" w14:textId="77777777" w:rsidR="00687890" w:rsidRPr="004C23F4" w:rsidRDefault="002238DD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39D5842F" w14:textId="77777777" w:rsidTr="00EA6243">
        <w:trPr>
          <w:cantSplit/>
        </w:trPr>
        <w:tc>
          <w:tcPr>
            <w:tcW w:w="4077" w:type="dxa"/>
            <w:vAlign w:val="center"/>
          </w:tcPr>
          <w:p w14:paraId="7722F06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126EA5A6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D8A91E1" w14:textId="77777777" w:rsidTr="00EA6243">
        <w:trPr>
          <w:cantSplit/>
        </w:trPr>
        <w:tc>
          <w:tcPr>
            <w:tcW w:w="4077" w:type="dxa"/>
            <w:vAlign w:val="center"/>
          </w:tcPr>
          <w:p w14:paraId="4F3CBF5D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88626C7" w14:textId="77777777" w:rsidR="00687890" w:rsidRPr="004C23F4" w:rsidRDefault="00677CA0" w:rsidP="00717D45">
                <w:pPr>
                  <w:pStyle w:val="Tablefont"/>
                </w:pPr>
                <w:r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p>
            </w:tc>
          </w:sdtContent>
        </w:sdt>
      </w:tr>
      <w:tr w:rsidR="00E06F40" w:rsidRPr="004C23F4" w14:paraId="50D45E69" w14:textId="77777777" w:rsidTr="00EA6243">
        <w:trPr>
          <w:cantSplit/>
        </w:trPr>
        <w:tc>
          <w:tcPr>
            <w:tcW w:w="4077" w:type="dxa"/>
            <w:vAlign w:val="center"/>
          </w:tcPr>
          <w:p w14:paraId="480B7307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7A48AAFB" w14:textId="77777777" w:rsidR="00E06F40" w:rsidRPr="00A006A0" w:rsidRDefault="00322598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7E36CC77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266A73E0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174EE7C5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491E31D4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44EAF493" w14:textId="77777777" w:rsidTr="00F053FA">
        <w:trPr>
          <w:tblHeader/>
        </w:trPr>
        <w:sdt>
          <w:sdtPr>
            <w:id w:val="-25557549"/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5CEC1464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67D72D1F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4B57DFA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41AE99BD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624CD128" w14:textId="77777777" w:rsidR="00E45B2E" w:rsidRDefault="00E45B2E" w:rsidP="00084859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(2013) Bromine – MAK value documentation.</w:t>
      </w:r>
    </w:p>
    <w:p w14:paraId="3800E225" w14:textId="77777777" w:rsidR="00E45B2E" w:rsidRDefault="00E45B2E" w:rsidP="00084859">
      <w:r w:rsidRPr="002022B6">
        <w:t>Health Council of the Netherlands</w:t>
      </w:r>
      <w:r>
        <w:t xml:space="preserve"> (HCOTN) (2005) Bromine</w:t>
      </w:r>
      <w:r w:rsidRPr="005F7416">
        <w:t xml:space="preserve">. Health-based calculated occupational cancer risk values. The Hague: Health Council of the Netherlands; publication no. </w:t>
      </w:r>
      <w:r w:rsidRPr="00E45B2E">
        <w:t>2000/15OSH/143</w:t>
      </w:r>
      <w:r>
        <w:t>.</w:t>
      </w:r>
    </w:p>
    <w:p w14:paraId="14F06D86" w14:textId="77777777" w:rsidR="00E45B2E" w:rsidRDefault="00E45B2E" w:rsidP="00084859">
      <w:r w:rsidRPr="00D86E03">
        <w:t>UK Health and Safety Executive</w:t>
      </w:r>
      <w:r>
        <w:t xml:space="preserve"> (HSE) (2002) </w:t>
      </w:r>
      <w:r w:rsidRPr="00485AE6">
        <w:t>EH40/2005 Workplace exposure limits</w:t>
      </w:r>
      <w:r>
        <w:t>.</w:t>
      </w:r>
    </w:p>
    <w:p w14:paraId="66A67D7A" w14:textId="77777777" w:rsidR="00E45B2E" w:rsidRPr="00351FE0" w:rsidRDefault="00E45B2E" w:rsidP="00084859">
      <w:r w:rsidRPr="00E45B2E">
        <w:t xml:space="preserve">US National Institute for Occupational Safety and Health (NIOSH) (1994) </w:t>
      </w:r>
      <w:proofErr w:type="gramStart"/>
      <w:r w:rsidRPr="00E45B2E">
        <w:t>Immediately</w:t>
      </w:r>
      <w:proofErr w:type="gramEnd"/>
      <w:r w:rsidRPr="00E45B2E">
        <w:t xml:space="preserve"> dangerous to life or health concentrations – </w:t>
      </w:r>
      <w:r>
        <w:t>Bromine</w:t>
      </w:r>
      <w:r w:rsidRPr="00E45B2E">
        <w:t>.</w:t>
      </w:r>
    </w:p>
    <w:sectPr w:rsidR="00E45B2E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03AB2" w16cid:durableId="2128FB1D"/>
  <w16cid:commentId w16cid:paraId="050F75A5" w16cid:durableId="2128FBFC"/>
  <w16cid:commentId w16cid:paraId="0C113A61" w16cid:durableId="2128FE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FE3B1" w14:textId="77777777" w:rsidR="004450A1" w:rsidRDefault="004450A1" w:rsidP="00F43AD5">
      <w:pPr>
        <w:spacing w:after="0" w:line="240" w:lineRule="auto"/>
      </w:pPr>
      <w:r>
        <w:separator/>
      </w:r>
    </w:p>
  </w:endnote>
  <w:endnote w:type="continuationSeparator" w:id="0">
    <w:p w14:paraId="554A19E1" w14:textId="77777777" w:rsidR="004450A1" w:rsidRDefault="004450A1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2F6E" w14:textId="77777777" w:rsidR="00322598" w:rsidRDefault="00322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42113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A84D24D" w14:textId="77777777" w:rsidR="00383B18" w:rsidRDefault="00383B18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Bromine (7726-95-6</w:t>
        </w:r>
        <w:proofErr w:type="gramStart"/>
        <w:r>
          <w:rPr>
            <w:b/>
            <w:sz w:val="18"/>
            <w:szCs w:val="18"/>
          </w:rPr>
          <w:t>)</w:t>
        </w:r>
        <w:proofErr w:type="gramEnd"/>
        <w:r w:rsidRPr="00F43AD5">
          <w:rPr>
            <w:sz w:val="18"/>
            <w:szCs w:val="18"/>
          </w:rPr>
          <w:br/>
          <w:t xml:space="preserve">Safe Work Australia </w:t>
        </w:r>
        <w:r w:rsidRPr="00F43AD5">
          <w:rPr>
            <w:rFonts w:ascii="Courier New" w:hAnsi="Courier New" w:cs="Courier New"/>
            <w:sz w:val="18"/>
            <w:szCs w:val="18"/>
          </w:rPr>
          <w:t>—</w:t>
        </w:r>
        <w:r w:rsidRPr="00F43AD5">
          <w:rPr>
            <w:sz w:val="18"/>
            <w:szCs w:val="18"/>
          </w:rPr>
          <w:t xml:space="preserve"> 201</w:t>
        </w:r>
        <w:r>
          <w:rPr>
            <w:sz w:val="18"/>
            <w:szCs w:val="18"/>
          </w:rPr>
          <w:t>9</w:t>
        </w:r>
      </w:p>
      <w:p w14:paraId="3484B1B5" w14:textId="43EEF7C9" w:rsidR="00383B18" w:rsidRPr="00F43AD5" w:rsidRDefault="00383B18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322598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4FB6" w14:textId="77777777" w:rsidR="00322598" w:rsidRDefault="00322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D480" w14:textId="77777777" w:rsidR="004450A1" w:rsidRDefault="004450A1" w:rsidP="00F43AD5">
      <w:pPr>
        <w:spacing w:after="0" w:line="240" w:lineRule="auto"/>
      </w:pPr>
      <w:r>
        <w:separator/>
      </w:r>
    </w:p>
  </w:footnote>
  <w:footnote w:type="continuationSeparator" w:id="0">
    <w:p w14:paraId="2E5412E6" w14:textId="77777777" w:rsidR="004450A1" w:rsidRDefault="004450A1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2FA8" w14:textId="77777777" w:rsidR="00322598" w:rsidRDefault="00322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CA54" w14:textId="77777777" w:rsidR="00322598" w:rsidRDefault="00322598" w:rsidP="00322598">
    <w:pPr>
      <w:pStyle w:val="Header"/>
      <w:jc w:val="right"/>
    </w:pPr>
    <w:sdt>
      <w:sdtPr>
        <w:id w:val="-739631374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083A4D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EA9C0F8" wp14:editId="015CDCBD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530BA" w14:textId="056531BE" w:rsidR="00383B18" w:rsidRDefault="00383B18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E653" w14:textId="77777777" w:rsidR="00322598" w:rsidRDefault="003225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EE88" w14:textId="77777777" w:rsidR="00322598" w:rsidRDefault="00322598" w:rsidP="00322598">
    <w:pPr>
      <w:pStyle w:val="Header"/>
      <w:jc w:val="right"/>
    </w:pPr>
    <w:sdt>
      <w:sdtPr>
        <w:id w:val="-174680237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0A4D20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4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2465AE1A" wp14:editId="6BD4D4FD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D11781" w14:textId="2310DCA5" w:rsidR="00F70CAC" w:rsidRDefault="00F70CAC" w:rsidP="00F70CAC">
    <w:pPr>
      <w:pStyle w:val="Header"/>
      <w:jc w:val="right"/>
    </w:pPr>
    <w:bookmarkStart w:id="5" w:name="_GoBack"/>
    <w:bookmarkEnd w:id="5"/>
  </w:p>
  <w:p w14:paraId="327F6B35" w14:textId="77777777" w:rsidR="00383B18" w:rsidRDefault="00383B18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EA8058"/>
    <w:name w:val="WSP Appendices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15EE1036"/>
    <w:multiLevelType w:val="hybridMultilevel"/>
    <w:tmpl w:val="1444C9A4"/>
    <w:name w:val="WSP Appendices222222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B0B81"/>
    <w:multiLevelType w:val="hybridMultilevel"/>
    <w:tmpl w:val="04126222"/>
    <w:name w:val="WSP Appendices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D3452"/>
    <w:multiLevelType w:val="hybridMultilevel"/>
    <w:tmpl w:val="3F703FB0"/>
    <w:name w:val="WSP Appendices2222222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5BD"/>
    <w:multiLevelType w:val="hybridMultilevel"/>
    <w:tmpl w:val="9DA4326E"/>
    <w:name w:val="WSP Appendices2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C6AA4"/>
    <w:multiLevelType w:val="hybridMultilevel"/>
    <w:tmpl w:val="CB1A376E"/>
    <w:name w:val="WSP Appendices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0D55"/>
    <w:multiLevelType w:val="hybridMultilevel"/>
    <w:tmpl w:val="4A809D00"/>
    <w:name w:val="WSP Appendices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06191"/>
    <w:multiLevelType w:val="hybridMultilevel"/>
    <w:tmpl w:val="68364DAC"/>
    <w:name w:val="WSP Appendices22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66F29"/>
    <w:multiLevelType w:val="hybridMultilevel"/>
    <w:tmpl w:val="92B815B4"/>
    <w:name w:val="WSP Appendices22222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7F424D"/>
    <w:multiLevelType w:val="hybridMultilevel"/>
    <w:tmpl w:val="90BE42C2"/>
    <w:name w:val="WSP Appendices2222222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0353CF"/>
    <w:multiLevelType w:val="hybridMultilevel"/>
    <w:tmpl w:val="F9945C10"/>
    <w:name w:val="WSP Appendices222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2A2D"/>
    <w:rsid w:val="00013A22"/>
    <w:rsid w:val="00014C3F"/>
    <w:rsid w:val="00015B9B"/>
    <w:rsid w:val="00017C82"/>
    <w:rsid w:val="00031DA5"/>
    <w:rsid w:val="00032B88"/>
    <w:rsid w:val="0003465E"/>
    <w:rsid w:val="00046DF5"/>
    <w:rsid w:val="00046FDA"/>
    <w:rsid w:val="00052060"/>
    <w:rsid w:val="0005574A"/>
    <w:rsid w:val="00055FE1"/>
    <w:rsid w:val="00056EC2"/>
    <w:rsid w:val="00060B48"/>
    <w:rsid w:val="000633D6"/>
    <w:rsid w:val="000678BD"/>
    <w:rsid w:val="00067F32"/>
    <w:rsid w:val="00071807"/>
    <w:rsid w:val="0007300F"/>
    <w:rsid w:val="000803E1"/>
    <w:rsid w:val="00081094"/>
    <w:rsid w:val="00084513"/>
    <w:rsid w:val="00084859"/>
    <w:rsid w:val="0008616A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E07FA"/>
    <w:rsid w:val="000E0831"/>
    <w:rsid w:val="000E5A54"/>
    <w:rsid w:val="000E63D3"/>
    <w:rsid w:val="000E67CF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62E23"/>
    <w:rsid w:val="00177CA1"/>
    <w:rsid w:val="00183823"/>
    <w:rsid w:val="00183942"/>
    <w:rsid w:val="001A009E"/>
    <w:rsid w:val="001A1287"/>
    <w:rsid w:val="001A3859"/>
    <w:rsid w:val="001A3C9D"/>
    <w:rsid w:val="001A43F8"/>
    <w:rsid w:val="001B0786"/>
    <w:rsid w:val="001B79E5"/>
    <w:rsid w:val="001D56F0"/>
    <w:rsid w:val="001D663B"/>
    <w:rsid w:val="001D7B41"/>
    <w:rsid w:val="001E46DA"/>
    <w:rsid w:val="001E7D80"/>
    <w:rsid w:val="001F07F5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38DD"/>
    <w:rsid w:val="00224EE2"/>
    <w:rsid w:val="00227EC7"/>
    <w:rsid w:val="00231EA5"/>
    <w:rsid w:val="00244AD1"/>
    <w:rsid w:val="002463BC"/>
    <w:rsid w:val="002465CE"/>
    <w:rsid w:val="0025734A"/>
    <w:rsid w:val="00263255"/>
    <w:rsid w:val="00264FCC"/>
    <w:rsid w:val="00273C61"/>
    <w:rsid w:val="00276494"/>
    <w:rsid w:val="00277B0C"/>
    <w:rsid w:val="00294CD2"/>
    <w:rsid w:val="00297F9F"/>
    <w:rsid w:val="002B1A2C"/>
    <w:rsid w:val="002C34F2"/>
    <w:rsid w:val="002C58FF"/>
    <w:rsid w:val="002C7AFE"/>
    <w:rsid w:val="002D05D2"/>
    <w:rsid w:val="002E0D61"/>
    <w:rsid w:val="002E4C7B"/>
    <w:rsid w:val="002E5C0E"/>
    <w:rsid w:val="0030740C"/>
    <w:rsid w:val="00315833"/>
    <w:rsid w:val="003215EE"/>
    <w:rsid w:val="003224BF"/>
    <w:rsid w:val="00322598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3B18"/>
    <w:rsid w:val="00386093"/>
    <w:rsid w:val="003904A4"/>
    <w:rsid w:val="00391841"/>
    <w:rsid w:val="00391B6D"/>
    <w:rsid w:val="00394922"/>
    <w:rsid w:val="003A0E32"/>
    <w:rsid w:val="003A2B94"/>
    <w:rsid w:val="003B31EE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0A1"/>
    <w:rsid w:val="00445E44"/>
    <w:rsid w:val="004509E2"/>
    <w:rsid w:val="004515EE"/>
    <w:rsid w:val="004529F0"/>
    <w:rsid w:val="00460A03"/>
    <w:rsid w:val="004720C6"/>
    <w:rsid w:val="00472A11"/>
    <w:rsid w:val="00472AAD"/>
    <w:rsid w:val="00474E33"/>
    <w:rsid w:val="00476803"/>
    <w:rsid w:val="00485BFD"/>
    <w:rsid w:val="004867A2"/>
    <w:rsid w:val="004873F2"/>
    <w:rsid w:val="00490D4C"/>
    <w:rsid w:val="004934EE"/>
    <w:rsid w:val="00493A35"/>
    <w:rsid w:val="0049527A"/>
    <w:rsid w:val="004966BF"/>
    <w:rsid w:val="00497984"/>
    <w:rsid w:val="004A3D8F"/>
    <w:rsid w:val="004A5088"/>
    <w:rsid w:val="004B579A"/>
    <w:rsid w:val="004C1E3F"/>
    <w:rsid w:val="004C20A5"/>
    <w:rsid w:val="004C23F4"/>
    <w:rsid w:val="004C3475"/>
    <w:rsid w:val="004C58B6"/>
    <w:rsid w:val="004D16A3"/>
    <w:rsid w:val="004D4AA1"/>
    <w:rsid w:val="004D6D68"/>
    <w:rsid w:val="004E2ACA"/>
    <w:rsid w:val="004E5EDD"/>
    <w:rsid w:val="004F448A"/>
    <w:rsid w:val="004F493D"/>
    <w:rsid w:val="004F65E8"/>
    <w:rsid w:val="0050005E"/>
    <w:rsid w:val="00502B88"/>
    <w:rsid w:val="005142C4"/>
    <w:rsid w:val="0051509C"/>
    <w:rsid w:val="00515873"/>
    <w:rsid w:val="005272E2"/>
    <w:rsid w:val="00530E62"/>
    <w:rsid w:val="0053108F"/>
    <w:rsid w:val="00532B56"/>
    <w:rsid w:val="00534B10"/>
    <w:rsid w:val="005446A2"/>
    <w:rsid w:val="00544D2F"/>
    <w:rsid w:val="00551BD8"/>
    <w:rsid w:val="00581055"/>
    <w:rsid w:val="00591E38"/>
    <w:rsid w:val="005A19C5"/>
    <w:rsid w:val="005A2F3E"/>
    <w:rsid w:val="005A3034"/>
    <w:rsid w:val="005A462D"/>
    <w:rsid w:val="005B253B"/>
    <w:rsid w:val="005B771D"/>
    <w:rsid w:val="005C5D16"/>
    <w:rsid w:val="005D3193"/>
    <w:rsid w:val="005D44F7"/>
    <w:rsid w:val="005D4A6E"/>
    <w:rsid w:val="005E6979"/>
    <w:rsid w:val="005E75CB"/>
    <w:rsid w:val="006013C1"/>
    <w:rsid w:val="00605571"/>
    <w:rsid w:val="0060669E"/>
    <w:rsid w:val="00610F2E"/>
    <w:rsid w:val="00611399"/>
    <w:rsid w:val="00624C4E"/>
    <w:rsid w:val="00625200"/>
    <w:rsid w:val="006363A8"/>
    <w:rsid w:val="00636DB7"/>
    <w:rsid w:val="006440AF"/>
    <w:rsid w:val="006462BC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CA0"/>
    <w:rsid w:val="00677D9B"/>
    <w:rsid w:val="00681DB3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6F3A54"/>
    <w:rsid w:val="006F75B1"/>
    <w:rsid w:val="00701053"/>
    <w:rsid w:val="00701507"/>
    <w:rsid w:val="00714021"/>
    <w:rsid w:val="00716A0F"/>
    <w:rsid w:val="00717D45"/>
    <w:rsid w:val="007208F7"/>
    <w:rsid w:val="007218AF"/>
    <w:rsid w:val="007365D1"/>
    <w:rsid w:val="00740E0E"/>
    <w:rsid w:val="00750212"/>
    <w:rsid w:val="00754779"/>
    <w:rsid w:val="0075716D"/>
    <w:rsid w:val="00765F14"/>
    <w:rsid w:val="00766F25"/>
    <w:rsid w:val="00770E31"/>
    <w:rsid w:val="007770F1"/>
    <w:rsid w:val="00783FB1"/>
    <w:rsid w:val="00785CDD"/>
    <w:rsid w:val="00791847"/>
    <w:rsid w:val="007925F0"/>
    <w:rsid w:val="007939B3"/>
    <w:rsid w:val="0079509C"/>
    <w:rsid w:val="007950D8"/>
    <w:rsid w:val="00796708"/>
    <w:rsid w:val="007B1B42"/>
    <w:rsid w:val="007C30EB"/>
    <w:rsid w:val="007C6F1E"/>
    <w:rsid w:val="007E063C"/>
    <w:rsid w:val="007E2A4B"/>
    <w:rsid w:val="007E307D"/>
    <w:rsid w:val="007E5759"/>
    <w:rsid w:val="007E6A4E"/>
    <w:rsid w:val="007E6C94"/>
    <w:rsid w:val="007F1005"/>
    <w:rsid w:val="007F25E0"/>
    <w:rsid w:val="007F5328"/>
    <w:rsid w:val="00804F5A"/>
    <w:rsid w:val="00807B98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097A"/>
    <w:rsid w:val="008A36CF"/>
    <w:rsid w:val="008A3BC4"/>
    <w:rsid w:val="008A5BE4"/>
    <w:rsid w:val="008A62AA"/>
    <w:rsid w:val="008B403C"/>
    <w:rsid w:val="008B7983"/>
    <w:rsid w:val="008C2511"/>
    <w:rsid w:val="008D026D"/>
    <w:rsid w:val="008D23AB"/>
    <w:rsid w:val="008D2E33"/>
    <w:rsid w:val="008D4B8B"/>
    <w:rsid w:val="008D5A78"/>
    <w:rsid w:val="008E7B64"/>
    <w:rsid w:val="008F5DCD"/>
    <w:rsid w:val="00900951"/>
    <w:rsid w:val="009118A6"/>
    <w:rsid w:val="0091201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6EB5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2F6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2394"/>
    <w:rsid w:val="00A27E2D"/>
    <w:rsid w:val="00A31D99"/>
    <w:rsid w:val="00A357BA"/>
    <w:rsid w:val="00A35ADC"/>
    <w:rsid w:val="00A402A3"/>
    <w:rsid w:val="00A52FD6"/>
    <w:rsid w:val="00A53681"/>
    <w:rsid w:val="00A54456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10BE"/>
    <w:rsid w:val="00AE2745"/>
    <w:rsid w:val="00AE2F64"/>
    <w:rsid w:val="00AE329A"/>
    <w:rsid w:val="00AF42CB"/>
    <w:rsid w:val="00AF483F"/>
    <w:rsid w:val="00AF5E07"/>
    <w:rsid w:val="00AF5F06"/>
    <w:rsid w:val="00B00A25"/>
    <w:rsid w:val="00B1422A"/>
    <w:rsid w:val="00B1765C"/>
    <w:rsid w:val="00B213C4"/>
    <w:rsid w:val="00B248C2"/>
    <w:rsid w:val="00B40C60"/>
    <w:rsid w:val="00B479A9"/>
    <w:rsid w:val="00B52EDF"/>
    <w:rsid w:val="00B53615"/>
    <w:rsid w:val="00B71188"/>
    <w:rsid w:val="00B75CA4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0F4E"/>
    <w:rsid w:val="00BF2406"/>
    <w:rsid w:val="00C0353C"/>
    <w:rsid w:val="00C06E43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5FD"/>
    <w:rsid w:val="00C978F0"/>
    <w:rsid w:val="00CA58FE"/>
    <w:rsid w:val="00CB1CB1"/>
    <w:rsid w:val="00CB6BC1"/>
    <w:rsid w:val="00CB6CB8"/>
    <w:rsid w:val="00CC1A68"/>
    <w:rsid w:val="00CC2123"/>
    <w:rsid w:val="00CD0109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37742"/>
    <w:rsid w:val="00D42B84"/>
    <w:rsid w:val="00D44C89"/>
    <w:rsid w:val="00D516CD"/>
    <w:rsid w:val="00D668E6"/>
    <w:rsid w:val="00D70670"/>
    <w:rsid w:val="00D74D80"/>
    <w:rsid w:val="00D76624"/>
    <w:rsid w:val="00D801D6"/>
    <w:rsid w:val="00D87570"/>
    <w:rsid w:val="00D91CB9"/>
    <w:rsid w:val="00D97989"/>
    <w:rsid w:val="00D97D8D"/>
    <w:rsid w:val="00DA352E"/>
    <w:rsid w:val="00DB2B05"/>
    <w:rsid w:val="00DC7694"/>
    <w:rsid w:val="00DD1BF6"/>
    <w:rsid w:val="00DD2F9B"/>
    <w:rsid w:val="00DE2513"/>
    <w:rsid w:val="00DE26E8"/>
    <w:rsid w:val="00DF4B0F"/>
    <w:rsid w:val="00DF57D3"/>
    <w:rsid w:val="00DF6F36"/>
    <w:rsid w:val="00E0084C"/>
    <w:rsid w:val="00E025AB"/>
    <w:rsid w:val="00E02B23"/>
    <w:rsid w:val="00E02D1A"/>
    <w:rsid w:val="00E06F40"/>
    <w:rsid w:val="00E07CE8"/>
    <w:rsid w:val="00E113C8"/>
    <w:rsid w:val="00E13CAD"/>
    <w:rsid w:val="00E24604"/>
    <w:rsid w:val="00E26A07"/>
    <w:rsid w:val="00E32595"/>
    <w:rsid w:val="00E37CFD"/>
    <w:rsid w:val="00E41A26"/>
    <w:rsid w:val="00E41DEE"/>
    <w:rsid w:val="00E45B2E"/>
    <w:rsid w:val="00E46BCB"/>
    <w:rsid w:val="00E51CAF"/>
    <w:rsid w:val="00E60F04"/>
    <w:rsid w:val="00E62AAC"/>
    <w:rsid w:val="00E649A9"/>
    <w:rsid w:val="00E67C2F"/>
    <w:rsid w:val="00E67EF5"/>
    <w:rsid w:val="00E804EA"/>
    <w:rsid w:val="00E80A71"/>
    <w:rsid w:val="00E82337"/>
    <w:rsid w:val="00E92499"/>
    <w:rsid w:val="00E949AF"/>
    <w:rsid w:val="00E96077"/>
    <w:rsid w:val="00EA07C8"/>
    <w:rsid w:val="00EA0A06"/>
    <w:rsid w:val="00EA3FC3"/>
    <w:rsid w:val="00EA6243"/>
    <w:rsid w:val="00EA74AB"/>
    <w:rsid w:val="00EB36C9"/>
    <w:rsid w:val="00EB3D1B"/>
    <w:rsid w:val="00EC31DA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166D0"/>
    <w:rsid w:val="00F20E68"/>
    <w:rsid w:val="00F22093"/>
    <w:rsid w:val="00F236DF"/>
    <w:rsid w:val="00F43AD5"/>
    <w:rsid w:val="00F4402E"/>
    <w:rsid w:val="00F56DD0"/>
    <w:rsid w:val="00F60AA7"/>
    <w:rsid w:val="00F6491C"/>
    <w:rsid w:val="00F67BBB"/>
    <w:rsid w:val="00F70CAC"/>
    <w:rsid w:val="00F87D92"/>
    <w:rsid w:val="00F90AA7"/>
    <w:rsid w:val="00F90B74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2987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3C58A6A7"/>
  <w15:docId w15:val="{91597498-5993-48A0-9A29-38EC6511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297F9F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D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D0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8DD754E365844A4E82EC69A07E2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DB53-9FC4-45A7-A37C-FDECC7AE23CB}"/>
      </w:docPartPr>
      <w:docPartBody>
        <w:p w:rsidR="00D21A9F" w:rsidRDefault="00D21A9F">
          <w:pPr>
            <w:pStyle w:val="8DD754E365844A4E82EC69A07E229629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EA51C8540A4D4F0A9062F5B1698D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35A6-51B4-4D9C-B1D2-B881B06F755D}"/>
      </w:docPartPr>
      <w:docPartBody>
        <w:p w:rsidR="00D21A9F" w:rsidRDefault="00D21A9F">
          <w:pPr>
            <w:pStyle w:val="EA51C8540A4D4F0A9062F5B1698DCBB0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58EB672EB4EF49B7DFA16BD36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BB4C-64C3-4802-B4E2-5A68DCDE557A}"/>
      </w:docPartPr>
      <w:docPartBody>
        <w:p w:rsidR="002048AE" w:rsidRDefault="00EE38FC" w:rsidP="00EE38FC">
          <w:pPr>
            <w:pStyle w:val="48B58EB672EB4EF49B7DFA16BD3602A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048AE"/>
    <w:rsid w:val="00581C14"/>
    <w:rsid w:val="00710D3F"/>
    <w:rsid w:val="008E173C"/>
    <w:rsid w:val="00C8608E"/>
    <w:rsid w:val="00D21A9F"/>
    <w:rsid w:val="00E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8FC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DE725634D92D46E9AAA267701FF75452">
    <w:name w:val="DE725634D92D46E9AAA267701FF75452"/>
    <w:rsid w:val="00581C14"/>
  </w:style>
  <w:style w:type="paragraph" w:customStyle="1" w:styleId="48B58EB672EB4EF49B7DFA16BD3602A5">
    <w:name w:val="48B58EB672EB4EF49B7DFA16BD3602A5"/>
    <w:rsid w:val="00EE3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8547-E210-483F-B697-BFC009E4D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FD3B4-E5FF-44D0-A85D-1656AEB7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2EC24A-68A1-4A42-B200-E7F7E9EE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5DD3B597.dotm</Template>
  <TotalTime>371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HEARD,Jonathan</dc:creator>
  <cp:keywords/>
  <dc:description/>
  <cp:lastModifiedBy>WARING,Owen</cp:lastModifiedBy>
  <cp:revision>25</cp:revision>
  <cp:lastPrinted>2018-10-22T22:41:00Z</cp:lastPrinted>
  <dcterms:created xsi:type="dcterms:W3CDTF">2019-07-15T02:08:00Z</dcterms:created>
  <dcterms:modified xsi:type="dcterms:W3CDTF">2019-09-24T01:57:00Z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