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C165190" w14:textId="77777777" w:rsidR="00BD499F" w:rsidRPr="004C23F4" w:rsidRDefault="00B32031" w:rsidP="00B40C60">
          <w:pPr>
            <w:pStyle w:val="Heading1"/>
            <w:jc w:val="center"/>
            <w:rPr>
              <w:rFonts w:ascii="Arial" w:hAnsi="Arial" w:cs="Arial"/>
            </w:rPr>
          </w:pPr>
          <w:proofErr w:type="gramStart"/>
          <w:r>
            <w:rPr>
              <w:rFonts w:ascii="Arial" w:hAnsi="Arial" w:cs="Arial"/>
              <w:caps w:val="0"/>
            </w:rPr>
            <w:t>n</w:t>
          </w:r>
          <w:r>
            <w:rPr>
              <w:rFonts w:ascii="Arial" w:hAnsi="Arial" w:cs="Arial"/>
            </w:rPr>
            <w:t>-</w:t>
          </w:r>
          <w:r w:rsidR="004D7986" w:rsidRPr="004D7986">
            <w:rPr>
              <w:rFonts w:ascii="Arial" w:hAnsi="Arial" w:cs="Arial"/>
            </w:rPr>
            <w:t>Butylamine</w:t>
          </w:r>
          <w:proofErr w:type="gramEnd"/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5"/>
        <w:gridCol w:w="5041"/>
      </w:tblGrid>
      <w:tr w:rsidR="00F43AD5" w:rsidRPr="004C23F4" w14:paraId="27089A74" w14:textId="77777777" w:rsidTr="006C745D">
        <w:trPr>
          <w:cantSplit/>
          <w:tblHeader/>
        </w:trPr>
        <w:tc>
          <w:tcPr>
            <w:tcW w:w="3985" w:type="dxa"/>
          </w:tcPr>
          <w:p w14:paraId="1F43C1D4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1" w:type="dxa"/>
          </w:tcPr>
          <w:p w14:paraId="056FA48E" w14:textId="77777777" w:rsidR="00F43AD5" w:rsidRPr="00717D45" w:rsidRDefault="00253B9A" w:rsidP="00B76A41">
            <w:pPr>
              <w:pStyle w:val="Tablefont"/>
            </w:pPr>
            <w:r w:rsidRPr="00253B9A">
              <w:t>109-73-9</w:t>
            </w:r>
            <w:r w:rsidR="00D530EC">
              <w:t xml:space="preserve"> </w:t>
            </w:r>
          </w:p>
        </w:tc>
      </w:tr>
      <w:tr w:rsidR="00F43AD5" w:rsidRPr="00987C7B" w14:paraId="689C25BB" w14:textId="77777777" w:rsidTr="006C745D">
        <w:trPr>
          <w:cantSplit/>
        </w:trPr>
        <w:tc>
          <w:tcPr>
            <w:tcW w:w="3985" w:type="dxa"/>
          </w:tcPr>
          <w:p w14:paraId="101A16D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1" w:type="dxa"/>
          </w:tcPr>
          <w:p w14:paraId="53EA8FD1" w14:textId="77777777" w:rsidR="00D530EC" w:rsidRPr="00987C7B" w:rsidRDefault="00841B5A" w:rsidP="00B76A41">
            <w:pPr>
              <w:pStyle w:val="Tablefont"/>
            </w:pPr>
            <w:r w:rsidRPr="00987C7B">
              <w:t xml:space="preserve">Butan-1-amine, </w:t>
            </w:r>
            <w:r w:rsidR="00253B9A" w:rsidRPr="00987C7B">
              <w:t>1-</w:t>
            </w:r>
            <w:r w:rsidRPr="00987C7B">
              <w:t>aminobutane</w:t>
            </w:r>
            <w:r w:rsidR="000A5137" w:rsidRPr="00987C7B">
              <w:t>;</w:t>
            </w:r>
            <w:r w:rsidR="00253B9A" w:rsidRPr="00987C7B">
              <w:t xml:space="preserve"> n-</w:t>
            </w:r>
            <w:r w:rsidR="00B374E6" w:rsidRPr="00987C7B">
              <w:t>b</w:t>
            </w:r>
            <w:r w:rsidR="00253B9A" w:rsidRPr="00987C7B">
              <w:t xml:space="preserve">utylamine </w:t>
            </w:r>
          </w:p>
        </w:tc>
      </w:tr>
      <w:tr w:rsidR="00F43AD5" w:rsidRPr="004C23F4" w14:paraId="1788184A" w14:textId="77777777" w:rsidTr="006C745D">
        <w:trPr>
          <w:cantSplit/>
        </w:trPr>
        <w:tc>
          <w:tcPr>
            <w:tcW w:w="3985" w:type="dxa"/>
          </w:tcPr>
          <w:p w14:paraId="49606AD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1" w:type="dxa"/>
          </w:tcPr>
          <w:p w14:paraId="12EFE099" w14:textId="77777777" w:rsidR="00F43AD5" w:rsidRPr="00717D45" w:rsidRDefault="00253B9A" w:rsidP="00B76A41">
            <w:pPr>
              <w:pStyle w:val="Tablefont"/>
            </w:pPr>
            <w:r w:rsidRPr="00253B9A">
              <w:t>C</w:t>
            </w:r>
            <w:r w:rsidRPr="00253B9A">
              <w:rPr>
                <w:vertAlign w:val="subscript"/>
              </w:rPr>
              <w:t>4</w:t>
            </w:r>
            <w:r w:rsidRPr="00253B9A">
              <w:t>H</w:t>
            </w:r>
            <w:r w:rsidRPr="00253B9A">
              <w:rPr>
                <w:vertAlign w:val="subscript"/>
              </w:rPr>
              <w:t>11</w:t>
            </w:r>
            <w:r w:rsidRPr="00253B9A">
              <w:t>N</w:t>
            </w:r>
          </w:p>
        </w:tc>
      </w:tr>
    </w:tbl>
    <w:p w14:paraId="26EF0156" w14:textId="650C5871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F827CD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13E74ACD" w14:textId="77777777" w:rsidTr="00AA5B5A">
        <w:trPr>
          <w:cantSplit/>
          <w:tblHeader/>
        </w:trPr>
        <w:tc>
          <w:tcPr>
            <w:tcW w:w="4005" w:type="dxa"/>
            <w:vAlign w:val="center"/>
          </w:tcPr>
          <w:p w14:paraId="3A12F8E3" w14:textId="77777777" w:rsidR="002C7AFE" w:rsidRPr="002C58FF" w:rsidRDefault="00921DE7" w:rsidP="00921DE7">
            <w:pPr>
              <w:pStyle w:val="Tablerowright"/>
            </w:pPr>
            <w:r>
              <w:t>T</w:t>
            </w:r>
            <w:r w:rsidR="00092473">
              <w:t>WA</w:t>
            </w:r>
            <w:r>
              <w:t>:</w:t>
            </w:r>
          </w:p>
        </w:tc>
        <w:tc>
          <w:tcPr>
            <w:tcW w:w="5021" w:type="dxa"/>
          </w:tcPr>
          <w:p w14:paraId="04E30299" w14:textId="79DB3F37" w:rsidR="002C7AFE" w:rsidRPr="006C745D" w:rsidRDefault="00F827CD" w:rsidP="00017C82">
            <w:pPr>
              <w:pStyle w:val="Tablefont"/>
            </w:pPr>
            <w:r w:rsidRPr="006C745D">
              <w:t>—</w:t>
            </w:r>
          </w:p>
        </w:tc>
      </w:tr>
      <w:tr w:rsidR="002C7AFE" w:rsidRPr="004C23F4" w14:paraId="6E82BEE4" w14:textId="77777777" w:rsidTr="00AA5B5A">
        <w:trPr>
          <w:cantSplit/>
        </w:trPr>
        <w:tc>
          <w:tcPr>
            <w:tcW w:w="4005" w:type="dxa"/>
            <w:vAlign w:val="center"/>
          </w:tcPr>
          <w:p w14:paraId="2B2D5C30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06365C62" w14:textId="4C2D3B78" w:rsidR="002C7AFE" w:rsidRPr="006C745D" w:rsidRDefault="00F827CD" w:rsidP="00017C82">
            <w:pPr>
              <w:pStyle w:val="Tablefont"/>
            </w:pPr>
            <w:r w:rsidRPr="006C745D">
              <w:t>—</w:t>
            </w:r>
          </w:p>
        </w:tc>
      </w:tr>
      <w:tr w:rsidR="002C7AFE" w:rsidRPr="004C23F4" w14:paraId="05A0FAF0" w14:textId="77777777" w:rsidTr="00AA5B5A">
        <w:trPr>
          <w:cantSplit/>
        </w:trPr>
        <w:tc>
          <w:tcPr>
            <w:tcW w:w="4005" w:type="dxa"/>
            <w:vAlign w:val="center"/>
          </w:tcPr>
          <w:p w14:paraId="28E21FE0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05ED8F59" w14:textId="77777777" w:rsidR="002C7AFE" w:rsidRPr="00EB3D1B" w:rsidRDefault="00092473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 ppm (15 mg/m</w:t>
            </w:r>
            <w:r w:rsidRPr="003A4432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77FD0E92" w14:textId="77777777" w:rsidTr="00AA5B5A">
        <w:trPr>
          <w:cantSplit/>
        </w:trPr>
        <w:tc>
          <w:tcPr>
            <w:tcW w:w="4005" w:type="dxa"/>
          </w:tcPr>
          <w:p w14:paraId="0BC7861C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2762EA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00708724" w14:textId="77777777" w:rsidR="002C7AFE" w:rsidRPr="00D765C0" w:rsidRDefault="003A4432" w:rsidP="008A36CF">
            <w:pPr>
              <w:pStyle w:val="Tablefont"/>
              <w:rPr>
                <w:b/>
              </w:rPr>
            </w:pPr>
            <w:r w:rsidRPr="003A4432">
              <w:rPr>
                <w:b/>
              </w:rPr>
              <w:t>Sk.</w:t>
            </w:r>
          </w:p>
        </w:tc>
      </w:tr>
      <w:tr w:rsidR="002C7AFE" w:rsidRPr="004C23F4" w14:paraId="0E7C9B79" w14:textId="77777777" w:rsidTr="00AA5B5A">
        <w:trPr>
          <w:cantSplit/>
        </w:trPr>
        <w:tc>
          <w:tcPr>
            <w:tcW w:w="4005" w:type="dxa"/>
            <w:vAlign w:val="center"/>
          </w:tcPr>
          <w:p w14:paraId="1EC38786" w14:textId="46992052" w:rsidR="00F10C97" w:rsidRPr="002C58FF" w:rsidRDefault="00921DE7" w:rsidP="002B0D39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4E32D0AF" w14:textId="77777777" w:rsidR="002C7AFE" w:rsidRPr="00EB3D1B" w:rsidRDefault="003A443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300</w:t>
            </w:r>
            <w:r w:rsidR="00B15F4E">
              <w:rPr>
                <w:b/>
              </w:rPr>
              <w:t xml:space="preserve"> ppm</w:t>
            </w:r>
          </w:p>
        </w:tc>
      </w:tr>
      <w:tr w:rsidR="00CB59EE" w:rsidRPr="004C23F4" w14:paraId="604C9609" w14:textId="77777777" w:rsidTr="002B0D39">
        <w:trPr>
          <w:cantSplit/>
        </w:trPr>
        <w:tc>
          <w:tcPr>
            <w:tcW w:w="4005" w:type="dxa"/>
          </w:tcPr>
          <w:p w14:paraId="15657467" w14:textId="6B99053F" w:rsidR="00CB59EE" w:rsidRDefault="00CB59EE">
            <w:pPr>
              <w:pStyle w:val="Tablerowright"/>
            </w:pPr>
            <w:r>
              <w:t>Sampling and analysis:</w:t>
            </w:r>
          </w:p>
        </w:tc>
        <w:tc>
          <w:tcPr>
            <w:tcW w:w="5021" w:type="dxa"/>
          </w:tcPr>
          <w:p w14:paraId="702F43E5" w14:textId="4928A5DA" w:rsidR="00CB59EE" w:rsidRPr="002B0D39" w:rsidRDefault="00CB59EE" w:rsidP="00017C82">
            <w:pPr>
              <w:pStyle w:val="Tablefont"/>
            </w:pPr>
            <w:r w:rsidRPr="002B0D39">
              <w:t xml:space="preserve">The recommended value is readily quantifiable through currently available sampling and analysis techniques. </w:t>
            </w:r>
          </w:p>
        </w:tc>
      </w:tr>
    </w:tbl>
    <w:p w14:paraId="5D6538E3" w14:textId="77777777" w:rsidR="00AA5B5A" w:rsidRPr="003365A5" w:rsidRDefault="00AA5B5A" w:rsidP="00AA5B5A">
      <w:pPr>
        <w:pStyle w:val="Heading2"/>
      </w:pPr>
      <w:r>
        <w:t>Recommendation and basis for workplace exposure standard</w:t>
      </w:r>
    </w:p>
    <w:p w14:paraId="0F4444B2" w14:textId="0B5831E3" w:rsidR="00FF4593" w:rsidRPr="00092473" w:rsidRDefault="00F9033E" w:rsidP="00AA5B5A">
      <w:pPr>
        <w:rPr>
          <w:rFonts w:eastAsia="Calibri" w:cs="Times New Roman"/>
        </w:rPr>
      </w:pPr>
      <w:r w:rsidRPr="00092473">
        <w:rPr>
          <w:rFonts w:eastAsia="Calibri" w:cs="Times New Roman"/>
        </w:rPr>
        <w:t xml:space="preserve">A peak limitation of </w:t>
      </w:r>
      <w:r w:rsidR="00092473" w:rsidRPr="00092473">
        <w:rPr>
          <w:rFonts w:eastAsia="Calibri" w:cs="Times New Roman"/>
        </w:rPr>
        <w:t>5 ppm (15 mg/m</w:t>
      </w:r>
      <w:r w:rsidR="00092473" w:rsidRPr="00092473">
        <w:rPr>
          <w:rFonts w:eastAsia="Calibri" w:cs="Times New Roman"/>
          <w:vertAlign w:val="superscript"/>
        </w:rPr>
        <w:t>3</w:t>
      </w:r>
      <w:r w:rsidR="00092473" w:rsidRPr="00092473">
        <w:rPr>
          <w:rFonts w:eastAsia="Calibri" w:cs="Times New Roman"/>
        </w:rPr>
        <w:t xml:space="preserve">) </w:t>
      </w:r>
      <w:r w:rsidRPr="00092473">
        <w:rPr>
          <w:rFonts w:eastAsia="Calibri" w:cs="Times New Roman"/>
        </w:rPr>
        <w:t xml:space="preserve">is </w:t>
      </w:r>
      <w:r w:rsidR="00FF4593" w:rsidRPr="00092473">
        <w:rPr>
          <w:rFonts w:eastAsia="Calibri" w:cs="Times New Roman"/>
        </w:rPr>
        <w:t>recommended</w:t>
      </w:r>
      <w:r w:rsidRPr="00092473">
        <w:rPr>
          <w:rFonts w:eastAsia="Calibri" w:cs="Times New Roman"/>
        </w:rPr>
        <w:t xml:space="preserve"> to protect for </w:t>
      </w:r>
      <w:r w:rsidR="00230AD0">
        <w:rPr>
          <w:rFonts w:eastAsia="Calibri" w:cs="Times New Roman"/>
        </w:rPr>
        <w:t xml:space="preserve">corrosion and irritation of the </w:t>
      </w:r>
      <w:r w:rsidR="00092473" w:rsidRPr="00092473">
        <w:rPr>
          <w:rFonts w:eastAsia="Calibri" w:cs="Times New Roman"/>
        </w:rPr>
        <w:t xml:space="preserve">skin, </w:t>
      </w:r>
      <w:r w:rsidRPr="00092473">
        <w:rPr>
          <w:rFonts w:eastAsia="Calibri" w:cs="Times New Roman"/>
        </w:rPr>
        <w:t xml:space="preserve">eye and respiratory tract in </w:t>
      </w:r>
      <w:r w:rsidR="00096E9B" w:rsidRPr="00092473">
        <w:rPr>
          <w:rFonts w:eastAsia="Calibri" w:cs="Times New Roman"/>
        </w:rPr>
        <w:t xml:space="preserve">exposed </w:t>
      </w:r>
      <w:r w:rsidRPr="00092473">
        <w:rPr>
          <w:rFonts w:eastAsia="Calibri" w:cs="Times New Roman"/>
        </w:rPr>
        <w:t>workers</w:t>
      </w:r>
      <w:r w:rsidR="00096E9B">
        <w:rPr>
          <w:rFonts w:eastAsia="Calibri" w:cs="Times New Roman"/>
        </w:rPr>
        <w:t xml:space="preserve">. </w:t>
      </w:r>
    </w:p>
    <w:p w14:paraId="490C072D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B1C0D8B" w14:textId="77777777" w:rsidR="006F166E" w:rsidRDefault="000A5137" w:rsidP="00F9033E">
      <w:pPr>
        <w:rPr>
          <w:rFonts w:cs="Arial"/>
        </w:rPr>
      </w:pPr>
      <w:proofErr w:type="gramStart"/>
      <w:r>
        <w:rPr>
          <w:rFonts w:cs="Arial"/>
        </w:rPr>
        <w:t>n-Butylamine</w:t>
      </w:r>
      <w:proofErr w:type="gramEnd"/>
      <w:r w:rsidR="00CE7555" w:rsidRPr="005C1A3F">
        <w:rPr>
          <w:rFonts w:cs="Arial"/>
        </w:rPr>
        <w:t xml:space="preserve"> is commonly used as </w:t>
      </w:r>
      <w:r w:rsidR="00F94438" w:rsidRPr="00F94438">
        <w:rPr>
          <w:rFonts w:cs="Arial"/>
        </w:rPr>
        <w:t xml:space="preserve">an intermediate for </w:t>
      </w:r>
      <w:r w:rsidR="00F94438">
        <w:rPr>
          <w:rFonts w:cs="Arial"/>
        </w:rPr>
        <w:t>pharmaceuticals, dyes</w:t>
      </w:r>
      <w:r w:rsidR="00F94438" w:rsidRPr="00F94438">
        <w:rPr>
          <w:rFonts w:cs="Arial"/>
        </w:rPr>
        <w:t>, insecticides,</w:t>
      </w:r>
      <w:r>
        <w:rPr>
          <w:rFonts w:cs="Arial"/>
        </w:rPr>
        <w:t xml:space="preserve"> </w:t>
      </w:r>
      <w:r w:rsidR="00096E9B" w:rsidRPr="00F94438">
        <w:rPr>
          <w:rFonts w:cs="Arial"/>
        </w:rPr>
        <w:t xml:space="preserve">emulsifying </w:t>
      </w:r>
      <w:r w:rsidR="00096E9B">
        <w:rPr>
          <w:rFonts w:cs="Arial"/>
        </w:rPr>
        <w:t xml:space="preserve">and </w:t>
      </w:r>
      <w:r>
        <w:rPr>
          <w:rFonts w:cs="Arial"/>
        </w:rPr>
        <w:t>synthetic tanning agents</w:t>
      </w:r>
      <w:r w:rsidR="00F94438" w:rsidRPr="00F94438">
        <w:rPr>
          <w:rFonts w:cs="Arial"/>
        </w:rPr>
        <w:t xml:space="preserve"> and rubber chemicals</w:t>
      </w:r>
      <w:r w:rsidR="00CE7555">
        <w:rPr>
          <w:rFonts w:cs="Arial"/>
        </w:rPr>
        <w:t xml:space="preserve">. </w:t>
      </w:r>
    </w:p>
    <w:p w14:paraId="3865C3A0" w14:textId="2237769E" w:rsidR="00230AD0" w:rsidRDefault="00230AD0" w:rsidP="00F9033E">
      <w:r>
        <w:t>There are l</w:t>
      </w:r>
      <w:r w:rsidR="00CE7555">
        <w:t>imited data from human and animal studies</w:t>
      </w:r>
      <w:r>
        <w:t>. Available evidence reports</w:t>
      </w:r>
      <w:r w:rsidR="00CE7555">
        <w:t xml:space="preserve"> </w:t>
      </w:r>
      <w:r w:rsidR="000A5137">
        <w:t>butylamine is a skin, eye and respiratory tract irritant</w:t>
      </w:r>
      <w:r w:rsidR="00CE7555">
        <w:t xml:space="preserve"> (ACGIH, </w:t>
      </w:r>
      <w:r w:rsidR="00096E9B">
        <w:t>2018</w:t>
      </w:r>
      <w:r w:rsidR="00CE7555">
        <w:t>)</w:t>
      </w:r>
      <w:r>
        <w:t>, with</w:t>
      </w:r>
      <w:r w:rsidR="00CE7555">
        <w:t xml:space="preserve"> the critical effects of exposure </w:t>
      </w:r>
      <w:r w:rsidR="00CE7555" w:rsidRPr="00434E5B">
        <w:t xml:space="preserve">to </w:t>
      </w:r>
      <w:r w:rsidR="00434E5B" w:rsidRPr="00434E5B">
        <w:t>n</w:t>
      </w:r>
      <w:r w:rsidR="008E3AAD">
        <w:noBreakHyphen/>
      </w:r>
      <w:r w:rsidR="00434E5B" w:rsidRPr="00434E5B">
        <w:t>butylamine</w:t>
      </w:r>
      <w:r w:rsidR="00CE7555" w:rsidRPr="00434E5B">
        <w:t xml:space="preserve"> unclear</w:t>
      </w:r>
      <w:r w:rsidR="001A70FD">
        <w:t xml:space="preserve"> (ACGIH</w:t>
      </w:r>
      <w:r w:rsidR="0028055F">
        <w:t>,</w:t>
      </w:r>
      <w:r w:rsidR="001A70FD">
        <w:t xml:space="preserve"> 2018</w:t>
      </w:r>
      <w:r w:rsidR="0028055F">
        <w:t>;</w:t>
      </w:r>
      <w:r w:rsidR="001A70FD">
        <w:t xml:space="preserve"> DFG,</w:t>
      </w:r>
      <w:r w:rsidR="003C07F0">
        <w:t xml:space="preserve"> </w:t>
      </w:r>
      <w:r w:rsidR="001A70FD">
        <w:t>2016</w:t>
      </w:r>
      <w:r w:rsidR="003C07F0">
        <w:t xml:space="preserve">; </w:t>
      </w:r>
      <w:r w:rsidR="001A70FD">
        <w:t>HCOTN, 2003).</w:t>
      </w:r>
      <w:r w:rsidR="00CE7555">
        <w:t xml:space="preserve"> </w:t>
      </w:r>
      <w:r w:rsidR="00D647EA">
        <w:t xml:space="preserve">Exposure </w:t>
      </w:r>
      <w:r w:rsidR="004D6E32">
        <w:t xml:space="preserve">can result in </w:t>
      </w:r>
      <w:r w:rsidR="008E3AAD">
        <w:t xml:space="preserve">irritation and </w:t>
      </w:r>
      <w:r>
        <w:t xml:space="preserve">necrosis of the skin, </w:t>
      </w:r>
      <w:r w:rsidR="008E3AAD">
        <w:t xml:space="preserve">corrosion of the skin and eyes, </w:t>
      </w:r>
      <w:r w:rsidR="00D647EA">
        <w:t>headaches</w:t>
      </w:r>
      <w:r w:rsidR="008E3AAD">
        <w:t xml:space="preserve"> and</w:t>
      </w:r>
      <w:r w:rsidR="00D647EA">
        <w:t xml:space="preserve"> respiratory tract irritation leading to pulmonary oedema. Exposures </w:t>
      </w:r>
      <w:r w:rsidR="006C745D">
        <w:t>at</w:t>
      </w:r>
      <w:r w:rsidR="00D647EA">
        <w:t xml:space="preserve"> 10</w:t>
      </w:r>
      <w:r w:rsidR="008E3AAD">
        <w:t xml:space="preserve"> to</w:t>
      </w:r>
      <w:r w:rsidR="00384845">
        <w:t xml:space="preserve"> </w:t>
      </w:r>
      <w:r w:rsidR="00D647EA">
        <w:t xml:space="preserve">25 ppm </w:t>
      </w:r>
      <w:r w:rsidR="008E3AAD">
        <w:t xml:space="preserve">for more than a few minutes are </w:t>
      </w:r>
      <w:r w:rsidR="00D647EA">
        <w:t>reported as</w:t>
      </w:r>
      <w:r w:rsidR="0028055F">
        <w:t xml:space="preserve"> being</w:t>
      </w:r>
      <w:r w:rsidR="00D647EA">
        <w:t xml:space="preserve"> unpleasant to intolerable</w:t>
      </w:r>
      <w:r w:rsidR="009B4B1E">
        <w:t xml:space="preserve">. </w:t>
      </w:r>
      <w:r w:rsidR="00384845">
        <w:t xml:space="preserve">No symptoms are reported at concentrations below 5 ppm </w:t>
      </w:r>
      <w:r w:rsidR="009B4B1E">
        <w:t xml:space="preserve">(HCOTN, 2003). </w:t>
      </w:r>
    </w:p>
    <w:p w14:paraId="6D7C311F" w14:textId="4BCF7140" w:rsidR="00CE7555" w:rsidRPr="00D647EA" w:rsidRDefault="00D647EA" w:rsidP="00F9033E">
      <w:r>
        <w:t xml:space="preserve">Based on reported effects </w:t>
      </w:r>
      <w:r w:rsidR="00384845">
        <w:t xml:space="preserve">being immediate </w:t>
      </w:r>
      <w:r>
        <w:t>and</w:t>
      </w:r>
      <w:r w:rsidR="00384845">
        <w:t xml:space="preserve"> the</w:t>
      </w:r>
      <w:r>
        <w:t xml:space="preserve"> potential for </w:t>
      </w:r>
      <w:r w:rsidR="00230AD0">
        <w:t xml:space="preserve">irreversible </w:t>
      </w:r>
      <w:r>
        <w:t xml:space="preserve">damage to the </w:t>
      </w:r>
      <w:r w:rsidR="00230AD0">
        <w:t xml:space="preserve">skin and </w:t>
      </w:r>
      <w:r>
        <w:t>eyes</w:t>
      </w:r>
      <w:r w:rsidR="00230AD0">
        <w:t>,</w:t>
      </w:r>
      <w:r w:rsidR="00384845">
        <w:t xml:space="preserve"> a TWA is not considered sufficiently protective of workers. </w:t>
      </w:r>
      <w:r w:rsidR="00384845">
        <w:rPr>
          <w:rFonts w:cs="Arial"/>
        </w:rPr>
        <w:t>I</w:t>
      </w:r>
      <w:r w:rsidR="001A70FD">
        <w:rPr>
          <w:rFonts w:cs="Arial"/>
        </w:rPr>
        <w:t xml:space="preserve">t is recommended that </w:t>
      </w:r>
      <w:r w:rsidR="00230AD0">
        <w:rPr>
          <w:rFonts w:cs="Arial"/>
        </w:rPr>
        <w:t>a p</w:t>
      </w:r>
      <w:r>
        <w:rPr>
          <w:rFonts w:cs="Arial"/>
        </w:rPr>
        <w:t>eak</w:t>
      </w:r>
      <w:r w:rsidR="00384845">
        <w:rPr>
          <w:rFonts w:cs="Arial"/>
        </w:rPr>
        <w:t xml:space="preserve"> </w:t>
      </w:r>
      <w:r w:rsidR="00230AD0">
        <w:rPr>
          <w:rFonts w:cs="Arial"/>
        </w:rPr>
        <w:t>l</w:t>
      </w:r>
      <w:r w:rsidR="00384845">
        <w:rPr>
          <w:rFonts w:cs="Arial"/>
        </w:rPr>
        <w:t>imitation</w:t>
      </w:r>
      <w:r>
        <w:rPr>
          <w:rFonts w:cs="Arial"/>
        </w:rPr>
        <w:t xml:space="preserve"> </w:t>
      </w:r>
      <w:r w:rsidR="001A70FD">
        <w:rPr>
          <w:rFonts w:cs="Arial"/>
        </w:rPr>
        <w:t xml:space="preserve">of 5 ppm </w:t>
      </w:r>
      <w:r w:rsidR="006C745D">
        <w:rPr>
          <w:rFonts w:cs="Arial"/>
        </w:rPr>
        <w:t>will</w:t>
      </w:r>
      <w:r w:rsidR="00096E9B">
        <w:rPr>
          <w:rFonts w:cs="Arial"/>
        </w:rPr>
        <w:t xml:space="preserve"> limit </w:t>
      </w:r>
      <w:r w:rsidR="00230AD0">
        <w:rPr>
          <w:rFonts w:cs="Arial"/>
        </w:rPr>
        <w:t xml:space="preserve">immediate and severe </w:t>
      </w:r>
      <w:r w:rsidR="00096E9B">
        <w:rPr>
          <w:rFonts w:cs="Arial"/>
        </w:rPr>
        <w:t xml:space="preserve">effects. </w:t>
      </w:r>
    </w:p>
    <w:p w14:paraId="5075620E" w14:textId="77777777" w:rsidR="004529F0" w:rsidRPr="004C23F4" w:rsidRDefault="004529F0" w:rsidP="000E58BE">
      <w:pPr>
        <w:pStyle w:val="Heading2"/>
      </w:pPr>
      <w:r>
        <w:t>Recommendation for notations</w:t>
      </w:r>
    </w:p>
    <w:p w14:paraId="423F8D3A" w14:textId="77777777" w:rsidR="0017329C" w:rsidRPr="00CE64B9" w:rsidRDefault="0017329C" w:rsidP="00A8069F">
      <w:pPr>
        <w:rPr>
          <w:rFonts w:cs="Arial"/>
        </w:rPr>
      </w:pPr>
      <w:r>
        <w:rPr>
          <w:rFonts w:cs="Arial"/>
        </w:rPr>
        <w:t>Not c</w:t>
      </w:r>
      <w:r w:rsidR="00CE7555" w:rsidRPr="0017329C">
        <w:rPr>
          <w:rFonts w:cs="Arial"/>
        </w:rPr>
        <w:t>lassified</w:t>
      </w:r>
      <w:r w:rsidR="00CE7555" w:rsidRPr="00CE64B9">
        <w:rPr>
          <w:rFonts w:cs="Arial"/>
        </w:rPr>
        <w:t xml:space="preserve"> as a carcinogen according to the Globally Harmonized System of Classification a</w:t>
      </w:r>
      <w:r>
        <w:rPr>
          <w:rFonts w:cs="Arial"/>
        </w:rPr>
        <w:t xml:space="preserve">nd Labelling of Chemicals (GHS).     </w:t>
      </w:r>
    </w:p>
    <w:p w14:paraId="1B19B141" w14:textId="0372E242" w:rsidR="00CE7555" w:rsidRPr="00011ADB" w:rsidRDefault="003B2625" w:rsidP="00CE7555">
      <w:pPr>
        <w:rPr>
          <w:rFonts w:cs="Arial"/>
        </w:rPr>
      </w:pPr>
      <w:r>
        <w:rPr>
          <w:rFonts w:cs="Arial"/>
        </w:rPr>
        <w:t>Not c</w:t>
      </w:r>
      <w:r w:rsidR="00CE7555" w:rsidRPr="00011ADB">
        <w:rPr>
          <w:rFonts w:cs="Arial"/>
        </w:rPr>
        <w:t>lassified as a skin</w:t>
      </w:r>
      <w:r w:rsidR="00F827CD">
        <w:rPr>
          <w:rFonts w:cs="Arial"/>
        </w:rPr>
        <w:t xml:space="preserve"> sensitiser or</w:t>
      </w:r>
      <w:r w:rsidR="00AD389F">
        <w:rPr>
          <w:rFonts w:cs="Arial"/>
        </w:rPr>
        <w:t xml:space="preserve"> respiratory</w:t>
      </w:r>
      <w:r w:rsidR="00CE7555" w:rsidRPr="00011ADB">
        <w:rPr>
          <w:rFonts w:cs="Arial"/>
        </w:rPr>
        <w:t xml:space="preserve"> sensitiser according to the GHS</w:t>
      </w:r>
      <w:r w:rsidR="00CE7555">
        <w:rPr>
          <w:rFonts w:cs="Arial"/>
        </w:rPr>
        <w:t>.</w:t>
      </w:r>
    </w:p>
    <w:p w14:paraId="43B1D385" w14:textId="13554FB6" w:rsidR="00CE7555" w:rsidRPr="00AD389F" w:rsidRDefault="006C745D" w:rsidP="00AD389F">
      <w:pPr>
        <w:rPr>
          <w:rFonts w:cs="Arial"/>
        </w:rPr>
      </w:pPr>
      <w:r>
        <w:rPr>
          <w:rFonts w:cs="Arial"/>
        </w:rPr>
        <w:t>A skin notation is</w:t>
      </w:r>
      <w:r w:rsidR="00CE7555" w:rsidRPr="00AD389F">
        <w:rPr>
          <w:rFonts w:cs="Arial"/>
        </w:rPr>
        <w:t xml:space="preserve"> recommended based on evidence suggesting potential dermal absorption and adverse systemic effects in animals.</w:t>
      </w:r>
    </w:p>
    <w:p w14:paraId="180C650B" w14:textId="77777777" w:rsidR="00CE7555" w:rsidRPr="004C23F4" w:rsidRDefault="00CE7555">
      <w:pPr>
        <w:rPr>
          <w:rFonts w:cs="Arial"/>
        </w:rPr>
        <w:sectPr w:rsidR="00CE7555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E8D14AA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55E840A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D62939C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5FC5C02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5777831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9C5D489" w14:textId="53120690" w:rsidR="00DE26E8" w:rsidRPr="003365A5" w:rsidRDefault="00DE26E8" w:rsidP="006C745D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917D86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6C745D">
                  <w:t>Peak limitation</w:t>
                </w:r>
                <w:r w:rsidR="009776CF">
                  <w:t>: 5</w:t>
                </w:r>
                <w:r w:rsidR="00917D86">
                  <w:t xml:space="preserve"> ppm </w:t>
                </w:r>
                <w:r w:rsidR="00615B0E">
                  <w:t>(</w:t>
                </w:r>
                <w:r w:rsidR="009776CF">
                  <w:t>15</w:t>
                </w:r>
                <w:r w:rsidR="00917D86">
                  <w:t xml:space="preserve"> mg/m</w:t>
                </w:r>
                <w:r w:rsidR="00917D86">
                  <w:rPr>
                    <w:vertAlign w:val="superscript"/>
                  </w:rPr>
                  <w:t>3</w:t>
                </w:r>
                <w:r w:rsidR="00615B0E">
                  <w:t>)</w:t>
                </w:r>
              </w:sdtContent>
            </w:sdt>
          </w:p>
        </w:tc>
      </w:tr>
      <w:tr w:rsidR="00C978F0" w:rsidRPr="00DA352E" w14:paraId="3632153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34AC346" w14:textId="77777777" w:rsidR="00C978F0" w:rsidRPr="00954CA9" w:rsidRDefault="00C978F0" w:rsidP="003365A5">
            <w:pPr>
              <w:pStyle w:val="Tabletextprimarysource"/>
              <w:rPr>
                <w:i/>
                <w:color w:val="FF0000"/>
                <w:highlight w:val="green"/>
              </w:rPr>
            </w:pPr>
          </w:p>
        </w:tc>
      </w:tr>
      <w:tr w:rsidR="00C978F0" w:rsidRPr="00DA352E" w14:paraId="6E00AA9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A65C9EF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917D86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-1419632442"/>
                    <w:placeholder>
                      <w:docPart w:val="4F65D602DA1241ED8E9AEB86C32E5B27"/>
                    </w:placeholder>
                  </w:sdtPr>
                  <w:sdtEndPr/>
                  <w:sdtContent>
                    <w:r w:rsidR="0030349B">
                      <w:t>TLV -Ceiling: 5 ppm (1</w:t>
                    </w:r>
                    <w:r w:rsidR="00615B0E">
                      <w:t>5 mg/m</w:t>
                    </w:r>
                    <w:r w:rsidR="00615B0E">
                      <w:rPr>
                        <w:vertAlign w:val="superscript"/>
                      </w:rPr>
                      <w:t>3</w:t>
                    </w:r>
                    <w:r w:rsidR="00615B0E">
                      <w:t>)</w:t>
                    </w:r>
                  </w:sdtContent>
                </w:sdt>
              </w:sdtContent>
            </w:sdt>
          </w:p>
        </w:tc>
      </w:tr>
      <w:tr w:rsidR="00C978F0" w:rsidRPr="00DA352E" w14:paraId="2DE5C62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0602348" w14:textId="442C4FFA" w:rsidR="006F166E" w:rsidRDefault="006C745D" w:rsidP="00D90BC3">
            <w:pPr>
              <w:pStyle w:val="Tabletextprimarysource"/>
            </w:pPr>
            <w:r>
              <w:t>TLV-Ceiling</w:t>
            </w:r>
            <w:r w:rsidR="00954CA9">
              <w:t xml:space="preserve"> recommended </w:t>
            </w:r>
            <w:r w:rsidR="00615B0E">
              <w:t>to minimise</w:t>
            </w:r>
            <w:r w:rsidR="00D90BC3">
              <w:t xml:space="preserve"> the potential for headache</w:t>
            </w:r>
            <w:r w:rsidR="006F166E">
              <w:t xml:space="preserve"> and</w:t>
            </w:r>
            <w:r w:rsidR="00D90BC3">
              <w:t xml:space="preserve"> dermal, ocular and respiratory tract irritation. </w:t>
            </w:r>
          </w:p>
          <w:p w14:paraId="2A9C673A" w14:textId="3804F8C3" w:rsidR="00C978F0" w:rsidRDefault="00D90BC3" w:rsidP="00D90BC3">
            <w:pPr>
              <w:pStyle w:val="Tabletextprimarysource"/>
            </w:pPr>
            <w:r>
              <w:t xml:space="preserve">Concentrated liquid </w:t>
            </w:r>
            <w:r w:rsidR="006F166E">
              <w:t>is corrosive to</w:t>
            </w:r>
            <w:r>
              <w:t xml:space="preserve"> skin and eyes.</w:t>
            </w:r>
          </w:p>
          <w:p w14:paraId="4D30DAEF" w14:textId="77777777" w:rsidR="00615B0E" w:rsidRDefault="00615B0E" w:rsidP="00615B0E">
            <w:pPr>
              <w:pStyle w:val="Tabletextprimarysource"/>
            </w:pPr>
            <w:r>
              <w:t>Summary of data:</w:t>
            </w:r>
          </w:p>
          <w:p w14:paraId="664BEBDF" w14:textId="77777777" w:rsidR="00615B0E" w:rsidRDefault="00615B0E" w:rsidP="00D568D1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09A4BD2E" w14:textId="450F43C1" w:rsidR="0033007D" w:rsidRDefault="00A83A47" w:rsidP="000C183F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Exposure </w:t>
            </w:r>
            <w:r w:rsidR="0033007D">
              <w:t xml:space="preserve">leads to headaches, severe </w:t>
            </w:r>
            <w:r w:rsidR="006F166E">
              <w:t xml:space="preserve">skin and eye </w:t>
            </w:r>
            <w:r w:rsidR="0033007D">
              <w:t xml:space="preserve">burns, respiratory tract irritation leading to pulmonary </w:t>
            </w:r>
            <w:r w:rsidR="00096E9B">
              <w:t>oedema</w:t>
            </w:r>
          </w:p>
          <w:p w14:paraId="0FFA4829" w14:textId="501FDDC4" w:rsidR="0033007D" w:rsidRDefault="0033007D" w:rsidP="000C183F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Exposure </w:t>
            </w:r>
            <w:r w:rsidR="00A83A47">
              <w:t>to</w:t>
            </w:r>
            <w:r w:rsidR="007565E2">
              <w:t xml:space="preserve"> </w:t>
            </w:r>
            <w:r>
              <w:t xml:space="preserve">vapours may result in erythema especially </w:t>
            </w:r>
            <w:r w:rsidR="006F166E">
              <w:t>in</w:t>
            </w:r>
            <w:r>
              <w:t xml:space="preserve"> the facial area</w:t>
            </w:r>
          </w:p>
          <w:p w14:paraId="0FAEF416" w14:textId="35CA6D33" w:rsidR="007375A8" w:rsidRDefault="0033007D" w:rsidP="000C183F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Skin around face and neck may become florid within 3</w:t>
            </w:r>
            <w:r w:rsidR="00462F5D">
              <w:t xml:space="preserve"> </w:t>
            </w:r>
            <w:r>
              <w:t xml:space="preserve">h of exposure with symptoms including itchy and </w:t>
            </w:r>
            <w:r w:rsidR="00F6290D">
              <w:t>burning sensation</w:t>
            </w:r>
          </w:p>
          <w:p w14:paraId="45D6A365" w14:textId="77777777" w:rsidR="0033007D" w:rsidRDefault="007375A8" w:rsidP="000C183F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Exposure ultimately </w:t>
            </w:r>
            <w:r w:rsidR="0033007D">
              <w:t xml:space="preserve">leads to desquamation of the affected areas </w:t>
            </w:r>
            <w:r>
              <w:t>with</w:t>
            </w:r>
            <w:r w:rsidR="0033007D">
              <w:t>in 3 d</w:t>
            </w:r>
          </w:p>
          <w:p w14:paraId="024C1435" w14:textId="7DB3D704" w:rsidR="00F827CD" w:rsidRDefault="007375A8" w:rsidP="006C745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Concentrations of </w:t>
            </w:r>
            <w:r w:rsidRPr="00F84B34">
              <w:t>≈5</w:t>
            </w:r>
            <w:r w:rsidR="00E146BA">
              <w:t xml:space="preserve"> </w:t>
            </w:r>
            <w:r w:rsidRPr="00F84B34">
              <w:t>p</w:t>
            </w:r>
            <w:r w:rsidR="00F6290D">
              <w:t>pm are reported as an irritant</w:t>
            </w:r>
            <w:r w:rsidR="00F827CD">
              <w:t>.</w:t>
            </w:r>
          </w:p>
          <w:p w14:paraId="3BAFDCBE" w14:textId="77777777" w:rsidR="00A83A47" w:rsidRDefault="00A83A47" w:rsidP="00D568D1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64B4344C" w14:textId="77777777" w:rsidR="008B4955" w:rsidRDefault="00A7462D" w:rsidP="000C183F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8B4955">
              <w:rPr>
                <w:vertAlign w:val="subscript"/>
              </w:rPr>
              <w:t>50</w:t>
            </w:r>
            <w:r>
              <w:t>: 0.5</w:t>
            </w:r>
            <w:r w:rsidR="00E146BA">
              <w:t xml:space="preserve"> </w:t>
            </w:r>
            <w:r>
              <w:t>m</w:t>
            </w:r>
            <w:r w:rsidR="00096E9B">
              <w:t>L</w:t>
            </w:r>
            <w:r>
              <w:t>/kg (guinea pigs, dermal)</w:t>
            </w:r>
            <w:r w:rsidR="008B4955">
              <w:t xml:space="preserve"> </w:t>
            </w:r>
          </w:p>
          <w:p w14:paraId="70473F31" w14:textId="77777777" w:rsidR="00141BEF" w:rsidRDefault="00141BEF" w:rsidP="000C183F">
            <w:pPr>
              <w:pStyle w:val="ListBullet"/>
              <w:spacing w:before="60" w:after="60"/>
              <w:ind w:left="714" w:hanging="357"/>
              <w:contextualSpacing w:val="0"/>
            </w:pPr>
            <w:r w:rsidRPr="004E1ABD">
              <w:t>LD</w:t>
            </w:r>
            <w:r w:rsidRPr="008B4955">
              <w:rPr>
                <w:vertAlign w:val="subscript"/>
              </w:rPr>
              <w:t>50</w:t>
            </w:r>
            <w:r w:rsidRPr="004E1ABD">
              <w:t xml:space="preserve">: </w:t>
            </w:r>
            <w:r>
              <w:t>372</w:t>
            </w:r>
            <w:r w:rsidRPr="004E1ABD">
              <w:t xml:space="preserve"> mg/kg (</w:t>
            </w:r>
            <w:r>
              <w:t>rats, oral)</w:t>
            </w:r>
          </w:p>
          <w:p w14:paraId="7850371B" w14:textId="74AD868D" w:rsidR="0070578F" w:rsidRDefault="0070578F" w:rsidP="000C183F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Rats exposed </w:t>
            </w:r>
            <w:r w:rsidR="006C745D">
              <w:t>at</w:t>
            </w:r>
            <w:r>
              <w:t xml:space="preserve"> 4</w:t>
            </w:r>
            <w:r w:rsidR="00E146BA">
              <w:t>,</w:t>
            </w:r>
            <w:r>
              <w:t>000</w:t>
            </w:r>
            <w:r w:rsidR="00E146BA">
              <w:t xml:space="preserve"> </w:t>
            </w:r>
            <w:r>
              <w:t>ppm died within 2</w:t>
            </w:r>
            <w:r w:rsidR="00F6290D">
              <w:t xml:space="preserve">–5 min </w:t>
            </w:r>
          </w:p>
          <w:p w14:paraId="385EEDD6" w14:textId="67842610" w:rsidR="0070578F" w:rsidRDefault="006C745D" w:rsidP="000C183F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Rats exposed at</w:t>
            </w:r>
            <w:r w:rsidR="0070578F">
              <w:t xml:space="preserve"> 2</w:t>
            </w:r>
            <w:r w:rsidR="00E146BA">
              <w:t>,</w:t>
            </w:r>
            <w:r w:rsidR="0070578F">
              <w:t>000</w:t>
            </w:r>
            <w:r w:rsidR="00E146BA">
              <w:t xml:space="preserve"> </w:t>
            </w:r>
            <w:r w:rsidR="0070578F">
              <w:t>ppm died w</w:t>
            </w:r>
            <w:r w:rsidR="00F6290D">
              <w:t xml:space="preserve">ithin 4 h </w:t>
            </w:r>
          </w:p>
          <w:p w14:paraId="2CD6FB4B" w14:textId="100792CB" w:rsidR="0070578F" w:rsidRDefault="0070578F" w:rsidP="000C183F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Toxicity symptoms in</w:t>
            </w:r>
            <w:r w:rsidR="006F166E">
              <w:t xml:space="preserve"> exposed</w:t>
            </w:r>
            <w:r>
              <w:t xml:space="preserve"> rats included sedation, ataxia, nasal discharge, gasping and salivation, followed by convulsions and ultimately pulmonary </w:t>
            </w:r>
            <w:r w:rsidR="00096E9B">
              <w:t>oedema</w:t>
            </w:r>
            <w:r>
              <w:t xml:space="preserve"> at high doses</w:t>
            </w:r>
          </w:p>
          <w:p w14:paraId="4E7329D6" w14:textId="77777777" w:rsidR="0070578F" w:rsidRDefault="0070578F" w:rsidP="000C183F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Necrosis of </w:t>
            </w:r>
            <w:r w:rsidR="00096E9B">
              <w:t xml:space="preserve">guinea pig </w:t>
            </w:r>
            <w:r>
              <w:t>skin follow</w:t>
            </w:r>
            <w:r w:rsidR="00096E9B">
              <w:t>ing</w:t>
            </w:r>
            <w:r w:rsidR="008E0EBA">
              <w:t xml:space="preserve"> </w:t>
            </w:r>
            <w:r>
              <w:t>application in skin irritation t</w:t>
            </w:r>
            <w:r w:rsidR="00F6290D">
              <w:t>ests</w:t>
            </w:r>
          </w:p>
          <w:p w14:paraId="3318DC6C" w14:textId="660B90CC" w:rsidR="0070578F" w:rsidRDefault="0070578F" w:rsidP="000C183F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Maximum damage was observed on </w:t>
            </w:r>
            <w:r w:rsidR="00096E9B">
              <w:t>r</w:t>
            </w:r>
            <w:r>
              <w:t>abbit eyes (grade 9</w:t>
            </w:r>
            <w:r w:rsidR="00096E9B">
              <w:t>/</w:t>
            </w:r>
            <w:r>
              <w:t>10-p</w:t>
            </w:r>
            <w:r w:rsidR="00F6290D">
              <w:t>oint grade) following exposure</w:t>
            </w:r>
            <w:r w:rsidR="003C07F0">
              <w:t>.</w:t>
            </w:r>
          </w:p>
          <w:p w14:paraId="5BCCE15E" w14:textId="77777777" w:rsidR="00F827CD" w:rsidRDefault="00F827CD" w:rsidP="00E47CEE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5DEEAD96" w14:textId="77777777" w:rsidR="006B22F0" w:rsidRDefault="00ED340C" w:rsidP="00D23659">
            <w:pPr>
              <w:pStyle w:val="ListBullet"/>
              <w:ind w:left="22"/>
            </w:pPr>
            <w:r>
              <w:t>Ins</w:t>
            </w:r>
            <w:r w:rsidR="00D23659">
              <w:t>ufficient data to recommend SEN or carcinogenicity notations</w:t>
            </w:r>
            <w:r>
              <w:t>.</w:t>
            </w:r>
          </w:p>
          <w:p w14:paraId="2886368D" w14:textId="0D972CAC" w:rsidR="003B2625" w:rsidRDefault="003B2625" w:rsidP="000C183F">
            <w:pPr>
              <w:pStyle w:val="ListBullet"/>
              <w:spacing w:before="60" w:after="60"/>
              <w:ind w:left="714" w:hanging="357"/>
              <w:contextualSpacing w:val="0"/>
            </w:pPr>
            <w:r w:rsidRPr="003B2625">
              <w:t>A Skin notation assigned, based on the dermal LD</w:t>
            </w:r>
            <w:r w:rsidRPr="002B0D39">
              <w:rPr>
                <w:vertAlign w:val="subscript"/>
              </w:rPr>
              <w:t>50</w:t>
            </w:r>
            <w:r>
              <w:t xml:space="preserve"> and dermal necrosis follow application in</w:t>
            </w:r>
            <w:r w:rsidR="00292941">
              <w:t xml:space="preserve"> </w:t>
            </w:r>
            <w:r w:rsidRPr="003B2625">
              <w:t>guinea pigs.</w:t>
            </w:r>
          </w:p>
          <w:p w14:paraId="3FE777A5" w14:textId="77777777" w:rsidR="00F827CD" w:rsidRPr="00DA352E" w:rsidRDefault="00F827CD" w:rsidP="00E47CEE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DA352E" w:rsidRPr="00DA352E" w14:paraId="2E83FE7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2F00F33" w14:textId="77777777" w:rsidR="00DA352E" w:rsidRPr="00DA352E" w:rsidRDefault="00CE679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>
              <w:t>H</w:t>
            </w:r>
            <w:r w:rsidR="00DA352E" w:rsidRPr="00DA352E">
              <w:t>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E52AD4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841B5A">
                  <w:t xml:space="preserve">Ceiling: </w:t>
                </w:r>
                <w:r w:rsidR="00B15F4E">
                  <w:t>5 ppm (15 mg/m</w:t>
                </w:r>
                <w:r w:rsidR="00B15F4E">
                  <w:rPr>
                    <w:vertAlign w:val="superscript"/>
                  </w:rPr>
                  <w:t>3</w:t>
                </w:r>
                <w:r w:rsidR="00B15F4E">
                  <w:t>)</w:t>
                </w:r>
              </w:sdtContent>
            </w:sdt>
          </w:p>
        </w:tc>
      </w:tr>
      <w:tr w:rsidR="00E52AD4" w:rsidRPr="00DA352E" w14:paraId="744B9A8E" w14:textId="77777777" w:rsidTr="00E47CEE">
        <w:trPr>
          <w:gridAfter w:val="1"/>
          <w:wAfter w:w="8" w:type="pct"/>
        </w:trPr>
        <w:tc>
          <w:tcPr>
            <w:tcW w:w="0" w:type="pct"/>
          </w:tcPr>
          <w:p w14:paraId="18C67E31" w14:textId="77777777" w:rsidR="00E52AD4" w:rsidRDefault="00E52AD4" w:rsidP="00E52AD4">
            <w:pPr>
              <w:pStyle w:val="Tabletextprimarysource"/>
            </w:pPr>
            <w:r>
              <w:t>Summary of additional data:</w:t>
            </w:r>
          </w:p>
          <w:p w14:paraId="11E3D88C" w14:textId="77777777" w:rsidR="00E52AD4" w:rsidRDefault="00E52AD4" w:rsidP="00E52AD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6CF735EB" w14:textId="3BABC8E2" w:rsidR="00E52AD4" w:rsidRDefault="00E52AD4" w:rsidP="000C183F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to liquid</w:t>
            </w:r>
            <w:r w:rsidR="00F827CD">
              <w:t xml:space="preserve"> </w:t>
            </w:r>
            <w:r>
              <w:t xml:space="preserve">reported </w:t>
            </w:r>
            <w:r w:rsidR="00F827CD">
              <w:t xml:space="preserve">to result in </w:t>
            </w:r>
            <w:r>
              <w:t>severe skin irritation and deep second-deg</w:t>
            </w:r>
            <w:r w:rsidR="00F6290D">
              <w:t>ree burns including blistering</w:t>
            </w:r>
          </w:p>
          <w:p w14:paraId="62DC6803" w14:textId="4064B5EB" w:rsidR="00E52AD4" w:rsidRDefault="00E52AD4" w:rsidP="000C183F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Daily exposure </w:t>
            </w:r>
            <w:r w:rsidR="006F166E">
              <w:t>at</w:t>
            </w:r>
            <w:r>
              <w:t xml:space="preserve"> 15</w:t>
            </w:r>
            <w:r w:rsidR="00F827CD">
              <w:t>–</w:t>
            </w:r>
            <w:r>
              <w:t>30 mg/m</w:t>
            </w:r>
            <w:r w:rsidRPr="00CC03DC">
              <w:rPr>
                <w:vertAlign w:val="superscript"/>
              </w:rPr>
              <w:t>3</w:t>
            </w:r>
            <w:r>
              <w:t xml:space="preserve"> (5</w:t>
            </w:r>
            <w:r w:rsidR="00F827CD">
              <w:t>–</w:t>
            </w:r>
            <w:r>
              <w:t>10 ppm) led to headaches and nose, throat and eye irritation</w:t>
            </w:r>
          </w:p>
          <w:p w14:paraId="3C8F2DCE" w14:textId="33B36D49" w:rsidR="00E52AD4" w:rsidRDefault="00E52AD4" w:rsidP="000C183F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</w:t>
            </w:r>
            <w:r w:rsidR="00F827CD">
              <w:t>s</w:t>
            </w:r>
            <w:r>
              <w:t xml:space="preserve"> </w:t>
            </w:r>
            <w:r w:rsidR="00F827CD">
              <w:t>&gt;</w:t>
            </w:r>
            <w:r w:rsidR="00096E9B">
              <w:t>2</w:t>
            </w:r>
            <w:r w:rsidR="00F827CD">
              <w:t>–</w:t>
            </w:r>
            <w:r w:rsidR="00096E9B">
              <w:t xml:space="preserve">3 </w:t>
            </w:r>
            <w:r>
              <w:t>min of 30</w:t>
            </w:r>
            <w:r w:rsidR="00F827CD">
              <w:t>–</w:t>
            </w:r>
            <w:r>
              <w:t>75 mg/m</w:t>
            </w:r>
            <w:r w:rsidRPr="00CC03DC">
              <w:rPr>
                <w:vertAlign w:val="superscript"/>
              </w:rPr>
              <w:t>3</w:t>
            </w:r>
            <w:r>
              <w:t xml:space="preserve"> (10</w:t>
            </w:r>
            <w:r w:rsidR="003C07F0">
              <w:t>–</w:t>
            </w:r>
            <w:r>
              <w:t xml:space="preserve">25 ppm) were reported as unpleasant to intolerable </w:t>
            </w:r>
          </w:p>
          <w:p w14:paraId="4B830571" w14:textId="193397F3" w:rsidR="00F827CD" w:rsidRDefault="00E52AD4" w:rsidP="006C745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symptoms reported for concentrations </w:t>
            </w:r>
            <w:r w:rsidR="003E06CD">
              <w:rPr>
                <w:rFonts w:cs="Arial"/>
              </w:rPr>
              <w:t>≤</w:t>
            </w:r>
            <w:r>
              <w:t>15 mg/m</w:t>
            </w:r>
            <w:r w:rsidRPr="00CC03DC">
              <w:rPr>
                <w:vertAlign w:val="superscript"/>
              </w:rPr>
              <w:t>3</w:t>
            </w:r>
            <w:r>
              <w:t xml:space="preserve"> (5 ppm)</w:t>
            </w:r>
            <w:r w:rsidR="008305C1">
              <w:t>.</w:t>
            </w:r>
          </w:p>
          <w:p w14:paraId="7C749790" w14:textId="77777777" w:rsidR="00E52AD4" w:rsidRDefault="00E52AD4" w:rsidP="00E52AD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1FE77583" w14:textId="77777777" w:rsidR="00E52AD4" w:rsidRDefault="00E52AD4" w:rsidP="000C183F">
            <w:pPr>
              <w:pStyle w:val="ListBullet"/>
              <w:spacing w:before="60" w:after="60"/>
              <w:ind w:left="714" w:hanging="357"/>
              <w:contextualSpacing w:val="0"/>
            </w:pPr>
            <w:r w:rsidRPr="000F197F">
              <w:t>RD</w:t>
            </w:r>
            <w:r w:rsidR="008B4955">
              <w:rPr>
                <w:vertAlign w:val="subscript"/>
              </w:rPr>
              <w:t>50</w:t>
            </w:r>
            <w:r w:rsidRPr="000F197F">
              <w:t>: 336 mg/kg (male mice, oral</w:t>
            </w:r>
            <w:r w:rsidR="00096E9B">
              <w:t>, 15 min</w:t>
            </w:r>
            <w:r>
              <w:t>)</w:t>
            </w:r>
          </w:p>
          <w:p w14:paraId="0D93E25B" w14:textId="0B9C44EE" w:rsidR="00E52AD4" w:rsidRDefault="00E52AD4" w:rsidP="000C183F">
            <w:pPr>
              <w:pStyle w:val="ListBullet"/>
              <w:spacing w:before="60" w:after="60"/>
              <w:ind w:left="714" w:hanging="357"/>
              <w:contextualSpacing w:val="0"/>
            </w:pPr>
            <w:r>
              <w:lastRenderedPageBreak/>
              <w:t>LC</w:t>
            </w:r>
            <w:r w:rsidR="008B4955">
              <w:rPr>
                <w:vertAlign w:val="subscript"/>
              </w:rPr>
              <w:t>50</w:t>
            </w:r>
            <w:r w:rsidRPr="000F197F">
              <w:t xml:space="preserve">: </w:t>
            </w:r>
            <w:r>
              <w:t>4</w:t>
            </w:r>
            <w:r w:rsidR="00E146BA">
              <w:t>,</w:t>
            </w:r>
            <w:r>
              <w:t>200</w:t>
            </w:r>
            <w:r w:rsidRPr="000F197F">
              <w:t xml:space="preserve"> mg/kg (</w:t>
            </w:r>
            <w:r>
              <w:t>rat</w:t>
            </w:r>
            <w:r w:rsidRPr="000F197F">
              <w:t>, oral</w:t>
            </w:r>
            <w:r w:rsidR="00096E9B">
              <w:t>, 4</w:t>
            </w:r>
            <w:r w:rsidR="00462F5D">
              <w:t xml:space="preserve"> </w:t>
            </w:r>
            <w:r w:rsidR="00096E9B">
              <w:t>h</w:t>
            </w:r>
            <w:r>
              <w:t>)</w:t>
            </w:r>
          </w:p>
          <w:p w14:paraId="7D5F86A2" w14:textId="6758661D" w:rsidR="00E52AD4" w:rsidRPr="005F797C" w:rsidRDefault="00E52AD4" w:rsidP="000C183F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 w:rsidRPr="000F197F">
              <w:rPr>
                <w:vertAlign w:val="subscript"/>
              </w:rPr>
              <w:t>50</w:t>
            </w:r>
            <w:r w:rsidRPr="000F197F">
              <w:t xml:space="preserve">: </w:t>
            </w:r>
            <w:r>
              <w:t>800</w:t>
            </w:r>
            <w:r w:rsidRPr="000F197F">
              <w:t xml:space="preserve"> mg/kg (mice, oral</w:t>
            </w:r>
            <w:r w:rsidR="00096E9B">
              <w:t>, 2</w:t>
            </w:r>
            <w:r w:rsidR="00462F5D">
              <w:t xml:space="preserve"> </w:t>
            </w:r>
            <w:r w:rsidR="00096E9B">
              <w:t>h</w:t>
            </w:r>
            <w:r>
              <w:t>)</w:t>
            </w:r>
          </w:p>
          <w:p w14:paraId="54BD034A" w14:textId="28CA957E" w:rsidR="00E52AD4" w:rsidRDefault="00E52AD4" w:rsidP="000C183F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Sever</w:t>
            </w:r>
            <w:r w:rsidR="00E146BA">
              <w:t>e</w:t>
            </w:r>
            <w:r>
              <w:t xml:space="preserve"> damage observed on </w:t>
            </w:r>
            <w:r w:rsidR="00096E9B">
              <w:t>r</w:t>
            </w:r>
            <w:r>
              <w:t>abbit eyes (grade 8</w:t>
            </w:r>
            <w:r w:rsidR="00096E9B">
              <w:t>/</w:t>
            </w:r>
            <w:r>
              <w:t>10-p</w:t>
            </w:r>
            <w:r w:rsidR="00F6290D">
              <w:t>oint grade) following exposure</w:t>
            </w:r>
          </w:p>
          <w:p w14:paraId="72341342" w14:textId="7C615F10" w:rsidR="00B15F4E" w:rsidRDefault="00B15F4E" w:rsidP="000C183F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</w:t>
            </w:r>
            <w:r w:rsidRPr="00B15F4E">
              <w:t xml:space="preserve">egative in </w:t>
            </w:r>
            <w:r w:rsidRPr="008E0EBA">
              <w:rPr>
                <w:i/>
              </w:rPr>
              <w:t>in vitro</w:t>
            </w:r>
            <w:r w:rsidRPr="00B15F4E">
              <w:t xml:space="preserve"> mutation assay in bacteria and </w:t>
            </w:r>
            <w:r w:rsidRPr="008E0EBA">
              <w:rPr>
                <w:i/>
              </w:rPr>
              <w:t>in vivo</w:t>
            </w:r>
            <w:r w:rsidRPr="00B15F4E">
              <w:t xml:space="preserve"> micronucleus test in mice</w:t>
            </w:r>
            <w:r w:rsidR="008305C1">
              <w:t>.</w:t>
            </w:r>
          </w:p>
          <w:p w14:paraId="52D3C1F6" w14:textId="77777777" w:rsidR="00F827CD" w:rsidRDefault="00F827CD" w:rsidP="008661DF">
            <w:pPr>
              <w:pStyle w:val="ListBullet"/>
              <w:numPr>
                <w:ilvl w:val="0"/>
                <w:numId w:val="0"/>
              </w:numPr>
            </w:pPr>
          </w:p>
          <w:p w14:paraId="20C4E54B" w14:textId="1BB566D8" w:rsidR="00F827CD" w:rsidRDefault="00E52AD4" w:rsidP="00E52AD4">
            <w:pPr>
              <w:pStyle w:val="Tabletextprimarysource"/>
            </w:pPr>
            <w:r>
              <w:t xml:space="preserve">The </w:t>
            </w:r>
            <w:r w:rsidR="00B15F4E">
              <w:t>current ceiling is an administrative OEL. T</w:t>
            </w:r>
            <w:r w:rsidR="00B15F4E" w:rsidRPr="00B15F4E">
              <w:t xml:space="preserve">he toxicological database on n-butylamine </w:t>
            </w:r>
            <w:r w:rsidR="009B4B1E">
              <w:t xml:space="preserve">is </w:t>
            </w:r>
            <w:r w:rsidR="00B15F4E" w:rsidRPr="00B15F4E">
              <w:t xml:space="preserve">too poor to justify recommendation of a health-based </w:t>
            </w:r>
            <w:r w:rsidR="008B4955">
              <w:t>OEL.</w:t>
            </w:r>
          </w:p>
          <w:p w14:paraId="3C9D2971" w14:textId="77777777" w:rsidR="00F827CD" w:rsidRPr="00DA352E" w:rsidRDefault="00F827CD" w:rsidP="00E52AD4">
            <w:pPr>
              <w:pStyle w:val="Tabletextprimarysource"/>
            </w:pPr>
          </w:p>
        </w:tc>
      </w:tr>
      <w:tr w:rsidR="00173E53" w:rsidRPr="00DA352E" w14:paraId="12C6B11A" w14:textId="77777777" w:rsidTr="008C041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37536DE" w14:textId="74B71A2F" w:rsidR="00173E53" w:rsidRPr="00DA352E" w:rsidRDefault="00173E53" w:rsidP="008C0411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Pr="003365A5">
              <w:t xml:space="preserve"> </w:t>
            </w:r>
            <w:r w:rsidRPr="003365A5">
              <w:tab/>
            </w:r>
            <w:sdt>
              <w:sdtPr>
                <w:id w:val="272751712"/>
                <w:placeholder>
                  <w:docPart w:val="5604322D237B47D2A9564332DD48F98A"/>
                </w:placeholder>
                <w:text/>
              </w:sdtPr>
              <w:sdtEndPr/>
              <w:sdtContent>
                <w:r>
                  <w:t>2016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A192DAFBA8C34ECABABC12C89F1BD6F0"/>
                </w:placeholder>
              </w:sdtPr>
              <w:sdtEndPr/>
              <w:sdtContent>
                <w:r w:rsidR="0034229E">
                  <w:t>2 ppm (6.1 mg/m</w:t>
                </w:r>
                <w:r w:rsidR="0034229E">
                  <w:rPr>
                    <w:vertAlign w:val="superscript"/>
                  </w:rPr>
                  <w:t>3</w:t>
                </w:r>
                <w:r w:rsidR="0034229E">
                  <w:t>)</w:t>
                </w:r>
              </w:sdtContent>
            </w:sdt>
          </w:p>
        </w:tc>
      </w:tr>
      <w:tr w:rsidR="00173E53" w:rsidRPr="00DA352E" w14:paraId="7D48F0D6" w14:textId="77777777" w:rsidTr="008C0411">
        <w:trPr>
          <w:gridAfter w:val="1"/>
          <w:wAfter w:w="8" w:type="pct"/>
          <w:cantSplit/>
        </w:trPr>
        <w:tc>
          <w:tcPr>
            <w:tcW w:w="4992" w:type="pct"/>
          </w:tcPr>
          <w:p w14:paraId="051CA6A7" w14:textId="5E0F2303" w:rsidR="00E3689E" w:rsidRDefault="00E3689E" w:rsidP="008661DF">
            <w:pPr>
              <w:pStyle w:val="ListBullet"/>
              <w:numPr>
                <w:ilvl w:val="0"/>
                <w:numId w:val="0"/>
              </w:numPr>
            </w:pPr>
            <w:r>
              <w:t xml:space="preserve">MAK recommended to protect for irritant effects. MAK value applies to </w:t>
            </w:r>
            <w:r w:rsidRPr="006C745D">
              <w:rPr>
                <w:i/>
              </w:rPr>
              <w:t>n</w:t>
            </w:r>
            <w:r>
              <w:t xml:space="preserve">-, </w:t>
            </w:r>
            <w:r w:rsidRPr="006C745D">
              <w:rPr>
                <w:i/>
              </w:rPr>
              <w:t>sec</w:t>
            </w:r>
            <w:r>
              <w:t xml:space="preserve">-, </w:t>
            </w:r>
            <w:proofErr w:type="spellStart"/>
            <w:r w:rsidRPr="006C745D">
              <w:rPr>
                <w:i/>
              </w:rPr>
              <w:t>iso</w:t>
            </w:r>
            <w:proofErr w:type="spellEnd"/>
            <w:r>
              <w:t xml:space="preserve">- and </w:t>
            </w:r>
            <w:proofErr w:type="spellStart"/>
            <w:r w:rsidRPr="006C745D">
              <w:rPr>
                <w:i/>
              </w:rPr>
              <w:t>tert</w:t>
            </w:r>
            <w:r>
              <w:noBreakHyphen/>
              <w:t>butylamine</w:t>
            </w:r>
            <w:proofErr w:type="spellEnd"/>
            <w:r>
              <w:t>.</w:t>
            </w:r>
          </w:p>
          <w:p w14:paraId="6B84ECBD" w14:textId="2E591E18" w:rsidR="00173E53" w:rsidRDefault="00173E53" w:rsidP="008C0411">
            <w:pPr>
              <w:pStyle w:val="Tabletextprimarysource"/>
            </w:pPr>
            <w:r>
              <w:t>Summary of additional data:</w:t>
            </w:r>
          </w:p>
          <w:p w14:paraId="2BE44348" w14:textId="7588C6B2" w:rsidR="00E3689E" w:rsidRPr="00193D9F" w:rsidRDefault="00E3689E" w:rsidP="008C0411">
            <w:pPr>
              <w:pStyle w:val="Tabletextprimarysource"/>
            </w:pPr>
            <w:r>
              <w:t>Animal data:</w:t>
            </w:r>
          </w:p>
          <w:p w14:paraId="3630B087" w14:textId="36F0871E" w:rsidR="0034229E" w:rsidRDefault="0034229E" w:rsidP="000C183F">
            <w:pPr>
              <w:pStyle w:val="ListBullet"/>
              <w:tabs>
                <w:tab w:val="clear" w:pos="360"/>
              </w:tabs>
              <w:spacing w:before="60" w:after="60"/>
              <w:ind w:left="867" w:hanging="357"/>
              <w:contextualSpacing w:val="0"/>
            </w:pPr>
            <w:r>
              <w:t xml:space="preserve">NOAEC 17 ppm </w:t>
            </w:r>
            <w:r w:rsidR="00E3689E">
              <w:t xml:space="preserve">for inflammation of respiratory epithelium </w:t>
            </w:r>
            <w:r>
              <w:t xml:space="preserve">(rats, </w:t>
            </w:r>
            <w:r w:rsidR="00E3689E">
              <w:t>14 d</w:t>
            </w:r>
            <w:r>
              <w:t xml:space="preserve">) </w:t>
            </w:r>
          </w:p>
          <w:p w14:paraId="657AF4A3" w14:textId="1E16738F" w:rsidR="00173E53" w:rsidRPr="00FE4824" w:rsidRDefault="00173E53" w:rsidP="000C183F">
            <w:pPr>
              <w:pStyle w:val="ListBullet"/>
              <w:tabs>
                <w:tab w:val="clear" w:pos="360"/>
              </w:tabs>
              <w:spacing w:before="60" w:after="60"/>
              <w:ind w:left="867" w:hanging="357"/>
              <w:contextualSpacing w:val="0"/>
            </w:pPr>
            <w:r>
              <w:t>RD</w:t>
            </w:r>
            <w:r w:rsidRPr="00BA7ED9">
              <w:rPr>
                <w:vertAlign w:val="subscript"/>
              </w:rPr>
              <w:t>50</w:t>
            </w:r>
            <w:r>
              <w:t>: 84–246 m</w:t>
            </w:r>
            <w:r w:rsidR="00096E9B">
              <w:t>L</w:t>
            </w:r>
            <w:r>
              <w:t>/m</w:t>
            </w:r>
            <w:r w:rsidRPr="00BA7ED9">
              <w:rPr>
                <w:vertAlign w:val="superscript"/>
              </w:rPr>
              <w:t>3</w:t>
            </w:r>
            <w:r>
              <w:t xml:space="preserve"> (</w:t>
            </w:r>
            <w:r w:rsidRPr="00FE4824">
              <w:t>mice, oral)</w:t>
            </w:r>
          </w:p>
          <w:p w14:paraId="3907F34C" w14:textId="37571595" w:rsidR="00173E53" w:rsidRDefault="00B376A4" w:rsidP="000C183F">
            <w:pPr>
              <w:pStyle w:val="ListBullet"/>
              <w:tabs>
                <w:tab w:val="clear" w:pos="360"/>
              </w:tabs>
              <w:spacing w:before="60" w:after="60"/>
              <w:ind w:left="867" w:hanging="357"/>
              <w:contextualSpacing w:val="0"/>
            </w:pPr>
            <w:r w:rsidRPr="00FE4824">
              <w:t>LOAEC</w:t>
            </w:r>
            <w:r w:rsidR="006F166E">
              <w:t xml:space="preserve"> </w:t>
            </w:r>
            <w:r w:rsidR="00096E9B">
              <w:t>boundary estimated as</w:t>
            </w:r>
            <w:r w:rsidR="00096E9B" w:rsidRPr="00FE4824">
              <w:t xml:space="preserve"> </w:t>
            </w:r>
            <w:r w:rsidRPr="00FE4824">
              <w:t>17 m</w:t>
            </w:r>
            <w:r w:rsidR="00096E9B">
              <w:t>L</w:t>
            </w:r>
            <w:r w:rsidRPr="00FE4824">
              <w:t>/m</w:t>
            </w:r>
            <w:r w:rsidRPr="00FE4824">
              <w:rPr>
                <w:vertAlign w:val="superscript"/>
              </w:rPr>
              <w:t>3</w:t>
            </w:r>
            <w:r w:rsidRPr="00FE4824">
              <w:t xml:space="preserve"> (rats, oral)</w:t>
            </w:r>
            <w:r w:rsidR="008305C1">
              <w:t>.</w:t>
            </w:r>
          </w:p>
          <w:p w14:paraId="010D7B89" w14:textId="77777777" w:rsidR="00F827CD" w:rsidRPr="00FD5835" w:rsidRDefault="00F827CD" w:rsidP="00E47CEE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173E53" w:rsidRPr="00DA352E" w14:paraId="713A6D41" w14:textId="77777777" w:rsidTr="008C041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24C392D" w14:textId="77777777" w:rsidR="00173E53" w:rsidRPr="00DA352E" w:rsidRDefault="00173E53" w:rsidP="008C0411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Pr="003365A5">
              <w:t xml:space="preserve"> </w:t>
            </w:r>
            <w:r w:rsidRPr="003365A5">
              <w:tab/>
            </w:r>
            <w:sdt>
              <w:sdtPr>
                <w:id w:val="-768699850"/>
                <w:placeholder>
                  <w:docPart w:val="0D0D8B428F4248AE90631D7DB43F6A82"/>
                </w:placeholder>
                <w:text/>
              </w:sdtPr>
              <w:sdtEndPr/>
              <w:sdtContent>
                <w:r w:rsidR="00CE6798"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2623E99623FC478DAC8DC68696F2DD8D"/>
                </w:placeholder>
              </w:sdtPr>
              <w:sdtEndPr/>
              <w:sdtContent>
                <w:proofErr w:type="spellStart"/>
                <w:r>
                  <w:t>NA</w:t>
                </w:r>
                <w:proofErr w:type="spellEnd"/>
              </w:sdtContent>
            </w:sdt>
          </w:p>
        </w:tc>
      </w:tr>
      <w:tr w:rsidR="00173E53" w:rsidRPr="00DA352E" w14:paraId="2C2380B6" w14:textId="77777777" w:rsidTr="008C0411">
        <w:trPr>
          <w:gridAfter w:val="1"/>
          <w:wAfter w:w="8" w:type="pct"/>
          <w:cantSplit/>
        </w:trPr>
        <w:tc>
          <w:tcPr>
            <w:tcW w:w="4992" w:type="pct"/>
          </w:tcPr>
          <w:p w14:paraId="697E44D5" w14:textId="49F847BC" w:rsidR="00173E53" w:rsidRPr="00DA352E" w:rsidRDefault="00173E53" w:rsidP="008C0411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No report</w:t>
            </w:r>
            <w:r w:rsidR="00C82039">
              <w:t>.</w:t>
            </w:r>
          </w:p>
        </w:tc>
      </w:tr>
      <w:tr w:rsidR="00173E53" w:rsidRPr="00DA352E" w14:paraId="4A766EE9" w14:textId="77777777" w:rsidTr="008C0411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90D9E15" w14:textId="77777777" w:rsidR="00173E53" w:rsidRPr="00DA352E" w:rsidRDefault="00173E53" w:rsidP="008C0411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Pr="003365A5">
              <w:t xml:space="preserve"> </w:t>
            </w:r>
            <w:r w:rsidRPr="003365A5">
              <w:tab/>
            </w:r>
            <w:sdt>
              <w:sdtPr>
                <w:id w:val="-936748013"/>
                <w:placeholder>
                  <w:docPart w:val="59A6FA08F98742D399B20782F999201B"/>
                </w:placeholder>
                <w:text/>
              </w:sdtPr>
              <w:sdtEndPr/>
              <w:sdtContent>
                <w:r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0A0E86C3DB6945A898114E94B11424F5"/>
                </w:placeholder>
              </w:sdtPr>
              <w:sdtEndPr/>
              <w:sdtContent>
                <w:proofErr w:type="spellStart"/>
                <w:r>
                  <w:t>NA</w:t>
                </w:r>
                <w:proofErr w:type="spellEnd"/>
              </w:sdtContent>
            </w:sdt>
          </w:p>
        </w:tc>
      </w:tr>
      <w:tr w:rsidR="00173E53" w:rsidRPr="00DA352E" w14:paraId="08E3EE52" w14:textId="77777777" w:rsidTr="008C0411">
        <w:trPr>
          <w:gridAfter w:val="1"/>
          <w:wAfter w:w="8" w:type="pct"/>
          <w:cantSplit/>
        </w:trPr>
        <w:tc>
          <w:tcPr>
            <w:tcW w:w="4992" w:type="pct"/>
          </w:tcPr>
          <w:p w14:paraId="3C89ADF9" w14:textId="1689A865" w:rsidR="00173E53" w:rsidRPr="00DA352E" w:rsidRDefault="00173E53" w:rsidP="008C0411">
            <w:pPr>
              <w:pStyle w:val="Tabletextprimarysource"/>
            </w:pPr>
            <w:r>
              <w:t>No report</w:t>
            </w:r>
            <w:r w:rsidR="00C82039">
              <w:t>.</w:t>
            </w:r>
          </w:p>
        </w:tc>
      </w:tr>
    </w:tbl>
    <w:p w14:paraId="2B3A707E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7BFA6E28" w14:textId="62E2F5F6" w:rsidR="007E2A4B" w:rsidRDefault="004D31BE">
      <w:r>
        <w:t>NIL</w:t>
      </w:r>
      <w:r w:rsidR="006C745D">
        <w:t>.</w:t>
      </w:r>
    </w:p>
    <w:bookmarkEnd w:id="0"/>
    <w:p w14:paraId="5160F34F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:rsidRPr="00032CAC" w14:paraId="2A83C42C" w14:textId="77777777" w:rsidTr="002762EA">
        <w:trPr>
          <w:trHeight w:val="454"/>
          <w:tblHeader/>
        </w:trPr>
        <w:tc>
          <w:tcPr>
            <w:tcW w:w="6609" w:type="dxa"/>
            <w:vAlign w:val="center"/>
          </w:tcPr>
          <w:p w14:paraId="64ADA48F" w14:textId="77777777" w:rsidR="002E0D61" w:rsidRPr="00032CAC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 w:rsidRPr="00032CAC">
              <w:t>Is the chemical mutagenic</w:t>
            </w:r>
            <w:r w:rsidR="002E0D61" w:rsidRPr="00032CAC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748EEF6B" w14:textId="77777777" w:rsidR="002E0D61" w:rsidRPr="00032CAC" w:rsidRDefault="004D31BE" w:rsidP="00C3091E">
                <w:pPr>
                  <w:pStyle w:val="Tablefont"/>
                  <w:keepNext/>
                  <w:keepLines/>
                  <w:spacing w:before="40" w:after="40"/>
                </w:pPr>
                <w:r w:rsidRPr="00032CAC">
                  <w:t>No</w:t>
                </w:r>
              </w:p>
            </w:tc>
          </w:sdtContent>
        </w:sdt>
      </w:tr>
      <w:tr w:rsidR="008A36CF" w14:paraId="5A406F4A" w14:textId="77777777" w:rsidTr="002762EA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9" w:type="dxa"/>
                <w:vAlign w:val="center"/>
              </w:tcPr>
              <w:p w14:paraId="1C099FD5" w14:textId="77777777" w:rsidR="008A36CF" w:rsidRPr="00032CAC" w:rsidRDefault="008B4955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17" w:type="dxa"/>
            <w:vAlign w:val="center"/>
          </w:tcPr>
          <w:p w14:paraId="38456BAC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74FA407F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97282B" w:rsidRPr="004C23F4" w14:paraId="13A57D5E" w14:textId="77777777" w:rsidTr="0097282B">
        <w:trPr>
          <w:cantSplit/>
          <w:tblHeader/>
        </w:trPr>
        <w:tc>
          <w:tcPr>
            <w:tcW w:w="3153" w:type="dxa"/>
            <w:shd w:val="clear" w:color="auto" w:fill="BFBFBF" w:themeFill="background1" w:themeFillShade="BF"/>
            <w:vAlign w:val="center"/>
          </w:tcPr>
          <w:p w14:paraId="3F894771" w14:textId="77777777" w:rsidR="0097282B" w:rsidRPr="004C23F4" w:rsidRDefault="0097282B" w:rsidP="008C0411">
            <w:pPr>
              <w:pStyle w:val="Tableheader"/>
            </w:pPr>
            <w:r w:rsidRPr="004C23F4">
              <w:t>Source</w:t>
            </w:r>
          </w:p>
        </w:tc>
        <w:tc>
          <w:tcPr>
            <w:tcW w:w="5873" w:type="dxa"/>
            <w:shd w:val="clear" w:color="auto" w:fill="BFBFBF" w:themeFill="background1" w:themeFillShade="BF"/>
            <w:vAlign w:val="center"/>
          </w:tcPr>
          <w:p w14:paraId="108684E8" w14:textId="77777777" w:rsidR="0097282B" w:rsidRPr="004C23F4" w:rsidRDefault="0097282B" w:rsidP="008C0411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>
              <w:tab/>
            </w:r>
          </w:p>
        </w:tc>
      </w:tr>
      <w:tr w:rsidR="0097282B" w:rsidRPr="004C23F4" w14:paraId="648B860A" w14:textId="77777777" w:rsidTr="0097282B">
        <w:trPr>
          <w:cantSplit/>
        </w:trPr>
        <w:tc>
          <w:tcPr>
            <w:tcW w:w="3153" w:type="dxa"/>
          </w:tcPr>
          <w:p w14:paraId="4EC744C2" w14:textId="77777777" w:rsidR="0097282B" w:rsidRPr="004C23F4" w:rsidRDefault="0097282B" w:rsidP="008C0411">
            <w:pPr>
              <w:pStyle w:val="Tablefont"/>
            </w:pPr>
            <w:r w:rsidRPr="004C23F4">
              <w:t>SWA</w:t>
            </w:r>
          </w:p>
        </w:tc>
        <w:tc>
          <w:tcPr>
            <w:tcW w:w="5873" w:type="dxa"/>
          </w:tcPr>
          <w:p w14:paraId="4DA59680" w14:textId="77777777" w:rsidR="0097282B" w:rsidRPr="00DD2F9B" w:rsidRDefault="0097282B" w:rsidP="008C0411">
            <w:pPr>
              <w:pStyle w:val="Tablefont"/>
            </w:pPr>
            <w:r>
              <w:t>NA</w:t>
            </w:r>
          </w:p>
        </w:tc>
      </w:tr>
      <w:tr w:rsidR="0097282B" w:rsidRPr="004C23F4" w14:paraId="0E5E927E" w14:textId="77777777" w:rsidTr="0097282B">
        <w:trPr>
          <w:cantSplit/>
        </w:trPr>
        <w:tc>
          <w:tcPr>
            <w:tcW w:w="3153" w:type="dxa"/>
          </w:tcPr>
          <w:p w14:paraId="57A209CB" w14:textId="77777777" w:rsidR="0097282B" w:rsidRPr="004C23F4" w:rsidRDefault="0097282B" w:rsidP="008C0411">
            <w:pPr>
              <w:pStyle w:val="Tablefont"/>
            </w:pPr>
            <w:r>
              <w:t>HCIS</w:t>
            </w:r>
          </w:p>
        </w:tc>
        <w:tc>
          <w:tcPr>
            <w:tcW w:w="5873" w:type="dxa"/>
          </w:tcPr>
          <w:p w14:paraId="7E5E9A9E" w14:textId="77777777" w:rsidR="0097282B" w:rsidRPr="00DD2F9B" w:rsidRDefault="00B15F4E" w:rsidP="008C0411">
            <w:pPr>
              <w:pStyle w:val="Tablefont"/>
            </w:pPr>
            <w:r>
              <w:t>—</w:t>
            </w:r>
          </w:p>
        </w:tc>
      </w:tr>
      <w:tr w:rsidR="0097282B" w:rsidRPr="004C23F4" w14:paraId="0D79D621" w14:textId="77777777" w:rsidTr="0097282B">
        <w:trPr>
          <w:cantSplit/>
        </w:trPr>
        <w:tc>
          <w:tcPr>
            <w:tcW w:w="3153" w:type="dxa"/>
          </w:tcPr>
          <w:p w14:paraId="5D269F3F" w14:textId="77777777" w:rsidR="0097282B" w:rsidRPr="004C23F4" w:rsidRDefault="0097282B" w:rsidP="008C0411">
            <w:pPr>
              <w:pStyle w:val="Tablefont"/>
            </w:pPr>
            <w:r>
              <w:t>NICNAS</w:t>
            </w:r>
          </w:p>
        </w:tc>
        <w:tc>
          <w:tcPr>
            <w:tcW w:w="5873" w:type="dxa"/>
          </w:tcPr>
          <w:p w14:paraId="2DB82BEC" w14:textId="77777777" w:rsidR="0097282B" w:rsidRPr="00DD2F9B" w:rsidRDefault="0097282B" w:rsidP="008C0411">
            <w:pPr>
              <w:pStyle w:val="Tablefont"/>
            </w:pPr>
            <w:r>
              <w:t>NA</w:t>
            </w:r>
          </w:p>
        </w:tc>
      </w:tr>
      <w:tr w:rsidR="0097282B" w:rsidRPr="004C23F4" w14:paraId="74906340" w14:textId="77777777" w:rsidTr="0097282B">
        <w:trPr>
          <w:cantSplit/>
        </w:trPr>
        <w:tc>
          <w:tcPr>
            <w:tcW w:w="3153" w:type="dxa"/>
          </w:tcPr>
          <w:p w14:paraId="161857DA" w14:textId="77777777" w:rsidR="0097282B" w:rsidRPr="004C23F4" w:rsidRDefault="0097282B" w:rsidP="008C0411">
            <w:pPr>
              <w:pStyle w:val="Tablefont"/>
            </w:pPr>
            <w:r w:rsidRPr="004C23F4">
              <w:t>EU Annex</w:t>
            </w:r>
          </w:p>
        </w:tc>
        <w:tc>
          <w:tcPr>
            <w:tcW w:w="5873" w:type="dxa"/>
          </w:tcPr>
          <w:p w14:paraId="3EEF11F3" w14:textId="77777777" w:rsidR="0097282B" w:rsidRPr="00DD2F9B" w:rsidRDefault="0097282B" w:rsidP="008C0411">
            <w:pPr>
              <w:pStyle w:val="Tablefont"/>
            </w:pPr>
            <w:r>
              <w:t>NA</w:t>
            </w:r>
          </w:p>
        </w:tc>
      </w:tr>
      <w:tr w:rsidR="0097282B" w:rsidRPr="004C23F4" w14:paraId="36F5CB8C" w14:textId="77777777" w:rsidTr="0097282B">
        <w:trPr>
          <w:cantSplit/>
        </w:trPr>
        <w:tc>
          <w:tcPr>
            <w:tcW w:w="3153" w:type="dxa"/>
          </w:tcPr>
          <w:p w14:paraId="623C957E" w14:textId="77777777" w:rsidR="0097282B" w:rsidRDefault="0097282B" w:rsidP="008C0411">
            <w:pPr>
              <w:pStyle w:val="Tablefont"/>
            </w:pPr>
            <w:r>
              <w:t>ECHA</w:t>
            </w:r>
          </w:p>
        </w:tc>
        <w:tc>
          <w:tcPr>
            <w:tcW w:w="5873" w:type="dxa"/>
          </w:tcPr>
          <w:p w14:paraId="493FFDBB" w14:textId="77777777" w:rsidR="0097282B" w:rsidRPr="00DD2F9B" w:rsidRDefault="0097282B" w:rsidP="008C0411">
            <w:pPr>
              <w:pStyle w:val="Tablefont"/>
            </w:pPr>
            <w:r>
              <w:t>NA</w:t>
            </w:r>
          </w:p>
        </w:tc>
      </w:tr>
      <w:tr w:rsidR="0097282B" w:rsidRPr="004C23F4" w14:paraId="2B0E6EF9" w14:textId="77777777" w:rsidTr="0097282B">
        <w:trPr>
          <w:cantSplit/>
        </w:trPr>
        <w:tc>
          <w:tcPr>
            <w:tcW w:w="3153" w:type="dxa"/>
          </w:tcPr>
          <w:p w14:paraId="0E8E80D2" w14:textId="77777777" w:rsidR="0097282B" w:rsidRPr="004C23F4" w:rsidRDefault="0097282B" w:rsidP="008C0411">
            <w:pPr>
              <w:pStyle w:val="Tablefont"/>
            </w:pPr>
            <w:r>
              <w:t>ACGIH</w:t>
            </w:r>
          </w:p>
        </w:tc>
        <w:tc>
          <w:tcPr>
            <w:tcW w:w="5873" w:type="dxa"/>
          </w:tcPr>
          <w:p w14:paraId="0BF0AC4B" w14:textId="77777777" w:rsidR="0097282B" w:rsidRPr="00DD2F9B" w:rsidRDefault="0097282B" w:rsidP="008C0411">
            <w:pPr>
              <w:pStyle w:val="ListBullet"/>
              <w:numPr>
                <w:ilvl w:val="0"/>
                <w:numId w:val="0"/>
              </w:numPr>
            </w:pPr>
            <w:r>
              <w:t>Skin</w:t>
            </w:r>
          </w:p>
        </w:tc>
      </w:tr>
      <w:tr w:rsidR="0097282B" w:rsidRPr="004C23F4" w14:paraId="1DD2494D" w14:textId="77777777" w:rsidTr="0097282B">
        <w:trPr>
          <w:cantSplit/>
        </w:trPr>
        <w:tc>
          <w:tcPr>
            <w:tcW w:w="3153" w:type="dxa"/>
          </w:tcPr>
          <w:p w14:paraId="63C402FF" w14:textId="77777777" w:rsidR="0097282B" w:rsidRPr="004C23F4" w:rsidRDefault="0097282B" w:rsidP="008C0411">
            <w:pPr>
              <w:pStyle w:val="Tablefont"/>
            </w:pPr>
            <w:r>
              <w:t>DFG</w:t>
            </w:r>
          </w:p>
        </w:tc>
        <w:tc>
          <w:tcPr>
            <w:tcW w:w="5873" w:type="dxa"/>
          </w:tcPr>
          <w:p w14:paraId="71B3E7D8" w14:textId="77777777" w:rsidR="0097282B" w:rsidRPr="00922B4F" w:rsidRDefault="00B15F4E" w:rsidP="008C0411">
            <w:pPr>
              <w:pStyle w:val="ListBullet"/>
              <w:numPr>
                <w:ilvl w:val="0"/>
                <w:numId w:val="0"/>
              </w:numPr>
            </w:pPr>
            <w:r>
              <w:t>—</w:t>
            </w:r>
          </w:p>
        </w:tc>
      </w:tr>
      <w:tr w:rsidR="0097282B" w:rsidRPr="004C23F4" w14:paraId="49AA4EBA" w14:textId="77777777" w:rsidTr="0097282B">
        <w:trPr>
          <w:cantSplit/>
        </w:trPr>
        <w:tc>
          <w:tcPr>
            <w:tcW w:w="3153" w:type="dxa"/>
          </w:tcPr>
          <w:p w14:paraId="2752BDF4" w14:textId="77777777" w:rsidR="0097282B" w:rsidRPr="004C23F4" w:rsidRDefault="0097282B" w:rsidP="008C0411">
            <w:pPr>
              <w:pStyle w:val="Tablefont"/>
            </w:pPr>
            <w:r>
              <w:lastRenderedPageBreak/>
              <w:t>SCOEL</w:t>
            </w:r>
          </w:p>
        </w:tc>
        <w:tc>
          <w:tcPr>
            <w:tcW w:w="5873" w:type="dxa"/>
          </w:tcPr>
          <w:p w14:paraId="2C4E0F36" w14:textId="77777777" w:rsidR="0097282B" w:rsidRPr="00DD2F9B" w:rsidRDefault="0097282B" w:rsidP="008C0411">
            <w:pPr>
              <w:pStyle w:val="Tablefont"/>
            </w:pPr>
            <w:r>
              <w:t>NA</w:t>
            </w:r>
          </w:p>
        </w:tc>
      </w:tr>
      <w:tr w:rsidR="0097282B" w:rsidRPr="004C23F4" w14:paraId="70F8BF15" w14:textId="77777777" w:rsidTr="0097282B">
        <w:trPr>
          <w:cantSplit/>
        </w:trPr>
        <w:tc>
          <w:tcPr>
            <w:tcW w:w="3153" w:type="dxa"/>
          </w:tcPr>
          <w:p w14:paraId="259B13AF" w14:textId="77777777" w:rsidR="0097282B" w:rsidRDefault="0097282B" w:rsidP="008C0411">
            <w:pPr>
              <w:pStyle w:val="Tablefont"/>
            </w:pPr>
            <w:r>
              <w:t>HCOTN</w:t>
            </w:r>
          </w:p>
        </w:tc>
        <w:tc>
          <w:tcPr>
            <w:tcW w:w="5873" w:type="dxa"/>
          </w:tcPr>
          <w:p w14:paraId="494ED972" w14:textId="77777777" w:rsidR="0097282B" w:rsidRPr="00DD2F9B" w:rsidRDefault="00B15F4E" w:rsidP="008C0411">
            <w:pPr>
              <w:pStyle w:val="Tablefont"/>
            </w:pPr>
            <w:r>
              <w:t xml:space="preserve">— </w:t>
            </w:r>
          </w:p>
        </w:tc>
      </w:tr>
      <w:tr w:rsidR="0097282B" w:rsidRPr="004C23F4" w14:paraId="4E601AC0" w14:textId="77777777" w:rsidTr="0097282B">
        <w:trPr>
          <w:cantSplit/>
        </w:trPr>
        <w:tc>
          <w:tcPr>
            <w:tcW w:w="3153" w:type="dxa"/>
          </w:tcPr>
          <w:p w14:paraId="11C76C36" w14:textId="77777777" w:rsidR="0097282B" w:rsidRDefault="0097282B" w:rsidP="008C0411">
            <w:pPr>
              <w:pStyle w:val="Tablefont"/>
            </w:pPr>
            <w:r>
              <w:t>IARC</w:t>
            </w:r>
          </w:p>
        </w:tc>
        <w:tc>
          <w:tcPr>
            <w:tcW w:w="5873" w:type="dxa"/>
          </w:tcPr>
          <w:p w14:paraId="2A8F1688" w14:textId="77777777" w:rsidR="0097282B" w:rsidRPr="00DD2F9B" w:rsidRDefault="0097282B" w:rsidP="008C0411">
            <w:pPr>
              <w:pStyle w:val="ListBullet"/>
              <w:numPr>
                <w:ilvl w:val="0"/>
                <w:numId w:val="0"/>
              </w:numPr>
            </w:pPr>
            <w:r>
              <w:t>NA</w:t>
            </w:r>
          </w:p>
        </w:tc>
      </w:tr>
      <w:tr w:rsidR="0097282B" w:rsidRPr="004C23F4" w14:paraId="6F610F4D" w14:textId="77777777" w:rsidTr="0097282B">
        <w:trPr>
          <w:cantSplit/>
        </w:trPr>
        <w:tc>
          <w:tcPr>
            <w:tcW w:w="3153" w:type="dxa"/>
          </w:tcPr>
          <w:p w14:paraId="57EF0C31" w14:textId="77777777" w:rsidR="0097282B" w:rsidRDefault="0097282B" w:rsidP="008C0411">
            <w:pPr>
              <w:pStyle w:val="Tablefont"/>
              <w:keepNext/>
            </w:pPr>
            <w:r>
              <w:t>US NIOSH</w:t>
            </w:r>
          </w:p>
        </w:tc>
        <w:tc>
          <w:tcPr>
            <w:tcW w:w="5873" w:type="dxa"/>
          </w:tcPr>
          <w:p w14:paraId="08B3A8D8" w14:textId="77777777" w:rsidR="0097282B" w:rsidRPr="00DD2F9B" w:rsidRDefault="0097282B" w:rsidP="008C0411">
            <w:pPr>
              <w:pStyle w:val="Tablefont"/>
              <w:keepNext/>
            </w:pPr>
            <w:r>
              <w:t>NA</w:t>
            </w:r>
          </w:p>
        </w:tc>
      </w:tr>
    </w:tbl>
    <w:p w14:paraId="7994FCF2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3B8D968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A1644BD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579509C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2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4FEF179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828"/>
              <w:gridCol w:w="1128"/>
              <w:gridCol w:w="1128"/>
              <w:gridCol w:w="2726"/>
            </w:tblGrid>
            <w:tr w:rsidR="00DC6C35" w:rsidRPr="00C56B39" w14:paraId="43FF1B7D" w14:textId="77777777" w:rsidTr="00DC6C35">
              <w:trPr>
                <w:trHeight w:val="347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57FF39" w14:textId="77777777" w:rsidR="00DC6C35" w:rsidRPr="00C56B39" w:rsidRDefault="00DC6C35" w:rsidP="00DC6C3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01E6EB27" w14:textId="77777777" w:rsidR="00DC6C35" w:rsidRPr="00C56B39" w:rsidRDefault="00DC6C35" w:rsidP="00DC6C3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hAnsi="Segoe UI" w:cs="Segoe UI"/>
                      <w:color w:val="9C6500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D7E88C" w14:textId="77777777" w:rsidR="00DC6C35" w:rsidRPr="00C56B39" w:rsidRDefault="00DC6C35" w:rsidP="00DC6C3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01113E" w14:textId="77777777" w:rsidR="00DC6C35" w:rsidRPr="00C56B39" w:rsidRDefault="00DC6C35" w:rsidP="00DC6C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C6C35" w:rsidRPr="00C56B39" w14:paraId="45A09FE2" w14:textId="77777777" w:rsidTr="00DC6C35">
              <w:trPr>
                <w:trHeight w:val="347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CE6B72" w14:textId="77777777" w:rsidR="00DC6C35" w:rsidRPr="00C56B39" w:rsidRDefault="00DC6C35" w:rsidP="00DC6C3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FCBE5F" w14:textId="77777777" w:rsidR="00DC6C35" w:rsidRPr="00C56B39" w:rsidRDefault="00DC6C35" w:rsidP="00DC6C3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hAnsi="Segoe UI" w:cs="Segoe UI"/>
                      <w:color w:val="9C6500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2000B4" w14:textId="77777777" w:rsidR="00DC6C35" w:rsidRPr="00C56B39" w:rsidRDefault="00DC6C35" w:rsidP="00DC6C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C7CA18" w14:textId="77777777" w:rsidR="00DC6C35" w:rsidRPr="00C56B39" w:rsidRDefault="00DC6C35" w:rsidP="00DC6C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C6C35" w:rsidRPr="00C56B39" w14:paraId="5B3E3469" w14:textId="77777777" w:rsidTr="00DC6C35">
              <w:trPr>
                <w:trHeight w:val="347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227E8A" w14:textId="77777777" w:rsidR="00DC6C35" w:rsidRPr="00C56B39" w:rsidRDefault="00DC6C35" w:rsidP="00DC6C3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5D5204" w14:textId="77777777" w:rsidR="00DC6C35" w:rsidRPr="00C56B39" w:rsidRDefault="00DC6C35" w:rsidP="00DC6C3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205425" w14:textId="77777777" w:rsidR="00DC6C35" w:rsidRPr="00C56B39" w:rsidRDefault="00DC6C35" w:rsidP="00DC6C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48F078" w14:textId="77777777" w:rsidR="00DC6C35" w:rsidRPr="00C56B39" w:rsidRDefault="00DC6C35" w:rsidP="00DC6C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C6C35" w:rsidRPr="00C56B39" w14:paraId="7E7AE19F" w14:textId="77777777" w:rsidTr="00DC6C35">
              <w:trPr>
                <w:trHeight w:val="347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6D940E" w14:textId="77777777" w:rsidR="00DC6C35" w:rsidRPr="00C56B39" w:rsidRDefault="00DC6C35" w:rsidP="00DC6C3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D5DD37" w14:textId="77777777" w:rsidR="00DC6C35" w:rsidRPr="00C56B39" w:rsidRDefault="00DC6C35" w:rsidP="00DC6C3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9451D6" w14:textId="77777777" w:rsidR="00DC6C35" w:rsidRPr="00C56B39" w:rsidRDefault="00DC6C35" w:rsidP="00DC6C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1443D4" w14:textId="77777777" w:rsidR="00DC6C35" w:rsidRPr="00C56B39" w:rsidRDefault="00DC6C35" w:rsidP="00DC6C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C6C35" w:rsidRPr="00C56B39" w14:paraId="1BBDD404" w14:textId="77777777" w:rsidTr="00DC6C35">
              <w:trPr>
                <w:trHeight w:val="347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2E8726" w14:textId="77777777" w:rsidR="00DC6C35" w:rsidRPr="00C56B39" w:rsidRDefault="00DC6C35" w:rsidP="00DC6C3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039658" w14:textId="77777777" w:rsidR="00DC6C35" w:rsidRPr="00C56B39" w:rsidRDefault="00DC6C35" w:rsidP="00DC6C3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AB8A21" w14:textId="77777777" w:rsidR="00DC6C35" w:rsidRPr="00C56B39" w:rsidRDefault="00DC6C35" w:rsidP="00DC6C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DEFDDE" w14:textId="77777777" w:rsidR="00DC6C35" w:rsidRPr="00C56B39" w:rsidRDefault="00DC6C35" w:rsidP="00DC6C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C6C35" w:rsidRPr="00C56B39" w14:paraId="23513A00" w14:textId="77777777" w:rsidTr="00DC6C35">
              <w:trPr>
                <w:trHeight w:val="347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7B50ED" w14:textId="77777777" w:rsidR="00DC6C35" w:rsidRPr="00C56B39" w:rsidRDefault="00DC6C35" w:rsidP="00DC6C3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DC8C23" w14:textId="77777777" w:rsidR="00DC6C35" w:rsidRPr="00C56B39" w:rsidRDefault="00DC6C35" w:rsidP="00DC6C3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F8CDBF" w14:textId="77777777" w:rsidR="00DC6C35" w:rsidRPr="00C56B39" w:rsidRDefault="00DC6C35" w:rsidP="00DC6C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F9C040" w14:textId="77777777" w:rsidR="00DC6C35" w:rsidRPr="00C56B39" w:rsidRDefault="00DC6C35" w:rsidP="00DC6C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C6C35" w:rsidRPr="00C56B39" w14:paraId="40354C0A" w14:textId="77777777" w:rsidTr="00DC6C35">
              <w:trPr>
                <w:trHeight w:val="347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2AC59F" w14:textId="77777777" w:rsidR="00DC6C35" w:rsidRPr="00C56B39" w:rsidRDefault="00DC6C35" w:rsidP="00DC6C3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EC6ABC" w14:textId="77777777" w:rsidR="00DC6C35" w:rsidRPr="00C56B39" w:rsidRDefault="00DC6C35" w:rsidP="00DC6C3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C77F73" w14:textId="77777777" w:rsidR="00DC6C35" w:rsidRPr="00C56B39" w:rsidRDefault="00DC6C35" w:rsidP="00DC6C3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710764" w14:textId="77777777" w:rsidR="00DC6C35" w:rsidRPr="00C56B39" w:rsidRDefault="00DC6C35" w:rsidP="00DC6C35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C56B3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57B2E4C3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2"/>
    <w:p w14:paraId="43826043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A77C9E2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BB3B1BE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7B6CA33" w14:textId="77777777" w:rsidR="00EB3D1B" w:rsidRDefault="00E571B2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6088EE9E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7A48BE8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03705A2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9DFD059" w14:textId="77777777" w:rsidR="001B79E5" w:rsidRDefault="00533CC7" w:rsidP="001B79E5">
                <w:pPr>
                  <w:pStyle w:val="Tablefont"/>
                </w:pPr>
                <w:r>
                  <w:t>73.14</w:t>
                </w:r>
              </w:p>
            </w:tc>
          </w:sdtContent>
        </w:sdt>
      </w:tr>
      <w:tr w:rsidR="00A31D99" w:rsidRPr="004C23F4" w14:paraId="703FE30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3C1FAE3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53C2B8FF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8E0EBA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  <w:showingPlcHdr/>
              </w:sdtPr>
              <w:sdtEndPr/>
              <w:sdtContent>
                <w:r w:rsidR="008E0EBA" w:rsidRPr="00DF796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8DA170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DF48B6E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995F4B9" w14:textId="77777777" w:rsidR="00687890" w:rsidRPr="004C23F4" w:rsidRDefault="00533CC7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7C0BE840" w14:textId="77777777" w:rsidTr="00EA6243">
        <w:trPr>
          <w:cantSplit/>
        </w:trPr>
        <w:tc>
          <w:tcPr>
            <w:tcW w:w="4077" w:type="dxa"/>
            <w:vAlign w:val="center"/>
          </w:tcPr>
          <w:p w14:paraId="41B33041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24F01FC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37BA68B" w14:textId="77777777" w:rsidTr="00EA6243">
        <w:trPr>
          <w:cantSplit/>
        </w:trPr>
        <w:tc>
          <w:tcPr>
            <w:tcW w:w="4077" w:type="dxa"/>
            <w:vAlign w:val="center"/>
          </w:tcPr>
          <w:p w14:paraId="6FD9D8EE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3642211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78C96BD" w14:textId="77777777" w:rsidTr="00EA6243">
        <w:trPr>
          <w:cantSplit/>
        </w:trPr>
        <w:tc>
          <w:tcPr>
            <w:tcW w:w="4077" w:type="dxa"/>
            <w:vAlign w:val="center"/>
          </w:tcPr>
          <w:p w14:paraId="39B0D719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038A130" w14:textId="77777777" w:rsidR="00E06F40" w:rsidRPr="00A006A0" w:rsidRDefault="00851AF6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41B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77FA481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8867FE1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6D6CC84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3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970D420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FD6A28B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AE4B3AD" w14:textId="77777777" w:rsidR="007F1005" w:rsidRPr="004C23F4" w:rsidRDefault="008E0EBA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2CDE4FD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3"/>
    <w:p w14:paraId="38265FCD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33602E1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A194F8D" w14:textId="77777777" w:rsidR="008F50A2" w:rsidRDefault="008F50A2" w:rsidP="00084859">
      <w:r w:rsidRPr="002022B6">
        <w:lastRenderedPageBreak/>
        <w:t>Deutsche Forschungsgemeinschaft (DFG)</w:t>
      </w:r>
      <w:r w:rsidR="00092473">
        <w:t xml:space="preserve"> (2016</w:t>
      </w:r>
      <w:r>
        <w:t xml:space="preserve">) </w:t>
      </w:r>
      <w:r w:rsidR="00092473">
        <w:rPr>
          <w:i/>
        </w:rPr>
        <w:t>n-butylamine</w:t>
      </w:r>
      <w:r>
        <w:t xml:space="preserve"> – MAK value documentation.</w:t>
      </w:r>
    </w:p>
    <w:p w14:paraId="780D9795" w14:textId="77777777" w:rsidR="00906B7C" w:rsidRDefault="00906B7C" w:rsidP="00906B7C">
      <w:r w:rsidRPr="002022B6">
        <w:t>Deutsche Forschungsgemeinschaft (DFG)</w:t>
      </w:r>
      <w:r w:rsidR="00092473">
        <w:t xml:space="preserve"> (2016</w:t>
      </w:r>
      <w:r>
        <w:t xml:space="preserve">) </w:t>
      </w:r>
      <w:r w:rsidR="00A50790">
        <w:rPr>
          <w:i/>
        </w:rPr>
        <w:t>n-butylamine</w:t>
      </w:r>
      <w:r w:rsidRPr="001C4428">
        <w:t>: toxicity, genotoxicity and carcinogenicity, classification in a carcinogen category</w:t>
      </w:r>
      <w:r w:rsidRPr="00906B7C">
        <w:rPr>
          <w:i/>
        </w:rPr>
        <w:t xml:space="preserve"> </w:t>
      </w:r>
      <w:r>
        <w:t>– MAK value documentation</w:t>
      </w:r>
    </w:p>
    <w:p w14:paraId="3C7D1448" w14:textId="2968846E" w:rsidR="00A50790" w:rsidRPr="00906B7C" w:rsidRDefault="00A50790" w:rsidP="00906B7C">
      <w:pPr>
        <w:rPr>
          <w:i/>
        </w:rPr>
      </w:pPr>
      <w:r w:rsidRPr="002022B6">
        <w:t>Health Council of the Netherlands</w:t>
      </w:r>
      <w:r>
        <w:t xml:space="preserve"> (HCOTN) (2003) n-Butylamine</w:t>
      </w:r>
      <w:r w:rsidR="00891FF2">
        <w:t>:</w:t>
      </w:r>
      <w:r>
        <w:t xml:space="preserve"> </w:t>
      </w:r>
      <w:r w:rsidRPr="005F7416">
        <w:t xml:space="preserve">Health-based calculated occupational cancer risk values. The Hague: Health Council of the Netherlands; publication no. </w:t>
      </w:r>
      <w:r>
        <w:t>2000.</w:t>
      </w:r>
    </w:p>
    <w:p w14:paraId="257FF064" w14:textId="77777777" w:rsidR="00B15F4E" w:rsidRDefault="00B15F4E" w:rsidP="00B15F4E">
      <w:r>
        <w:t xml:space="preserve">US National Institute for Occupational Safety and Health (NIOSH) (1994) </w:t>
      </w:r>
      <w:proofErr w:type="gramStart"/>
      <w:r>
        <w:t>Immediately</w:t>
      </w:r>
      <w:proofErr w:type="gramEnd"/>
      <w:r>
        <w:t xml:space="preserve"> dangerous to life or health concentrations – n-butylamine. </w:t>
      </w:r>
    </w:p>
    <w:p w14:paraId="3835E4D3" w14:textId="77777777" w:rsidR="00763089" w:rsidRPr="00763089" w:rsidRDefault="00763089" w:rsidP="00092473">
      <w:pPr>
        <w:keepNext/>
        <w:rPr>
          <w:b/>
        </w:rPr>
      </w:pPr>
    </w:p>
    <w:sectPr w:rsidR="00763089" w:rsidRPr="00763089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4E32F4" w16cid:durableId="212B38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0E9FF" w14:textId="77777777" w:rsidR="00E23777" w:rsidRDefault="00E23777" w:rsidP="00F43AD5">
      <w:pPr>
        <w:spacing w:after="0" w:line="240" w:lineRule="auto"/>
      </w:pPr>
      <w:r>
        <w:separator/>
      </w:r>
    </w:p>
  </w:endnote>
  <w:endnote w:type="continuationSeparator" w:id="0">
    <w:p w14:paraId="276E5560" w14:textId="77777777" w:rsidR="00E23777" w:rsidRDefault="00E2377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0D2E3" w14:textId="77777777" w:rsidR="00DB70DF" w:rsidRDefault="00DB7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A4B8709" w14:textId="11D15D63" w:rsidR="00067AC9" w:rsidRPr="00747CB0" w:rsidRDefault="00747CB0" w:rsidP="0034744C">
        <w:pPr>
          <w:pStyle w:val="Footer"/>
          <w:rPr>
            <w:b/>
            <w:sz w:val="18"/>
            <w:szCs w:val="18"/>
          </w:rPr>
        </w:pPr>
        <w:r>
          <w:rPr>
            <w:b/>
            <w:sz w:val="18"/>
            <w:szCs w:val="18"/>
          </w:rPr>
          <w:t>Butylamine</w:t>
        </w:r>
        <w:r w:rsidR="00067AC9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109</w:t>
        </w:r>
        <w:r w:rsidR="009B4B1E">
          <w:rPr>
            <w:b/>
            <w:sz w:val="18"/>
            <w:szCs w:val="18"/>
          </w:rPr>
          <w:t>-</w:t>
        </w:r>
        <w:r>
          <w:rPr>
            <w:b/>
            <w:sz w:val="18"/>
            <w:szCs w:val="18"/>
          </w:rPr>
          <w:t>73</w:t>
        </w:r>
        <w:r w:rsidR="009B4B1E">
          <w:rPr>
            <w:b/>
            <w:sz w:val="18"/>
            <w:szCs w:val="18"/>
          </w:rPr>
          <w:t>-</w:t>
        </w:r>
        <w:r>
          <w:rPr>
            <w:b/>
            <w:sz w:val="18"/>
            <w:szCs w:val="18"/>
          </w:rPr>
          <w:t>9</w:t>
        </w:r>
        <w:proofErr w:type="gramStart"/>
        <w:r w:rsidR="00067AC9">
          <w:rPr>
            <w:b/>
            <w:sz w:val="18"/>
            <w:szCs w:val="18"/>
          </w:rPr>
          <w:t>)</w:t>
        </w:r>
        <w:proofErr w:type="gramEnd"/>
        <w:r w:rsidR="00067AC9" w:rsidRPr="00F43AD5">
          <w:rPr>
            <w:sz w:val="18"/>
            <w:szCs w:val="18"/>
          </w:rPr>
          <w:br/>
          <w:t xml:space="preserve">Safe Work Australia </w:t>
        </w:r>
        <w:r w:rsidR="009B4B1E">
          <w:rPr>
            <w:rFonts w:ascii="Courier New" w:hAnsi="Courier New" w:cs="Courier New"/>
            <w:sz w:val="18"/>
            <w:szCs w:val="18"/>
          </w:rPr>
          <w:t>-</w:t>
        </w:r>
        <w:r w:rsidR="00067AC9" w:rsidRPr="00F43AD5">
          <w:rPr>
            <w:sz w:val="18"/>
            <w:szCs w:val="18"/>
          </w:rPr>
          <w:t xml:space="preserve"> 201</w:t>
        </w:r>
        <w:r w:rsidR="00067AC9">
          <w:rPr>
            <w:sz w:val="18"/>
            <w:szCs w:val="18"/>
          </w:rPr>
          <w:t>9</w:t>
        </w:r>
      </w:p>
      <w:p w14:paraId="4E883950" w14:textId="2403CAE1" w:rsidR="00067AC9" w:rsidRPr="00F43AD5" w:rsidRDefault="00067AC9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851AF6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B6225" w14:textId="77777777" w:rsidR="00DB70DF" w:rsidRDefault="00DB7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A5680" w14:textId="77777777" w:rsidR="00E23777" w:rsidRDefault="00E23777" w:rsidP="00F43AD5">
      <w:pPr>
        <w:spacing w:after="0" w:line="240" w:lineRule="auto"/>
      </w:pPr>
      <w:r>
        <w:separator/>
      </w:r>
    </w:p>
  </w:footnote>
  <w:footnote w:type="continuationSeparator" w:id="0">
    <w:p w14:paraId="6ECE76BE" w14:textId="77777777" w:rsidR="00E23777" w:rsidRDefault="00E2377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6AD7" w14:textId="77777777" w:rsidR="00DB70DF" w:rsidRDefault="00DB7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8F1D" w14:textId="77777777" w:rsidR="00851AF6" w:rsidRDefault="00851AF6" w:rsidP="00851AF6">
    <w:pPr>
      <w:pStyle w:val="Header"/>
      <w:jc w:val="right"/>
    </w:pPr>
    <w:sdt>
      <w:sdtPr>
        <w:id w:val="-739631374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0A0538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118FA71" wp14:editId="264C8FA7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75269" w14:textId="6C5423C5" w:rsidR="00067AC9" w:rsidRDefault="00067AC9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5E70B" w14:textId="77777777" w:rsidR="00DB70DF" w:rsidRDefault="00DB70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0A356" w14:textId="77777777" w:rsidR="00851AF6" w:rsidRDefault="00851AF6" w:rsidP="00851AF6">
    <w:pPr>
      <w:pStyle w:val="Header"/>
      <w:jc w:val="right"/>
    </w:pPr>
    <w:sdt>
      <w:sdtPr>
        <w:id w:val="-1340307202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2BE3AA7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4338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27171221" wp14:editId="3B1F4771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F183DB" w14:textId="77777777" w:rsidR="00067AC9" w:rsidRDefault="00067AC9" w:rsidP="00F43AD5">
    <w:pPr>
      <w:pStyle w:val="Header"/>
      <w:jc w:val="right"/>
    </w:pPr>
    <w:bookmarkStart w:id="4" w:name="_GoBack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AA2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C92AEA"/>
    <w:multiLevelType w:val="hybridMultilevel"/>
    <w:tmpl w:val="0728F6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AF1DEF"/>
    <w:multiLevelType w:val="hybridMultilevel"/>
    <w:tmpl w:val="02C248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5361"/>
    <w:rsid w:val="00017C82"/>
    <w:rsid w:val="00032B88"/>
    <w:rsid w:val="00032CAC"/>
    <w:rsid w:val="00046DF5"/>
    <w:rsid w:val="00052060"/>
    <w:rsid w:val="0005574A"/>
    <w:rsid w:val="00055FE1"/>
    <w:rsid w:val="00056EC2"/>
    <w:rsid w:val="00060B48"/>
    <w:rsid w:val="00064D04"/>
    <w:rsid w:val="00067AC9"/>
    <w:rsid w:val="00067F32"/>
    <w:rsid w:val="00071807"/>
    <w:rsid w:val="000803E1"/>
    <w:rsid w:val="00084513"/>
    <w:rsid w:val="00084859"/>
    <w:rsid w:val="00092453"/>
    <w:rsid w:val="00092473"/>
    <w:rsid w:val="00092D94"/>
    <w:rsid w:val="00096E9B"/>
    <w:rsid w:val="000A5137"/>
    <w:rsid w:val="000B0868"/>
    <w:rsid w:val="000B3E12"/>
    <w:rsid w:val="000B3E78"/>
    <w:rsid w:val="000B7B48"/>
    <w:rsid w:val="000C096D"/>
    <w:rsid w:val="000C139A"/>
    <w:rsid w:val="000C183F"/>
    <w:rsid w:val="000C2053"/>
    <w:rsid w:val="000C248C"/>
    <w:rsid w:val="000D291C"/>
    <w:rsid w:val="000E58BE"/>
    <w:rsid w:val="000E5A54"/>
    <w:rsid w:val="000E63D3"/>
    <w:rsid w:val="000E67CF"/>
    <w:rsid w:val="000F15C0"/>
    <w:rsid w:val="000F197F"/>
    <w:rsid w:val="0010461E"/>
    <w:rsid w:val="00106FAA"/>
    <w:rsid w:val="00113443"/>
    <w:rsid w:val="00122F0E"/>
    <w:rsid w:val="001269A7"/>
    <w:rsid w:val="00131092"/>
    <w:rsid w:val="00137401"/>
    <w:rsid w:val="00140E6A"/>
    <w:rsid w:val="00141BEF"/>
    <w:rsid w:val="00146545"/>
    <w:rsid w:val="00146B75"/>
    <w:rsid w:val="0015266D"/>
    <w:rsid w:val="0015288A"/>
    <w:rsid w:val="00155379"/>
    <w:rsid w:val="00160F47"/>
    <w:rsid w:val="0017329C"/>
    <w:rsid w:val="00173E53"/>
    <w:rsid w:val="00177CA1"/>
    <w:rsid w:val="00183823"/>
    <w:rsid w:val="00183942"/>
    <w:rsid w:val="00191A1D"/>
    <w:rsid w:val="00193D9F"/>
    <w:rsid w:val="001A009E"/>
    <w:rsid w:val="001A1287"/>
    <w:rsid w:val="001A3859"/>
    <w:rsid w:val="001A3C9D"/>
    <w:rsid w:val="001A43F8"/>
    <w:rsid w:val="001A70FD"/>
    <w:rsid w:val="001B79E5"/>
    <w:rsid w:val="001C4428"/>
    <w:rsid w:val="001C77F7"/>
    <w:rsid w:val="001D56F0"/>
    <w:rsid w:val="001D663B"/>
    <w:rsid w:val="001D6A7D"/>
    <w:rsid w:val="001D7B41"/>
    <w:rsid w:val="001E46DA"/>
    <w:rsid w:val="001E7D80"/>
    <w:rsid w:val="001F4B6C"/>
    <w:rsid w:val="001F620D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150"/>
    <w:rsid w:val="00222533"/>
    <w:rsid w:val="00222F30"/>
    <w:rsid w:val="00224EE2"/>
    <w:rsid w:val="00227EC7"/>
    <w:rsid w:val="00230AD0"/>
    <w:rsid w:val="0024107C"/>
    <w:rsid w:val="00244AD1"/>
    <w:rsid w:val="002463BC"/>
    <w:rsid w:val="002465CE"/>
    <w:rsid w:val="00253B9A"/>
    <w:rsid w:val="0025734A"/>
    <w:rsid w:val="00263255"/>
    <w:rsid w:val="002635D6"/>
    <w:rsid w:val="002762EA"/>
    <w:rsid w:val="00276494"/>
    <w:rsid w:val="00277B0C"/>
    <w:rsid w:val="0028055F"/>
    <w:rsid w:val="002851D1"/>
    <w:rsid w:val="00292941"/>
    <w:rsid w:val="002B0D39"/>
    <w:rsid w:val="002B1A2C"/>
    <w:rsid w:val="002C34F2"/>
    <w:rsid w:val="002C58FF"/>
    <w:rsid w:val="002C7AFE"/>
    <w:rsid w:val="002D05D2"/>
    <w:rsid w:val="002E0D61"/>
    <w:rsid w:val="002E4C7B"/>
    <w:rsid w:val="0030349B"/>
    <w:rsid w:val="00304DB0"/>
    <w:rsid w:val="0030740C"/>
    <w:rsid w:val="00315833"/>
    <w:rsid w:val="003215EE"/>
    <w:rsid w:val="003224BF"/>
    <w:rsid w:val="003241A8"/>
    <w:rsid w:val="003253F0"/>
    <w:rsid w:val="0033007D"/>
    <w:rsid w:val="003337DA"/>
    <w:rsid w:val="00334EFB"/>
    <w:rsid w:val="00335CDE"/>
    <w:rsid w:val="003365A5"/>
    <w:rsid w:val="0034229E"/>
    <w:rsid w:val="00347192"/>
    <w:rsid w:val="0034744C"/>
    <w:rsid w:val="00351FE0"/>
    <w:rsid w:val="00352615"/>
    <w:rsid w:val="00353E4C"/>
    <w:rsid w:val="0035412B"/>
    <w:rsid w:val="003567A8"/>
    <w:rsid w:val="00362895"/>
    <w:rsid w:val="003636C3"/>
    <w:rsid w:val="00370DBF"/>
    <w:rsid w:val="00384845"/>
    <w:rsid w:val="00386093"/>
    <w:rsid w:val="003904A4"/>
    <w:rsid w:val="00391841"/>
    <w:rsid w:val="00391B6D"/>
    <w:rsid w:val="00394922"/>
    <w:rsid w:val="003A0E32"/>
    <w:rsid w:val="003A2B94"/>
    <w:rsid w:val="003A4432"/>
    <w:rsid w:val="003B2625"/>
    <w:rsid w:val="003B387D"/>
    <w:rsid w:val="003C07F0"/>
    <w:rsid w:val="003C0D58"/>
    <w:rsid w:val="003D4FA3"/>
    <w:rsid w:val="003E06CD"/>
    <w:rsid w:val="003E0807"/>
    <w:rsid w:val="003E51FB"/>
    <w:rsid w:val="003E6B39"/>
    <w:rsid w:val="003F07E1"/>
    <w:rsid w:val="004030BC"/>
    <w:rsid w:val="00403F7D"/>
    <w:rsid w:val="00404661"/>
    <w:rsid w:val="00406785"/>
    <w:rsid w:val="004079B4"/>
    <w:rsid w:val="00417A56"/>
    <w:rsid w:val="00420957"/>
    <w:rsid w:val="0042153F"/>
    <w:rsid w:val="00422A10"/>
    <w:rsid w:val="00430179"/>
    <w:rsid w:val="00430BBC"/>
    <w:rsid w:val="00434E5B"/>
    <w:rsid w:val="004414B5"/>
    <w:rsid w:val="00444482"/>
    <w:rsid w:val="00444B42"/>
    <w:rsid w:val="00445E44"/>
    <w:rsid w:val="00450352"/>
    <w:rsid w:val="004509E2"/>
    <w:rsid w:val="004515EE"/>
    <w:rsid w:val="004529F0"/>
    <w:rsid w:val="00460A03"/>
    <w:rsid w:val="00462F5D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3DDF"/>
    <w:rsid w:val="004C1942"/>
    <w:rsid w:val="004C1E3F"/>
    <w:rsid w:val="004C23F4"/>
    <w:rsid w:val="004C3475"/>
    <w:rsid w:val="004C58B6"/>
    <w:rsid w:val="004D16A3"/>
    <w:rsid w:val="004D31BE"/>
    <w:rsid w:val="004D4AA1"/>
    <w:rsid w:val="004D4B62"/>
    <w:rsid w:val="004D6D68"/>
    <w:rsid w:val="004D6E32"/>
    <w:rsid w:val="004D7986"/>
    <w:rsid w:val="004E5EDD"/>
    <w:rsid w:val="004F13A2"/>
    <w:rsid w:val="004F3AFB"/>
    <w:rsid w:val="004F448A"/>
    <w:rsid w:val="004F493D"/>
    <w:rsid w:val="004F5425"/>
    <w:rsid w:val="004F65E8"/>
    <w:rsid w:val="0050005E"/>
    <w:rsid w:val="00502B88"/>
    <w:rsid w:val="005142C4"/>
    <w:rsid w:val="00514D82"/>
    <w:rsid w:val="0051509C"/>
    <w:rsid w:val="005272E2"/>
    <w:rsid w:val="0053108F"/>
    <w:rsid w:val="00532B56"/>
    <w:rsid w:val="00533CC7"/>
    <w:rsid w:val="00534B10"/>
    <w:rsid w:val="005446A2"/>
    <w:rsid w:val="00544D2F"/>
    <w:rsid w:val="00551BD8"/>
    <w:rsid w:val="00581055"/>
    <w:rsid w:val="00590004"/>
    <w:rsid w:val="00591E38"/>
    <w:rsid w:val="005923F1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5F4281"/>
    <w:rsid w:val="005F797C"/>
    <w:rsid w:val="0060096F"/>
    <w:rsid w:val="006013C1"/>
    <w:rsid w:val="0060669E"/>
    <w:rsid w:val="00610F2E"/>
    <w:rsid w:val="00611399"/>
    <w:rsid w:val="00615B0E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67860"/>
    <w:rsid w:val="0067305D"/>
    <w:rsid w:val="00677D9B"/>
    <w:rsid w:val="00677E5F"/>
    <w:rsid w:val="006867F3"/>
    <w:rsid w:val="00687890"/>
    <w:rsid w:val="006901A2"/>
    <w:rsid w:val="00690368"/>
    <w:rsid w:val="0069079C"/>
    <w:rsid w:val="00690B53"/>
    <w:rsid w:val="00695B72"/>
    <w:rsid w:val="006B1140"/>
    <w:rsid w:val="006B160A"/>
    <w:rsid w:val="006B22F0"/>
    <w:rsid w:val="006B4E6C"/>
    <w:rsid w:val="006B50B6"/>
    <w:rsid w:val="006C745D"/>
    <w:rsid w:val="006D79EA"/>
    <w:rsid w:val="006E5D05"/>
    <w:rsid w:val="006F166E"/>
    <w:rsid w:val="00701053"/>
    <w:rsid w:val="00701507"/>
    <w:rsid w:val="0070578F"/>
    <w:rsid w:val="00714021"/>
    <w:rsid w:val="00716A0F"/>
    <w:rsid w:val="00717D45"/>
    <w:rsid w:val="007208F7"/>
    <w:rsid w:val="007218AF"/>
    <w:rsid w:val="00730167"/>
    <w:rsid w:val="007365D1"/>
    <w:rsid w:val="007375A8"/>
    <w:rsid w:val="00740E0E"/>
    <w:rsid w:val="007412E0"/>
    <w:rsid w:val="00747CB0"/>
    <w:rsid w:val="00750212"/>
    <w:rsid w:val="00754779"/>
    <w:rsid w:val="007565E2"/>
    <w:rsid w:val="0075716D"/>
    <w:rsid w:val="00763089"/>
    <w:rsid w:val="00765F14"/>
    <w:rsid w:val="00770E31"/>
    <w:rsid w:val="007770F1"/>
    <w:rsid w:val="00781FD3"/>
    <w:rsid w:val="00782FDC"/>
    <w:rsid w:val="00783FB1"/>
    <w:rsid w:val="00785C6B"/>
    <w:rsid w:val="00785CDD"/>
    <w:rsid w:val="00791847"/>
    <w:rsid w:val="007925F0"/>
    <w:rsid w:val="007939B3"/>
    <w:rsid w:val="0079509C"/>
    <w:rsid w:val="00796708"/>
    <w:rsid w:val="00797842"/>
    <w:rsid w:val="007B1B42"/>
    <w:rsid w:val="007B35B5"/>
    <w:rsid w:val="007C30EB"/>
    <w:rsid w:val="007E063C"/>
    <w:rsid w:val="007E2A4B"/>
    <w:rsid w:val="007E307D"/>
    <w:rsid w:val="007E6A4E"/>
    <w:rsid w:val="007E6C94"/>
    <w:rsid w:val="007E7D47"/>
    <w:rsid w:val="007F032A"/>
    <w:rsid w:val="007F1005"/>
    <w:rsid w:val="007F25E0"/>
    <w:rsid w:val="007F5328"/>
    <w:rsid w:val="007F7E54"/>
    <w:rsid w:val="00804F5A"/>
    <w:rsid w:val="00810C6D"/>
    <w:rsid w:val="00812887"/>
    <w:rsid w:val="00826F21"/>
    <w:rsid w:val="008305C1"/>
    <w:rsid w:val="00834CC8"/>
    <w:rsid w:val="00835E00"/>
    <w:rsid w:val="00837113"/>
    <w:rsid w:val="008414E4"/>
    <w:rsid w:val="00841B5A"/>
    <w:rsid w:val="00843E21"/>
    <w:rsid w:val="0084508E"/>
    <w:rsid w:val="00851AF6"/>
    <w:rsid w:val="00857A8A"/>
    <w:rsid w:val="008630EE"/>
    <w:rsid w:val="008646AD"/>
    <w:rsid w:val="00864D13"/>
    <w:rsid w:val="008661DF"/>
    <w:rsid w:val="00871CD5"/>
    <w:rsid w:val="008740B2"/>
    <w:rsid w:val="008745A2"/>
    <w:rsid w:val="008768A8"/>
    <w:rsid w:val="0088798F"/>
    <w:rsid w:val="00887E4B"/>
    <w:rsid w:val="008915C8"/>
    <w:rsid w:val="00891FF2"/>
    <w:rsid w:val="008A36CF"/>
    <w:rsid w:val="008A3BC4"/>
    <w:rsid w:val="008A7B12"/>
    <w:rsid w:val="008B403C"/>
    <w:rsid w:val="008B4955"/>
    <w:rsid w:val="008B7983"/>
    <w:rsid w:val="008C2511"/>
    <w:rsid w:val="008D026D"/>
    <w:rsid w:val="008D23AB"/>
    <w:rsid w:val="008D4B8B"/>
    <w:rsid w:val="008D5A78"/>
    <w:rsid w:val="008D7DD9"/>
    <w:rsid w:val="008E0EBA"/>
    <w:rsid w:val="008E1108"/>
    <w:rsid w:val="008E290F"/>
    <w:rsid w:val="008E3AAD"/>
    <w:rsid w:val="008E7AAE"/>
    <w:rsid w:val="008E7B64"/>
    <w:rsid w:val="008F50A2"/>
    <w:rsid w:val="008F5DCD"/>
    <w:rsid w:val="00900951"/>
    <w:rsid w:val="00906B7C"/>
    <w:rsid w:val="009118A6"/>
    <w:rsid w:val="00916909"/>
    <w:rsid w:val="00916EC0"/>
    <w:rsid w:val="00917D86"/>
    <w:rsid w:val="00920467"/>
    <w:rsid w:val="00921DE7"/>
    <w:rsid w:val="0092258F"/>
    <w:rsid w:val="00922B4F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14DD"/>
    <w:rsid w:val="0095260E"/>
    <w:rsid w:val="00954CA9"/>
    <w:rsid w:val="009578DD"/>
    <w:rsid w:val="00961124"/>
    <w:rsid w:val="009621B6"/>
    <w:rsid w:val="0097282B"/>
    <w:rsid w:val="00974F2D"/>
    <w:rsid w:val="00977524"/>
    <w:rsid w:val="009776CF"/>
    <w:rsid w:val="00977E88"/>
    <w:rsid w:val="00984920"/>
    <w:rsid w:val="00987C7B"/>
    <w:rsid w:val="0099303A"/>
    <w:rsid w:val="009971C2"/>
    <w:rsid w:val="009A1254"/>
    <w:rsid w:val="009B2FF2"/>
    <w:rsid w:val="009B380C"/>
    <w:rsid w:val="009B4843"/>
    <w:rsid w:val="009B4B1E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5CF"/>
    <w:rsid w:val="009F0F3A"/>
    <w:rsid w:val="009F1DAD"/>
    <w:rsid w:val="009F6B96"/>
    <w:rsid w:val="00A01D0C"/>
    <w:rsid w:val="00A0643F"/>
    <w:rsid w:val="00A067EE"/>
    <w:rsid w:val="00A10FCE"/>
    <w:rsid w:val="00A1544B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0790"/>
    <w:rsid w:val="00A5194F"/>
    <w:rsid w:val="00A53681"/>
    <w:rsid w:val="00A54227"/>
    <w:rsid w:val="00A633D4"/>
    <w:rsid w:val="00A6461A"/>
    <w:rsid w:val="00A7462D"/>
    <w:rsid w:val="00A8069F"/>
    <w:rsid w:val="00A83A47"/>
    <w:rsid w:val="00A84504"/>
    <w:rsid w:val="00A8672F"/>
    <w:rsid w:val="00A929A9"/>
    <w:rsid w:val="00A93057"/>
    <w:rsid w:val="00A966F8"/>
    <w:rsid w:val="00A968B0"/>
    <w:rsid w:val="00AA5B5A"/>
    <w:rsid w:val="00AB2672"/>
    <w:rsid w:val="00AB2817"/>
    <w:rsid w:val="00AB43C4"/>
    <w:rsid w:val="00AC32E7"/>
    <w:rsid w:val="00AC3A9F"/>
    <w:rsid w:val="00AC6D2F"/>
    <w:rsid w:val="00AD16AC"/>
    <w:rsid w:val="00AD389F"/>
    <w:rsid w:val="00AE2745"/>
    <w:rsid w:val="00AE2F64"/>
    <w:rsid w:val="00AF42CB"/>
    <w:rsid w:val="00AF483F"/>
    <w:rsid w:val="00AF5E07"/>
    <w:rsid w:val="00AF5F06"/>
    <w:rsid w:val="00B00A25"/>
    <w:rsid w:val="00B1422A"/>
    <w:rsid w:val="00B15F4E"/>
    <w:rsid w:val="00B1765C"/>
    <w:rsid w:val="00B213C4"/>
    <w:rsid w:val="00B32031"/>
    <w:rsid w:val="00B374E6"/>
    <w:rsid w:val="00B376A4"/>
    <w:rsid w:val="00B40C60"/>
    <w:rsid w:val="00B479A9"/>
    <w:rsid w:val="00B52EDF"/>
    <w:rsid w:val="00B544C4"/>
    <w:rsid w:val="00B71188"/>
    <w:rsid w:val="00B76A41"/>
    <w:rsid w:val="00B87D4C"/>
    <w:rsid w:val="00B93646"/>
    <w:rsid w:val="00B954B3"/>
    <w:rsid w:val="00BA0B38"/>
    <w:rsid w:val="00BA1DBB"/>
    <w:rsid w:val="00BA4510"/>
    <w:rsid w:val="00BA529A"/>
    <w:rsid w:val="00BA7ED9"/>
    <w:rsid w:val="00BB323E"/>
    <w:rsid w:val="00BB612A"/>
    <w:rsid w:val="00BC258C"/>
    <w:rsid w:val="00BD0142"/>
    <w:rsid w:val="00BD499F"/>
    <w:rsid w:val="00BD56DE"/>
    <w:rsid w:val="00BF2406"/>
    <w:rsid w:val="00C033E6"/>
    <w:rsid w:val="00C03D01"/>
    <w:rsid w:val="00C16315"/>
    <w:rsid w:val="00C3091E"/>
    <w:rsid w:val="00C40FF1"/>
    <w:rsid w:val="00C419E2"/>
    <w:rsid w:val="00C47363"/>
    <w:rsid w:val="00C5020E"/>
    <w:rsid w:val="00C56B39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2039"/>
    <w:rsid w:val="00C850A0"/>
    <w:rsid w:val="00C85A86"/>
    <w:rsid w:val="00C978F0"/>
    <w:rsid w:val="00CA1AFB"/>
    <w:rsid w:val="00CA4342"/>
    <w:rsid w:val="00CA58FE"/>
    <w:rsid w:val="00CB1CB1"/>
    <w:rsid w:val="00CB59EE"/>
    <w:rsid w:val="00CB6BC1"/>
    <w:rsid w:val="00CB6CB8"/>
    <w:rsid w:val="00CC03DC"/>
    <w:rsid w:val="00CC1A68"/>
    <w:rsid w:val="00CC2123"/>
    <w:rsid w:val="00CC56DC"/>
    <w:rsid w:val="00CD2BFD"/>
    <w:rsid w:val="00CE5AD6"/>
    <w:rsid w:val="00CE617F"/>
    <w:rsid w:val="00CE6798"/>
    <w:rsid w:val="00CE7555"/>
    <w:rsid w:val="00CE78EF"/>
    <w:rsid w:val="00D048F7"/>
    <w:rsid w:val="00D0517E"/>
    <w:rsid w:val="00D140FC"/>
    <w:rsid w:val="00D15AB2"/>
    <w:rsid w:val="00D21D8C"/>
    <w:rsid w:val="00D23659"/>
    <w:rsid w:val="00D31357"/>
    <w:rsid w:val="00D33220"/>
    <w:rsid w:val="00D334D1"/>
    <w:rsid w:val="00D40180"/>
    <w:rsid w:val="00D44C89"/>
    <w:rsid w:val="00D516CD"/>
    <w:rsid w:val="00D530EC"/>
    <w:rsid w:val="00D568D1"/>
    <w:rsid w:val="00D647EA"/>
    <w:rsid w:val="00D668E6"/>
    <w:rsid w:val="00D70670"/>
    <w:rsid w:val="00D74D80"/>
    <w:rsid w:val="00D765C0"/>
    <w:rsid w:val="00D76624"/>
    <w:rsid w:val="00D87570"/>
    <w:rsid w:val="00D90BC3"/>
    <w:rsid w:val="00D91CB9"/>
    <w:rsid w:val="00D94376"/>
    <w:rsid w:val="00D97989"/>
    <w:rsid w:val="00D97D8D"/>
    <w:rsid w:val="00DA352E"/>
    <w:rsid w:val="00DB70DF"/>
    <w:rsid w:val="00DC6C35"/>
    <w:rsid w:val="00DC7694"/>
    <w:rsid w:val="00DD1BF6"/>
    <w:rsid w:val="00DD2F9B"/>
    <w:rsid w:val="00DD3FFA"/>
    <w:rsid w:val="00DE2513"/>
    <w:rsid w:val="00DE26E8"/>
    <w:rsid w:val="00DF6F36"/>
    <w:rsid w:val="00E0084C"/>
    <w:rsid w:val="00E025AB"/>
    <w:rsid w:val="00E02B23"/>
    <w:rsid w:val="00E06F40"/>
    <w:rsid w:val="00E07CE8"/>
    <w:rsid w:val="00E119EA"/>
    <w:rsid w:val="00E146BA"/>
    <w:rsid w:val="00E23777"/>
    <w:rsid w:val="00E26A07"/>
    <w:rsid w:val="00E32595"/>
    <w:rsid w:val="00E3689E"/>
    <w:rsid w:val="00E37CFD"/>
    <w:rsid w:val="00E41688"/>
    <w:rsid w:val="00E41A26"/>
    <w:rsid w:val="00E46BCB"/>
    <w:rsid w:val="00E47CEE"/>
    <w:rsid w:val="00E51CAF"/>
    <w:rsid w:val="00E52AD4"/>
    <w:rsid w:val="00E539FC"/>
    <w:rsid w:val="00E571B2"/>
    <w:rsid w:val="00E60F04"/>
    <w:rsid w:val="00E61519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2DA2"/>
    <w:rsid w:val="00EB3D1B"/>
    <w:rsid w:val="00EC1512"/>
    <w:rsid w:val="00ED1D89"/>
    <w:rsid w:val="00ED340C"/>
    <w:rsid w:val="00ED66BC"/>
    <w:rsid w:val="00EE13EF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0F35"/>
    <w:rsid w:val="00F43AD5"/>
    <w:rsid w:val="00F4402E"/>
    <w:rsid w:val="00F45A68"/>
    <w:rsid w:val="00F56DD0"/>
    <w:rsid w:val="00F6290D"/>
    <w:rsid w:val="00F6491C"/>
    <w:rsid w:val="00F67BBB"/>
    <w:rsid w:val="00F827CD"/>
    <w:rsid w:val="00F84B34"/>
    <w:rsid w:val="00F87D92"/>
    <w:rsid w:val="00F9033E"/>
    <w:rsid w:val="00F90AA7"/>
    <w:rsid w:val="00F92498"/>
    <w:rsid w:val="00F9443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D37A4"/>
    <w:rsid w:val="00FD5835"/>
    <w:rsid w:val="00FE4824"/>
    <w:rsid w:val="00FF44AD"/>
    <w:rsid w:val="00FF4593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4:docId w14:val="2DF05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615B0E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0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33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33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33E"/>
    <w:rPr>
      <w:b/>
      <w:bCs/>
      <w:szCs w:val="20"/>
    </w:rPr>
  </w:style>
  <w:style w:type="character" w:customStyle="1" w:styleId="notranslate">
    <w:name w:val="notranslate"/>
    <w:basedOn w:val="DefaultParagraphFont"/>
    <w:rsid w:val="00FE4824"/>
  </w:style>
  <w:style w:type="paragraph" w:styleId="Revision">
    <w:name w:val="Revision"/>
    <w:hidden/>
    <w:uiPriority w:val="99"/>
    <w:semiHidden/>
    <w:rsid w:val="00B37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4F65D602DA1241ED8E9AEB86C32E5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B0B5-C914-4E6E-B1FF-7ADBD96ADC13}"/>
      </w:docPartPr>
      <w:docPartBody>
        <w:p w:rsidR="00435435" w:rsidRDefault="00B557C2" w:rsidP="00B557C2">
          <w:pPr>
            <w:pStyle w:val="4F65D602DA1241ED8E9AEB86C32E5B27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5604322D237B47D2A9564332DD48F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D739D-426D-4B13-9567-E3B9656D8C1C}"/>
      </w:docPartPr>
      <w:docPartBody>
        <w:p w:rsidR="0013519B" w:rsidRDefault="00760FE0" w:rsidP="00760FE0">
          <w:pPr>
            <w:pStyle w:val="5604322D237B47D2A9564332DD48F98A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A192DAFBA8C34ECABABC12C89F1BD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A4089-1DB2-49F3-AA37-F945971A6927}"/>
      </w:docPartPr>
      <w:docPartBody>
        <w:p w:rsidR="0013519B" w:rsidRDefault="00760FE0" w:rsidP="00760FE0">
          <w:pPr>
            <w:pStyle w:val="A192DAFBA8C34ECABABC12C89F1BD6F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D0D8B428F4248AE90631D7DB43F6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BBFD7-717E-4B1D-8CB6-F435D4458676}"/>
      </w:docPartPr>
      <w:docPartBody>
        <w:p w:rsidR="0013519B" w:rsidRDefault="00760FE0" w:rsidP="00760FE0">
          <w:pPr>
            <w:pStyle w:val="0D0D8B428F4248AE90631D7DB43F6A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2623E99623FC478DAC8DC68696F2D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4EDAA-05E8-4DDF-88B9-DCDF4EAF4FAA}"/>
      </w:docPartPr>
      <w:docPartBody>
        <w:p w:rsidR="0013519B" w:rsidRDefault="00760FE0" w:rsidP="00760FE0">
          <w:pPr>
            <w:pStyle w:val="2623E99623FC478DAC8DC68696F2DD8D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59A6FA08F98742D399B20782F9992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076A1-3460-4F80-9335-3F2A30A0B1C6}"/>
      </w:docPartPr>
      <w:docPartBody>
        <w:p w:rsidR="0013519B" w:rsidRDefault="00760FE0" w:rsidP="00760FE0">
          <w:pPr>
            <w:pStyle w:val="59A6FA08F98742D399B20782F999201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0A0E86C3DB6945A898114E94B1142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AF5F2-BDEA-4CC9-B38A-B15E43A36468}"/>
      </w:docPartPr>
      <w:docPartBody>
        <w:p w:rsidR="0013519B" w:rsidRDefault="00760FE0" w:rsidP="00760FE0">
          <w:pPr>
            <w:pStyle w:val="0A0E86C3DB6945A898114E94B11424F5"/>
          </w:pPr>
          <w:r w:rsidRPr="0051509C">
            <w:rPr>
              <w:rStyle w:val="PlaceholderText"/>
            </w:rPr>
            <w:t>Click here to enter standard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3519B"/>
    <w:rsid w:val="002D6A8A"/>
    <w:rsid w:val="00435435"/>
    <w:rsid w:val="006024FD"/>
    <w:rsid w:val="00760FE0"/>
    <w:rsid w:val="00966F1F"/>
    <w:rsid w:val="00B557C2"/>
    <w:rsid w:val="00B81887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519B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4F65D602DA1241ED8E9AEB86C32E5B27">
    <w:name w:val="4F65D602DA1241ED8E9AEB86C32E5B27"/>
    <w:rsid w:val="00B557C2"/>
  </w:style>
  <w:style w:type="paragraph" w:customStyle="1" w:styleId="A170C423F77640F9BB6C2E7E09F97FAF">
    <w:name w:val="A170C423F77640F9BB6C2E7E09F97FAF"/>
    <w:rsid w:val="00B557C2"/>
  </w:style>
  <w:style w:type="paragraph" w:customStyle="1" w:styleId="37B792D2A70E455781FB938C58FCFAEE">
    <w:name w:val="37B792D2A70E455781FB938C58FCFAEE"/>
    <w:rsid w:val="00B557C2"/>
  </w:style>
  <w:style w:type="paragraph" w:customStyle="1" w:styleId="6935DAE6C8E94E1CAF765C38C73C3737">
    <w:name w:val="6935DAE6C8E94E1CAF765C38C73C3737"/>
    <w:rsid w:val="00966F1F"/>
  </w:style>
  <w:style w:type="paragraph" w:customStyle="1" w:styleId="B042F669BBF34EBE8535630815B06F94">
    <w:name w:val="B042F669BBF34EBE8535630815B06F94"/>
    <w:rsid w:val="00966F1F"/>
  </w:style>
  <w:style w:type="paragraph" w:customStyle="1" w:styleId="DD62E933216B4E02A10C341D68544155">
    <w:name w:val="DD62E933216B4E02A10C341D68544155"/>
    <w:rsid w:val="00966F1F"/>
  </w:style>
  <w:style w:type="paragraph" w:customStyle="1" w:styleId="9482E9DCF10B4AC2ADCFB2120CB8EF3D">
    <w:name w:val="9482E9DCF10B4AC2ADCFB2120CB8EF3D"/>
    <w:rsid w:val="00966F1F"/>
  </w:style>
  <w:style w:type="paragraph" w:customStyle="1" w:styleId="5604322D237B47D2A9564332DD48F98A">
    <w:name w:val="5604322D237B47D2A9564332DD48F98A"/>
    <w:rsid w:val="00760FE0"/>
    <w:rPr>
      <w:lang w:val="en-US" w:eastAsia="en-US"/>
    </w:rPr>
  </w:style>
  <w:style w:type="paragraph" w:customStyle="1" w:styleId="A192DAFBA8C34ECABABC12C89F1BD6F0">
    <w:name w:val="A192DAFBA8C34ECABABC12C89F1BD6F0"/>
    <w:rsid w:val="00760FE0"/>
    <w:rPr>
      <w:lang w:val="en-US" w:eastAsia="en-US"/>
    </w:rPr>
  </w:style>
  <w:style w:type="paragraph" w:customStyle="1" w:styleId="0D0D8B428F4248AE90631D7DB43F6A82">
    <w:name w:val="0D0D8B428F4248AE90631D7DB43F6A82"/>
    <w:rsid w:val="00760FE0"/>
    <w:rPr>
      <w:lang w:val="en-US" w:eastAsia="en-US"/>
    </w:rPr>
  </w:style>
  <w:style w:type="paragraph" w:customStyle="1" w:styleId="2623E99623FC478DAC8DC68696F2DD8D">
    <w:name w:val="2623E99623FC478DAC8DC68696F2DD8D"/>
    <w:rsid w:val="00760FE0"/>
    <w:rPr>
      <w:lang w:val="en-US" w:eastAsia="en-US"/>
    </w:rPr>
  </w:style>
  <w:style w:type="paragraph" w:customStyle="1" w:styleId="59A6FA08F98742D399B20782F999201B">
    <w:name w:val="59A6FA08F98742D399B20782F999201B"/>
    <w:rsid w:val="00760FE0"/>
    <w:rPr>
      <w:lang w:val="en-US" w:eastAsia="en-US"/>
    </w:rPr>
  </w:style>
  <w:style w:type="paragraph" w:customStyle="1" w:styleId="0A0E86C3DB6945A898114E94B11424F5">
    <w:name w:val="0A0E86C3DB6945A898114E94B11424F5"/>
    <w:rsid w:val="00760FE0"/>
    <w:rPr>
      <w:lang w:val="en-US" w:eastAsia="en-US"/>
    </w:rPr>
  </w:style>
  <w:style w:type="paragraph" w:customStyle="1" w:styleId="D77BB996FBA044A3BF09F3DB53A65206">
    <w:name w:val="D77BB996FBA044A3BF09F3DB53A65206"/>
    <w:rsid w:val="0013519B"/>
    <w:rPr>
      <w:lang w:val="en-US" w:eastAsia="en-US"/>
    </w:rPr>
  </w:style>
  <w:style w:type="paragraph" w:customStyle="1" w:styleId="64A94876095941D48304B8C9C4CB5182">
    <w:name w:val="64A94876095941D48304B8C9C4CB5182"/>
    <w:rsid w:val="0013519B"/>
    <w:rPr>
      <w:lang w:val="en-US" w:eastAsia="en-US"/>
    </w:rPr>
  </w:style>
  <w:style w:type="paragraph" w:customStyle="1" w:styleId="DF7D5C725B994E3ABB901DAF02FD0A4A">
    <w:name w:val="DF7D5C725B994E3ABB901DAF02FD0A4A"/>
    <w:rsid w:val="0013519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04F2-E94B-4E02-B98D-F11730AD2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4A228-792C-4F40-86A5-6922FC2A47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24157-83EE-426B-88C9-A9A97BDC5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0C8A01-7E56-47C8-AC83-BE025463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5DD3B597.dotm</Template>
  <TotalTime>0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2019-08-26T04:08:00Z</dcterms:created>
  <dcterms:modified xsi:type="dcterms:W3CDTF">2019-09-24T02:02:00Z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