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3C5AA1B4" w14:textId="77777777" w:rsidR="00BD499F" w:rsidRPr="004C23F4" w:rsidRDefault="00B64C86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Caesium hydroxide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9"/>
        <w:gridCol w:w="5037"/>
      </w:tblGrid>
      <w:tr w:rsidR="00F43AD5" w:rsidRPr="004C23F4" w14:paraId="4706E84F" w14:textId="77777777" w:rsidTr="00B76A41">
        <w:trPr>
          <w:cantSplit/>
          <w:tblHeader/>
        </w:trPr>
        <w:tc>
          <w:tcPr>
            <w:tcW w:w="4077" w:type="dxa"/>
          </w:tcPr>
          <w:p w14:paraId="7BFA3A46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499A7EFF" w14:textId="77777777" w:rsidR="00F43AD5" w:rsidRPr="00717D45" w:rsidRDefault="002E296A" w:rsidP="00B76A41">
            <w:pPr>
              <w:pStyle w:val="Tablefont"/>
            </w:pPr>
            <w:r w:rsidRPr="002E296A">
              <w:t>21351-79-1</w:t>
            </w:r>
          </w:p>
        </w:tc>
      </w:tr>
      <w:tr w:rsidR="00F43AD5" w:rsidRPr="004C23F4" w14:paraId="205F4C52" w14:textId="77777777" w:rsidTr="00B76A41">
        <w:trPr>
          <w:cantSplit/>
        </w:trPr>
        <w:tc>
          <w:tcPr>
            <w:tcW w:w="4077" w:type="dxa"/>
          </w:tcPr>
          <w:p w14:paraId="6F0AF936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130776A5" w14:textId="77777777" w:rsidR="00F43AD5" w:rsidRPr="00717D45" w:rsidRDefault="00B64C86" w:rsidP="00B76A41">
            <w:pPr>
              <w:pStyle w:val="Tablefont"/>
            </w:pPr>
            <w:r w:rsidRPr="00B64C86">
              <w:t>C</w:t>
            </w:r>
            <w:r>
              <w:t>a</w:t>
            </w:r>
            <w:r w:rsidRPr="00B64C86">
              <w:t>esium hydrate</w:t>
            </w:r>
            <w:r>
              <w:t>,</w:t>
            </w:r>
            <w:r w:rsidRPr="00B64C86">
              <w:t xml:space="preserve"> </w:t>
            </w:r>
            <w:r>
              <w:t>ca</w:t>
            </w:r>
            <w:r w:rsidRPr="00B64C86">
              <w:t>esium hydroxide dimer</w:t>
            </w:r>
            <w:r w:rsidR="00FA5A57">
              <w:t xml:space="preserve">, </w:t>
            </w:r>
            <w:r w:rsidR="00EC64D4">
              <w:br/>
            </w:r>
            <w:proofErr w:type="spellStart"/>
            <w:r w:rsidR="00FA5A57">
              <w:t>cesium</w:t>
            </w:r>
            <w:proofErr w:type="spellEnd"/>
            <w:r w:rsidR="00FA5A57">
              <w:t xml:space="preserve"> hydroxide</w:t>
            </w:r>
          </w:p>
        </w:tc>
      </w:tr>
      <w:tr w:rsidR="00F43AD5" w:rsidRPr="004C23F4" w14:paraId="3FBA0F20" w14:textId="77777777" w:rsidTr="00B76A41">
        <w:trPr>
          <w:cantSplit/>
        </w:trPr>
        <w:tc>
          <w:tcPr>
            <w:tcW w:w="4077" w:type="dxa"/>
          </w:tcPr>
          <w:p w14:paraId="02FF97FF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2276B993" w14:textId="77777777" w:rsidR="00F43AD5" w:rsidRPr="00717D45" w:rsidRDefault="002E296A" w:rsidP="00B76A41">
            <w:pPr>
              <w:pStyle w:val="Tablefont"/>
            </w:pPr>
            <w:proofErr w:type="spellStart"/>
            <w:r w:rsidRPr="002E296A">
              <w:t>CsOH</w:t>
            </w:r>
            <w:proofErr w:type="spellEnd"/>
          </w:p>
        </w:tc>
      </w:tr>
      <w:tr w:rsidR="00F43AD5" w:rsidRPr="004C23F4" w14:paraId="386953FC" w14:textId="77777777" w:rsidTr="00B76A41">
        <w:trPr>
          <w:cantSplit/>
        </w:trPr>
        <w:tc>
          <w:tcPr>
            <w:tcW w:w="4077" w:type="dxa"/>
          </w:tcPr>
          <w:p w14:paraId="5FE31D7C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26EEF63D" w14:textId="77777777" w:rsidR="00F43AD5" w:rsidRPr="00B40C60" w:rsidRDefault="00F43AD5" w:rsidP="00B76A41">
            <w:pPr>
              <w:pStyle w:val="Tablerowheading"/>
              <w:rPr>
                <w:b w:val="0"/>
              </w:rPr>
            </w:pPr>
          </w:p>
        </w:tc>
      </w:tr>
    </w:tbl>
    <w:p w14:paraId="3BC7AB83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2740D1">
            <w:rPr>
              <w:rStyle w:val="WESstatus"/>
            </w:rPr>
            <w:t>(interim)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7"/>
        <w:gridCol w:w="5029"/>
      </w:tblGrid>
      <w:tr w:rsidR="002C7AFE" w:rsidRPr="004C23F4" w14:paraId="4D22664A" w14:textId="77777777" w:rsidTr="00610F2E">
        <w:trPr>
          <w:cantSplit/>
          <w:tblHeader/>
        </w:trPr>
        <w:tc>
          <w:tcPr>
            <w:tcW w:w="4077" w:type="dxa"/>
            <w:vAlign w:val="center"/>
          </w:tcPr>
          <w:p w14:paraId="760B8692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165" w:type="dxa"/>
          </w:tcPr>
          <w:p w14:paraId="333681E8" w14:textId="77777777" w:rsidR="002C7AFE" w:rsidRPr="00C75FE1" w:rsidRDefault="00C75FE1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2 mg/m</w:t>
            </w:r>
            <w:r>
              <w:rPr>
                <w:b/>
                <w:vertAlign w:val="superscript"/>
              </w:rPr>
              <w:t>3</w:t>
            </w:r>
          </w:p>
        </w:tc>
      </w:tr>
      <w:tr w:rsidR="002C7AFE" w:rsidRPr="004C23F4" w14:paraId="21B7C2D7" w14:textId="77777777" w:rsidTr="00921DE7">
        <w:trPr>
          <w:cantSplit/>
        </w:trPr>
        <w:tc>
          <w:tcPr>
            <w:tcW w:w="4077" w:type="dxa"/>
            <w:vAlign w:val="center"/>
          </w:tcPr>
          <w:p w14:paraId="3BBB09E3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165" w:type="dxa"/>
          </w:tcPr>
          <w:p w14:paraId="11771D9D" w14:textId="77777777" w:rsidR="002C7AFE" w:rsidRPr="00EB3D1B" w:rsidRDefault="00321DBD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3ACC9356" w14:textId="77777777" w:rsidTr="00921DE7">
        <w:trPr>
          <w:cantSplit/>
        </w:trPr>
        <w:tc>
          <w:tcPr>
            <w:tcW w:w="4077" w:type="dxa"/>
            <w:vAlign w:val="center"/>
          </w:tcPr>
          <w:p w14:paraId="21BA6B6E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165" w:type="dxa"/>
          </w:tcPr>
          <w:p w14:paraId="07B80CB8" w14:textId="77777777" w:rsidR="002C7AFE" w:rsidRPr="00EB3D1B" w:rsidRDefault="00321DBD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68F3CEA5" w14:textId="77777777" w:rsidTr="00A2073D">
        <w:trPr>
          <w:cantSplit/>
        </w:trPr>
        <w:tc>
          <w:tcPr>
            <w:tcW w:w="4077" w:type="dxa"/>
          </w:tcPr>
          <w:p w14:paraId="553D0F53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165" w:type="dxa"/>
          </w:tcPr>
          <w:p w14:paraId="2281CF20" w14:textId="77777777" w:rsidR="002C7AFE" w:rsidRPr="00EB3D1B" w:rsidRDefault="00321DBD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79977340" w14:textId="77777777" w:rsidTr="00921DE7">
        <w:trPr>
          <w:cantSplit/>
        </w:trPr>
        <w:tc>
          <w:tcPr>
            <w:tcW w:w="4077" w:type="dxa"/>
            <w:vAlign w:val="center"/>
          </w:tcPr>
          <w:p w14:paraId="29DA2DA2" w14:textId="2579B78B" w:rsidR="00F10C97" w:rsidRPr="002C58FF" w:rsidRDefault="00921DE7" w:rsidP="00F102F7">
            <w:pPr>
              <w:pStyle w:val="Tablerowright"/>
            </w:pPr>
            <w:r>
              <w:t>IDLH:</w:t>
            </w:r>
          </w:p>
        </w:tc>
        <w:tc>
          <w:tcPr>
            <w:tcW w:w="5165" w:type="dxa"/>
          </w:tcPr>
          <w:p w14:paraId="32156383" w14:textId="77777777" w:rsidR="002C7AFE" w:rsidRPr="00EB3D1B" w:rsidRDefault="00321DBD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955E90" w:rsidRPr="004C23F4" w14:paraId="39EC8C30" w14:textId="77777777" w:rsidTr="00921DE7">
        <w:trPr>
          <w:cantSplit/>
        </w:trPr>
        <w:tc>
          <w:tcPr>
            <w:tcW w:w="4077" w:type="dxa"/>
            <w:vAlign w:val="center"/>
          </w:tcPr>
          <w:p w14:paraId="6BFFF1AA" w14:textId="3DD489BB" w:rsidR="00955E90" w:rsidRDefault="00955E90" w:rsidP="00921DE7">
            <w:pPr>
              <w:pStyle w:val="Tablerowright"/>
            </w:pPr>
            <w:r>
              <w:t>Sampling and analysis:</w:t>
            </w:r>
          </w:p>
        </w:tc>
        <w:tc>
          <w:tcPr>
            <w:tcW w:w="5165" w:type="dxa"/>
          </w:tcPr>
          <w:p w14:paraId="54E6EBAF" w14:textId="7E33D2DB" w:rsidR="00955E90" w:rsidRPr="00D10FBC" w:rsidRDefault="00EC7970" w:rsidP="00017C82">
            <w:pPr>
              <w:pStyle w:val="Tablefont"/>
            </w:pPr>
            <w:r w:rsidRPr="00EC7970">
              <w:t>The recommended value is quantifiable through available sampling and analysis techniques.</w:t>
            </w:r>
          </w:p>
        </w:tc>
      </w:tr>
    </w:tbl>
    <w:p w14:paraId="422D5636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6051281D" w14:textId="77777777" w:rsidR="00EC64D4" w:rsidRDefault="00C75FE1" w:rsidP="000C139A">
      <w:pPr>
        <w:rPr>
          <w:rFonts w:cs="Arial"/>
        </w:rPr>
      </w:pPr>
      <w:r>
        <w:rPr>
          <w:rFonts w:cs="Arial"/>
        </w:rPr>
        <w:t>A</w:t>
      </w:r>
      <w:r w:rsidR="00EC64D4">
        <w:rPr>
          <w:rFonts w:cs="Arial"/>
        </w:rPr>
        <w:t>n interim</w:t>
      </w:r>
      <w:r>
        <w:rPr>
          <w:rFonts w:cs="Arial"/>
        </w:rPr>
        <w:t xml:space="preserve"> TWA of 2 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 is recommended to </w:t>
      </w:r>
      <w:r w:rsidR="009F61BC">
        <w:rPr>
          <w:rFonts w:cs="Arial"/>
        </w:rPr>
        <w:t>protect for</w:t>
      </w:r>
      <w:r>
        <w:rPr>
          <w:rFonts w:cs="Arial"/>
        </w:rPr>
        <w:t xml:space="preserve"> irritation to the eyes, respiratory tract and skin</w:t>
      </w:r>
      <w:r w:rsidR="009F61BC">
        <w:rPr>
          <w:rFonts w:cs="Arial"/>
        </w:rPr>
        <w:t xml:space="preserve"> in exposed workers</w:t>
      </w:r>
      <w:r>
        <w:rPr>
          <w:rFonts w:cs="Arial"/>
        </w:rPr>
        <w:t>.</w:t>
      </w:r>
      <w:r w:rsidR="009F61BC" w:rsidRPr="009F61BC">
        <w:rPr>
          <w:rFonts w:cs="Arial"/>
        </w:rPr>
        <w:t xml:space="preserve"> </w:t>
      </w:r>
    </w:p>
    <w:p w14:paraId="247CB9DA" w14:textId="77777777" w:rsidR="00EC64D4" w:rsidRDefault="00EC64D4" w:rsidP="00EC64D4">
      <w:pPr>
        <w:rPr>
          <w:rFonts w:cs="Arial"/>
        </w:rPr>
      </w:pPr>
      <w:r>
        <w:rPr>
          <w:rFonts w:cs="Arial"/>
        </w:rPr>
        <w:t>Given the limited data available from the primary sources, it is recommended that a review of additional sources be conducted at the next scheduled review.</w:t>
      </w:r>
    </w:p>
    <w:p w14:paraId="5FF2A773" w14:textId="77777777" w:rsidR="00C7155E" w:rsidRPr="004C23F4" w:rsidRDefault="00F10C97" w:rsidP="003365A5">
      <w:pPr>
        <w:pStyle w:val="Heading2"/>
      </w:pPr>
      <w:r>
        <w:t>Discussion and conclusions</w:t>
      </w:r>
    </w:p>
    <w:p w14:paraId="7B0EDD03" w14:textId="77777777" w:rsidR="00EC64D4" w:rsidRDefault="00135DA5" w:rsidP="006639B4">
      <w:pPr>
        <w:rPr>
          <w:rFonts w:cs="Arial"/>
        </w:rPr>
      </w:pPr>
      <w:r>
        <w:rPr>
          <w:rFonts w:cs="Arial"/>
        </w:rPr>
        <w:t>Caesium hydroxide is</w:t>
      </w:r>
      <w:r w:rsidR="0007175B">
        <w:rPr>
          <w:rFonts w:cs="Arial"/>
        </w:rPr>
        <w:t xml:space="preserve"> </w:t>
      </w:r>
      <w:r w:rsidR="00D35339">
        <w:rPr>
          <w:rFonts w:cs="Arial"/>
        </w:rPr>
        <w:t xml:space="preserve">a strong </w:t>
      </w:r>
      <w:r w:rsidR="008B57A5">
        <w:rPr>
          <w:rFonts w:cs="Arial"/>
        </w:rPr>
        <w:t xml:space="preserve">base </w:t>
      </w:r>
      <w:r w:rsidR="0007175B">
        <w:rPr>
          <w:rFonts w:cs="Arial"/>
        </w:rPr>
        <w:t xml:space="preserve">commonly employed as a </w:t>
      </w:r>
      <w:r w:rsidR="006F5F13">
        <w:rPr>
          <w:rFonts w:cs="Arial"/>
        </w:rPr>
        <w:t xml:space="preserve">polymerisation catalyst </w:t>
      </w:r>
      <w:r w:rsidR="00A56BC0">
        <w:rPr>
          <w:rFonts w:cs="Arial"/>
        </w:rPr>
        <w:t xml:space="preserve">in cyclic siloxane production and </w:t>
      </w:r>
      <w:r w:rsidR="00D35339">
        <w:rPr>
          <w:rFonts w:cs="Arial"/>
        </w:rPr>
        <w:t xml:space="preserve">as an electrolyte in battery and photographic applications. </w:t>
      </w:r>
    </w:p>
    <w:p w14:paraId="0441AE0F" w14:textId="44216CAB" w:rsidR="000C0F92" w:rsidRDefault="00C75FE1" w:rsidP="006639B4">
      <w:pPr>
        <w:rPr>
          <w:rFonts w:cs="Arial"/>
        </w:rPr>
      </w:pPr>
      <w:r>
        <w:rPr>
          <w:rFonts w:cs="Arial"/>
        </w:rPr>
        <w:t>The c</w:t>
      </w:r>
      <w:r w:rsidR="00866F4C">
        <w:rPr>
          <w:rFonts w:cs="Arial"/>
        </w:rPr>
        <w:t>ritical effects</w:t>
      </w:r>
      <w:r w:rsidR="0049137C">
        <w:rPr>
          <w:rFonts w:cs="Arial"/>
        </w:rPr>
        <w:t xml:space="preserve"> of exposure</w:t>
      </w:r>
      <w:r w:rsidR="00866F4C">
        <w:rPr>
          <w:rFonts w:cs="Arial"/>
        </w:rPr>
        <w:t xml:space="preserve"> are caused by its </w:t>
      </w:r>
      <w:r w:rsidR="008B57A5">
        <w:rPr>
          <w:rFonts w:cs="Arial"/>
        </w:rPr>
        <w:t xml:space="preserve">extreme </w:t>
      </w:r>
      <w:proofErr w:type="spellStart"/>
      <w:r w:rsidR="008B57A5">
        <w:rPr>
          <w:rFonts w:cs="Arial"/>
        </w:rPr>
        <w:t>hygroscopicity</w:t>
      </w:r>
      <w:proofErr w:type="spellEnd"/>
      <w:r w:rsidR="008B57A5">
        <w:rPr>
          <w:rFonts w:cs="Arial"/>
        </w:rPr>
        <w:t xml:space="preserve"> </w:t>
      </w:r>
      <w:r w:rsidR="00700F11">
        <w:rPr>
          <w:rFonts w:cs="Arial"/>
        </w:rPr>
        <w:t xml:space="preserve">(water absorption) </w:t>
      </w:r>
      <w:r w:rsidR="008B57A5">
        <w:rPr>
          <w:rFonts w:cs="Arial"/>
        </w:rPr>
        <w:t xml:space="preserve">and </w:t>
      </w:r>
      <w:r w:rsidR="00B3240C">
        <w:rPr>
          <w:rFonts w:cs="Arial"/>
        </w:rPr>
        <w:t>high pH</w:t>
      </w:r>
      <w:r w:rsidR="0049137C">
        <w:rPr>
          <w:rFonts w:cs="Arial"/>
        </w:rPr>
        <w:t xml:space="preserve">, </w:t>
      </w:r>
      <w:r w:rsidR="00B3240C">
        <w:rPr>
          <w:rFonts w:cs="Arial"/>
        </w:rPr>
        <w:t>resulting in</w:t>
      </w:r>
      <w:r w:rsidR="008B57A5">
        <w:rPr>
          <w:rFonts w:cs="Arial"/>
        </w:rPr>
        <w:t xml:space="preserve"> irritation </w:t>
      </w:r>
      <w:r w:rsidR="0054480E">
        <w:rPr>
          <w:rFonts w:cs="Arial"/>
        </w:rPr>
        <w:t>of</w:t>
      </w:r>
      <w:r w:rsidR="00866F4C">
        <w:rPr>
          <w:rFonts w:cs="Arial"/>
        </w:rPr>
        <w:t xml:space="preserve"> the eyes, respiratory tract and skin</w:t>
      </w:r>
      <w:r w:rsidR="0054480E">
        <w:rPr>
          <w:rFonts w:cs="Arial"/>
        </w:rPr>
        <w:t xml:space="preserve"> upon contact</w:t>
      </w:r>
      <w:r w:rsidR="001A3190">
        <w:rPr>
          <w:rFonts w:cs="Arial"/>
        </w:rPr>
        <w:t xml:space="preserve"> (ACGIH, 20</w:t>
      </w:r>
      <w:r w:rsidR="0028542F">
        <w:rPr>
          <w:rFonts w:cs="Arial"/>
        </w:rPr>
        <w:t>18</w:t>
      </w:r>
      <w:r w:rsidR="001A3190">
        <w:rPr>
          <w:rFonts w:cs="Arial"/>
        </w:rPr>
        <w:t>; HCOTN, 2000)</w:t>
      </w:r>
      <w:r w:rsidR="00866F4C">
        <w:rPr>
          <w:rFonts w:cs="Arial"/>
        </w:rPr>
        <w:t>. Due to the acute nature of the irritation and absence of adequate toxicological data, exposure levels by all routes should be minimised as far as possible</w:t>
      </w:r>
      <w:r w:rsidR="001A3190">
        <w:rPr>
          <w:rFonts w:cs="Arial"/>
        </w:rPr>
        <w:t xml:space="preserve"> (ACGIH</w:t>
      </w:r>
      <w:r w:rsidR="00D8774F">
        <w:rPr>
          <w:rFonts w:cs="Arial"/>
        </w:rPr>
        <w:t>, 201</w:t>
      </w:r>
      <w:r w:rsidR="0028542F">
        <w:rPr>
          <w:rFonts w:cs="Arial"/>
        </w:rPr>
        <w:t>8</w:t>
      </w:r>
      <w:r w:rsidR="00D8774F">
        <w:rPr>
          <w:rFonts w:cs="Arial"/>
        </w:rPr>
        <w:t>)</w:t>
      </w:r>
      <w:r w:rsidR="00866F4C">
        <w:rPr>
          <w:rFonts w:cs="Arial"/>
        </w:rPr>
        <w:t xml:space="preserve">. </w:t>
      </w:r>
    </w:p>
    <w:p w14:paraId="79B45362" w14:textId="77777777" w:rsidR="00F102F7" w:rsidRDefault="00CF6CCD" w:rsidP="00F102F7">
      <w:pPr>
        <w:rPr>
          <w:rFonts w:cs="Arial"/>
        </w:rPr>
      </w:pPr>
      <w:r>
        <w:rPr>
          <w:rFonts w:cs="Arial"/>
        </w:rPr>
        <w:t>It is not possible to recommend health-based WES because of</w:t>
      </w:r>
      <w:r w:rsidR="00F102F7">
        <w:rPr>
          <w:rFonts w:cs="Arial"/>
        </w:rPr>
        <w:t xml:space="preserve"> a</w:t>
      </w:r>
      <w:r>
        <w:rPr>
          <w:rFonts w:cs="Arial"/>
        </w:rPr>
        <w:t xml:space="preserve"> lack of adequate data</w:t>
      </w:r>
      <w:r w:rsidR="00B3240C">
        <w:rPr>
          <w:rFonts w:cs="Arial"/>
        </w:rPr>
        <w:t xml:space="preserve">. </w:t>
      </w:r>
      <w:r w:rsidR="00B3240C">
        <w:t>N</w:t>
      </w:r>
      <w:r w:rsidR="00E85B5A">
        <w:t xml:space="preserve">o human exposure data </w:t>
      </w:r>
      <w:r w:rsidR="00B3240C">
        <w:t xml:space="preserve">and </w:t>
      </w:r>
      <w:r w:rsidR="00E85B5A">
        <w:t>only acute toxicity</w:t>
      </w:r>
      <w:r>
        <w:rPr>
          <w:rFonts w:cs="Arial"/>
        </w:rPr>
        <w:t xml:space="preserve"> </w:t>
      </w:r>
      <w:r w:rsidR="0030212D">
        <w:rPr>
          <w:rFonts w:cs="Arial"/>
        </w:rPr>
        <w:t>animal studies</w:t>
      </w:r>
      <w:r w:rsidR="00FA0365">
        <w:rPr>
          <w:rFonts w:cs="Arial"/>
        </w:rPr>
        <w:t xml:space="preserve"> </w:t>
      </w:r>
      <w:r w:rsidR="00B3240C">
        <w:rPr>
          <w:rFonts w:cs="Arial"/>
        </w:rPr>
        <w:t xml:space="preserve">are </w:t>
      </w:r>
      <w:r w:rsidR="00FA0365">
        <w:rPr>
          <w:rFonts w:cs="Arial"/>
        </w:rPr>
        <w:t>available</w:t>
      </w:r>
      <w:r>
        <w:rPr>
          <w:rFonts w:cs="Arial"/>
        </w:rPr>
        <w:t xml:space="preserve"> </w:t>
      </w:r>
      <w:r w:rsidR="00D8774F">
        <w:rPr>
          <w:rFonts w:cs="Arial"/>
        </w:rPr>
        <w:t>(HCOTN, 2000</w:t>
      </w:r>
      <w:r w:rsidR="00F102F7">
        <w:rPr>
          <w:rFonts w:cs="Arial"/>
        </w:rPr>
        <w:t>)</w:t>
      </w:r>
      <w:r w:rsidR="00B3240C">
        <w:rPr>
          <w:rFonts w:cs="Arial"/>
        </w:rPr>
        <w:t xml:space="preserve">. </w:t>
      </w:r>
      <w:r w:rsidR="00C75FE1">
        <w:rPr>
          <w:rFonts w:cs="Arial"/>
        </w:rPr>
        <w:t xml:space="preserve">The recommended interim TWA </w:t>
      </w:r>
      <w:r w:rsidR="00910E3F">
        <w:rPr>
          <w:rFonts w:cs="Arial"/>
        </w:rPr>
        <w:t xml:space="preserve">is the same as the </w:t>
      </w:r>
      <w:r w:rsidR="00910E3F">
        <w:rPr>
          <w:rFonts w:cs="Arial"/>
          <w:i/>
          <w:iCs/>
        </w:rPr>
        <w:t>Administrative OEL</w:t>
      </w:r>
      <w:r w:rsidR="00910E3F">
        <w:rPr>
          <w:rFonts w:cs="Arial"/>
        </w:rPr>
        <w:t xml:space="preserve"> recommended by </w:t>
      </w:r>
      <w:r w:rsidR="00C75FE1">
        <w:rPr>
          <w:rFonts w:cs="Arial"/>
        </w:rPr>
        <w:t>ACGIH, 20</w:t>
      </w:r>
      <w:r w:rsidR="0028542F">
        <w:rPr>
          <w:rFonts w:cs="Arial"/>
        </w:rPr>
        <w:t>18</w:t>
      </w:r>
      <w:r w:rsidR="00910E3F">
        <w:rPr>
          <w:rFonts w:cs="Arial"/>
        </w:rPr>
        <w:t xml:space="preserve"> and </w:t>
      </w:r>
      <w:r w:rsidR="00C75FE1">
        <w:rPr>
          <w:rFonts w:cs="Arial"/>
        </w:rPr>
        <w:t>HCOTN, 2000).</w:t>
      </w:r>
      <w:r w:rsidR="00F102F7">
        <w:rPr>
          <w:rFonts w:cs="Arial"/>
        </w:rPr>
        <w:t xml:space="preserve"> Given the limited data available from the primary sources, it is recommended that a review of additional sources be conducted at the next scheduled review.</w:t>
      </w:r>
    </w:p>
    <w:p w14:paraId="502A0B68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7804646D" w14:textId="77777777" w:rsidR="003357E9" w:rsidRDefault="003357E9" w:rsidP="003357E9">
      <w:r>
        <w:t>Not classified as a carcinogen according to the Globally Harmonized System of Classification and Labelling of Chemicals (GHS).</w:t>
      </w:r>
    </w:p>
    <w:p w14:paraId="5B8DAD05" w14:textId="77777777" w:rsidR="003357E9" w:rsidRDefault="003357E9" w:rsidP="003357E9">
      <w:r>
        <w:t xml:space="preserve">Not classified as </w:t>
      </w:r>
      <w:r w:rsidR="000C0F92">
        <w:t xml:space="preserve">a </w:t>
      </w:r>
      <w:r>
        <w:t>skin</w:t>
      </w:r>
      <w:r w:rsidR="000C0F92">
        <w:t xml:space="preserve"> sensitiser</w:t>
      </w:r>
      <w:r>
        <w:t xml:space="preserve"> </w:t>
      </w:r>
      <w:r w:rsidR="000C0F92">
        <w:t xml:space="preserve">or </w:t>
      </w:r>
      <w:r>
        <w:t>respiratory sensitiser according to the GHS.</w:t>
      </w:r>
    </w:p>
    <w:p w14:paraId="7B991CF3" w14:textId="2B02662D" w:rsidR="00F102F7" w:rsidRDefault="00EC64D4" w:rsidP="00F102F7">
      <w:pPr>
        <w:rPr>
          <w:rFonts w:eastAsiaTheme="majorEastAsia" w:cs="Arial"/>
          <w:b/>
          <w:bCs/>
          <w:caps/>
          <w:kern w:val="32"/>
          <w:sz w:val="36"/>
          <w:szCs w:val="40"/>
          <w:lang w:eastAsia="en-AU"/>
        </w:rPr>
      </w:pPr>
      <w:r>
        <w:rPr>
          <w:rFonts w:eastAsia="Calibri" w:cs="Times New Roman"/>
        </w:rPr>
        <w:t>There are i</w:t>
      </w:r>
      <w:r w:rsidR="003357E9">
        <w:rPr>
          <w:rFonts w:eastAsia="Calibri" w:cs="Times New Roman"/>
        </w:rPr>
        <w:t>nsufficient data to recommend a</w:t>
      </w:r>
      <w:r w:rsidR="003357E9" w:rsidRPr="00934F3C">
        <w:rPr>
          <w:rFonts w:eastAsia="Calibri" w:cs="Times New Roman"/>
        </w:rPr>
        <w:t xml:space="preserve"> skin notation</w:t>
      </w:r>
      <w:r w:rsidR="003357E9">
        <w:rPr>
          <w:rFonts w:eastAsia="Calibri" w:cs="Times New Roman"/>
        </w:rPr>
        <w:t>.</w:t>
      </w:r>
      <w:r w:rsidR="00F102F7">
        <w:rPr>
          <w:rFonts w:cs="Arial"/>
        </w:rPr>
        <w:br w:type="page"/>
      </w:r>
    </w:p>
    <w:p w14:paraId="46EF011B" w14:textId="48E1056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5A0A3755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0768F9B9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54F99F81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12667982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6140EA39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i w:val="0"/>
                  </w:rPr>
                  <w:t>Y</w:t>
                </w:r>
                <w:r w:rsidRPr="003365A5">
                  <w:rPr>
                    <w:rStyle w:val="PlaceholderText"/>
                    <w:i w:val="0"/>
                  </w:rPr>
                  <w:t>ear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595C43">
                  <w:t xml:space="preserve">TWA: </w:t>
                </w:r>
                <w:r w:rsidR="00321DBD">
                  <w:t>2 mg/m</w:t>
                </w:r>
                <w:r w:rsidR="00321DBD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1BFB1323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05019D1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1DA541BD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A19DFA4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0216A1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595C43">
                  <w:t>TLV-TWA: 2 mg/m</w:t>
                </w:r>
                <w:r w:rsidR="00595C43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1B415020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7D7BB1C" w14:textId="77777777" w:rsidR="00EC64D4" w:rsidRDefault="00B56213" w:rsidP="003365A5">
            <w:pPr>
              <w:pStyle w:val="Tabletextprimarysource"/>
            </w:pPr>
            <w:r>
              <w:t xml:space="preserve">TLV-TWA intended to </w:t>
            </w:r>
            <w:r w:rsidR="00A10898">
              <w:t xml:space="preserve">minimise potential for irritation to the eyes, skin and respiratory tract. </w:t>
            </w:r>
          </w:p>
          <w:p w14:paraId="5A321E00" w14:textId="77777777" w:rsidR="00EC64D4" w:rsidRDefault="00746445" w:rsidP="003365A5">
            <w:pPr>
              <w:pStyle w:val="Tabletextprimarysource"/>
            </w:pPr>
            <w:r>
              <w:t xml:space="preserve">Insufficient data to recommend </w:t>
            </w:r>
            <w:r w:rsidR="006B5D1E">
              <w:t xml:space="preserve">a TLV-STEL or </w:t>
            </w:r>
            <w:r w:rsidR="00B46BCB">
              <w:t xml:space="preserve">carcinogenicity, </w:t>
            </w:r>
            <w:r w:rsidR="00973261">
              <w:t xml:space="preserve">skin </w:t>
            </w:r>
            <w:r w:rsidR="006B5D1E">
              <w:t>and</w:t>
            </w:r>
            <w:r w:rsidR="00B46BCB">
              <w:t xml:space="preserve"> </w:t>
            </w:r>
            <w:r w:rsidR="00973261">
              <w:t>sensitisation</w:t>
            </w:r>
            <w:r w:rsidR="00B46BCB">
              <w:t xml:space="preserve"> </w:t>
            </w:r>
            <w:r w:rsidR="006B5D1E">
              <w:t xml:space="preserve">notations. </w:t>
            </w:r>
          </w:p>
          <w:p w14:paraId="4FB5D75E" w14:textId="77777777" w:rsidR="00C978F0" w:rsidRDefault="00584B25" w:rsidP="003365A5">
            <w:pPr>
              <w:pStyle w:val="Tabletextprimarysource"/>
            </w:pPr>
            <w:r>
              <w:t>Derivation/experimental b</w:t>
            </w:r>
            <w:r w:rsidR="00DE0BA0">
              <w:t>asis of TLV-TWA is not discussed.</w:t>
            </w:r>
          </w:p>
          <w:p w14:paraId="0E14042C" w14:textId="77777777" w:rsidR="006D286C" w:rsidRDefault="006D286C" w:rsidP="003365A5">
            <w:pPr>
              <w:pStyle w:val="Tabletextprimarysource"/>
            </w:pPr>
            <w:r>
              <w:t>Summary of data:</w:t>
            </w:r>
          </w:p>
          <w:p w14:paraId="30F0C95A" w14:textId="77777777" w:rsidR="00652711" w:rsidRDefault="00652711" w:rsidP="00EC64D4">
            <w:pPr>
              <w:pStyle w:val="ListBullet"/>
              <w:numPr>
                <w:ilvl w:val="0"/>
                <w:numId w:val="2"/>
              </w:numPr>
              <w:tabs>
                <w:tab w:val="num" w:pos="360"/>
              </w:tabs>
              <w:ind w:left="714" w:hanging="357"/>
            </w:pPr>
            <w:r>
              <w:t xml:space="preserve">Strong base with extreme </w:t>
            </w:r>
            <w:proofErr w:type="spellStart"/>
            <w:r>
              <w:t>hygroscopicity</w:t>
            </w:r>
            <w:proofErr w:type="spellEnd"/>
            <w:r>
              <w:t xml:space="preserve"> that causes corrosive damage on contact</w:t>
            </w:r>
          </w:p>
          <w:p w14:paraId="20695278" w14:textId="77777777" w:rsidR="00794700" w:rsidRDefault="00C906FB" w:rsidP="00EC64D4">
            <w:pPr>
              <w:pStyle w:val="ListBullet"/>
              <w:numPr>
                <w:ilvl w:val="0"/>
                <w:numId w:val="2"/>
              </w:numPr>
              <w:tabs>
                <w:tab w:val="num" w:pos="360"/>
              </w:tabs>
              <w:ind w:left="714" w:hanging="357"/>
            </w:pPr>
            <w:r>
              <w:t xml:space="preserve">No human </w:t>
            </w:r>
            <w:r w:rsidR="0039295F">
              <w:t xml:space="preserve">exposure </w:t>
            </w:r>
            <w:r>
              <w:t xml:space="preserve">data and </w:t>
            </w:r>
            <w:r w:rsidR="0039295F">
              <w:t>very</w:t>
            </w:r>
            <w:r w:rsidR="00794700">
              <w:t xml:space="preserve"> limited </w:t>
            </w:r>
            <w:r w:rsidR="00DE0BA0">
              <w:t>animal</w:t>
            </w:r>
            <w:r w:rsidR="0039295F">
              <w:t xml:space="preserve"> studies available</w:t>
            </w:r>
            <w:r w:rsidR="00EC64D4">
              <w:t>.</w:t>
            </w:r>
          </w:p>
          <w:p w14:paraId="038D9818" w14:textId="77777777" w:rsidR="00AE3E53" w:rsidRDefault="00AE3E53" w:rsidP="00EC64D4">
            <w:pPr>
              <w:pStyle w:val="ListBullet"/>
              <w:tabs>
                <w:tab w:val="clear" w:pos="360"/>
              </w:tabs>
            </w:pPr>
          </w:p>
          <w:p w14:paraId="6A1083AB" w14:textId="77777777" w:rsidR="0039295F" w:rsidRDefault="0039295F" w:rsidP="00EC64D4">
            <w:pPr>
              <w:pStyle w:val="ListBullet"/>
              <w:tabs>
                <w:tab w:val="clear" w:pos="360"/>
              </w:tabs>
            </w:pPr>
            <w:r>
              <w:t>Animal data:</w:t>
            </w:r>
          </w:p>
          <w:p w14:paraId="169824BE" w14:textId="77777777" w:rsidR="0039295F" w:rsidRDefault="005D3F5A" w:rsidP="00EC64D4">
            <w:pPr>
              <w:pStyle w:val="ListBullet"/>
              <w:numPr>
                <w:ilvl w:val="0"/>
                <w:numId w:val="2"/>
              </w:numPr>
              <w:tabs>
                <w:tab w:val="num" w:pos="360"/>
              </w:tabs>
              <w:ind w:left="714" w:hanging="357"/>
            </w:pPr>
            <w:r>
              <w:t>LD</w:t>
            </w:r>
            <w:r w:rsidRPr="00AE3E53">
              <w:rPr>
                <w:vertAlign w:val="subscript"/>
              </w:rPr>
              <w:t>50</w:t>
            </w:r>
            <w:r>
              <w:t>: 100 mg/kg (rats</w:t>
            </w:r>
            <w:r w:rsidR="009F61BC">
              <w:t>, intraperitoneal</w:t>
            </w:r>
            <w:r>
              <w:t>)</w:t>
            </w:r>
          </w:p>
          <w:p w14:paraId="65C65CE5" w14:textId="77777777" w:rsidR="005D3F5A" w:rsidRDefault="00602185" w:rsidP="00EC64D4">
            <w:pPr>
              <w:pStyle w:val="ListBullet"/>
              <w:numPr>
                <w:ilvl w:val="0"/>
                <w:numId w:val="2"/>
              </w:numPr>
              <w:tabs>
                <w:tab w:val="num" w:pos="360"/>
              </w:tabs>
              <w:ind w:left="714" w:hanging="357"/>
            </w:pPr>
            <w:r>
              <w:t>LD</w:t>
            </w:r>
            <w:r w:rsidRPr="00AE3E53">
              <w:rPr>
                <w:vertAlign w:val="subscript"/>
              </w:rPr>
              <w:t>50</w:t>
            </w:r>
            <w:r>
              <w:t>: 800 mg/kg (mice</w:t>
            </w:r>
            <w:r w:rsidR="009F61BC">
              <w:t>, oral</w:t>
            </w:r>
            <w:r>
              <w:t>), 1</w:t>
            </w:r>
            <w:r w:rsidR="000C0F92">
              <w:t>,</w:t>
            </w:r>
            <w:r>
              <w:t>026 mg/kg (rats</w:t>
            </w:r>
            <w:r w:rsidR="009F61BC">
              <w:t>, oral</w:t>
            </w:r>
            <w:r>
              <w:t>)</w:t>
            </w:r>
          </w:p>
          <w:p w14:paraId="05E6AF29" w14:textId="77777777" w:rsidR="001C1FEA" w:rsidRDefault="009B75D9" w:rsidP="00EC64D4">
            <w:pPr>
              <w:pStyle w:val="ListBullet"/>
              <w:numPr>
                <w:ilvl w:val="0"/>
                <w:numId w:val="2"/>
              </w:numPr>
              <w:tabs>
                <w:tab w:val="num" w:pos="360"/>
              </w:tabs>
              <w:ind w:left="714" w:hanging="357"/>
            </w:pPr>
            <w:r>
              <w:t xml:space="preserve">Irritation to </w:t>
            </w:r>
            <w:r w:rsidR="00E56584">
              <w:t>eyes</w:t>
            </w:r>
            <w:r w:rsidR="00B7242C">
              <w:t xml:space="preserve"> and both</w:t>
            </w:r>
            <w:r w:rsidR="00E56584">
              <w:t xml:space="preserve"> </w:t>
            </w:r>
            <w:r>
              <w:t xml:space="preserve">intact </w:t>
            </w:r>
            <w:r w:rsidR="00B7242C">
              <w:t>and</w:t>
            </w:r>
            <w:r>
              <w:t xml:space="preserve"> abraded skin observed with 5% solution (</w:t>
            </w:r>
            <w:r w:rsidR="00E56584">
              <w:t xml:space="preserve">rabbits, </w:t>
            </w:r>
            <w:r w:rsidR="000C40FA">
              <w:t xml:space="preserve">duration, </w:t>
            </w:r>
            <w:r>
              <w:t>solvent and concentration expression not specified</w:t>
            </w:r>
            <w:r w:rsidR="00E56584">
              <w:t>)</w:t>
            </w:r>
          </w:p>
          <w:p w14:paraId="7DDA75EF" w14:textId="77777777" w:rsidR="00E931D9" w:rsidRDefault="00ED318E" w:rsidP="00EC64D4">
            <w:pPr>
              <w:pStyle w:val="ListBullet"/>
              <w:numPr>
                <w:ilvl w:val="0"/>
                <w:numId w:val="2"/>
              </w:numPr>
              <w:tabs>
                <w:tab w:val="num" w:pos="360"/>
              </w:tabs>
              <w:ind w:left="714" w:hanging="357"/>
            </w:pPr>
            <w:r>
              <w:t>No evidence of skin sensitisation in guinea pigs (no further information provided)</w:t>
            </w:r>
            <w:r w:rsidR="00EC2DA0">
              <w:t>.</w:t>
            </w:r>
          </w:p>
          <w:p w14:paraId="40EB3AF3" w14:textId="77777777" w:rsidR="00AE3E53" w:rsidRPr="00602185" w:rsidRDefault="00AE3E53" w:rsidP="00EC64D4">
            <w:pPr>
              <w:pStyle w:val="ListBullet"/>
              <w:tabs>
                <w:tab w:val="clear" w:pos="360"/>
              </w:tabs>
            </w:pPr>
          </w:p>
        </w:tc>
      </w:tr>
      <w:tr w:rsidR="00C978F0" w:rsidRPr="00DA352E" w14:paraId="5916392D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3AB98EB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F80946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proofErr w:type="spellStart"/>
                <w:r w:rsidR="00F80946">
                  <w:t>NA</w:t>
                </w:r>
                <w:proofErr w:type="spellEnd"/>
              </w:sdtContent>
            </w:sdt>
          </w:p>
        </w:tc>
      </w:tr>
      <w:tr w:rsidR="00C978F0" w:rsidRPr="00DA352E" w14:paraId="3ACE61AC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49C49F7" w14:textId="77777777" w:rsidR="00C978F0" w:rsidRPr="00DA352E" w:rsidRDefault="00F80946" w:rsidP="003365A5">
            <w:pPr>
              <w:pStyle w:val="Tabletextprimarysource"/>
            </w:pPr>
            <w:r>
              <w:t>No report</w:t>
            </w:r>
            <w:r w:rsidR="00EC64D4">
              <w:t>.</w:t>
            </w:r>
          </w:p>
        </w:tc>
      </w:tr>
      <w:tr w:rsidR="00C978F0" w:rsidRPr="00DA352E" w14:paraId="1A46C4D2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A85CE44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F80946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F80946">
                  <w:t>NA</w:t>
                </w:r>
                <w:proofErr w:type="spellEnd"/>
              </w:sdtContent>
            </w:sdt>
          </w:p>
        </w:tc>
      </w:tr>
      <w:tr w:rsidR="00C978F0" w:rsidRPr="00DA352E" w14:paraId="28316D78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7F97605" w14:textId="77777777" w:rsidR="00C978F0" w:rsidRPr="00DA352E" w:rsidRDefault="00F80946" w:rsidP="003365A5">
            <w:pPr>
              <w:pStyle w:val="Tabletextprimarysource"/>
            </w:pPr>
            <w:r>
              <w:t>No report</w:t>
            </w:r>
            <w:r w:rsidR="00EC64D4">
              <w:t>.</w:t>
            </w:r>
          </w:p>
        </w:tc>
      </w:tr>
      <w:tr w:rsidR="00DA352E" w:rsidRPr="00DA352E" w14:paraId="62F246A6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B414B4C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F80946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F80946">
                  <w:t>NA</w:t>
                </w:r>
                <w:proofErr w:type="spellEnd"/>
              </w:sdtContent>
            </w:sdt>
          </w:p>
        </w:tc>
      </w:tr>
      <w:tr w:rsidR="00DA352E" w:rsidRPr="00DA352E" w14:paraId="5B692CAB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38D364F" w14:textId="77777777" w:rsidR="00DA352E" w:rsidRPr="00DA352E" w:rsidRDefault="00F80946" w:rsidP="003365A5">
            <w:pPr>
              <w:pStyle w:val="Tabletextprimarysource"/>
            </w:pPr>
            <w:r>
              <w:t>No report</w:t>
            </w:r>
            <w:r w:rsidR="00EC64D4">
              <w:t>.</w:t>
            </w:r>
          </w:p>
        </w:tc>
      </w:tr>
      <w:tr w:rsidR="00DA352E" w:rsidRPr="00DA352E" w14:paraId="712222A5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CE39042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0216A1">
                  <w:t>2000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BE6CA7">
                  <w:t>8</w:t>
                </w:r>
                <w:r w:rsidR="00445CC7">
                  <w:t xml:space="preserve"> </w:t>
                </w:r>
                <w:r w:rsidR="00BE6CA7">
                  <w:t>hour TWA: 2 mg/m</w:t>
                </w:r>
                <w:r w:rsidR="00BE6CA7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DA352E" w:rsidRPr="00DA352E" w14:paraId="448D3951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597F8B8" w14:textId="77777777" w:rsidR="00DA352E" w:rsidRDefault="00A237AE" w:rsidP="003365A5">
            <w:pPr>
              <w:pStyle w:val="Tabletextprimarysource"/>
            </w:pPr>
            <w:r>
              <w:t xml:space="preserve">Summary of </w:t>
            </w:r>
            <w:r w:rsidR="00921355">
              <w:t>additional data:</w:t>
            </w:r>
          </w:p>
          <w:p w14:paraId="722D9085" w14:textId="77777777" w:rsidR="00EC64D4" w:rsidRDefault="0096769E" w:rsidP="003365A5">
            <w:pPr>
              <w:pStyle w:val="Tabletextprimarysource"/>
            </w:pPr>
            <w:r>
              <w:t>Current</w:t>
            </w:r>
            <w:r w:rsidR="001B523E">
              <w:t xml:space="preserve"> toxicological data insufficient to recommend a health-based TWA</w:t>
            </w:r>
            <w:r w:rsidR="0070150B">
              <w:t xml:space="preserve">; an administrative </w:t>
            </w:r>
            <w:r w:rsidR="009F61BC">
              <w:t>OEL</w:t>
            </w:r>
            <w:r w:rsidR="0070150B">
              <w:t xml:space="preserve"> is adopted</w:t>
            </w:r>
            <w:r w:rsidR="00C75FE1">
              <w:t xml:space="preserve"> </w:t>
            </w:r>
            <w:r w:rsidR="009F61BC">
              <w:t>as</w:t>
            </w:r>
            <w:r w:rsidR="00C75FE1">
              <w:t xml:space="preserve"> no health-based exposure standard can be recommended</w:t>
            </w:r>
            <w:r w:rsidR="001B523E">
              <w:t xml:space="preserve">. </w:t>
            </w:r>
          </w:p>
          <w:p w14:paraId="590E2AD0" w14:textId="4233218F" w:rsidR="00921355" w:rsidRDefault="00921355" w:rsidP="003365A5">
            <w:pPr>
              <w:pStyle w:val="Tabletextprimarysource"/>
            </w:pPr>
            <w:r>
              <w:t xml:space="preserve">Only acute </w:t>
            </w:r>
            <w:r w:rsidR="002E70FF">
              <w:t xml:space="preserve">animal </w:t>
            </w:r>
            <w:r w:rsidR="006731F3">
              <w:t>toxicity data available</w:t>
            </w:r>
            <w:r w:rsidR="0069163E">
              <w:t xml:space="preserve">. Some </w:t>
            </w:r>
            <w:r w:rsidR="008D1E79">
              <w:t xml:space="preserve">additional </w:t>
            </w:r>
            <w:r w:rsidR="0069163E">
              <w:t xml:space="preserve">information on </w:t>
            </w:r>
            <w:r w:rsidR="008D1E79">
              <w:t>data presented in ACGIH,</w:t>
            </w:r>
            <w:r w:rsidR="00E85B5A">
              <w:t> </w:t>
            </w:r>
            <w:r w:rsidR="008D1E79">
              <w:t>2001.</w:t>
            </w:r>
            <w:r w:rsidR="00C75FE1">
              <w:t xml:space="preserve"> </w:t>
            </w:r>
          </w:p>
          <w:p w14:paraId="0F8D4801" w14:textId="77777777" w:rsidR="009F1319" w:rsidRDefault="009F1319" w:rsidP="003365A5">
            <w:pPr>
              <w:pStyle w:val="Tabletextprimarysource"/>
            </w:pPr>
            <w:r>
              <w:t>Animal data:</w:t>
            </w:r>
          </w:p>
          <w:p w14:paraId="3A100B0E" w14:textId="77777777" w:rsidR="00EC2DA0" w:rsidRDefault="00EC2DA0" w:rsidP="00EC64D4">
            <w:pPr>
              <w:pStyle w:val="ListBullet"/>
              <w:numPr>
                <w:ilvl w:val="0"/>
                <w:numId w:val="2"/>
              </w:numPr>
              <w:tabs>
                <w:tab w:val="num" w:pos="360"/>
              </w:tabs>
              <w:ind w:left="714" w:hanging="357"/>
            </w:pPr>
            <w:r>
              <w:t>No chronic, mutageni</w:t>
            </w:r>
            <w:r w:rsidR="00606C3B">
              <w:t>city or carcinogenicity data available</w:t>
            </w:r>
          </w:p>
          <w:p w14:paraId="1484F6E0" w14:textId="77777777" w:rsidR="002E70FF" w:rsidRDefault="009B2B51" w:rsidP="00EC64D4">
            <w:pPr>
              <w:pStyle w:val="ListBullet"/>
              <w:numPr>
                <w:ilvl w:val="0"/>
                <w:numId w:val="2"/>
              </w:numPr>
              <w:tabs>
                <w:tab w:val="num" w:pos="360"/>
              </w:tabs>
              <w:ind w:left="714" w:hanging="357"/>
            </w:pPr>
            <w:r>
              <w:t xml:space="preserve">Caesium hydroxide most toxic </w:t>
            </w:r>
            <w:r w:rsidR="009F61BC">
              <w:t>inorganic caesium compound</w:t>
            </w:r>
            <w:r>
              <w:t xml:space="preserve"> in </w:t>
            </w:r>
            <w:r w:rsidR="0008410F">
              <w:t>i</w:t>
            </w:r>
            <w:r w:rsidR="00EB1265">
              <w:t xml:space="preserve">ntraperitoneal </w:t>
            </w:r>
            <w:r w:rsidR="0008410F">
              <w:t>injection study with rats</w:t>
            </w:r>
          </w:p>
          <w:p w14:paraId="4BFF9A3C" w14:textId="77777777" w:rsidR="000114C2" w:rsidRDefault="000114C2" w:rsidP="00EC64D4">
            <w:pPr>
              <w:pStyle w:val="ListBullet"/>
              <w:numPr>
                <w:ilvl w:val="0"/>
                <w:numId w:val="2"/>
              </w:numPr>
              <w:tabs>
                <w:tab w:val="num" w:pos="360"/>
              </w:tabs>
              <w:ind w:left="714" w:hanging="357"/>
            </w:pPr>
            <w:r>
              <w:t>Lethal and sub</w:t>
            </w:r>
            <w:r w:rsidR="009F61BC">
              <w:t>-</w:t>
            </w:r>
            <w:r>
              <w:t>lethal oral doses</w:t>
            </w:r>
            <w:r w:rsidR="00FB6FC4">
              <w:t xml:space="preserve"> in rats</w:t>
            </w:r>
            <w:r>
              <w:t xml:space="preserve"> cause</w:t>
            </w:r>
            <w:r w:rsidR="00445CC7">
              <w:t>d</w:t>
            </w:r>
            <w:r>
              <w:t xml:space="preserve"> </w:t>
            </w:r>
            <w:r w:rsidR="00EA6174">
              <w:t xml:space="preserve">stomach and intestinal haemorrhage and </w:t>
            </w:r>
            <w:r w:rsidR="003F72B0">
              <w:t>organ adhesion</w:t>
            </w:r>
          </w:p>
          <w:p w14:paraId="27CCC5BE" w14:textId="77777777" w:rsidR="0037403B" w:rsidRDefault="0037403B" w:rsidP="00EC64D4">
            <w:pPr>
              <w:pStyle w:val="ListBullet"/>
              <w:numPr>
                <w:ilvl w:val="0"/>
                <w:numId w:val="2"/>
              </w:numPr>
              <w:tabs>
                <w:tab w:val="num" w:pos="360"/>
              </w:tabs>
              <w:ind w:left="714" w:hanging="357"/>
            </w:pPr>
            <w:r>
              <w:t>Non-irritant to intact skin at 5% (</w:t>
            </w:r>
            <w:r w:rsidR="00BC7BC1">
              <w:t xml:space="preserve">rabbits, solvent and </w:t>
            </w:r>
            <w:r>
              <w:t>concentration expression</w:t>
            </w:r>
            <w:r w:rsidR="00BC7BC1">
              <w:t xml:space="preserve"> not specified)</w:t>
            </w:r>
            <w:r w:rsidR="005A25BE">
              <w:t xml:space="preserve"> but mild irritant to </w:t>
            </w:r>
            <w:r w:rsidR="007D7667">
              <w:t>abraded skin</w:t>
            </w:r>
          </w:p>
          <w:p w14:paraId="75CACA9C" w14:textId="77777777" w:rsidR="00981A72" w:rsidRDefault="00981A72" w:rsidP="00EC64D4">
            <w:pPr>
              <w:pStyle w:val="ListBullet"/>
              <w:numPr>
                <w:ilvl w:val="0"/>
                <w:numId w:val="2"/>
              </w:numPr>
              <w:tabs>
                <w:tab w:val="num" w:pos="360"/>
              </w:tabs>
              <w:ind w:left="714" w:hanging="357"/>
            </w:pPr>
            <w:r>
              <w:t xml:space="preserve">Extreme eye irritation at 5% (rabbits, </w:t>
            </w:r>
            <w:r w:rsidR="007653F9">
              <w:t xml:space="preserve">concentration expression not specified, </w:t>
            </w:r>
            <w:r>
              <w:t>5 min)</w:t>
            </w:r>
            <w:r w:rsidR="003E57C0">
              <w:t>;</w:t>
            </w:r>
            <w:r w:rsidR="007653F9">
              <w:t xml:space="preserve"> </w:t>
            </w:r>
            <w:r w:rsidR="003E57C0">
              <w:t xml:space="preserve">no effect at 0.5% </w:t>
            </w:r>
            <w:r w:rsidR="009E2F95">
              <w:t>(</w:t>
            </w:r>
            <w:r w:rsidR="003E57C0">
              <w:t>24 h</w:t>
            </w:r>
            <w:r w:rsidR="009E2F95">
              <w:t>)</w:t>
            </w:r>
            <w:r w:rsidR="00342271">
              <w:t>.</w:t>
            </w:r>
          </w:p>
          <w:p w14:paraId="7FCBB289" w14:textId="77777777" w:rsidR="000F4764" w:rsidRPr="00EB1265" w:rsidRDefault="000F4764" w:rsidP="00EC64D4">
            <w:pPr>
              <w:pStyle w:val="ListBullet"/>
              <w:tabs>
                <w:tab w:val="clear" w:pos="360"/>
              </w:tabs>
            </w:pPr>
          </w:p>
        </w:tc>
      </w:tr>
    </w:tbl>
    <w:p w14:paraId="78DCA287" w14:textId="77777777" w:rsidR="00A20751" w:rsidRPr="004C23F4" w:rsidRDefault="00A20751" w:rsidP="003365A5">
      <w:pPr>
        <w:pStyle w:val="Heading3"/>
      </w:pPr>
      <w:bookmarkStart w:id="0" w:name="SecondSource"/>
      <w:r w:rsidRPr="004C23F4">
        <w:lastRenderedPageBreak/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8"/>
        <w:gridCol w:w="422"/>
        <w:gridCol w:w="661"/>
        <w:gridCol w:w="6445"/>
      </w:tblGrid>
      <w:tr w:rsidR="004966BF" w:rsidRPr="00263255" w14:paraId="5EEC0B9B" w14:textId="77777777" w:rsidTr="009F61BC">
        <w:trPr>
          <w:cantSplit/>
          <w:trHeight w:val="393"/>
          <w:tblHeader/>
        </w:trPr>
        <w:tc>
          <w:tcPr>
            <w:tcW w:w="1498" w:type="dxa"/>
            <w:shd w:val="clear" w:color="auto" w:fill="BFBFBF" w:themeFill="background1" w:themeFillShade="BF"/>
            <w:vAlign w:val="center"/>
          </w:tcPr>
          <w:p w14:paraId="43540789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2" w:type="dxa"/>
            <w:shd w:val="clear" w:color="auto" w:fill="BFBFBF" w:themeFill="background1" w:themeFillShade="BF"/>
            <w:vAlign w:val="center"/>
          </w:tcPr>
          <w:p w14:paraId="09B1DB3B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07340C5A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5" w:type="dxa"/>
            <w:shd w:val="clear" w:color="auto" w:fill="BFBFBF" w:themeFill="background1" w:themeFillShade="BF"/>
            <w:vAlign w:val="center"/>
          </w:tcPr>
          <w:p w14:paraId="72CA88B9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389FF170" w14:textId="77777777" w:rsidTr="009F61BC">
        <w:trPr>
          <w:cantSplit/>
        </w:trPr>
        <w:tc>
          <w:tcPr>
            <w:tcW w:w="1498" w:type="dxa"/>
          </w:tcPr>
          <w:p w14:paraId="20861074" w14:textId="77777777" w:rsidR="004966BF" w:rsidRPr="004C23F4" w:rsidRDefault="004966BF" w:rsidP="00224EE2">
            <w:pPr>
              <w:pStyle w:val="Tablefont"/>
            </w:pPr>
            <w:r>
              <w:t>HSE</w:t>
            </w:r>
          </w:p>
        </w:tc>
        <w:tc>
          <w:tcPr>
            <w:tcW w:w="422" w:type="dxa"/>
          </w:tcPr>
          <w:p w14:paraId="5231EF22" w14:textId="77777777" w:rsidR="004966BF" w:rsidRPr="00CE617F" w:rsidRDefault="00F22673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382551732"/>
                <w:placeholder>
                  <w:docPart w:val="8DD754E365844A4E82EC69A07E229629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9E2F95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60AFBFA5" w14:textId="77777777" w:rsidR="004966BF" w:rsidRPr="004C23F4" w:rsidRDefault="00497D8B" w:rsidP="00717D45">
            <w:pPr>
              <w:pStyle w:val="Tablefont"/>
            </w:pPr>
            <w:r>
              <w:t>2002</w:t>
            </w:r>
          </w:p>
        </w:tc>
        <w:tc>
          <w:tcPr>
            <w:tcW w:w="6445" w:type="dxa"/>
          </w:tcPr>
          <w:p w14:paraId="5158040B" w14:textId="77777777" w:rsidR="004966BF" w:rsidRPr="00E734BD" w:rsidRDefault="00E734BD" w:rsidP="00717D45">
            <w:pPr>
              <w:pStyle w:val="Tablefont"/>
              <w:rPr>
                <w:vertAlign w:val="superscript"/>
              </w:rPr>
            </w:pPr>
            <w:r>
              <w:t>8-hour TWA: 2 mg/m</w:t>
            </w:r>
            <w:r w:rsidRPr="00E734BD">
              <w:rPr>
                <w:vertAlign w:val="superscript"/>
              </w:rPr>
              <w:t>3</w:t>
            </w:r>
          </w:p>
        </w:tc>
      </w:tr>
    </w:tbl>
    <w:bookmarkEnd w:id="0"/>
    <w:p w14:paraId="6AFE2E8D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57AD6E78" w14:textId="77777777" w:rsidTr="00652711">
        <w:trPr>
          <w:trHeight w:val="454"/>
          <w:tblHeader/>
        </w:trPr>
        <w:tc>
          <w:tcPr>
            <w:tcW w:w="6597" w:type="dxa"/>
            <w:vAlign w:val="center"/>
          </w:tcPr>
          <w:p w14:paraId="344CC166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7FA4285D" w14:textId="77777777" w:rsidR="002E0D61" w:rsidRDefault="00652711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30F971CB" w14:textId="77777777" w:rsidTr="00652711">
        <w:trPr>
          <w:trHeight w:val="454"/>
        </w:trPr>
        <w:tc>
          <w:tcPr>
            <w:tcW w:w="6597" w:type="dxa"/>
            <w:vAlign w:val="center"/>
          </w:tcPr>
          <w:p w14:paraId="3373E702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00720369" w14:textId="77777777" w:rsidR="008A36CF" w:rsidRDefault="00652711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EC64D4" w14:paraId="4D4CB09C" w14:textId="77777777" w:rsidTr="006922F9">
        <w:trPr>
          <w:trHeight w:val="454"/>
        </w:trPr>
        <w:sdt>
          <w:sdtPr>
            <w:rPr>
              <w:b/>
            </w:rPr>
            <w:id w:val="1830936485"/>
            <w:placeholder>
              <w:docPart w:val="F632E8470FF6478AADF262B5AEF8EA78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6C8F3763" w14:textId="77777777" w:rsidR="00EC64D4" w:rsidRDefault="00EC64D4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1"/>
    <w:p w14:paraId="1220389A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6C084E5A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79281CF2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12EB682D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741A0C47" w14:textId="77777777" w:rsidTr="00812887">
        <w:trPr>
          <w:cantSplit/>
        </w:trPr>
        <w:tc>
          <w:tcPr>
            <w:tcW w:w="3227" w:type="dxa"/>
          </w:tcPr>
          <w:p w14:paraId="15B2C1E4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05C51096" w14:textId="77777777" w:rsidR="00687890" w:rsidRPr="00DD2F9B" w:rsidRDefault="000C3FCD" w:rsidP="00DD2F9B">
            <w:pPr>
              <w:pStyle w:val="Tablefont"/>
            </w:pPr>
            <w:r>
              <w:t>—</w:t>
            </w:r>
          </w:p>
        </w:tc>
      </w:tr>
      <w:tr w:rsidR="007925F0" w:rsidRPr="004C23F4" w14:paraId="5273A80B" w14:textId="77777777" w:rsidTr="00812887">
        <w:trPr>
          <w:cantSplit/>
        </w:trPr>
        <w:tc>
          <w:tcPr>
            <w:tcW w:w="3227" w:type="dxa"/>
          </w:tcPr>
          <w:p w14:paraId="2655EC11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494E0DC9" w14:textId="77777777" w:rsidR="007925F0" w:rsidRPr="00DD2F9B" w:rsidRDefault="000C3FCD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0DAA8A57" w14:textId="77777777" w:rsidTr="00812887">
        <w:trPr>
          <w:cantSplit/>
        </w:trPr>
        <w:tc>
          <w:tcPr>
            <w:tcW w:w="3227" w:type="dxa"/>
          </w:tcPr>
          <w:p w14:paraId="3A028789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0E166EEF" w14:textId="77777777" w:rsidR="00AF483F" w:rsidRPr="00DD2F9B" w:rsidRDefault="000C3FCD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754FD27E" w14:textId="77777777" w:rsidTr="00812887">
        <w:trPr>
          <w:cantSplit/>
        </w:trPr>
        <w:tc>
          <w:tcPr>
            <w:tcW w:w="3227" w:type="dxa"/>
          </w:tcPr>
          <w:p w14:paraId="6289D1F8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5C48F0EE" w14:textId="77777777" w:rsidR="00687890" w:rsidRPr="00DD2F9B" w:rsidRDefault="000C3FCD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4E340AB0" w14:textId="77777777" w:rsidTr="00812887">
        <w:trPr>
          <w:cantSplit/>
        </w:trPr>
        <w:tc>
          <w:tcPr>
            <w:tcW w:w="3227" w:type="dxa"/>
          </w:tcPr>
          <w:p w14:paraId="124B2B87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68D1A857" w14:textId="77777777" w:rsidR="00E41A26" w:rsidRPr="00DD2F9B" w:rsidRDefault="000C3FCD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33668962" w14:textId="77777777" w:rsidTr="00812887">
        <w:trPr>
          <w:cantSplit/>
        </w:trPr>
        <w:tc>
          <w:tcPr>
            <w:tcW w:w="3227" w:type="dxa"/>
          </w:tcPr>
          <w:p w14:paraId="3D8AF028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162C0FCB" w14:textId="77777777" w:rsidR="002E0D61" w:rsidRPr="00DD2F9B" w:rsidRDefault="000C3FCD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2538A6DD" w14:textId="77777777" w:rsidTr="00812887">
        <w:trPr>
          <w:cantSplit/>
        </w:trPr>
        <w:tc>
          <w:tcPr>
            <w:tcW w:w="3227" w:type="dxa"/>
          </w:tcPr>
          <w:p w14:paraId="7FB135A3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4C63A187" w14:textId="77777777" w:rsidR="002E0D61" w:rsidRPr="00DD2F9B" w:rsidRDefault="000C3FCD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32FE5DCA" w14:textId="77777777" w:rsidTr="00812887">
        <w:trPr>
          <w:cantSplit/>
        </w:trPr>
        <w:tc>
          <w:tcPr>
            <w:tcW w:w="3227" w:type="dxa"/>
          </w:tcPr>
          <w:p w14:paraId="09663891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3194C2B5" w14:textId="77777777" w:rsidR="002E0D61" w:rsidRPr="00DD2F9B" w:rsidRDefault="000C3FCD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5FD1290" w14:textId="77777777" w:rsidTr="00812887">
        <w:trPr>
          <w:cantSplit/>
        </w:trPr>
        <w:tc>
          <w:tcPr>
            <w:tcW w:w="3227" w:type="dxa"/>
          </w:tcPr>
          <w:p w14:paraId="6360E586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1752290A" w14:textId="77777777" w:rsidR="002E0D61" w:rsidRPr="00DD2F9B" w:rsidRDefault="00A97ABF" w:rsidP="00DD2F9B">
            <w:pPr>
              <w:pStyle w:val="Tablefont"/>
            </w:pPr>
            <w:r>
              <w:t>—</w:t>
            </w:r>
          </w:p>
        </w:tc>
      </w:tr>
      <w:tr w:rsidR="00386093" w:rsidRPr="004C23F4" w14:paraId="29F96525" w14:textId="77777777" w:rsidTr="00812887">
        <w:trPr>
          <w:cantSplit/>
        </w:trPr>
        <w:tc>
          <w:tcPr>
            <w:tcW w:w="3227" w:type="dxa"/>
          </w:tcPr>
          <w:p w14:paraId="18BE056B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4CE28AF3" w14:textId="77777777" w:rsidR="00386093" w:rsidRPr="00DD2F9B" w:rsidRDefault="000C3FCD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67AD978C" w14:textId="77777777" w:rsidTr="00812887">
        <w:trPr>
          <w:cantSplit/>
        </w:trPr>
        <w:tc>
          <w:tcPr>
            <w:tcW w:w="3227" w:type="dxa"/>
          </w:tcPr>
          <w:p w14:paraId="5FAA0040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7D87FDA" w14:textId="77777777" w:rsidR="00386093" w:rsidRPr="00DD2F9B" w:rsidRDefault="000C3FCD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099BCF66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397020FF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4F1D07DE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1DAE9F2B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17279F26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27C3A1EC" w14:textId="77777777" w:rsidR="00932DCE" w:rsidRPr="004C23F4" w:rsidRDefault="001E79C0" w:rsidP="00F9496B">
            <w:pPr>
              <w:pStyle w:val="Tablefont"/>
            </w:pPr>
            <w:r>
              <w:t xml:space="preserve">Insufficient data to assign </w:t>
            </w:r>
            <w:r w:rsidR="007B0106">
              <w:t>a skin notation</w:t>
            </w:r>
            <w:r w:rsidR="00EC64D4">
              <w:t>.</w:t>
            </w:r>
          </w:p>
        </w:tc>
      </w:tr>
    </w:tbl>
    <w:bookmarkEnd w:id="3"/>
    <w:p w14:paraId="6611220F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3D95442D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3A548E90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58EE007B" w14:textId="77777777" w:rsidR="00EB3D1B" w:rsidRDefault="007B0106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226555DB" w14:textId="77777777" w:rsidR="00687890" w:rsidRPr="004C23F4" w:rsidRDefault="00B479A9" w:rsidP="00474E33">
      <w:pPr>
        <w:pStyle w:val="Heading2"/>
      </w:pPr>
      <w:r w:rsidRPr="004C23F4">
        <w:lastRenderedPageBreak/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5AB1A2B1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49B6E6E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79E82A74" w14:textId="77777777" w:rsidR="001B79E5" w:rsidRDefault="007B0106" w:rsidP="001B79E5">
                <w:pPr>
                  <w:pStyle w:val="Tablefont"/>
                </w:pPr>
                <w:r>
                  <w:t>149.92</w:t>
                </w:r>
              </w:p>
            </w:tc>
          </w:sdtContent>
        </w:sdt>
      </w:tr>
      <w:tr w:rsidR="00A31D99" w:rsidRPr="004C23F4" w14:paraId="1E49B6C0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BBB588F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0D41543F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1309545A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CF4B0A1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228D1E7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5DB126FB" w14:textId="77777777" w:rsidTr="00EA6243">
        <w:trPr>
          <w:cantSplit/>
        </w:trPr>
        <w:tc>
          <w:tcPr>
            <w:tcW w:w="4077" w:type="dxa"/>
            <w:vAlign w:val="center"/>
          </w:tcPr>
          <w:p w14:paraId="67F5B478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8194D23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FA51D70" w14:textId="77777777" w:rsidTr="00EA6243">
        <w:trPr>
          <w:cantSplit/>
        </w:trPr>
        <w:tc>
          <w:tcPr>
            <w:tcW w:w="4077" w:type="dxa"/>
            <w:vAlign w:val="center"/>
          </w:tcPr>
          <w:p w14:paraId="70316145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16D7819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7BA21B7D" w14:textId="77777777" w:rsidTr="00EA6243">
        <w:trPr>
          <w:cantSplit/>
        </w:trPr>
        <w:tc>
          <w:tcPr>
            <w:tcW w:w="4077" w:type="dxa"/>
            <w:vAlign w:val="center"/>
          </w:tcPr>
          <w:p w14:paraId="0C674109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7036A698" w14:textId="77777777" w:rsidR="00E06F40" w:rsidRPr="00A006A0" w:rsidRDefault="00F22673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1505776F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50F0CEA6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0DC39BE5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24404702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D343CF2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4134959D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195C83AD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2812D320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753A49D7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1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582FA76D" w14:textId="77777777" w:rsidR="00382119" w:rsidRDefault="00382119" w:rsidP="00382119">
      <w:r w:rsidRPr="00D86E03">
        <w:t>UK Health and Safety Executive</w:t>
      </w:r>
      <w:r>
        <w:t xml:space="preserve"> (HSE) (2002) </w:t>
      </w:r>
      <w:r w:rsidRPr="00485AE6">
        <w:t>EH40/2005 Workplace exposure limits</w:t>
      </w:r>
      <w:r w:rsidR="00445CC7">
        <w:t>.</w:t>
      </w:r>
    </w:p>
    <w:p w14:paraId="3736F736" w14:textId="77777777" w:rsidR="00342271" w:rsidRPr="00351FE0" w:rsidRDefault="00F77EA9" w:rsidP="00084859">
      <w:r w:rsidRPr="002022B6">
        <w:t>Health Council of the Netherlands</w:t>
      </w:r>
      <w:r>
        <w:t xml:space="preserve"> (HCOTN) (</w:t>
      </w:r>
      <w:r w:rsidR="00382119">
        <w:t>2000</w:t>
      </w:r>
      <w:r>
        <w:t xml:space="preserve">) </w:t>
      </w:r>
      <w:proofErr w:type="spellStart"/>
      <w:r w:rsidR="007A2EEF" w:rsidRPr="007A2EEF">
        <w:t>Cesium</w:t>
      </w:r>
      <w:proofErr w:type="spellEnd"/>
      <w:r w:rsidR="007A2EEF" w:rsidRPr="007A2EEF">
        <w:t xml:space="preserve"> hydroxide</w:t>
      </w:r>
      <w:r w:rsidRPr="005F7416">
        <w:t xml:space="preserve">. Health-based calculated occupational cancer risk values. The Hague: Health Council of the Netherlands; publication no. </w:t>
      </w:r>
      <w:r w:rsidR="002C7843" w:rsidRPr="002C7843">
        <w:t>2000/15OSH/001</w:t>
      </w:r>
      <w:r>
        <w:t>.</w:t>
      </w:r>
    </w:p>
    <w:sectPr w:rsidR="00342271" w:rsidRPr="00351FE0" w:rsidSect="00B87D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10EC72" w16cid:durableId="2129EE6F"/>
  <w16cid:commentId w16cid:paraId="53550DCF" w16cid:durableId="2129EFB2"/>
  <w16cid:commentId w16cid:paraId="3A1EA72A" w16cid:durableId="2129EFCB"/>
  <w16cid:commentId w16cid:paraId="223E4E8C" w16cid:durableId="2129EF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BC4F7" w14:textId="77777777" w:rsidR="0096121D" w:rsidRDefault="0096121D" w:rsidP="00F43AD5">
      <w:pPr>
        <w:spacing w:after="0" w:line="240" w:lineRule="auto"/>
      </w:pPr>
      <w:r>
        <w:separator/>
      </w:r>
    </w:p>
  </w:endnote>
  <w:endnote w:type="continuationSeparator" w:id="0">
    <w:p w14:paraId="50D1495A" w14:textId="77777777" w:rsidR="0096121D" w:rsidRDefault="0096121D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76D9D" w14:textId="77777777" w:rsidR="00F22673" w:rsidRDefault="00F226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547D8" w14:textId="77777777" w:rsidR="00F22673" w:rsidRDefault="00F226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4B65B" w14:textId="77777777" w:rsidR="00F22673" w:rsidRDefault="00F22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FC3CB" w14:textId="77777777" w:rsidR="0096121D" w:rsidRDefault="0096121D" w:rsidP="00F43AD5">
      <w:pPr>
        <w:spacing w:after="0" w:line="240" w:lineRule="auto"/>
      </w:pPr>
      <w:r>
        <w:separator/>
      </w:r>
    </w:p>
  </w:footnote>
  <w:footnote w:type="continuationSeparator" w:id="0">
    <w:p w14:paraId="47A36EBD" w14:textId="77777777" w:rsidR="0096121D" w:rsidRDefault="0096121D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329F4" w14:textId="77777777" w:rsidR="00F22673" w:rsidRDefault="00F22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5FC1F" w14:textId="77777777" w:rsidR="00F22673" w:rsidRDefault="00F22673" w:rsidP="00F22673">
    <w:pPr>
      <w:pStyle w:val="Header"/>
      <w:jc w:val="right"/>
    </w:pPr>
    <w:sdt>
      <w:sdtPr>
        <w:id w:val="-739631374"/>
        <w:docPartObj>
          <w:docPartGallery w:val="Watermarks"/>
          <w:docPartUnique/>
        </w:docPartObj>
      </w:sdtPr>
      <w:sdtContent>
        <w:r>
          <w:rPr>
            <w:noProof/>
            <w:lang w:val="en-US"/>
          </w:rPr>
          <w:pict w14:anchorId="755D807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41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2975EF3B" wp14:editId="2C67663A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A3420B" w14:textId="77777777" w:rsidR="008A36CF" w:rsidRDefault="008A36CF" w:rsidP="00F43AD5">
    <w:pPr>
      <w:pStyle w:val="Header"/>
      <w:jc w:val="right"/>
    </w:pPr>
    <w:bookmarkStart w:id="5" w:name="_GoBack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2482A" w14:textId="77777777" w:rsidR="00F22673" w:rsidRDefault="00F226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6E0E5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B622CC"/>
    <w:multiLevelType w:val="hybridMultilevel"/>
    <w:tmpl w:val="2C263A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2E7C6C"/>
    <w:multiLevelType w:val="hybridMultilevel"/>
    <w:tmpl w:val="16D66C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C96155"/>
    <w:multiLevelType w:val="hybridMultilevel"/>
    <w:tmpl w:val="79CADD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42E6"/>
    <w:rsid w:val="00007B80"/>
    <w:rsid w:val="000114C2"/>
    <w:rsid w:val="00013A22"/>
    <w:rsid w:val="00014C3F"/>
    <w:rsid w:val="00017C82"/>
    <w:rsid w:val="000216A1"/>
    <w:rsid w:val="00032B88"/>
    <w:rsid w:val="00046DF5"/>
    <w:rsid w:val="00052060"/>
    <w:rsid w:val="0005574A"/>
    <w:rsid w:val="00055FE1"/>
    <w:rsid w:val="00056EC2"/>
    <w:rsid w:val="00060B48"/>
    <w:rsid w:val="00067F32"/>
    <w:rsid w:val="0007175B"/>
    <w:rsid w:val="00071807"/>
    <w:rsid w:val="000803E1"/>
    <w:rsid w:val="0008410F"/>
    <w:rsid w:val="00084513"/>
    <w:rsid w:val="00084859"/>
    <w:rsid w:val="00092D94"/>
    <w:rsid w:val="000B0868"/>
    <w:rsid w:val="000B34C1"/>
    <w:rsid w:val="000B3E12"/>
    <w:rsid w:val="000B3E78"/>
    <w:rsid w:val="000B7B48"/>
    <w:rsid w:val="000C096D"/>
    <w:rsid w:val="000C0F92"/>
    <w:rsid w:val="000C139A"/>
    <w:rsid w:val="000C2053"/>
    <w:rsid w:val="000C248C"/>
    <w:rsid w:val="000C3FCD"/>
    <w:rsid w:val="000C40FA"/>
    <w:rsid w:val="000D291C"/>
    <w:rsid w:val="000E5A54"/>
    <w:rsid w:val="000E63D3"/>
    <w:rsid w:val="000E67CF"/>
    <w:rsid w:val="000F4764"/>
    <w:rsid w:val="0010461E"/>
    <w:rsid w:val="00106FAA"/>
    <w:rsid w:val="00113443"/>
    <w:rsid w:val="00125A68"/>
    <w:rsid w:val="001269A7"/>
    <w:rsid w:val="00131092"/>
    <w:rsid w:val="00135DA5"/>
    <w:rsid w:val="00140320"/>
    <w:rsid w:val="00140E6A"/>
    <w:rsid w:val="00145E25"/>
    <w:rsid w:val="00146545"/>
    <w:rsid w:val="00146B75"/>
    <w:rsid w:val="0015266D"/>
    <w:rsid w:val="0015288A"/>
    <w:rsid w:val="00160F47"/>
    <w:rsid w:val="00177CA1"/>
    <w:rsid w:val="00183823"/>
    <w:rsid w:val="00183942"/>
    <w:rsid w:val="001A009E"/>
    <w:rsid w:val="001A1287"/>
    <w:rsid w:val="001A3190"/>
    <w:rsid w:val="001A3859"/>
    <w:rsid w:val="001A3C9D"/>
    <w:rsid w:val="001A43F8"/>
    <w:rsid w:val="001B523E"/>
    <w:rsid w:val="001B79E5"/>
    <w:rsid w:val="001C1FEA"/>
    <w:rsid w:val="001D56F0"/>
    <w:rsid w:val="001D663B"/>
    <w:rsid w:val="001D7B41"/>
    <w:rsid w:val="001E46DA"/>
    <w:rsid w:val="001E79C0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34F7C"/>
    <w:rsid w:val="00244AD1"/>
    <w:rsid w:val="002463BC"/>
    <w:rsid w:val="002465CE"/>
    <w:rsid w:val="0025734A"/>
    <w:rsid w:val="00263255"/>
    <w:rsid w:val="002740D1"/>
    <w:rsid w:val="00276494"/>
    <w:rsid w:val="00277B0C"/>
    <w:rsid w:val="0028542F"/>
    <w:rsid w:val="002B1A2C"/>
    <w:rsid w:val="002B69F9"/>
    <w:rsid w:val="002C34F2"/>
    <w:rsid w:val="002C58FF"/>
    <w:rsid w:val="002C7843"/>
    <w:rsid w:val="002C7AFE"/>
    <w:rsid w:val="002D05D2"/>
    <w:rsid w:val="002E0D61"/>
    <w:rsid w:val="002E296A"/>
    <w:rsid w:val="002E4C7B"/>
    <w:rsid w:val="002E70FF"/>
    <w:rsid w:val="0030212D"/>
    <w:rsid w:val="0030740C"/>
    <w:rsid w:val="00314820"/>
    <w:rsid w:val="00315833"/>
    <w:rsid w:val="003215EE"/>
    <w:rsid w:val="00321DBD"/>
    <w:rsid w:val="003224BF"/>
    <w:rsid w:val="003241A8"/>
    <w:rsid w:val="003253F0"/>
    <w:rsid w:val="003337DA"/>
    <w:rsid w:val="00334EFB"/>
    <w:rsid w:val="003357E9"/>
    <w:rsid w:val="00335CDE"/>
    <w:rsid w:val="003365A5"/>
    <w:rsid w:val="00342271"/>
    <w:rsid w:val="00347192"/>
    <w:rsid w:val="0034744C"/>
    <w:rsid w:val="00351FE0"/>
    <w:rsid w:val="00352615"/>
    <w:rsid w:val="0035412B"/>
    <w:rsid w:val="003567A8"/>
    <w:rsid w:val="00362895"/>
    <w:rsid w:val="00370DBF"/>
    <w:rsid w:val="0037403B"/>
    <w:rsid w:val="003807D4"/>
    <w:rsid w:val="00382119"/>
    <w:rsid w:val="00386093"/>
    <w:rsid w:val="003904A4"/>
    <w:rsid w:val="00391841"/>
    <w:rsid w:val="00391B6D"/>
    <w:rsid w:val="0039295F"/>
    <w:rsid w:val="00394922"/>
    <w:rsid w:val="003A0E32"/>
    <w:rsid w:val="003A2B94"/>
    <w:rsid w:val="003B387D"/>
    <w:rsid w:val="003C0D58"/>
    <w:rsid w:val="003C223E"/>
    <w:rsid w:val="003D4FA3"/>
    <w:rsid w:val="003E0807"/>
    <w:rsid w:val="003E51FB"/>
    <w:rsid w:val="003E57C0"/>
    <w:rsid w:val="003E6B39"/>
    <w:rsid w:val="003F07E1"/>
    <w:rsid w:val="003F72B0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CC7"/>
    <w:rsid w:val="00445E44"/>
    <w:rsid w:val="004509E2"/>
    <w:rsid w:val="004515EE"/>
    <w:rsid w:val="004529F0"/>
    <w:rsid w:val="00452DD3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137C"/>
    <w:rsid w:val="00493A35"/>
    <w:rsid w:val="0049527A"/>
    <w:rsid w:val="004966BF"/>
    <w:rsid w:val="00497984"/>
    <w:rsid w:val="00497D8B"/>
    <w:rsid w:val="004A49D6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33AA"/>
    <w:rsid w:val="005272E2"/>
    <w:rsid w:val="0053108F"/>
    <w:rsid w:val="00532B56"/>
    <w:rsid w:val="00534B10"/>
    <w:rsid w:val="005446A2"/>
    <w:rsid w:val="0054480E"/>
    <w:rsid w:val="00544D2F"/>
    <w:rsid w:val="00551BD8"/>
    <w:rsid w:val="00581055"/>
    <w:rsid w:val="00584B25"/>
    <w:rsid w:val="00591E38"/>
    <w:rsid w:val="00595C43"/>
    <w:rsid w:val="005A19C5"/>
    <w:rsid w:val="005A25BE"/>
    <w:rsid w:val="005A3034"/>
    <w:rsid w:val="005A462D"/>
    <w:rsid w:val="005B253B"/>
    <w:rsid w:val="005B771D"/>
    <w:rsid w:val="005C5D16"/>
    <w:rsid w:val="005D2911"/>
    <w:rsid w:val="005D3193"/>
    <w:rsid w:val="005D3F5A"/>
    <w:rsid w:val="005D4A6E"/>
    <w:rsid w:val="005D7F21"/>
    <w:rsid w:val="005E6979"/>
    <w:rsid w:val="005E75CB"/>
    <w:rsid w:val="006013C1"/>
    <w:rsid w:val="00602185"/>
    <w:rsid w:val="0060669E"/>
    <w:rsid w:val="00606C3B"/>
    <w:rsid w:val="00610F2E"/>
    <w:rsid w:val="00611399"/>
    <w:rsid w:val="00624C4E"/>
    <w:rsid w:val="00625200"/>
    <w:rsid w:val="006363A8"/>
    <w:rsid w:val="00636DB7"/>
    <w:rsid w:val="00642784"/>
    <w:rsid w:val="00650905"/>
    <w:rsid w:val="00652711"/>
    <w:rsid w:val="006532ED"/>
    <w:rsid w:val="006549F2"/>
    <w:rsid w:val="006567B7"/>
    <w:rsid w:val="00657BFB"/>
    <w:rsid w:val="0066333C"/>
    <w:rsid w:val="006639B4"/>
    <w:rsid w:val="006650FE"/>
    <w:rsid w:val="0067305D"/>
    <w:rsid w:val="006731F3"/>
    <w:rsid w:val="00677D9B"/>
    <w:rsid w:val="006867F3"/>
    <w:rsid w:val="00687890"/>
    <w:rsid w:val="006901A2"/>
    <w:rsid w:val="00690368"/>
    <w:rsid w:val="0069079C"/>
    <w:rsid w:val="00690B53"/>
    <w:rsid w:val="0069163E"/>
    <w:rsid w:val="00695B72"/>
    <w:rsid w:val="006B160A"/>
    <w:rsid w:val="006B4E6C"/>
    <w:rsid w:val="006B50B6"/>
    <w:rsid w:val="006B5D1E"/>
    <w:rsid w:val="006D286C"/>
    <w:rsid w:val="006D79EA"/>
    <w:rsid w:val="006E5D05"/>
    <w:rsid w:val="006E6E7F"/>
    <w:rsid w:val="006F5F13"/>
    <w:rsid w:val="00700F11"/>
    <w:rsid w:val="00701053"/>
    <w:rsid w:val="00701507"/>
    <w:rsid w:val="0070150B"/>
    <w:rsid w:val="00714021"/>
    <w:rsid w:val="00716A0F"/>
    <w:rsid w:val="00717D45"/>
    <w:rsid w:val="007208F7"/>
    <w:rsid w:val="007218AF"/>
    <w:rsid w:val="007365D1"/>
    <w:rsid w:val="00740E0E"/>
    <w:rsid w:val="00746445"/>
    <w:rsid w:val="00750212"/>
    <w:rsid w:val="00754779"/>
    <w:rsid w:val="00756EEB"/>
    <w:rsid w:val="0075716D"/>
    <w:rsid w:val="007653F9"/>
    <w:rsid w:val="00765F14"/>
    <w:rsid w:val="00770E31"/>
    <w:rsid w:val="007741B8"/>
    <w:rsid w:val="007770F1"/>
    <w:rsid w:val="00783FB1"/>
    <w:rsid w:val="00785CDD"/>
    <w:rsid w:val="00791847"/>
    <w:rsid w:val="007925F0"/>
    <w:rsid w:val="007939B3"/>
    <w:rsid w:val="00794700"/>
    <w:rsid w:val="0079509C"/>
    <w:rsid w:val="00796708"/>
    <w:rsid w:val="007A0323"/>
    <w:rsid w:val="007A2EEF"/>
    <w:rsid w:val="007B0106"/>
    <w:rsid w:val="007B1B42"/>
    <w:rsid w:val="007C30EB"/>
    <w:rsid w:val="007D7667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07138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66F4C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57A5"/>
    <w:rsid w:val="008B7983"/>
    <w:rsid w:val="008C2511"/>
    <w:rsid w:val="008D026D"/>
    <w:rsid w:val="008D1E79"/>
    <w:rsid w:val="008D23AB"/>
    <w:rsid w:val="008D4B8B"/>
    <w:rsid w:val="008D5A78"/>
    <w:rsid w:val="008E7B64"/>
    <w:rsid w:val="008F5DCD"/>
    <w:rsid w:val="00900951"/>
    <w:rsid w:val="00910E3F"/>
    <w:rsid w:val="009118A6"/>
    <w:rsid w:val="00916909"/>
    <w:rsid w:val="00916EC0"/>
    <w:rsid w:val="00920467"/>
    <w:rsid w:val="00921355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5E90"/>
    <w:rsid w:val="009578DD"/>
    <w:rsid w:val="00961124"/>
    <w:rsid w:val="0096121D"/>
    <w:rsid w:val="009621B6"/>
    <w:rsid w:val="0096769E"/>
    <w:rsid w:val="00973261"/>
    <w:rsid w:val="00974F2D"/>
    <w:rsid w:val="00977524"/>
    <w:rsid w:val="00977E88"/>
    <w:rsid w:val="00981A72"/>
    <w:rsid w:val="00984920"/>
    <w:rsid w:val="0099303A"/>
    <w:rsid w:val="009971C2"/>
    <w:rsid w:val="009A1254"/>
    <w:rsid w:val="009B2B51"/>
    <w:rsid w:val="009B2FF2"/>
    <w:rsid w:val="009B380C"/>
    <w:rsid w:val="009B4843"/>
    <w:rsid w:val="009B6543"/>
    <w:rsid w:val="009B75D9"/>
    <w:rsid w:val="009C199D"/>
    <w:rsid w:val="009C278F"/>
    <w:rsid w:val="009C2B94"/>
    <w:rsid w:val="009C5874"/>
    <w:rsid w:val="009D3B5A"/>
    <w:rsid w:val="009E0C05"/>
    <w:rsid w:val="009E0D1C"/>
    <w:rsid w:val="009E2214"/>
    <w:rsid w:val="009E2F95"/>
    <w:rsid w:val="009E355A"/>
    <w:rsid w:val="009E63E2"/>
    <w:rsid w:val="009F05CF"/>
    <w:rsid w:val="009F0F3A"/>
    <w:rsid w:val="009F1319"/>
    <w:rsid w:val="009F61BC"/>
    <w:rsid w:val="00A01D0C"/>
    <w:rsid w:val="00A0643F"/>
    <w:rsid w:val="00A067EE"/>
    <w:rsid w:val="00A10898"/>
    <w:rsid w:val="00A10FCE"/>
    <w:rsid w:val="00A11C6D"/>
    <w:rsid w:val="00A16D91"/>
    <w:rsid w:val="00A174CC"/>
    <w:rsid w:val="00A2073D"/>
    <w:rsid w:val="00A20751"/>
    <w:rsid w:val="00A237AE"/>
    <w:rsid w:val="00A27E2D"/>
    <w:rsid w:val="00A31D99"/>
    <w:rsid w:val="00A357BA"/>
    <w:rsid w:val="00A35ADC"/>
    <w:rsid w:val="00A402A3"/>
    <w:rsid w:val="00A53681"/>
    <w:rsid w:val="00A56BC0"/>
    <w:rsid w:val="00A633D4"/>
    <w:rsid w:val="00A6461A"/>
    <w:rsid w:val="00A75434"/>
    <w:rsid w:val="00A84504"/>
    <w:rsid w:val="00A8672F"/>
    <w:rsid w:val="00A93057"/>
    <w:rsid w:val="00A968B0"/>
    <w:rsid w:val="00A97ABF"/>
    <w:rsid w:val="00AB2672"/>
    <w:rsid w:val="00AB2817"/>
    <w:rsid w:val="00AB418D"/>
    <w:rsid w:val="00AB43C4"/>
    <w:rsid w:val="00AC32E7"/>
    <w:rsid w:val="00AC3A9F"/>
    <w:rsid w:val="00AC6D2F"/>
    <w:rsid w:val="00AE2745"/>
    <w:rsid w:val="00AE2F64"/>
    <w:rsid w:val="00AE3E53"/>
    <w:rsid w:val="00AF42CB"/>
    <w:rsid w:val="00AF483F"/>
    <w:rsid w:val="00AF5E07"/>
    <w:rsid w:val="00AF5F06"/>
    <w:rsid w:val="00B00A25"/>
    <w:rsid w:val="00B1422A"/>
    <w:rsid w:val="00B1765C"/>
    <w:rsid w:val="00B213C4"/>
    <w:rsid w:val="00B3240C"/>
    <w:rsid w:val="00B40C60"/>
    <w:rsid w:val="00B46BCB"/>
    <w:rsid w:val="00B479A9"/>
    <w:rsid w:val="00B52EDF"/>
    <w:rsid w:val="00B56213"/>
    <w:rsid w:val="00B629B6"/>
    <w:rsid w:val="00B64C86"/>
    <w:rsid w:val="00B71188"/>
    <w:rsid w:val="00B7242C"/>
    <w:rsid w:val="00B76A41"/>
    <w:rsid w:val="00B87D4C"/>
    <w:rsid w:val="00B93646"/>
    <w:rsid w:val="00BA0B38"/>
    <w:rsid w:val="00BA1DBB"/>
    <w:rsid w:val="00BA4510"/>
    <w:rsid w:val="00BA529A"/>
    <w:rsid w:val="00BB612A"/>
    <w:rsid w:val="00BC7BC1"/>
    <w:rsid w:val="00BD499F"/>
    <w:rsid w:val="00BD56DE"/>
    <w:rsid w:val="00BE6CA7"/>
    <w:rsid w:val="00BF2406"/>
    <w:rsid w:val="00C06E43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75FE1"/>
    <w:rsid w:val="00C850A0"/>
    <w:rsid w:val="00C85A86"/>
    <w:rsid w:val="00C906FB"/>
    <w:rsid w:val="00C978F0"/>
    <w:rsid w:val="00CA4F44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CF6CCD"/>
    <w:rsid w:val="00D048F7"/>
    <w:rsid w:val="00D0517E"/>
    <w:rsid w:val="00D10FBC"/>
    <w:rsid w:val="00D140FC"/>
    <w:rsid w:val="00D16393"/>
    <w:rsid w:val="00D21D8C"/>
    <w:rsid w:val="00D243AA"/>
    <w:rsid w:val="00D31357"/>
    <w:rsid w:val="00D33220"/>
    <w:rsid w:val="00D334D1"/>
    <w:rsid w:val="00D35339"/>
    <w:rsid w:val="00D44C89"/>
    <w:rsid w:val="00D516CD"/>
    <w:rsid w:val="00D668E6"/>
    <w:rsid w:val="00D70670"/>
    <w:rsid w:val="00D74D80"/>
    <w:rsid w:val="00D76624"/>
    <w:rsid w:val="00D87570"/>
    <w:rsid w:val="00D8774F"/>
    <w:rsid w:val="00D87AF4"/>
    <w:rsid w:val="00D91CB9"/>
    <w:rsid w:val="00D97989"/>
    <w:rsid w:val="00D97D8D"/>
    <w:rsid w:val="00DA352E"/>
    <w:rsid w:val="00DC7694"/>
    <w:rsid w:val="00DD1BF6"/>
    <w:rsid w:val="00DD2159"/>
    <w:rsid w:val="00DD2F9B"/>
    <w:rsid w:val="00DE0BA0"/>
    <w:rsid w:val="00DE2513"/>
    <w:rsid w:val="00DE26E8"/>
    <w:rsid w:val="00DF54FC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56584"/>
    <w:rsid w:val="00E60F04"/>
    <w:rsid w:val="00E62AAC"/>
    <w:rsid w:val="00E67C2F"/>
    <w:rsid w:val="00E67EF5"/>
    <w:rsid w:val="00E734BD"/>
    <w:rsid w:val="00E804EA"/>
    <w:rsid w:val="00E80A71"/>
    <w:rsid w:val="00E82337"/>
    <w:rsid w:val="00E85B5A"/>
    <w:rsid w:val="00E92499"/>
    <w:rsid w:val="00E931D9"/>
    <w:rsid w:val="00E949AF"/>
    <w:rsid w:val="00E96077"/>
    <w:rsid w:val="00EA0A06"/>
    <w:rsid w:val="00EA6174"/>
    <w:rsid w:val="00EA6243"/>
    <w:rsid w:val="00EA74AB"/>
    <w:rsid w:val="00EB1265"/>
    <w:rsid w:val="00EB32A6"/>
    <w:rsid w:val="00EB3D1B"/>
    <w:rsid w:val="00EC2DA0"/>
    <w:rsid w:val="00EC64D4"/>
    <w:rsid w:val="00EC7970"/>
    <w:rsid w:val="00ED1D89"/>
    <w:rsid w:val="00ED2403"/>
    <w:rsid w:val="00ED318E"/>
    <w:rsid w:val="00ED66BC"/>
    <w:rsid w:val="00EF233A"/>
    <w:rsid w:val="00EF303E"/>
    <w:rsid w:val="00EF3A40"/>
    <w:rsid w:val="00EF7F78"/>
    <w:rsid w:val="00F01B08"/>
    <w:rsid w:val="00F01C4D"/>
    <w:rsid w:val="00F053FA"/>
    <w:rsid w:val="00F102F7"/>
    <w:rsid w:val="00F10C97"/>
    <w:rsid w:val="00F11C71"/>
    <w:rsid w:val="00F16019"/>
    <w:rsid w:val="00F20E68"/>
    <w:rsid w:val="00F22093"/>
    <w:rsid w:val="00F221CD"/>
    <w:rsid w:val="00F22673"/>
    <w:rsid w:val="00F236DF"/>
    <w:rsid w:val="00F43AD5"/>
    <w:rsid w:val="00F4402E"/>
    <w:rsid w:val="00F56DD0"/>
    <w:rsid w:val="00F6491C"/>
    <w:rsid w:val="00F67BBB"/>
    <w:rsid w:val="00F77EA9"/>
    <w:rsid w:val="00F80946"/>
    <w:rsid w:val="00F87D92"/>
    <w:rsid w:val="00F90AA7"/>
    <w:rsid w:val="00F92498"/>
    <w:rsid w:val="00F9496B"/>
    <w:rsid w:val="00F970C9"/>
    <w:rsid w:val="00FA0365"/>
    <w:rsid w:val="00FA06A8"/>
    <w:rsid w:val="00FA3DF5"/>
    <w:rsid w:val="00FA5A57"/>
    <w:rsid w:val="00FA741F"/>
    <w:rsid w:val="00FB4E07"/>
    <w:rsid w:val="00FB6C23"/>
    <w:rsid w:val="00FB6FC4"/>
    <w:rsid w:val="00FB755A"/>
    <w:rsid w:val="00FC60A2"/>
    <w:rsid w:val="00FC65C6"/>
    <w:rsid w:val="00FD1871"/>
    <w:rsid w:val="00FD3110"/>
    <w:rsid w:val="00FD7AB5"/>
    <w:rsid w:val="00FF5C3D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4:docId w14:val="3DDFF539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D243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43A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43A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3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3AA"/>
    <w:rPr>
      <w:b/>
      <w:bCs/>
      <w:szCs w:val="20"/>
    </w:rPr>
  </w:style>
  <w:style w:type="paragraph" w:styleId="ListBullet">
    <w:name w:val="List Bullet"/>
    <w:basedOn w:val="Normal"/>
    <w:uiPriority w:val="99"/>
    <w:unhideWhenUsed/>
    <w:rsid w:val="00AE3E53"/>
    <w:pPr>
      <w:tabs>
        <w:tab w:val="num" w:pos="360"/>
      </w:tabs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8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cgih.org/tlv-bei-guidelines/policies-procedures-presentation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8DD754E365844A4E82EC69A07E229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DDB53-9FC4-45A7-A37C-FDECC7AE23CB}"/>
      </w:docPartPr>
      <w:docPartBody>
        <w:p w:rsidR="00D21A9F" w:rsidRDefault="00D21A9F">
          <w:pPr>
            <w:pStyle w:val="8DD754E365844A4E82EC69A07E229629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F632E8470FF6478AADF262B5AEF8E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FF945-91D8-4903-8F98-6932D03FC9B0}"/>
      </w:docPartPr>
      <w:docPartBody>
        <w:p w:rsidR="00453274" w:rsidRDefault="00A23841" w:rsidP="00A23841">
          <w:pPr>
            <w:pStyle w:val="F632E8470FF6478AADF262B5AEF8EA78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000E25"/>
    <w:rsid w:val="00453274"/>
    <w:rsid w:val="007A50F1"/>
    <w:rsid w:val="00A23841"/>
    <w:rsid w:val="00AF6FE4"/>
    <w:rsid w:val="00D21A9F"/>
    <w:rsid w:val="00EA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3841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5533386C981E409580974A214FD6AB19">
    <w:name w:val="5533386C981E409580974A214FD6AB19"/>
    <w:rsid w:val="007A50F1"/>
  </w:style>
  <w:style w:type="paragraph" w:customStyle="1" w:styleId="22E241FDCF664A82825CEA7026E7C477">
    <w:name w:val="22E241FDCF664A82825CEA7026E7C477"/>
    <w:rsid w:val="007A50F1"/>
  </w:style>
  <w:style w:type="paragraph" w:customStyle="1" w:styleId="DE6B55211DD44DBA990F6E47774627EC">
    <w:name w:val="DE6B55211DD44DBA990F6E47774627EC"/>
    <w:rsid w:val="007A50F1"/>
  </w:style>
  <w:style w:type="paragraph" w:customStyle="1" w:styleId="F632E8470FF6478AADF262B5AEF8EA78">
    <w:name w:val="F632E8470FF6478AADF262B5AEF8EA78"/>
    <w:rsid w:val="00A238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58DC7-44BE-41D2-939B-5525828C1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6FD3B4-E5FF-44D0-A85D-1656AEB7AF7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bf54d604-3e62-4e70-ba33-9e9084b96a66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C8D1FD-1B3B-4407-A206-CE340EC60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5DD3B597.dotm</Template>
  <TotalTime>10</TotalTime>
  <Pages>5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8</cp:revision>
  <cp:lastPrinted>2018-10-22T22:41:00Z</cp:lastPrinted>
  <dcterms:created xsi:type="dcterms:W3CDTF">2019-09-19T02:09:00Z</dcterms:created>
  <dcterms:modified xsi:type="dcterms:W3CDTF">2019-09-24T02:04:00Z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