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3B25FB65" w14:textId="59F7739A" w:rsidR="00BD499F" w:rsidRPr="007C2337" w:rsidRDefault="00AE3EAF" w:rsidP="00B40C60">
          <w:pPr>
            <w:pStyle w:val="Heading1"/>
            <w:jc w:val="center"/>
            <w:rPr>
              <w:rFonts w:ascii="Arial" w:hAnsi="Arial" w:cs="Arial"/>
            </w:rPr>
          </w:pPr>
          <w:r w:rsidRPr="007C2337">
            <w:rPr>
              <w:rFonts w:ascii="Arial" w:hAnsi="Arial" w:cs="Arial"/>
            </w:rPr>
            <w:t>Calcium carbonate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8"/>
        <w:gridCol w:w="5038"/>
      </w:tblGrid>
      <w:tr w:rsidR="00F43AD5" w:rsidRPr="007C2337" w14:paraId="3794DDF6" w14:textId="77777777" w:rsidTr="00B76A41">
        <w:trPr>
          <w:cantSplit/>
          <w:tblHeader/>
        </w:trPr>
        <w:tc>
          <w:tcPr>
            <w:tcW w:w="4077" w:type="dxa"/>
          </w:tcPr>
          <w:p w14:paraId="3B2A3858" w14:textId="77777777" w:rsidR="00F43AD5" w:rsidRPr="007C2337" w:rsidRDefault="00CB1CB1" w:rsidP="00B76A41">
            <w:pPr>
              <w:pStyle w:val="Tablerowright"/>
            </w:pPr>
            <w:r w:rsidRPr="007C2337">
              <w:t>CAS number:</w:t>
            </w:r>
          </w:p>
        </w:tc>
        <w:tc>
          <w:tcPr>
            <w:tcW w:w="5165" w:type="dxa"/>
          </w:tcPr>
          <w:p w14:paraId="5DC05BF6" w14:textId="2864247F" w:rsidR="00F43AD5" w:rsidRPr="007C2337" w:rsidRDefault="0015352D" w:rsidP="00B76A41">
            <w:pPr>
              <w:pStyle w:val="Tablefont"/>
            </w:pPr>
            <w:r w:rsidRPr="007C2337">
              <w:t>471-34-1</w:t>
            </w:r>
          </w:p>
        </w:tc>
      </w:tr>
      <w:tr w:rsidR="00F43AD5" w:rsidRPr="007C2337" w14:paraId="161CD2EA" w14:textId="77777777" w:rsidTr="00B76A41">
        <w:trPr>
          <w:cantSplit/>
        </w:trPr>
        <w:tc>
          <w:tcPr>
            <w:tcW w:w="4077" w:type="dxa"/>
          </w:tcPr>
          <w:p w14:paraId="6513E7ED" w14:textId="77777777" w:rsidR="00F43AD5" w:rsidRPr="007C2337" w:rsidRDefault="00CB1CB1" w:rsidP="00B76A41">
            <w:pPr>
              <w:pStyle w:val="Tablerowright"/>
            </w:pPr>
            <w:r w:rsidRPr="007C2337">
              <w:t>Synonyms:</w:t>
            </w:r>
          </w:p>
        </w:tc>
        <w:tc>
          <w:tcPr>
            <w:tcW w:w="5165" w:type="dxa"/>
          </w:tcPr>
          <w:p w14:paraId="47B56CD4" w14:textId="3414F16C" w:rsidR="00F43AD5" w:rsidRPr="007C2337" w:rsidRDefault="0015352D" w:rsidP="00B76A41">
            <w:pPr>
              <w:pStyle w:val="Tablefont"/>
            </w:pPr>
            <w:r w:rsidRPr="007C2337">
              <w:t>Limestone, marble, whiting</w:t>
            </w:r>
            <w:r w:rsidR="00595CDA" w:rsidRPr="007C2337">
              <w:t xml:space="preserve">, </w:t>
            </w:r>
            <w:r w:rsidR="00932084" w:rsidRPr="007C2337">
              <w:br/>
            </w:r>
            <w:r w:rsidR="00595CDA" w:rsidRPr="007C2337">
              <w:t>carbon acid calcium salt</w:t>
            </w:r>
            <w:r w:rsidR="0029629D" w:rsidRPr="007C2337">
              <w:t xml:space="preserve"> (1:1)</w:t>
            </w:r>
            <w:r w:rsidR="00595CDA" w:rsidRPr="007C2337">
              <w:t xml:space="preserve">, </w:t>
            </w:r>
            <w:proofErr w:type="spellStart"/>
            <w:r w:rsidR="00595CDA" w:rsidRPr="007C2337">
              <w:t>atomite</w:t>
            </w:r>
            <w:proofErr w:type="spellEnd"/>
            <w:r w:rsidR="00595CDA" w:rsidRPr="007C2337">
              <w:t xml:space="preserve">, </w:t>
            </w:r>
            <w:proofErr w:type="spellStart"/>
            <w:r w:rsidR="00595CDA" w:rsidRPr="007C2337">
              <w:t>aragomite</w:t>
            </w:r>
            <w:proofErr w:type="spellEnd"/>
            <w:r w:rsidR="00595CDA" w:rsidRPr="007C2337">
              <w:t>, calcite, chalk</w:t>
            </w:r>
          </w:p>
        </w:tc>
      </w:tr>
      <w:tr w:rsidR="00F43AD5" w:rsidRPr="007C2337" w14:paraId="18A06476" w14:textId="77777777" w:rsidTr="00B76A41">
        <w:trPr>
          <w:cantSplit/>
        </w:trPr>
        <w:tc>
          <w:tcPr>
            <w:tcW w:w="4077" w:type="dxa"/>
          </w:tcPr>
          <w:p w14:paraId="6AD422F0" w14:textId="77777777" w:rsidR="00F43AD5" w:rsidRPr="007C2337" w:rsidRDefault="00CB1CB1" w:rsidP="00B76A41">
            <w:pPr>
              <w:pStyle w:val="Tablerowright"/>
            </w:pPr>
            <w:r w:rsidRPr="007C2337">
              <w:t>Chemical formula:</w:t>
            </w:r>
          </w:p>
        </w:tc>
        <w:tc>
          <w:tcPr>
            <w:tcW w:w="5165" w:type="dxa"/>
          </w:tcPr>
          <w:p w14:paraId="674D3969" w14:textId="4D8DBBFF" w:rsidR="00F43AD5" w:rsidRPr="007C2337" w:rsidRDefault="00D65ED8" w:rsidP="00B76A41">
            <w:pPr>
              <w:pStyle w:val="Tablefont"/>
            </w:pPr>
            <w:r w:rsidRPr="007C2337">
              <w:t>CaCO</w:t>
            </w:r>
            <w:r w:rsidRPr="007C2337">
              <w:rPr>
                <w:vertAlign w:val="subscript"/>
              </w:rPr>
              <w:t>3</w:t>
            </w:r>
          </w:p>
        </w:tc>
      </w:tr>
      <w:tr w:rsidR="00F43AD5" w:rsidRPr="007C2337" w14:paraId="0AF21777" w14:textId="77777777" w:rsidTr="00B76A41">
        <w:trPr>
          <w:cantSplit/>
        </w:trPr>
        <w:tc>
          <w:tcPr>
            <w:tcW w:w="4077" w:type="dxa"/>
          </w:tcPr>
          <w:p w14:paraId="5C3ACB3F" w14:textId="77777777" w:rsidR="00F43AD5" w:rsidRPr="007C2337" w:rsidRDefault="00CB1CB1" w:rsidP="00B76A41">
            <w:pPr>
              <w:pStyle w:val="Tablerowright"/>
            </w:pPr>
            <w:r w:rsidRPr="007C2337">
              <w:t>Structural formula:</w:t>
            </w:r>
          </w:p>
        </w:tc>
        <w:tc>
          <w:tcPr>
            <w:tcW w:w="5165" w:type="dxa"/>
          </w:tcPr>
          <w:p w14:paraId="56941B8F" w14:textId="77777777" w:rsidR="00F43AD5" w:rsidRPr="007C2337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14:paraId="047AF3E5" w14:textId="578D4887" w:rsidR="00AE2745" w:rsidRPr="007C2337" w:rsidRDefault="00AE2745" w:rsidP="00AE2745">
      <w:pPr>
        <w:pStyle w:val="WES"/>
        <w:tabs>
          <w:tab w:val="left" w:pos="2041"/>
        </w:tabs>
      </w:pPr>
      <w:r w:rsidRPr="007C2337">
        <w:tab/>
        <w:t xml:space="preserve">Workplace exposure standard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5E1E54" w:rsidRPr="007C2337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7C2337" w14:paraId="610BC202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7BEB4C7D" w14:textId="77777777" w:rsidR="002C7AFE" w:rsidRPr="007C2337" w:rsidRDefault="00921DE7" w:rsidP="00921DE7">
            <w:pPr>
              <w:pStyle w:val="Tablerowright"/>
            </w:pPr>
            <w:r w:rsidRPr="007C2337">
              <w:t>TWA:</w:t>
            </w:r>
          </w:p>
        </w:tc>
        <w:tc>
          <w:tcPr>
            <w:tcW w:w="5165" w:type="dxa"/>
          </w:tcPr>
          <w:p w14:paraId="0CE24F60" w14:textId="0C8CAF3A" w:rsidR="002C7AFE" w:rsidRPr="007C2337" w:rsidRDefault="005E1E54" w:rsidP="00017C82">
            <w:pPr>
              <w:pStyle w:val="Tablefont"/>
              <w:rPr>
                <w:b/>
              </w:rPr>
            </w:pPr>
            <w:r w:rsidRPr="007C2337">
              <w:rPr>
                <w:b/>
              </w:rPr>
              <w:t>10 mg/m</w:t>
            </w:r>
            <w:r w:rsidRPr="007C2337">
              <w:rPr>
                <w:b/>
                <w:vertAlign w:val="superscript"/>
              </w:rPr>
              <w:t>3</w:t>
            </w:r>
          </w:p>
        </w:tc>
      </w:tr>
      <w:tr w:rsidR="002C7AFE" w:rsidRPr="007C2337" w14:paraId="5AADC67C" w14:textId="77777777" w:rsidTr="00921DE7">
        <w:trPr>
          <w:cantSplit/>
        </w:trPr>
        <w:tc>
          <w:tcPr>
            <w:tcW w:w="4077" w:type="dxa"/>
            <w:vAlign w:val="center"/>
          </w:tcPr>
          <w:p w14:paraId="1B1EA00B" w14:textId="77777777" w:rsidR="002C7AFE" w:rsidRPr="007C2337" w:rsidRDefault="002C7AFE" w:rsidP="00921DE7">
            <w:pPr>
              <w:pStyle w:val="Tablerowright"/>
            </w:pPr>
            <w:r w:rsidRPr="007C2337">
              <w:t>STEL</w:t>
            </w:r>
            <w:r w:rsidR="00921DE7" w:rsidRPr="007C2337">
              <w:t>:</w:t>
            </w:r>
          </w:p>
        </w:tc>
        <w:tc>
          <w:tcPr>
            <w:tcW w:w="5165" w:type="dxa"/>
          </w:tcPr>
          <w:p w14:paraId="00EE8D42" w14:textId="054A78F6" w:rsidR="002C7AFE" w:rsidRPr="007C2337" w:rsidRDefault="00A80678" w:rsidP="00017C82">
            <w:pPr>
              <w:pStyle w:val="Tablefont"/>
              <w:rPr>
                <w:b/>
              </w:rPr>
            </w:pPr>
            <w:r w:rsidRPr="007C2337">
              <w:rPr>
                <w:b/>
              </w:rPr>
              <w:t>—</w:t>
            </w:r>
          </w:p>
        </w:tc>
      </w:tr>
      <w:tr w:rsidR="002C7AFE" w:rsidRPr="007C2337" w14:paraId="711B0F1C" w14:textId="77777777" w:rsidTr="00921DE7">
        <w:trPr>
          <w:cantSplit/>
        </w:trPr>
        <w:tc>
          <w:tcPr>
            <w:tcW w:w="4077" w:type="dxa"/>
            <w:vAlign w:val="center"/>
          </w:tcPr>
          <w:p w14:paraId="57A47503" w14:textId="77777777" w:rsidR="002C7AFE" w:rsidRPr="007C2337" w:rsidRDefault="00921DE7" w:rsidP="00921DE7">
            <w:pPr>
              <w:pStyle w:val="Tablerowright"/>
            </w:pPr>
            <w:r w:rsidRPr="007C2337">
              <w:t>Peak limitation:</w:t>
            </w:r>
          </w:p>
        </w:tc>
        <w:tc>
          <w:tcPr>
            <w:tcW w:w="5165" w:type="dxa"/>
          </w:tcPr>
          <w:p w14:paraId="5B29E3F5" w14:textId="150F2DDE" w:rsidR="002C7AFE" w:rsidRPr="007C2337" w:rsidRDefault="00A80678" w:rsidP="00017C82">
            <w:pPr>
              <w:pStyle w:val="Tablefont"/>
              <w:rPr>
                <w:b/>
              </w:rPr>
            </w:pPr>
            <w:r w:rsidRPr="007C2337">
              <w:rPr>
                <w:b/>
              </w:rPr>
              <w:t>—</w:t>
            </w:r>
          </w:p>
        </w:tc>
      </w:tr>
      <w:tr w:rsidR="002C7AFE" w:rsidRPr="007C2337" w14:paraId="00CA665D" w14:textId="77777777" w:rsidTr="00A2073D">
        <w:trPr>
          <w:cantSplit/>
        </w:trPr>
        <w:tc>
          <w:tcPr>
            <w:tcW w:w="4077" w:type="dxa"/>
          </w:tcPr>
          <w:p w14:paraId="361F8E99" w14:textId="77777777" w:rsidR="002C7AFE" w:rsidRPr="007C2337" w:rsidRDefault="00A2073D" w:rsidP="003241A8">
            <w:pPr>
              <w:pStyle w:val="Tablerowright"/>
            </w:pPr>
            <w:r w:rsidRPr="007C2337">
              <w:rPr>
                <w:b w:val="0"/>
                <w:bCs/>
                <w:color w:val="000000" w:themeColor="text1"/>
              </w:rPr>
              <w:tab/>
            </w:r>
            <w:r w:rsidR="00921DE7" w:rsidRPr="007C2337">
              <w:t>Notations:</w:t>
            </w:r>
          </w:p>
        </w:tc>
        <w:tc>
          <w:tcPr>
            <w:tcW w:w="5165" w:type="dxa"/>
          </w:tcPr>
          <w:p w14:paraId="73AE4CEF" w14:textId="160AEA42" w:rsidR="002C7AFE" w:rsidRPr="007C2337" w:rsidRDefault="00A80678" w:rsidP="008A36CF">
            <w:pPr>
              <w:pStyle w:val="Tablefont"/>
              <w:rPr>
                <w:b/>
              </w:rPr>
            </w:pPr>
            <w:r w:rsidRPr="007C2337">
              <w:rPr>
                <w:b/>
              </w:rPr>
              <w:t>—</w:t>
            </w:r>
          </w:p>
        </w:tc>
      </w:tr>
      <w:tr w:rsidR="002C7AFE" w:rsidRPr="007C2337" w14:paraId="6718D202" w14:textId="77777777" w:rsidTr="00921DE7">
        <w:trPr>
          <w:cantSplit/>
        </w:trPr>
        <w:tc>
          <w:tcPr>
            <w:tcW w:w="4077" w:type="dxa"/>
            <w:vAlign w:val="center"/>
          </w:tcPr>
          <w:p w14:paraId="6FC5A2DF" w14:textId="77777777" w:rsidR="00F10C97" w:rsidRPr="007C2337" w:rsidRDefault="00921DE7" w:rsidP="009F04D2">
            <w:pPr>
              <w:pStyle w:val="Tablerowright"/>
            </w:pPr>
            <w:r w:rsidRPr="007C2337">
              <w:t>IDLH:</w:t>
            </w:r>
          </w:p>
        </w:tc>
        <w:tc>
          <w:tcPr>
            <w:tcW w:w="5165" w:type="dxa"/>
          </w:tcPr>
          <w:p w14:paraId="0C0641D9" w14:textId="025F4F7B" w:rsidR="002C7AFE" w:rsidRPr="007C2337" w:rsidRDefault="00A80678" w:rsidP="00017C82">
            <w:pPr>
              <w:pStyle w:val="Tablefont"/>
              <w:rPr>
                <w:b/>
              </w:rPr>
            </w:pPr>
            <w:r w:rsidRPr="007C2337">
              <w:rPr>
                <w:b/>
              </w:rPr>
              <w:t>—</w:t>
            </w:r>
          </w:p>
        </w:tc>
      </w:tr>
      <w:tr w:rsidR="009F04D2" w:rsidRPr="007C2337" w14:paraId="334E5539" w14:textId="77777777" w:rsidTr="00936B00">
        <w:trPr>
          <w:cantSplit/>
        </w:trPr>
        <w:tc>
          <w:tcPr>
            <w:tcW w:w="4077" w:type="dxa"/>
          </w:tcPr>
          <w:p w14:paraId="3E3D8F10" w14:textId="77777777" w:rsidR="009F04D2" w:rsidRPr="007C2337" w:rsidRDefault="009F04D2" w:rsidP="00936B00">
            <w:pPr>
              <w:pStyle w:val="Tablerowright"/>
            </w:pPr>
            <w:r w:rsidRPr="007C2337">
              <w:t>Sampling and analysis:</w:t>
            </w:r>
          </w:p>
        </w:tc>
        <w:tc>
          <w:tcPr>
            <w:tcW w:w="5165" w:type="dxa"/>
          </w:tcPr>
          <w:p w14:paraId="5AA627B6" w14:textId="4FBC472D" w:rsidR="009F04D2" w:rsidRPr="00936B00" w:rsidRDefault="00936B00" w:rsidP="00936B00">
            <w:pPr>
              <w:pStyle w:val="Tablerowright"/>
              <w:jc w:val="left"/>
              <w:rPr>
                <w:b w:val="0"/>
              </w:rPr>
            </w:pPr>
            <w:r w:rsidRPr="00936B00">
              <w:rPr>
                <w:b w:val="0"/>
              </w:rPr>
              <w:t>The recommended value is quantifiable through available sampling and analysis techniques</w:t>
            </w:r>
            <w:r w:rsidR="000165C7">
              <w:rPr>
                <w:b w:val="0"/>
              </w:rPr>
              <w:t>.</w:t>
            </w:r>
            <w:r w:rsidR="002471D9" w:rsidRPr="00936B00">
              <w:rPr>
                <w:b w:val="0"/>
              </w:rPr>
              <w:t xml:space="preserve"> </w:t>
            </w:r>
          </w:p>
        </w:tc>
      </w:tr>
    </w:tbl>
    <w:p w14:paraId="5F2838F5" w14:textId="77777777" w:rsidR="00CB1CB1" w:rsidRPr="007C2337" w:rsidRDefault="00F10C97" w:rsidP="003365A5">
      <w:pPr>
        <w:pStyle w:val="Heading2"/>
      </w:pPr>
      <w:r w:rsidRPr="007C2337">
        <w:t>Recommendation and basis for workplace exposure standard</w:t>
      </w:r>
    </w:p>
    <w:p w14:paraId="251DF343" w14:textId="24329090" w:rsidR="006639B4" w:rsidRPr="007C2337" w:rsidRDefault="001A1BCA" w:rsidP="000C139A">
      <w:pPr>
        <w:rPr>
          <w:rFonts w:cs="Arial"/>
        </w:rPr>
      </w:pPr>
      <w:r w:rsidRPr="007C2337">
        <w:rPr>
          <w:rFonts w:cs="Arial"/>
        </w:rPr>
        <w:t>The TWA of 10 mg/m</w:t>
      </w:r>
      <w:r w:rsidRPr="007C2337">
        <w:rPr>
          <w:rFonts w:cs="Arial"/>
          <w:vertAlign w:val="superscript"/>
        </w:rPr>
        <w:t>3</w:t>
      </w:r>
      <w:r w:rsidRPr="007C2337">
        <w:rPr>
          <w:rFonts w:cs="Arial"/>
        </w:rPr>
        <w:t xml:space="preserve"> is recommended to reduce the risk of irritation and nuisance effects in exposed workers.</w:t>
      </w:r>
    </w:p>
    <w:p w14:paraId="090A062B" w14:textId="77777777" w:rsidR="00C7155E" w:rsidRPr="007C2337" w:rsidRDefault="00F10C97" w:rsidP="003365A5">
      <w:pPr>
        <w:pStyle w:val="Heading2"/>
      </w:pPr>
      <w:r w:rsidRPr="007C2337">
        <w:t>Discussion and conclusions</w:t>
      </w:r>
    </w:p>
    <w:p w14:paraId="40B1C857" w14:textId="315584F4" w:rsidR="00932084" w:rsidRPr="007C2337" w:rsidRDefault="001A1BCA" w:rsidP="000165C7">
      <w:pPr>
        <w:pStyle w:val="Tabletextprimarysource"/>
        <w:spacing w:before="0" w:after="120" w:line="276" w:lineRule="auto"/>
        <w:rPr>
          <w:rFonts w:cs="Arial"/>
        </w:rPr>
      </w:pPr>
      <w:r w:rsidRPr="007C2337">
        <w:rPr>
          <w:rFonts w:cs="Arial"/>
        </w:rPr>
        <w:t xml:space="preserve">Calcium carbonate is </w:t>
      </w:r>
      <w:r w:rsidRPr="007C2337">
        <w:t>primarily used in the manufacture of quicklime and Portland cement</w:t>
      </w:r>
      <w:r w:rsidR="007C2337">
        <w:t>. It</w:t>
      </w:r>
      <w:r w:rsidRPr="007C2337">
        <w:t xml:space="preserve"> is </w:t>
      </w:r>
      <w:r w:rsidRPr="007C2337">
        <w:rPr>
          <w:rFonts w:cs="Arial"/>
        </w:rPr>
        <w:t>of low acute and chronic toxicity.</w:t>
      </w:r>
      <w:r w:rsidR="00DA5CEB" w:rsidRPr="007C2337">
        <w:rPr>
          <w:rFonts w:cs="Arial"/>
        </w:rPr>
        <w:t xml:space="preserve"> </w:t>
      </w:r>
      <w:r w:rsidR="00932084" w:rsidRPr="007C2337">
        <w:rPr>
          <w:rFonts w:cs="Arial"/>
        </w:rPr>
        <w:t>A risk of silicosis exists if quartz is present in airborne lime dust concentrations.</w:t>
      </w:r>
    </w:p>
    <w:p w14:paraId="609B5545" w14:textId="3CC6D04C" w:rsidR="006639B4" w:rsidRPr="007C2337" w:rsidRDefault="001A1BCA" w:rsidP="000165C7">
      <w:pPr>
        <w:pStyle w:val="Tabletextprimarysource"/>
        <w:spacing w:before="0" w:after="120" w:line="276" w:lineRule="auto"/>
        <w:rPr>
          <w:rFonts w:cs="Arial"/>
        </w:rPr>
      </w:pPr>
      <w:r w:rsidRPr="007C2337">
        <w:rPr>
          <w:rFonts w:cs="Arial"/>
        </w:rPr>
        <w:t>Limited evidence</w:t>
      </w:r>
      <w:r w:rsidR="0050689F" w:rsidRPr="007C2337">
        <w:rPr>
          <w:rFonts w:cs="Arial"/>
        </w:rPr>
        <w:t xml:space="preserve"> </w:t>
      </w:r>
      <w:r w:rsidR="00637F86" w:rsidRPr="007C2337">
        <w:rPr>
          <w:rFonts w:cs="Arial"/>
        </w:rPr>
        <w:t xml:space="preserve">exists </w:t>
      </w:r>
      <w:r w:rsidR="00932084" w:rsidRPr="007C2337">
        <w:rPr>
          <w:rFonts w:cs="Arial"/>
        </w:rPr>
        <w:t>to establish a</w:t>
      </w:r>
      <w:r w:rsidR="0050689F" w:rsidRPr="007C2337">
        <w:rPr>
          <w:rFonts w:cs="Arial"/>
        </w:rPr>
        <w:t xml:space="preserve"> dose-response</w:t>
      </w:r>
      <w:r w:rsidRPr="007C2337">
        <w:rPr>
          <w:rFonts w:cs="Arial"/>
        </w:rPr>
        <w:t xml:space="preserve"> in humans</w:t>
      </w:r>
      <w:r w:rsidR="00637F86" w:rsidRPr="007C2337">
        <w:rPr>
          <w:rFonts w:cs="Arial"/>
        </w:rPr>
        <w:t>.</w:t>
      </w:r>
      <w:r w:rsidR="00DA5CEB" w:rsidRPr="007C2337">
        <w:rPr>
          <w:rFonts w:cs="Arial"/>
        </w:rPr>
        <w:t xml:space="preserve"> </w:t>
      </w:r>
      <w:r w:rsidR="00A45098" w:rsidRPr="007C2337">
        <w:rPr>
          <w:rFonts w:cs="Arial"/>
        </w:rPr>
        <w:t xml:space="preserve">One study </w:t>
      </w:r>
      <w:r w:rsidR="0050689F" w:rsidRPr="007C2337">
        <w:rPr>
          <w:rFonts w:cs="Arial"/>
        </w:rPr>
        <w:t xml:space="preserve">in workers presented evidence for a potential association with development of bronchitis </w:t>
      </w:r>
      <w:r w:rsidR="005F5A59" w:rsidRPr="007C2337">
        <w:rPr>
          <w:rFonts w:cs="Arial"/>
        </w:rPr>
        <w:t>following</w:t>
      </w:r>
      <w:r w:rsidR="0050689F" w:rsidRPr="007C2337">
        <w:rPr>
          <w:rFonts w:cs="Arial"/>
        </w:rPr>
        <w:t xml:space="preserve"> </w:t>
      </w:r>
      <w:r w:rsidR="00A45098" w:rsidRPr="007C2337">
        <w:rPr>
          <w:rFonts w:cs="Arial"/>
        </w:rPr>
        <w:t>exposure</w:t>
      </w:r>
      <w:r w:rsidR="005F5A59" w:rsidRPr="007C2337">
        <w:rPr>
          <w:rFonts w:cs="Arial"/>
        </w:rPr>
        <w:t xml:space="preserve"> to lime dust</w:t>
      </w:r>
      <w:r w:rsidR="00932084" w:rsidRPr="007C2337">
        <w:rPr>
          <w:rFonts w:cs="Arial"/>
        </w:rPr>
        <w:t>;</w:t>
      </w:r>
      <w:r w:rsidR="00A45098" w:rsidRPr="007C2337">
        <w:rPr>
          <w:rFonts w:cs="Arial"/>
        </w:rPr>
        <w:t xml:space="preserve"> while no respiratory effects associated with </w:t>
      </w:r>
      <w:r w:rsidR="005F5A59" w:rsidRPr="007C2337">
        <w:rPr>
          <w:rFonts w:cs="Arial"/>
        </w:rPr>
        <w:t>occupational exposure</w:t>
      </w:r>
      <w:r w:rsidR="007C2337" w:rsidRPr="007C2337">
        <w:rPr>
          <w:rFonts w:cs="Arial"/>
        </w:rPr>
        <w:t xml:space="preserve"> </w:t>
      </w:r>
      <w:r w:rsidR="007C2337">
        <w:rPr>
          <w:rFonts w:cs="Arial"/>
        </w:rPr>
        <w:t xml:space="preserve">in </w:t>
      </w:r>
      <w:r w:rsidR="007C2337" w:rsidRPr="007C2337">
        <w:rPr>
          <w:rFonts w:cs="Arial"/>
        </w:rPr>
        <w:t>another study</w:t>
      </w:r>
      <w:r w:rsidR="005F5A59" w:rsidRPr="007C2337">
        <w:rPr>
          <w:rFonts w:cs="Arial"/>
        </w:rPr>
        <w:t>.</w:t>
      </w:r>
      <w:r w:rsidR="00DA5CEB" w:rsidRPr="007C2337">
        <w:rPr>
          <w:rFonts w:cs="Arial"/>
        </w:rPr>
        <w:t xml:space="preserve"> </w:t>
      </w:r>
      <w:r w:rsidR="005F5A59" w:rsidRPr="007C2337">
        <w:rPr>
          <w:rFonts w:cs="Arial"/>
        </w:rPr>
        <w:t>HC</w:t>
      </w:r>
      <w:r w:rsidR="00FF5FF1" w:rsidRPr="007C2337">
        <w:rPr>
          <w:rFonts w:cs="Arial"/>
        </w:rPr>
        <w:t>OT</w:t>
      </w:r>
      <w:r w:rsidR="005F5A59" w:rsidRPr="007C2337">
        <w:rPr>
          <w:rFonts w:cs="Arial"/>
        </w:rPr>
        <w:t xml:space="preserve">N (2003) </w:t>
      </w:r>
      <w:r w:rsidR="00932084" w:rsidRPr="007C2337">
        <w:rPr>
          <w:rFonts w:cs="Arial"/>
        </w:rPr>
        <w:t>considers</w:t>
      </w:r>
      <w:r w:rsidR="005F5A59" w:rsidRPr="007C2337">
        <w:rPr>
          <w:rFonts w:cs="Arial"/>
        </w:rPr>
        <w:t xml:space="preserve"> the toxicological database to be insufficient to derive a health-based TWA and have based their recommended </w:t>
      </w:r>
      <w:r w:rsidR="005F5A59" w:rsidRPr="007C2337">
        <w:t xml:space="preserve">administrative </w:t>
      </w:r>
      <w:r w:rsidR="007C2337">
        <w:t>OEL</w:t>
      </w:r>
      <w:r w:rsidR="005F5A59" w:rsidRPr="007C2337">
        <w:t xml:space="preserve"> on nuisance dust</w:t>
      </w:r>
      <w:r w:rsidR="005F5A59" w:rsidRPr="007C2337">
        <w:rPr>
          <w:rFonts w:cs="Arial"/>
        </w:rPr>
        <w:t xml:space="preserve"> (HC</w:t>
      </w:r>
      <w:r w:rsidR="00FF5FF1" w:rsidRPr="007C2337">
        <w:rPr>
          <w:rFonts w:cs="Arial"/>
        </w:rPr>
        <w:t>OT</w:t>
      </w:r>
      <w:r w:rsidR="005F5A59" w:rsidRPr="007C2337">
        <w:rPr>
          <w:rFonts w:cs="Arial"/>
        </w:rPr>
        <w:t>N, 2003).</w:t>
      </w:r>
      <w:r w:rsidR="00932084" w:rsidRPr="007C2337">
        <w:rPr>
          <w:rFonts w:cs="Arial"/>
        </w:rPr>
        <w:t xml:space="preserve"> Based on the data available, this approach is considered protective of the effects of calcium carbonate dust.</w:t>
      </w:r>
    </w:p>
    <w:p w14:paraId="42231401" w14:textId="77777777" w:rsidR="004529F0" w:rsidRPr="007C2337" w:rsidRDefault="004529F0" w:rsidP="004529F0">
      <w:pPr>
        <w:pStyle w:val="Heading2"/>
      </w:pPr>
      <w:r w:rsidRPr="007C2337">
        <w:t>Recommendation for notations</w:t>
      </w:r>
    </w:p>
    <w:p w14:paraId="6946FA24" w14:textId="08C7C266" w:rsidR="005F5A59" w:rsidRPr="007C2337" w:rsidRDefault="005F5A59" w:rsidP="005F5A59">
      <w:pPr>
        <w:rPr>
          <w:rFonts w:cs="Arial"/>
        </w:rPr>
      </w:pPr>
      <w:r w:rsidRPr="007C2337">
        <w:rPr>
          <w:rFonts w:cs="Arial"/>
        </w:rPr>
        <w:t>Not classified as a carcinogen according to the Globally Harmoni</w:t>
      </w:r>
      <w:r w:rsidR="003D7911" w:rsidRPr="007C2337">
        <w:rPr>
          <w:rFonts w:cs="Arial"/>
        </w:rPr>
        <w:t>z</w:t>
      </w:r>
      <w:r w:rsidRPr="007C2337">
        <w:rPr>
          <w:rFonts w:cs="Arial"/>
        </w:rPr>
        <w:t>ed System of Classification and Labelling o</w:t>
      </w:r>
      <w:r w:rsidR="008F4BAD" w:rsidRPr="007C2337">
        <w:rPr>
          <w:rFonts w:cs="Arial"/>
        </w:rPr>
        <w:t>f</w:t>
      </w:r>
      <w:r w:rsidRPr="007C2337">
        <w:rPr>
          <w:rFonts w:cs="Arial"/>
        </w:rPr>
        <w:t xml:space="preserve"> Chemicals (GHS). </w:t>
      </w:r>
    </w:p>
    <w:p w14:paraId="62F716D6" w14:textId="2F199CCB" w:rsidR="005F5A59" w:rsidRPr="007C2337" w:rsidRDefault="005F5A59" w:rsidP="005F5A59">
      <w:pPr>
        <w:rPr>
          <w:rFonts w:cs="Arial"/>
        </w:rPr>
      </w:pPr>
      <w:r w:rsidRPr="007C2337">
        <w:rPr>
          <w:rFonts w:cs="Arial"/>
        </w:rPr>
        <w:t>Not classified as a skin</w:t>
      </w:r>
      <w:r w:rsidR="00FF5FF1" w:rsidRPr="007C2337">
        <w:rPr>
          <w:rFonts w:cs="Arial"/>
        </w:rPr>
        <w:t xml:space="preserve"> sensitiser</w:t>
      </w:r>
      <w:r w:rsidRPr="007C2337">
        <w:rPr>
          <w:rFonts w:cs="Arial"/>
        </w:rPr>
        <w:t xml:space="preserve"> or respiratory sensitiser according to the GHS</w:t>
      </w:r>
      <w:r w:rsidR="00A80678" w:rsidRPr="007C2337">
        <w:rPr>
          <w:rFonts w:cs="Arial"/>
        </w:rPr>
        <w:t>.</w:t>
      </w:r>
    </w:p>
    <w:p w14:paraId="1905E9AC" w14:textId="027740E5" w:rsidR="005E6979" w:rsidRPr="007C2337" w:rsidRDefault="00EF201C" w:rsidP="005F5A59">
      <w:pPr>
        <w:pStyle w:val="Tabletextprimarysource"/>
        <w:sectPr w:rsidR="005E6979" w:rsidRPr="007C2337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>
        <w:t>There are i</w:t>
      </w:r>
      <w:r w:rsidR="005F5A59" w:rsidRPr="007C2337">
        <w:t xml:space="preserve">nsufficient </w:t>
      </w:r>
      <w:r w:rsidR="008F4BAD" w:rsidRPr="007C2337">
        <w:t xml:space="preserve">data </w:t>
      </w:r>
      <w:r w:rsidR="005F5A59" w:rsidRPr="007C2337">
        <w:t>to recommend a skin notation.</w:t>
      </w:r>
    </w:p>
    <w:p w14:paraId="12E23059" w14:textId="77777777" w:rsidR="0034744C" w:rsidRPr="007C2337" w:rsidRDefault="005E6979" w:rsidP="005E6979">
      <w:pPr>
        <w:pStyle w:val="Heading1"/>
        <w:rPr>
          <w:rFonts w:ascii="Arial" w:hAnsi="Arial" w:cs="Arial"/>
        </w:rPr>
      </w:pPr>
      <w:r w:rsidRPr="007C2337">
        <w:rPr>
          <w:rFonts w:ascii="Arial" w:hAnsi="Arial" w:cs="Arial"/>
        </w:rPr>
        <w:lastRenderedPageBreak/>
        <w:t>Appendix</w:t>
      </w:r>
    </w:p>
    <w:p w14:paraId="0A65770A" w14:textId="77777777" w:rsidR="008D026D" w:rsidRPr="007C2337" w:rsidRDefault="00B479A9" w:rsidP="003365A5">
      <w:pPr>
        <w:pStyle w:val="Heading3"/>
      </w:pPr>
      <w:r w:rsidRPr="007C2337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7C2337" w14:paraId="66B2B572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19470A7" w14:textId="77777777" w:rsidR="00C978F0" w:rsidRPr="007C2337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7C2337">
              <w:t>Source</w:t>
            </w:r>
            <w:r w:rsidR="00DA352E" w:rsidRPr="007C2337">
              <w:tab/>
              <w:t>Year set</w:t>
            </w:r>
            <w:r w:rsidR="00DA352E" w:rsidRPr="007C2337">
              <w:tab/>
              <w:t>Standard</w:t>
            </w:r>
            <w:r w:rsidR="00974F2D" w:rsidRPr="007C2337">
              <w:tab/>
            </w:r>
          </w:p>
        </w:tc>
      </w:tr>
      <w:tr w:rsidR="00DE26E8" w:rsidRPr="007C2337" w14:paraId="054FE90C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0E7BD23" w14:textId="5757604E" w:rsidR="00DE26E8" w:rsidRPr="007C2337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7C2337">
              <w:t>SWA</w:t>
            </w:r>
            <w:r w:rsidRPr="007C2337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A16E40" w:rsidRPr="007C2337">
                  <w:t>1991</w:t>
                </w:r>
              </w:sdtContent>
            </w:sdt>
            <w:r w:rsidRPr="007C2337">
              <w:tab/>
            </w:r>
            <w:r w:rsidRPr="007C2337"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291903" w:rsidRPr="007C2337">
                  <w:t xml:space="preserve">TWA: </w:t>
                </w:r>
                <w:r w:rsidR="008D6876" w:rsidRPr="007C2337">
                  <w:t>10 mg/m</w:t>
                </w:r>
                <w:r w:rsidR="008D6876" w:rsidRPr="007C2337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7C2337" w14:paraId="1545177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5AC1240" w14:textId="4B4013F1" w:rsidR="00C978F0" w:rsidRPr="007C2337" w:rsidRDefault="001A1BCA" w:rsidP="003365A5">
            <w:pPr>
              <w:pStyle w:val="Tabletextprimarysource"/>
            </w:pPr>
            <w:r w:rsidRPr="007C2337">
              <w:t>This value is for inspirable</w:t>
            </w:r>
            <w:r w:rsidR="003D7911" w:rsidRPr="007C2337">
              <w:t xml:space="preserve"> (inhalable)</w:t>
            </w:r>
            <w:r w:rsidRPr="007C2337">
              <w:t xml:space="preserve"> dust containing no asbestos and less than 1% crystalline silica</w:t>
            </w:r>
            <w:r w:rsidR="00A80678" w:rsidRPr="007C2337">
              <w:t>.</w:t>
            </w:r>
          </w:p>
        </w:tc>
      </w:tr>
      <w:tr w:rsidR="00C978F0" w:rsidRPr="007C2337" w14:paraId="01C5717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6A2E204" w14:textId="04E1BB13" w:rsidR="00C978F0" w:rsidRPr="007C2337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7C2337">
              <w:t>ACGIH</w:t>
            </w:r>
            <w:r w:rsidR="00916EC0" w:rsidRPr="007C2337">
              <w:t xml:space="preserve"> </w:t>
            </w:r>
            <w:r w:rsidR="00916EC0" w:rsidRPr="007C2337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A16E40" w:rsidRPr="007C2337">
                  <w:t>NA</w:t>
                </w:r>
              </w:sdtContent>
            </w:sdt>
            <w:r w:rsidR="00916EC0" w:rsidRPr="007C2337">
              <w:tab/>
            </w:r>
            <w:r w:rsidR="0051509C" w:rsidRPr="007C2337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proofErr w:type="spellStart"/>
                <w:r w:rsidR="00A16E40" w:rsidRPr="007C2337">
                  <w:t>NA</w:t>
                </w:r>
                <w:proofErr w:type="spellEnd"/>
              </w:sdtContent>
            </w:sdt>
          </w:p>
        </w:tc>
      </w:tr>
      <w:tr w:rsidR="00C978F0" w:rsidRPr="007C2337" w14:paraId="252A665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E9FD7E7" w14:textId="4A3B0F49" w:rsidR="00C978F0" w:rsidRPr="007C2337" w:rsidRDefault="00A16E40" w:rsidP="003365A5">
            <w:pPr>
              <w:pStyle w:val="Tabletextprimarysource"/>
            </w:pPr>
            <w:r w:rsidRPr="007C2337">
              <w:t>No report</w:t>
            </w:r>
            <w:r w:rsidR="00932084" w:rsidRPr="007C2337">
              <w:t>.</w:t>
            </w:r>
          </w:p>
        </w:tc>
      </w:tr>
      <w:tr w:rsidR="00C978F0" w:rsidRPr="007C2337" w14:paraId="4DB0305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6A471D7" w14:textId="06634E61" w:rsidR="00C978F0" w:rsidRPr="007C2337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7C2337">
              <w:t>DFG</w:t>
            </w:r>
            <w:r w:rsidR="00916EC0" w:rsidRPr="007C2337">
              <w:t xml:space="preserve"> </w:t>
            </w:r>
            <w:r w:rsidR="00916EC0" w:rsidRPr="007C2337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A16E40" w:rsidRPr="007C2337">
                  <w:t>NA</w:t>
                </w:r>
              </w:sdtContent>
            </w:sdt>
            <w:r w:rsidR="00916EC0" w:rsidRPr="007C2337">
              <w:tab/>
            </w:r>
            <w:r w:rsidR="0051509C" w:rsidRPr="007C2337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A16E40" w:rsidRPr="007C2337">
                  <w:t>NA</w:t>
                </w:r>
                <w:proofErr w:type="spellEnd"/>
              </w:sdtContent>
            </w:sdt>
          </w:p>
        </w:tc>
      </w:tr>
      <w:tr w:rsidR="00C978F0" w:rsidRPr="007C2337" w14:paraId="1C53798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B3ADD94" w14:textId="5BF43B77" w:rsidR="00C978F0" w:rsidRPr="007C2337" w:rsidRDefault="0066527A" w:rsidP="003365A5">
            <w:pPr>
              <w:pStyle w:val="Tabletextprimarysource"/>
            </w:pPr>
            <w:r w:rsidRPr="007C2337">
              <w:t>No report</w:t>
            </w:r>
            <w:r w:rsidR="00932084" w:rsidRPr="007C2337">
              <w:t>.</w:t>
            </w:r>
          </w:p>
        </w:tc>
      </w:tr>
      <w:tr w:rsidR="00C978F0" w:rsidRPr="007C2337" w14:paraId="7296FDB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9699571" w14:textId="028A13DC" w:rsidR="00C978F0" w:rsidRPr="007C2337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7C2337">
              <w:t>SCOEL</w:t>
            </w:r>
            <w:r w:rsidR="00916EC0" w:rsidRPr="007C2337">
              <w:t xml:space="preserve"> </w:t>
            </w:r>
            <w:r w:rsidR="00916EC0" w:rsidRPr="007C2337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2E382D" w:rsidRPr="007C2337">
                  <w:t>NA</w:t>
                </w:r>
              </w:sdtContent>
            </w:sdt>
            <w:r w:rsidR="00916EC0" w:rsidRPr="007C2337">
              <w:tab/>
            </w:r>
            <w:r w:rsidR="0051509C" w:rsidRPr="007C2337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2E382D" w:rsidRPr="007C2337">
                  <w:t>NA</w:t>
                </w:r>
                <w:proofErr w:type="spellEnd"/>
              </w:sdtContent>
            </w:sdt>
          </w:p>
        </w:tc>
      </w:tr>
      <w:tr w:rsidR="00C978F0" w:rsidRPr="007C2337" w14:paraId="54FF21F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5915F3B" w14:textId="596E785D" w:rsidR="00C978F0" w:rsidRPr="007C2337" w:rsidRDefault="00436D89" w:rsidP="003365A5">
            <w:pPr>
              <w:pStyle w:val="Tabletextprimarysource"/>
            </w:pPr>
            <w:r w:rsidRPr="007C2337">
              <w:t>No report</w:t>
            </w:r>
            <w:r w:rsidR="00932084" w:rsidRPr="007C2337">
              <w:t>.</w:t>
            </w:r>
          </w:p>
        </w:tc>
      </w:tr>
      <w:tr w:rsidR="00DA352E" w:rsidRPr="007C2337" w14:paraId="3EE9588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AC7D2A8" w14:textId="3967EF38" w:rsidR="00DA352E" w:rsidRPr="007C2337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7C2337">
              <w:t>OARS/AIHA</w:t>
            </w:r>
            <w:r w:rsidR="00916EC0" w:rsidRPr="007C2337">
              <w:t xml:space="preserve"> </w:t>
            </w:r>
            <w:r w:rsidR="00916EC0" w:rsidRPr="007C2337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2E382D" w:rsidRPr="007C2337">
                  <w:t>NA</w:t>
                </w:r>
              </w:sdtContent>
            </w:sdt>
            <w:r w:rsidR="00916EC0" w:rsidRPr="007C2337">
              <w:tab/>
            </w:r>
            <w:r w:rsidR="0051509C" w:rsidRPr="007C2337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2E382D" w:rsidRPr="007C2337">
                  <w:t>NA</w:t>
                </w:r>
                <w:proofErr w:type="spellEnd"/>
              </w:sdtContent>
            </w:sdt>
          </w:p>
        </w:tc>
      </w:tr>
      <w:tr w:rsidR="00DA352E" w:rsidRPr="007C2337" w14:paraId="1D28DFD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8F57F7F" w14:textId="1907DD71" w:rsidR="00DA352E" w:rsidRPr="007C2337" w:rsidRDefault="00202C5A" w:rsidP="003365A5">
            <w:pPr>
              <w:pStyle w:val="Tabletextprimarysource"/>
            </w:pPr>
            <w:r w:rsidRPr="007C2337">
              <w:t>No report</w:t>
            </w:r>
            <w:r w:rsidR="00EF201C">
              <w:t>.</w:t>
            </w:r>
          </w:p>
        </w:tc>
      </w:tr>
      <w:tr w:rsidR="00DA352E" w:rsidRPr="007C2337" w14:paraId="73CEDD6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41EFCA3" w14:textId="7AB3AB45" w:rsidR="00DA352E" w:rsidRPr="007C2337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7C2337">
              <w:t>HCOTN</w:t>
            </w:r>
            <w:r w:rsidR="00916EC0" w:rsidRPr="007C2337">
              <w:t xml:space="preserve"> </w:t>
            </w:r>
            <w:r w:rsidR="00916EC0" w:rsidRPr="007C2337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30487A" w:rsidRPr="007C2337">
                  <w:t>2003</w:t>
                </w:r>
              </w:sdtContent>
            </w:sdt>
            <w:r w:rsidR="00916EC0" w:rsidRPr="007C2337">
              <w:tab/>
            </w:r>
            <w:r w:rsidR="0051509C" w:rsidRPr="007C2337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-557329734"/>
                    <w:placeholder>
                      <w:docPart w:val="597C7FC4EA8B4F66A9631B3AE0431895"/>
                    </w:placeholder>
                  </w:sdtPr>
                  <w:sdtEndPr/>
                  <w:sdtContent>
                    <w:sdt>
                      <w:sdtPr>
                        <w:alias w:val="SWA WES"/>
                        <w:tag w:val="SWA WES"/>
                        <w:id w:val="1702132474"/>
                        <w:placeholder>
                          <w:docPart w:val="173B5DB51004490BB21891B6E8243DB6"/>
                        </w:placeholder>
                      </w:sdtPr>
                      <w:sdtEndPr/>
                      <w:sdtContent>
                        <w:r w:rsidR="0030487A" w:rsidRPr="007C2337">
                          <w:t>TWA: 10 mg/m</w:t>
                        </w:r>
                        <w:r w:rsidR="0030487A" w:rsidRPr="007C2337">
                          <w:rPr>
                            <w:vertAlign w:val="superscript"/>
                          </w:rPr>
                          <w:t>3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A352E" w:rsidRPr="007C2337" w14:paraId="2470ADC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A705D9B" w14:textId="0894905D" w:rsidR="00DA352E" w:rsidRPr="007C2337" w:rsidRDefault="00802202" w:rsidP="003365A5">
            <w:pPr>
              <w:pStyle w:val="Tabletextprimarysource"/>
            </w:pPr>
            <w:r w:rsidRPr="007C2337">
              <w:t>TWA considered by the HC</w:t>
            </w:r>
            <w:r w:rsidR="00FF5FF1" w:rsidRPr="007C2337">
              <w:t>OT</w:t>
            </w:r>
            <w:r w:rsidRPr="007C2337">
              <w:t xml:space="preserve">N as an administrative </w:t>
            </w:r>
            <w:r w:rsidR="003D7911" w:rsidRPr="007C2337">
              <w:t>OEL</w:t>
            </w:r>
            <w:r w:rsidRPr="007C2337">
              <w:t xml:space="preserve"> and is based for nuisance dusts.</w:t>
            </w:r>
            <w:r w:rsidR="00DA5CEB" w:rsidRPr="007C2337">
              <w:t xml:space="preserve"> </w:t>
            </w:r>
            <w:r w:rsidRPr="007C2337">
              <w:t>The toxicological database is considered insufficient to recommend a health-based TWA.</w:t>
            </w:r>
          </w:p>
          <w:p w14:paraId="52170A76" w14:textId="77777777" w:rsidR="00802202" w:rsidRPr="007C2337" w:rsidRDefault="00802202" w:rsidP="003365A5">
            <w:pPr>
              <w:pStyle w:val="Tabletextprimarysource"/>
            </w:pPr>
            <w:r w:rsidRPr="007C2337">
              <w:t>Summary of data:</w:t>
            </w:r>
          </w:p>
          <w:p w14:paraId="7150EA8B" w14:textId="0F90B4A1" w:rsidR="00802202" w:rsidRPr="007C2337" w:rsidRDefault="00C22F1F" w:rsidP="003365A5">
            <w:pPr>
              <w:pStyle w:val="Tabletextprimarysource"/>
            </w:pPr>
            <w:r w:rsidRPr="007C2337">
              <w:t>Used primarily in the manufacture of quicklime and Portland cement</w:t>
            </w:r>
            <w:r w:rsidR="00AE3EAF" w:rsidRPr="007C2337">
              <w:t>.</w:t>
            </w:r>
          </w:p>
          <w:p w14:paraId="78DBC79E" w14:textId="77777777" w:rsidR="000D0297" w:rsidRPr="007C2337" w:rsidRDefault="000D0297" w:rsidP="003365A5">
            <w:pPr>
              <w:pStyle w:val="Tabletextprimarysource"/>
            </w:pPr>
            <w:r w:rsidRPr="007C2337">
              <w:t>Human data:</w:t>
            </w:r>
          </w:p>
          <w:p w14:paraId="1C9BCE34" w14:textId="423FBE0B" w:rsidR="000D0297" w:rsidRPr="007C2337" w:rsidRDefault="000D0297" w:rsidP="00EF201C">
            <w:pPr>
              <w:pStyle w:val="ListBullet"/>
              <w:spacing w:before="60" w:after="60"/>
              <w:ind w:left="714" w:hanging="357"/>
              <w:contextualSpacing w:val="0"/>
            </w:pPr>
            <w:r w:rsidRPr="007C2337">
              <w:t xml:space="preserve">Pure calcium carbonate dust is not considered toxic </w:t>
            </w:r>
            <w:r w:rsidR="00AE3EAF" w:rsidRPr="007C2337">
              <w:t xml:space="preserve">although </w:t>
            </w:r>
            <w:r w:rsidRPr="007C2337">
              <w:t>there is a risk of silicosis if contaminated with quartz</w:t>
            </w:r>
          </w:p>
          <w:p w14:paraId="53A9AF9E" w14:textId="67B6AB37" w:rsidR="000D0297" w:rsidRPr="007C2337" w:rsidRDefault="000D0297" w:rsidP="00EF201C">
            <w:pPr>
              <w:pStyle w:val="ListBullet"/>
              <w:spacing w:before="60" w:after="60"/>
              <w:ind w:left="714" w:hanging="357"/>
              <w:contextualSpacing w:val="0"/>
            </w:pPr>
            <w:r w:rsidRPr="007C2337">
              <w:t>Exposure of 107 workers to lime dust did not result in increased prevalence of respiratory symptoms, pulmonar</w:t>
            </w:r>
            <w:r w:rsidR="001A2000" w:rsidRPr="007C2337">
              <w:t>y abnormalities</w:t>
            </w:r>
            <w:r w:rsidRPr="007C2337">
              <w:t xml:space="preserve"> or chest radiograph abnormalities</w:t>
            </w:r>
            <w:r w:rsidR="002F13AF" w:rsidRPr="007C2337">
              <w:t xml:space="preserve"> compared to </w:t>
            </w:r>
            <w:r w:rsidR="00AD7026">
              <w:t xml:space="preserve">58 </w:t>
            </w:r>
            <w:r w:rsidR="002F13AF" w:rsidRPr="007C2337">
              <w:t>match</w:t>
            </w:r>
            <w:r w:rsidR="00AD7026">
              <w:t>ed</w:t>
            </w:r>
            <w:r w:rsidR="002F13AF" w:rsidRPr="007C2337">
              <w:t xml:space="preserve"> control</w:t>
            </w:r>
            <w:r w:rsidR="00AD7026">
              <w:t xml:space="preserve"> workers</w:t>
            </w:r>
            <w:r w:rsidR="002F13AF" w:rsidRPr="007C2337">
              <w:t xml:space="preserve"> (no further information</w:t>
            </w:r>
            <w:r w:rsidR="002C1353" w:rsidRPr="007C2337">
              <w:t>)</w:t>
            </w:r>
            <w:r w:rsidR="002F13AF" w:rsidRPr="007C2337">
              <w:t xml:space="preserve"> </w:t>
            </w:r>
          </w:p>
          <w:p w14:paraId="055A95FA" w14:textId="33340C04" w:rsidR="000D0297" w:rsidRPr="007C2337" w:rsidRDefault="002F13AF" w:rsidP="00EF201C">
            <w:pPr>
              <w:pStyle w:val="ListBullet"/>
              <w:spacing w:before="60" w:after="60"/>
              <w:ind w:left="714" w:hanging="357"/>
              <w:contextualSpacing w:val="0"/>
            </w:pPr>
            <w:r w:rsidRPr="007C2337">
              <w:t>A study of 161 limestone quarry workers suggested an association between lime dust exposure and the development of bronchitis (no further information)</w:t>
            </w:r>
          </w:p>
          <w:p w14:paraId="16A99275" w14:textId="4673034C" w:rsidR="00FF5FF1" w:rsidRPr="007C2337" w:rsidRDefault="002F13AF" w:rsidP="00EF201C">
            <w:pPr>
              <w:pStyle w:val="ListBullet"/>
              <w:spacing w:before="60" w:after="60"/>
              <w:ind w:left="714" w:hanging="357"/>
              <w:contextualSpacing w:val="0"/>
            </w:pPr>
            <w:r w:rsidRPr="007C2337">
              <w:t>Large, regular oral doses can result in hypercalcaemia and alkalosis (no further information)</w:t>
            </w:r>
            <w:r w:rsidR="00932084" w:rsidRPr="007C2337">
              <w:t>.</w:t>
            </w:r>
          </w:p>
          <w:p w14:paraId="1E87EF1B" w14:textId="77777777" w:rsidR="00EF201C" w:rsidRDefault="00EF201C" w:rsidP="002F13AF">
            <w:pPr>
              <w:pStyle w:val="Tabletextprimarysource"/>
            </w:pPr>
          </w:p>
          <w:p w14:paraId="3E56E10F" w14:textId="3C9796FB" w:rsidR="002F13AF" w:rsidRPr="007C2337" w:rsidRDefault="002F13AF" w:rsidP="002F13AF">
            <w:pPr>
              <w:pStyle w:val="Tabletextprimarysource"/>
            </w:pPr>
            <w:r w:rsidRPr="007C2337">
              <w:t>Animal data:</w:t>
            </w:r>
          </w:p>
          <w:p w14:paraId="2604CDE6" w14:textId="52226143" w:rsidR="002F13AF" w:rsidRPr="007C2337" w:rsidRDefault="002C1353" w:rsidP="00EF201C">
            <w:pPr>
              <w:pStyle w:val="ListBullet"/>
              <w:spacing w:before="60" w:after="60"/>
              <w:ind w:left="714" w:hanging="357"/>
              <w:contextualSpacing w:val="0"/>
            </w:pPr>
            <w:r w:rsidRPr="007C2337">
              <w:t>Moderate irritation of skin in rabbits following dermal contact; severe irritation of eyes in rabbits following instillation</w:t>
            </w:r>
          </w:p>
          <w:p w14:paraId="215BB50B" w14:textId="00878816" w:rsidR="002F13AF" w:rsidRPr="007C2337" w:rsidRDefault="002C1353" w:rsidP="00EF201C">
            <w:pPr>
              <w:pStyle w:val="ListBullet"/>
              <w:spacing w:before="60" w:after="60"/>
              <w:ind w:left="714" w:hanging="357"/>
              <w:contextualSpacing w:val="0"/>
            </w:pPr>
            <w:r w:rsidRPr="007C2337">
              <w:t>LD</w:t>
            </w:r>
            <w:r w:rsidRPr="007C2337">
              <w:rPr>
                <w:vertAlign w:val="subscript"/>
              </w:rPr>
              <w:t>50</w:t>
            </w:r>
            <w:r w:rsidR="00FF5FF1" w:rsidRPr="007C2337">
              <w:t>:</w:t>
            </w:r>
            <w:r w:rsidRPr="007C2337">
              <w:rPr>
                <w:vertAlign w:val="subscript"/>
              </w:rPr>
              <w:t xml:space="preserve"> </w:t>
            </w:r>
            <w:r w:rsidRPr="007C2337">
              <w:t xml:space="preserve">6,450 mg/kg </w:t>
            </w:r>
            <w:r w:rsidR="00FF5FF1" w:rsidRPr="007C2337">
              <w:t>(oral, rats)</w:t>
            </w:r>
          </w:p>
          <w:p w14:paraId="5BD04689" w14:textId="1BA1AC64" w:rsidR="002C1353" w:rsidRPr="007C2337" w:rsidRDefault="004076BD" w:rsidP="00EF201C">
            <w:pPr>
              <w:pStyle w:val="ListBullet"/>
              <w:spacing w:before="60" w:after="60"/>
              <w:ind w:left="714" w:hanging="357"/>
              <w:contextualSpacing w:val="0"/>
            </w:pPr>
            <w:r w:rsidRPr="007C2337">
              <w:t xml:space="preserve">No data from mutagenicity or </w:t>
            </w:r>
            <w:proofErr w:type="spellStart"/>
            <w:r w:rsidRPr="007C2337">
              <w:t>genotoxicity</w:t>
            </w:r>
            <w:proofErr w:type="spellEnd"/>
            <w:r w:rsidRPr="007C2337">
              <w:t xml:space="preserve"> studies </w:t>
            </w:r>
            <w:r w:rsidR="005E1E54" w:rsidRPr="007C2337">
              <w:t xml:space="preserve">identified </w:t>
            </w:r>
          </w:p>
          <w:p w14:paraId="4DD61B7F" w14:textId="77777777" w:rsidR="002F13AF" w:rsidRPr="007C2337" w:rsidRDefault="005E1E54" w:rsidP="00EF201C">
            <w:pPr>
              <w:pStyle w:val="ListBullet"/>
              <w:spacing w:before="60" w:after="60"/>
              <w:ind w:left="714" w:hanging="357"/>
              <w:contextualSpacing w:val="0"/>
            </w:pPr>
            <w:r w:rsidRPr="007C2337">
              <w:t>Decreased foetal weights and delayed skeletal and dental calcification in rats and mice at high dietary levels</w:t>
            </w:r>
            <w:r w:rsidR="00AE3EAF" w:rsidRPr="007C2337">
              <w:t>.</w:t>
            </w:r>
          </w:p>
          <w:p w14:paraId="62103FE9" w14:textId="6607A1C6" w:rsidR="00FF5FF1" w:rsidRPr="007C2337" w:rsidRDefault="00FF5FF1" w:rsidP="00932084">
            <w:pPr>
              <w:pStyle w:val="ListBullet"/>
              <w:numPr>
                <w:ilvl w:val="0"/>
                <w:numId w:val="0"/>
              </w:numPr>
              <w:ind w:left="1080"/>
            </w:pPr>
          </w:p>
        </w:tc>
      </w:tr>
    </w:tbl>
    <w:p w14:paraId="11C786DC" w14:textId="4CF93EDB" w:rsidR="00A20751" w:rsidRPr="007C2337" w:rsidRDefault="00A20751" w:rsidP="003365A5">
      <w:pPr>
        <w:pStyle w:val="Heading3"/>
      </w:pPr>
      <w:bookmarkStart w:id="0" w:name="SecondSource"/>
      <w:r w:rsidRPr="007C2337">
        <w:t xml:space="preserve">Secondary </w:t>
      </w:r>
      <w:r w:rsidR="0088798F" w:rsidRPr="007C2337">
        <w:t xml:space="preserve">source reports relied upon </w:t>
      </w:r>
    </w:p>
    <w:p w14:paraId="10ED3778" w14:textId="0D750A07" w:rsidR="00C534DC" w:rsidRPr="007C2337" w:rsidRDefault="00C534DC" w:rsidP="00C534DC">
      <w:pPr>
        <w:rPr>
          <w:lang w:eastAsia="en-AU"/>
        </w:rPr>
      </w:pPr>
      <w:r w:rsidRPr="007C2337">
        <w:rPr>
          <w:lang w:eastAsia="en-AU"/>
        </w:rPr>
        <w:t>NIL</w:t>
      </w:r>
      <w:r w:rsidR="00932084" w:rsidRPr="007C2337">
        <w:rPr>
          <w:lang w:eastAsia="en-AU"/>
        </w:rPr>
        <w:t>.</w:t>
      </w:r>
    </w:p>
    <w:bookmarkEnd w:id="0"/>
    <w:p w14:paraId="0FA3E3E8" w14:textId="5DA48449" w:rsidR="007E2A4B" w:rsidRPr="007C2337" w:rsidRDefault="007E2A4B" w:rsidP="007E2A4B">
      <w:pPr>
        <w:pStyle w:val="Heading3"/>
      </w:pPr>
      <w:r w:rsidRPr="007C2337"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:rsidRPr="007C2337" w14:paraId="618CD479" w14:textId="77777777" w:rsidTr="001A1BCA">
        <w:trPr>
          <w:trHeight w:val="454"/>
          <w:tblHeader/>
        </w:trPr>
        <w:tc>
          <w:tcPr>
            <w:tcW w:w="6603" w:type="dxa"/>
            <w:vAlign w:val="center"/>
          </w:tcPr>
          <w:p w14:paraId="1D6AEC83" w14:textId="77777777" w:rsidR="002E0D61" w:rsidRPr="007C2337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 w:rsidRPr="007C2337">
              <w:t>Is the chemical mutagenic</w:t>
            </w:r>
            <w:r w:rsidR="002E0D61" w:rsidRPr="007C2337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A001E08" w14:textId="4CA38712" w:rsidR="002E0D61" w:rsidRPr="007C2337" w:rsidRDefault="001A1BCA" w:rsidP="00C3091E">
                <w:pPr>
                  <w:pStyle w:val="Tablefont"/>
                  <w:keepNext/>
                  <w:keepLines/>
                  <w:spacing w:before="40" w:after="40"/>
                </w:pPr>
                <w:r w:rsidRPr="007C2337">
                  <w:t>No</w:t>
                </w:r>
              </w:p>
            </w:tc>
          </w:sdtContent>
        </w:sdt>
      </w:tr>
      <w:tr w:rsidR="008A36CF" w:rsidRPr="007C2337" w14:paraId="4F99FEB3" w14:textId="77777777" w:rsidTr="001A1BCA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23A0546E" w14:textId="45F6361C" w:rsidR="008A36CF" w:rsidRPr="007C2337" w:rsidRDefault="001A1BCA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 w:rsidRPr="007C2337"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58D3C784" w14:textId="77777777" w:rsidR="008A36CF" w:rsidRPr="007C2337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6D023390" w14:textId="77777777" w:rsidR="00687890" w:rsidRPr="007C2337" w:rsidRDefault="00B479A9" w:rsidP="00474E33">
      <w:pPr>
        <w:pStyle w:val="Heading2"/>
      </w:pPr>
      <w:r w:rsidRPr="007C2337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7C2337" w14:paraId="3501EFC2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8811885" w14:textId="77777777" w:rsidR="00687890" w:rsidRPr="007C2337" w:rsidRDefault="00687890" w:rsidP="00263255">
            <w:pPr>
              <w:pStyle w:val="Tableheader"/>
            </w:pPr>
            <w:bookmarkStart w:id="2" w:name="Notations"/>
            <w:r w:rsidRPr="007C2337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B966DDF" w14:textId="77777777" w:rsidR="00687890" w:rsidRPr="007C2337" w:rsidRDefault="00687890" w:rsidP="00F4402E">
            <w:pPr>
              <w:pStyle w:val="Tableheader"/>
              <w:tabs>
                <w:tab w:val="right" w:pos="5272"/>
              </w:tabs>
            </w:pPr>
            <w:r w:rsidRPr="007C2337">
              <w:t>Notations</w:t>
            </w:r>
            <w:r w:rsidR="003A2B94" w:rsidRPr="007C2337">
              <w:tab/>
            </w:r>
          </w:p>
        </w:tc>
      </w:tr>
      <w:tr w:rsidR="00687890" w:rsidRPr="007C2337" w14:paraId="7B75C151" w14:textId="77777777" w:rsidTr="00812887">
        <w:trPr>
          <w:cantSplit/>
        </w:trPr>
        <w:tc>
          <w:tcPr>
            <w:tcW w:w="3227" w:type="dxa"/>
          </w:tcPr>
          <w:p w14:paraId="2657C6F6" w14:textId="77777777" w:rsidR="004079B4" w:rsidRPr="007C2337" w:rsidRDefault="00084513" w:rsidP="00F4402E">
            <w:pPr>
              <w:pStyle w:val="Tablefont"/>
            </w:pPr>
            <w:r w:rsidRPr="007C2337">
              <w:t>SWA</w:t>
            </w:r>
          </w:p>
        </w:tc>
        <w:tc>
          <w:tcPr>
            <w:tcW w:w="6015" w:type="dxa"/>
          </w:tcPr>
          <w:p w14:paraId="10788AE9" w14:textId="632A8DFC" w:rsidR="00687890" w:rsidRPr="007C2337" w:rsidRDefault="006A0C92" w:rsidP="00DD2F9B">
            <w:pPr>
              <w:pStyle w:val="Tablefont"/>
            </w:pPr>
            <w:r w:rsidRPr="007C2337">
              <w:t>—</w:t>
            </w:r>
          </w:p>
        </w:tc>
      </w:tr>
      <w:tr w:rsidR="007925F0" w:rsidRPr="007C2337" w14:paraId="3FE9F744" w14:textId="77777777" w:rsidTr="00812887">
        <w:trPr>
          <w:cantSplit/>
        </w:trPr>
        <w:tc>
          <w:tcPr>
            <w:tcW w:w="3227" w:type="dxa"/>
          </w:tcPr>
          <w:p w14:paraId="6F8634DD" w14:textId="77777777" w:rsidR="004079B4" w:rsidRPr="007C2337" w:rsidRDefault="007925F0" w:rsidP="00F4402E">
            <w:pPr>
              <w:pStyle w:val="Tablefont"/>
            </w:pPr>
            <w:r w:rsidRPr="007C2337">
              <w:t>HCIS</w:t>
            </w:r>
          </w:p>
        </w:tc>
        <w:tc>
          <w:tcPr>
            <w:tcW w:w="6015" w:type="dxa"/>
          </w:tcPr>
          <w:p w14:paraId="0AA6E69E" w14:textId="1EE32FE2" w:rsidR="007925F0" w:rsidRPr="007C2337" w:rsidRDefault="0078722C" w:rsidP="00DD2F9B">
            <w:pPr>
              <w:pStyle w:val="Tablefont"/>
            </w:pPr>
            <w:r w:rsidRPr="007C2337">
              <w:t>NA</w:t>
            </w:r>
          </w:p>
        </w:tc>
      </w:tr>
      <w:tr w:rsidR="00AF483F" w:rsidRPr="007C2337" w14:paraId="2C60FCB0" w14:textId="77777777" w:rsidTr="00812887">
        <w:trPr>
          <w:cantSplit/>
        </w:trPr>
        <w:tc>
          <w:tcPr>
            <w:tcW w:w="3227" w:type="dxa"/>
          </w:tcPr>
          <w:p w14:paraId="0DBFCA91" w14:textId="77777777" w:rsidR="00AF483F" w:rsidRPr="007C2337" w:rsidRDefault="00AF483F" w:rsidP="00F4402E">
            <w:pPr>
              <w:pStyle w:val="Tablefont"/>
            </w:pPr>
            <w:r w:rsidRPr="007C2337">
              <w:t>NICNAS</w:t>
            </w:r>
          </w:p>
        </w:tc>
        <w:tc>
          <w:tcPr>
            <w:tcW w:w="6015" w:type="dxa"/>
          </w:tcPr>
          <w:p w14:paraId="11CACE82" w14:textId="6044980B" w:rsidR="00AF483F" w:rsidRPr="007C2337" w:rsidRDefault="0078722C" w:rsidP="00DD2F9B">
            <w:pPr>
              <w:pStyle w:val="Tablefont"/>
            </w:pPr>
            <w:r w:rsidRPr="007C2337">
              <w:t>NA</w:t>
            </w:r>
          </w:p>
        </w:tc>
      </w:tr>
      <w:tr w:rsidR="00687890" w:rsidRPr="007C2337" w14:paraId="6F356D6B" w14:textId="77777777" w:rsidTr="00812887">
        <w:trPr>
          <w:cantSplit/>
        </w:trPr>
        <w:tc>
          <w:tcPr>
            <w:tcW w:w="3227" w:type="dxa"/>
          </w:tcPr>
          <w:p w14:paraId="1FCAACE7" w14:textId="77777777" w:rsidR="004079B4" w:rsidRPr="007C2337" w:rsidRDefault="00687890" w:rsidP="00F4402E">
            <w:pPr>
              <w:pStyle w:val="Tablefont"/>
            </w:pPr>
            <w:r w:rsidRPr="007C2337">
              <w:t>EU Annex</w:t>
            </w:r>
          </w:p>
        </w:tc>
        <w:tc>
          <w:tcPr>
            <w:tcW w:w="6015" w:type="dxa"/>
          </w:tcPr>
          <w:p w14:paraId="3D57DFE7" w14:textId="338BF049" w:rsidR="00687890" w:rsidRPr="007C2337" w:rsidRDefault="00706583" w:rsidP="004F7E79">
            <w:pPr>
              <w:pStyle w:val="Tablefont"/>
            </w:pPr>
            <w:r w:rsidRPr="007C2337">
              <w:t>NA</w:t>
            </w:r>
          </w:p>
        </w:tc>
      </w:tr>
      <w:tr w:rsidR="00E41A26" w:rsidRPr="007C2337" w14:paraId="44F66D5F" w14:textId="77777777" w:rsidTr="00812887">
        <w:trPr>
          <w:cantSplit/>
        </w:trPr>
        <w:tc>
          <w:tcPr>
            <w:tcW w:w="3227" w:type="dxa"/>
          </w:tcPr>
          <w:p w14:paraId="6FB38D2A" w14:textId="77777777" w:rsidR="00E41A26" w:rsidRPr="007C2337" w:rsidRDefault="00E41A26" w:rsidP="00F4402E">
            <w:pPr>
              <w:pStyle w:val="Tablefont"/>
            </w:pPr>
            <w:r w:rsidRPr="007C2337">
              <w:t>ECHA</w:t>
            </w:r>
          </w:p>
        </w:tc>
        <w:tc>
          <w:tcPr>
            <w:tcW w:w="6015" w:type="dxa"/>
          </w:tcPr>
          <w:p w14:paraId="563B88A8" w14:textId="72C274CF" w:rsidR="00E41A26" w:rsidRPr="007C2337" w:rsidRDefault="00706583" w:rsidP="00DD2F9B">
            <w:pPr>
              <w:pStyle w:val="Tablefont"/>
              <w:rPr>
                <w:highlight w:val="yellow"/>
              </w:rPr>
            </w:pPr>
            <w:r w:rsidRPr="007C2337">
              <w:t>NA</w:t>
            </w:r>
          </w:p>
        </w:tc>
      </w:tr>
      <w:tr w:rsidR="002E0D61" w:rsidRPr="007C2337" w14:paraId="497259E6" w14:textId="77777777" w:rsidTr="00812887">
        <w:trPr>
          <w:cantSplit/>
        </w:trPr>
        <w:tc>
          <w:tcPr>
            <w:tcW w:w="3227" w:type="dxa"/>
          </w:tcPr>
          <w:p w14:paraId="3CCEB545" w14:textId="77777777" w:rsidR="004079B4" w:rsidRPr="007C2337" w:rsidRDefault="002E0D61" w:rsidP="00F4402E">
            <w:pPr>
              <w:pStyle w:val="Tablefont"/>
            </w:pPr>
            <w:r w:rsidRPr="007C2337">
              <w:t>ACGIH</w:t>
            </w:r>
          </w:p>
        </w:tc>
        <w:tc>
          <w:tcPr>
            <w:tcW w:w="6015" w:type="dxa"/>
          </w:tcPr>
          <w:p w14:paraId="610CF726" w14:textId="66286A14" w:rsidR="002E0D61" w:rsidRPr="007C2337" w:rsidRDefault="00706583" w:rsidP="00DD2F9B">
            <w:pPr>
              <w:pStyle w:val="Tablefont"/>
              <w:rPr>
                <w:highlight w:val="yellow"/>
              </w:rPr>
            </w:pPr>
            <w:r w:rsidRPr="007C2337">
              <w:t>NA</w:t>
            </w:r>
          </w:p>
        </w:tc>
      </w:tr>
      <w:tr w:rsidR="002E0D61" w:rsidRPr="007C2337" w14:paraId="523508EF" w14:textId="77777777" w:rsidTr="00812887">
        <w:trPr>
          <w:cantSplit/>
        </w:trPr>
        <w:tc>
          <w:tcPr>
            <w:tcW w:w="3227" w:type="dxa"/>
          </w:tcPr>
          <w:p w14:paraId="42EFB860" w14:textId="77777777" w:rsidR="004079B4" w:rsidRPr="007C2337" w:rsidRDefault="002E0D61" w:rsidP="00F4402E">
            <w:pPr>
              <w:pStyle w:val="Tablefont"/>
            </w:pPr>
            <w:r w:rsidRPr="007C2337">
              <w:t>DFG</w:t>
            </w:r>
          </w:p>
        </w:tc>
        <w:tc>
          <w:tcPr>
            <w:tcW w:w="6015" w:type="dxa"/>
          </w:tcPr>
          <w:p w14:paraId="01812354" w14:textId="44CC048B" w:rsidR="002E0D61" w:rsidRPr="007C2337" w:rsidRDefault="00706583" w:rsidP="00DD2F9B">
            <w:pPr>
              <w:pStyle w:val="Tablefont"/>
            </w:pPr>
            <w:r w:rsidRPr="007C2337">
              <w:t>NA</w:t>
            </w:r>
          </w:p>
        </w:tc>
      </w:tr>
      <w:tr w:rsidR="002E0D61" w:rsidRPr="007C2337" w14:paraId="72A7B244" w14:textId="77777777" w:rsidTr="00812887">
        <w:trPr>
          <w:cantSplit/>
        </w:trPr>
        <w:tc>
          <w:tcPr>
            <w:tcW w:w="3227" w:type="dxa"/>
          </w:tcPr>
          <w:p w14:paraId="57A4943D" w14:textId="77777777" w:rsidR="004079B4" w:rsidRPr="007C2337" w:rsidRDefault="002E0D61" w:rsidP="00F4402E">
            <w:pPr>
              <w:pStyle w:val="Tablefont"/>
            </w:pPr>
            <w:r w:rsidRPr="007C2337">
              <w:t>SCOEL</w:t>
            </w:r>
          </w:p>
        </w:tc>
        <w:tc>
          <w:tcPr>
            <w:tcW w:w="6015" w:type="dxa"/>
          </w:tcPr>
          <w:p w14:paraId="5FD7BE2D" w14:textId="2DFE4880" w:rsidR="002E0D61" w:rsidRPr="007C2337" w:rsidRDefault="0078722C" w:rsidP="00DD2F9B">
            <w:pPr>
              <w:pStyle w:val="Tablefont"/>
            </w:pPr>
            <w:r w:rsidRPr="007C2337">
              <w:t>NA</w:t>
            </w:r>
          </w:p>
        </w:tc>
      </w:tr>
      <w:tr w:rsidR="002E0D61" w:rsidRPr="007C2337" w14:paraId="1C82889F" w14:textId="77777777" w:rsidTr="00812887">
        <w:trPr>
          <w:cantSplit/>
        </w:trPr>
        <w:tc>
          <w:tcPr>
            <w:tcW w:w="3227" w:type="dxa"/>
          </w:tcPr>
          <w:p w14:paraId="266EC674" w14:textId="77777777" w:rsidR="004079B4" w:rsidRPr="007C2337" w:rsidRDefault="002E0D61" w:rsidP="00F4402E">
            <w:pPr>
              <w:pStyle w:val="Tablefont"/>
            </w:pPr>
            <w:r w:rsidRPr="007C2337">
              <w:t>HCOTN</w:t>
            </w:r>
          </w:p>
        </w:tc>
        <w:tc>
          <w:tcPr>
            <w:tcW w:w="6015" w:type="dxa"/>
          </w:tcPr>
          <w:p w14:paraId="02C00B6A" w14:textId="65935206" w:rsidR="002E0D61" w:rsidRPr="007C2337" w:rsidRDefault="007472E6" w:rsidP="00DD2F9B">
            <w:pPr>
              <w:pStyle w:val="Tablefont"/>
            </w:pPr>
            <w:r w:rsidRPr="007C2337">
              <w:t>—</w:t>
            </w:r>
          </w:p>
        </w:tc>
      </w:tr>
      <w:tr w:rsidR="00386093" w:rsidRPr="007C2337" w14:paraId="6815CB5C" w14:textId="77777777" w:rsidTr="00812887">
        <w:trPr>
          <w:cantSplit/>
        </w:trPr>
        <w:tc>
          <w:tcPr>
            <w:tcW w:w="3227" w:type="dxa"/>
          </w:tcPr>
          <w:p w14:paraId="56C00E8F" w14:textId="77777777" w:rsidR="004079B4" w:rsidRPr="007C2337" w:rsidRDefault="00386093" w:rsidP="00F4402E">
            <w:pPr>
              <w:pStyle w:val="Tablefont"/>
            </w:pPr>
            <w:r w:rsidRPr="007C2337">
              <w:t>IARC</w:t>
            </w:r>
          </w:p>
        </w:tc>
        <w:tc>
          <w:tcPr>
            <w:tcW w:w="6015" w:type="dxa"/>
          </w:tcPr>
          <w:p w14:paraId="20FB69C7" w14:textId="5A93E29B" w:rsidR="00386093" w:rsidRPr="007C2337" w:rsidRDefault="0078722C" w:rsidP="00DD2F9B">
            <w:pPr>
              <w:pStyle w:val="Tablefont"/>
            </w:pPr>
            <w:r w:rsidRPr="007C2337">
              <w:t>NA</w:t>
            </w:r>
          </w:p>
        </w:tc>
      </w:tr>
      <w:tr w:rsidR="00386093" w:rsidRPr="007C2337" w14:paraId="630EC1A6" w14:textId="77777777" w:rsidTr="00812887">
        <w:trPr>
          <w:cantSplit/>
        </w:trPr>
        <w:tc>
          <w:tcPr>
            <w:tcW w:w="3227" w:type="dxa"/>
          </w:tcPr>
          <w:p w14:paraId="272780FC" w14:textId="77777777" w:rsidR="004079B4" w:rsidRPr="007C2337" w:rsidRDefault="00386093" w:rsidP="00F4402E">
            <w:pPr>
              <w:pStyle w:val="Tablefont"/>
              <w:keepNext/>
            </w:pPr>
            <w:r w:rsidRPr="007C2337">
              <w:t>US NIOSH</w:t>
            </w:r>
          </w:p>
        </w:tc>
        <w:tc>
          <w:tcPr>
            <w:tcW w:w="6015" w:type="dxa"/>
          </w:tcPr>
          <w:p w14:paraId="318C00FD" w14:textId="404338FF" w:rsidR="00386093" w:rsidRPr="007C2337" w:rsidRDefault="0078722C" w:rsidP="00777EAC">
            <w:pPr>
              <w:pStyle w:val="Tablefont"/>
              <w:keepNext/>
            </w:pPr>
            <w:r w:rsidRPr="007C2337">
              <w:t>NA</w:t>
            </w:r>
          </w:p>
        </w:tc>
      </w:tr>
    </w:tbl>
    <w:bookmarkEnd w:id="2"/>
    <w:p w14:paraId="4827F20B" w14:textId="77777777" w:rsidR="00485BFD" w:rsidRPr="007C2337" w:rsidRDefault="00485BFD" w:rsidP="00485BFD">
      <w:pPr>
        <w:pStyle w:val="Tablefooter"/>
      </w:pPr>
      <w:r w:rsidRPr="007C2337">
        <w:t>NA = not applicable (a recommendation has not been made by this Agency); —</w:t>
      </w:r>
      <w:r w:rsidR="00D87570" w:rsidRPr="007C2337">
        <w:t xml:space="preserve"> = the Agency has assessed available data for this chemical but has not recommended any notations</w:t>
      </w:r>
    </w:p>
    <w:p w14:paraId="3F7D69B0" w14:textId="77777777" w:rsidR="00474E33" w:rsidRPr="007C2337" w:rsidRDefault="00474E33" w:rsidP="00474E33">
      <w:pPr>
        <w:pStyle w:val="Heading3"/>
      </w:pPr>
      <w:r w:rsidRPr="007C2337"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7C2337" w14:paraId="0E8CD01F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94C48AC" w14:textId="77777777" w:rsidR="00932DCE" w:rsidRPr="007C2337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 w:rsidRPr="007C2337">
              <w:t>Calculation</w:t>
            </w:r>
            <w:r w:rsidR="00177CA1" w:rsidRPr="007C2337">
              <w:tab/>
            </w:r>
          </w:p>
        </w:tc>
      </w:tr>
      <w:tr w:rsidR="00932DCE" w:rsidRPr="007C2337" w14:paraId="13CB21AC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4B18DC60" w14:textId="2572BD9A" w:rsidR="00932DCE" w:rsidRPr="007C2337" w:rsidRDefault="00AE3EAF" w:rsidP="00F9496B">
            <w:pPr>
              <w:pStyle w:val="Tablefont"/>
            </w:pPr>
            <w:r w:rsidRPr="007C2337">
              <w:t xml:space="preserve"> Insufficient data to assign a skin notation</w:t>
            </w:r>
          </w:p>
        </w:tc>
      </w:tr>
    </w:tbl>
    <w:bookmarkEnd w:id="3"/>
    <w:p w14:paraId="72D7924E" w14:textId="77777777" w:rsidR="00EB3D1B" w:rsidRPr="007C2337" w:rsidRDefault="00EB3D1B" w:rsidP="00EB3D1B">
      <w:pPr>
        <w:pStyle w:val="Heading3"/>
      </w:pPr>
      <w:r w:rsidRPr="007C2337"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:rsidRPr="007C2337" w14:paraId="31E5F849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5314BDD6" w14:textId="77777777" w:rsidR="00EB3D1B" w:rsidRPr="007C2337" w:rsidRDefault="00EB3D1B" w:rsidP="00D87570">
            <w:pPr>
              <w:pStyle w:val="Tablefont"/>
            </w:pPr>
            <w:r w:rsidRPr="007C2337">
              <w:t xml:space="preserve">Is there a </w:t>
            </w:r>
            <w:r w:rsidR="006E5D05" w:rsidRPr="007C2337">
              <w:t>suitable</w:t>
            </w:r>
            <w:r w:rsidRPr="007C2337"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DC38C30" w14:textId="6A8A9840" w:rsidR="00EB3D1B" w:rsidRPr="007C2337" w:rsidRDefault="008D6876" w:rsidP="00EB3D1B">
                <w:pPr>
                  <w:pStyle w:val="Tablefont"/>
                </w:pPr>
                <w:r w:rsidRPr="007C2337">
                  <w:t>No</w:t>
                </w:r>
              </w:p>
            </w:tc>
          </w:sdtContent>
        </w:sdt>
      </w:tr>
    </w:tbl>
    <w:p w14:paraId="5E72E31B" w14:textId="77777777" w:rsidR="00687890" w:rsidRPr="007C2337" w:rsidRDefault="00B479A9" w:rsidP="00474E33">
      <w:pPr>
        <w:pStyle w:val="Heading2"/>
      </w:pPr>
      <w:r w:rsidRPr="007C2337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7C2337" w14:paraId="7212A97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87F73CC" w14:textId="77777777" w:rsidR="001B79E5" w:rsidRPr="007C2337" w:rsidRDefault="001B79E5" w:rsidP="00A31D99">
            <w:pPr>
              <w:pStyle w:val="Tablefont"/>
            </w:pPr>
            <w:r w:rsidRPr="007C2337"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C8A5604" w14:textId="65B083BB" w:rsidR="001B79E5" w:rsidRPr="007C2337" w:rsidRDefault="00AD6B52" w:rsidP="001B79E5">
                <w:pPr>
                  <w:pStyle w:val="Tablefont"/>
                </w:pPr>
                <w:r w:rsidRPr="007C2337">
                  <w:t>100.1</w:t>
                </w:r>
              </w:p>
            </w:tc>
          </w:sdtContent>
        </w:sdt>
      </w:tr>
      <w:tr w:rsidR="00A31D99" w:rsidRPr="007C2337" w14:paraId="78E374B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0FD695E" w14:textId="77777777" w:rsidR="00A31D99" w:rsidRPr="007C2337" w:rsidRDefault="00A31D99" w:rsidP="00A31D99">
            <w:pPr>
              <w:pStyle w:val="Tablefont"/>
            </w:pPr>
            <w:r w:rsidRPr="007C2337">
              <w:t>Conversion factors at 25</w:t>
            </w:r>
            <w:r w:rsidRPr="007C2337">
              <w:rPr>
                <w:rFonts w:cs="Arial"/>
              </w:rPr>
              <w:t>°</w:t>
            </w:r>
            <w:r w:rsidRPr="007C2337">
              <w:t xml:space="preserve">C and 101.3 </w:t>
            </w:r>
            <w:proofErr w:type="spellStart"/>
            <w:r w:rsidRPr="007C2337">
              <w:t>kPa</w:t>
            </w:r>
            <w:proofErr w:type="spellEnd"/>
            <w:r w:rsidRPr="007C2337">
              <w:t xml:space="preserve">: </w:t>
            </w:r>
          </w:p>
        </w:tc>
        <w:tc>
          <w:tcPr>
            <w:tcW w:w="5165" w:type="dxa"/>
            <w:vAlign w:val="center"/>
          </w:tcPr>
          <w:p w14:paraId="24C01B49" w14:textId="77777777" w:rsidR="00A31D99" w:rsidRPr="007C2337" w:rsidRDefault="00A0643F" w:rsidP="00A174CC">
            <w:pPr>
              <w:pStyle w:val="Tablefont"/>
            </w:pPr>
            <w:r w:rsidRPr="007C2337"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 w:rsidRPr="007C2337">
                  <w:rPr>
                    <w:rStyle w:val="PlaceholderText"/>
                  </w:rPr>
                  <w:t>Number</w:t>
                </w:r>
              </w:sdtContent>
            </w:sdt>
            <w:r w:rsidRPr="007C2337">
              <w:t xml:space="preserve"> mg/m</w:t>
            </w:r>
            <w:r w:rsidRPr="007C2337">
              <w:rPr>
                <w:vertAlign w:val="superscript"/>
              </w:rPr>
              <w:t>3</w:t>
            </w:r>
            <w:r w:rsidRPr="007C2337">
              <w:t>; 1 mg/m</w:t>
            </w:r>
            <w:r w:rsidRPr="007C2337">
              <w:rPr>
                <w:vertAlign w:val="superscript"/>
              </w:rPr>
              <w:t>3</w:t>
            </w:r>
            <w:r w:rsidRPr="007C2337"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7C2337">
                  <w:rPr>
                    <w:color w:val="808080"/>
                  </w:rPr>
                  <w:t>Number</w:t>
                </w:r>
              </w:sdtContent>
            </w:sdt>
            <w:r w:rsidRPr="007C2337">
              <w:t xml:space="preserve"> ppm</w:t>
            </w:r>
          </w:p>
        </w:tc>
      </w:tr>
      <w:tr w:rsidR="00687890" w:rsidRPr="007C2337" w14:paraId="6C80C71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9018F55" w14:textId="77777777" w:rsidR="00687890" w:rsidRPr="007C2337" w:rsidRDefault="00687890" w:rsidP="00263255">
            <w:pPr>
              <w:pStyle w:val="Tablefont"/>
            </w:pPr>
            <w:r w:rsidRPr="007C2337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BE49DA6" w14:textId="77777777" w:rsidR="00687890" w:rsidRPr="007C2337" w:rsidRDefault="00E46BCB" w:rsidP="00717D45">
                <w:pPr>
                  <w:pStyle w:val="Tablefont"/>
                </w:pPr>
                <w:r w:rsidRPr="007C2337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687890" w:rsidRPr="007C2337" w14:paraId="4F746DF1" w14:textId="77777777" w:rsidTr="00EA6243">
        <w:trPr>
          <w:cantSplit/>
        </w:trPr>
        <w:tc>
          <w:tcPr>
            <w:tcW w:w="4077" w:type="dxa"/>
            <w:vAlign w:val="center"/>
          </w:tcPr>
          <w:p w14:paraId="23638D43" w14:textId="77777777" w:rsidR="00687890" w:rsidRPr="007C2337" w:rsidRDefault="00687890" w:rsidP="00263255">
            <w:pPr>
              <w:pStyle w:val="Tablefont"/>
            </w:pPr>
            <w:r w:rsidRPr="007C2337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D2F0235" w14:textId="77777777" w:rsidR="00687890" w:rsidRPr="007C2337" w:rsidRDefault="00A20751" w:rsidP="00717D45">
                <w:pPr>
                  <w:pStyle w:val="Tablefont"/>
                </w:pPr>
                <w:r w:rsidRPr="007C2337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687890" w:rsidRPr="007C2337" w14:paraId="4319C66A" w14:textId="77777777" w:rsidTr="00EA6243">
        <w:trPr>
          <w:cantSplit/>
        </w:trPr>
        <w:tc>
          <w:tcPr>
            <w:tcW w:w="4077" w:type="dxa"/>
            <w:vAlign w:val="center"/>
          </w:tcPr>
          <w:p w14:paraId="40AA835A" w14:textId="77777777" w:rsidR="00687890" w:rsidRPr="007C2337" w:rsidRDefault="00687890" w:rsidP="00263255">
            <w:pPr>
              <w:pStyle w:val="Tablefont"/>
            </w:pPr>
            <w:r w:rsidRPr="007C2337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87DF480" w14:textId="77777777" w:rsidR="00687890" w:rsidRPr="007C2337" w:rsidRDefault="00687890" w:rsidP="00717D45">
                <w:pPr>
                  <w:pStyle w:val="Tablefont"/>
                </w:pPr>
                <w:r w:rsidRPr="007C2337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E06F40" w:rsidRPr="007C2337" w14:paraId="4FC397DD" w14:textId="77777777" w:rsidTr="00EA6243">
        <w:trPr>
          <w:cantSplit/>
        </w:trPr>
        <w:tc>
          <w:tcPr>
            <w:tcW w:w="4077" w:type="dxa"/>
            <w:vAlign w:val="center"/>
          </w:tcPr>
          <w:p w14:paraId="4EDDAA45" w14:textId="77777777" w:rsidR="00E06F40" w:rsidRPr="007C2337" w:rsidRDefault="00E06F40" w:rsidP="00084513">
            <w:pPr>
              <w:pStyle w:val="Tablefont"/>
            </w:pPr>
            <w:r w:rsidRPr="007C2337">
              <w:t xml:space="preserve">A biological exposure index has been recommended by </w:t>
            </w:r>
            <w:r w:rsidR="00084513" w:rsidRPr="007C2337">
              <w:t>these agencies</w:t>
            </w:r>
            <w:r w:rsidRPr="007C2337">
              <w:t>:</w:t>
            </w:r>
          </w:p>
        </w:tc>
        <w:tc>
          <w:tcPr>
            <w:tcW w:w="5165" w:type="dxa"/>
            <w:vAlign w:val="center"/>
          </w:tcPr>
          <w:p w14:paraId="28DA0A23" w14:textId="063D502F" w:rsidR="00E06F40" w:rsidRPr="007C2337" w:rsidRDefault="008D2BCB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D3A6A" w:rsidRPr="007C233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06F40" w:rsidRPr="007C2337">
              <w:t xml:space="preserve"> ACGIH</w:t>
            </w:r>
            <w:r w:rsidR="00E06F40" w:rsidRPr="007C2337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7C233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06F40" w:rsidRPr="007C2337">
              <w:t xml:space="preserve"> DFG</w:t>
            </w:r>
            <w:r w:rsidR="00E06F40" w:rsidRPr="007C2337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91501" w:rsidRPr="007C233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06F40" w:rsidRPr="007C2337">
              <w:t xml:space="preserve"> SCOEL</w:t>
            </w:r>
            <w:r w:rsidR="00E06F40" w:rsidRPr="007C2337">
              <w:tab/>
            </w:r>
          </w:p>
        </w:tc>
      </w:tr>
    </w:tbl>
    <w:p w14:paraId="1DA5C723" w14:textId="77777777" w:rsidR="007F1005" w:rsidRPr="007C2337" w:rsidRDefault="007F1005" w:rsidP="00EB3D1B">
      <w:pPr>
        <w:pStyle w:val="Heading2"/>
        <w:keepLines/>
      </w:pPr>
      <w:r w:rsidRPr="007C2337">
        <w:lastRenderedPageBreak/>
        <w:t xml:space="preserve">Workplace exposure </w:t>
      </w:r>
      <w:r w:rsidR="00B479A9" w:rsidRPr="007C2337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7C2337" w14:paraId="6B093ADB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BD558FC" w14:textId="77777777" w:rsidR="00224EE2" w:rsidRPr="007C2337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 w:rsidRPr="007C2337"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42C3C27E" w14:textId="77777777" w:rsidR="00224EE2" w:rsidRPr="007C2337" w:rsidRDefault="00224EE2" w:rsidP="00EB3D1B">
            <w:pPr>
              <w:pStyle w:val="Tableheader"/>
              <w:keepNext/>
              <w:keepLines/>
            </w:pPr>
            <w:r w:rsidRPr="007C2337">
              <w:t>Standard</w:t>
            </w:r>
          </w:p>
        </w:tc>
      </w:tr>
      <w:tr w:rsidR="007F1005" w:rsidRPr="007C2337" w14:paraId="1282DDDD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C23D0A7" w14:textId="77777777" w:rsidR="007F1005" w:rsidRPr="007C2337" w:rsidRDefault="00131092" w:rsidP="00EB3D1B">
                <w:pPr>
                  <w:pStyle w:val="Tablefont"/>
                  <w:keepLines/>
                </w:pPr>
                <w:r w:rsidRPr="007C2337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508827D" w14:textId="77777777" w:rsidR="007F1005" w:rsidRPr="007C2337" w:rsidRDefault="007F1005" w:rsidP="00EB3D1B">
            <w:pPr>
              <w:pStyle w:val="Tablefont"/>
              <w:keepLines/>
            </w:pPr>
          </w:p>
        </w:tc>
      </w:tr>
    </w:tbl>
    <w:bookmarkEnd w:id="4"/>
    <w:p w14:paraId="418622B4" w14:textId="77777777" w:rsidR="00F87D92" w:rsidRPr="007C2337" w:rsidRDefault="00F87D92" w:rsidP="00EF7F78">
      <w:pPr>
        <w:pStyle w:val="Heading2"/>
        <w:tabs>
          <w:tab w:val="right" w:pos="8505"/>
        </w:tabs>
      </w:pPr>
      <w:r w:rsidRPr="007C2337">
        <w:t>References</w:t>
      </w:r>
      <w:r w:rsidR="00EF7F78" w:rsidRPr="007C2337">
        <w:tab/>
      </w:r>
    </w:p>
    <w:p w14:paraId="62311708" w14:textId="0A638007" w:rsidR="00D452F7" w:rsidRPr="007C2337" w:rsidRDefault="00D452F7" w:rsidP="00D452F7">
      <w:r w:rsidRPr="007C2337">
        <w:t>Health Council of the Netherlands (HCOTN) (2003) Calcium carbonate. Health-based Reassessment of Administrative Occupational Exposure Limits. The Hague: Health Council of the Netherlands; publication no. 2000/15OSH/061.</w:t>
      </w:r>
    </w:p>
    <w:sectPr w:rsidR="00D452F7" w:rsidRPr="007C2337" w:rsidSect="00B87D4C">
      <w:headerReference w:type="default" r:id="rId17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E211A4" w16cid:durableId="2129F82E"/>
  <w16cid:commentId w16cid:paraId="1AA89AE0" w16cid:durableId="2129F8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CDF58" w14:textId="77777777" w:rsidR="000A136E" w:rsidRDefault="000A136E" w:rsidP="00F43AD5">
      <w:pPr>
        <w:spacing w:after="0" w:line="240" w:lineRule="auto"/>
      </w:pPr>
      <w:r>
        <w:separator/>
      </w:r>
    </w:p>
  </w:endnote>
  <w:endnote w:type="continuationSeparator" w:id="0">
    <w:p w14:paraId="6F7B9EC0" w14:textId="77777777" w:rsidR="000A136E" w:rsidRDefault="000A136E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35930" w14:textId="77777777" w:rsidR="008D2BCB" w:rsidRDefault="008D2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3994C3A" w14:textId="0506D6B2" w:rsidR="008A36CF" w:rsidRDefault="007F2973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Calcium carbonate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471-34-1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6B0E2748" w14:textId="5E0E8F74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8D2BCB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ADB62" w14:textId="77777777" w:rsidR="008D2BCB" w:rsidRDefault="008D2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0F4A8" w14:textId="77777777" w:rsidR="000A136E" w:rsidRDefault="000A136E" w:rsidP="00F43AD5">
      <w:pPr>
        <w:spacing w:after="0" w:line="240" w:lineRule="auto"/>
      </w:pPr>
      <w:r>
        <w:separator/>
      </w:r>
    </w:p>
  </w:footnote>
  <w:footnote w:type="continuationSeparator" w:id="0">
    <w:p w14:paraId="1845B92B" w14:textId="77777777" w:rsidR="000A136E" w:rsidRDefault="000A136E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561BE" w14:textId="77777777" w:rsidR="008D2BCB" w:rsidRDefault="008D2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1D36F" w14:textId="5C6A1DBA" w:rsidR="008A36CF" w:rsidRDefault="008D2BCB" w:rsidP="00F43AD5">
    <w:pPr>
      <w:pStyle w:val="Header"/>
      <w:jc w:val="right"/>
    </w:pPr>
    <w:sdt>
      <w:sdtPr>
        <w:id w:val="-603642479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1B21FC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2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A36CF">
      <w:rPr>
        <w:noProof/>
        <w:lang w:eastAsia="en-AU"/>
      </w:rPr>
      <w:drawing>
        <wp:inline distT="0" distB="0" distL="0" distR="0" wp14:anchorId="1F50867D" wp14:editId="6F441983">
          <wp:extent cx="2938272" cy="594360"/>
          <wp:effectExtent l="0" t="0" r="0" b="0"/>
          <wp:docPr id="4" name="Picture 4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3E46A" w14:textId="77777777" w:rsidR="008D2BCB" w:rsidRDefault="008D2BC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E40E9" w14:textId="1D104633" w:rsidR="00AE3EAF" w:rsidRDefault="00AE3EAF" w:rsidP="00AE3EAF">
    <w:pPr>
      <w:pStyle w:val="Header"/>
      <w:jc w:val="right"/>
    </w:pPr>
    <w:bookmarkStart w:id="5" w:name="_GoBack"/>
    <w:bookmarkEnd w:id="5"/>
  </w:p>
  <w:p w14:paraId="6B568221" w14:textId="77777777" w:rsidR="008D2BCB" w:rsidRDefault="008D2BCB" w:rsidP="008D2BCB">
    <w:pPr>
      <w:pStyle w:val="Header"/>
      <w:jc w:val="right"/>
    </w:pPr>
    <w:sdt>
      <w:sdtPr>
        <w:id w:val="710456621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4502BD7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43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70CB10C4" wp14:editId="394F14E2">
          <wp:extent cx="2938272" cy="594360"/>
          <wp:effectExtent l="0" t="0" r="0" b="0"/>
          <wp:docPr id="1" name="Picture 1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064EE6" w14:textId="77777777" w:rsidR="008A36CF" w:rsidRDefault="008A36CF" w:rsidP="00AE3E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5CB8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02DA2"/>
    <w:multiLevelType w:val="hybridMultilevel"/>
    <w:tmpl w:val="DD6C1E8E"/>
    <w:lvl w:ilvl="0" w:tplc="FA08A13A">
      <w:start w:val="1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C7ABB"/>
    <w:multiLevelType w:val="hybridMultilevel"/>
    <w:tmpl w:val="AE44E8A8"/>
    <w:lvl w:ilvl="0" w:tplc="AEA8EC08">
      <w:start w:val="1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A2135"/>
    <w:multiLevelType w:val="hybridMultilevel"/>
    <w:tmpl w:val="7C2C4B34"/>
    <w:lvl w:ilvl="0" w:tplc="7DEAD838">
      <w:start w:val="1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039D3"/>
    <w:multiLevelType w:val="hybridMultilevel"/>
    <w:tmpl w:val="3C5AAC50"/>
    <w:lvl w:ilvl="0" w:tplc="55E48CD4">
      <w:start w:val="1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19AF"/>
    <w:rsid w:val="00013A22"/>
    <w:rsid w:val="00014C3F"/>
    <w:rsid w:val="000165C7"/>
    <w:rsid w:val="00017C82"/>
    <w:rsid w:val="00032B88"/>
    <w:rsid w:val="00046DF5"/>
    <w:rsid w:val="00047B7D"/>
    <w:rsid w:val="00052060"/>
    <w:rsid w:val="0005574A"/>
    <w:rsid w:val="00055FE1"/>
    <w:rsid w:val="00056EC2"/>
    <w:rsid w:val="00060B48"/>
    <w:rsid w:val="00067F32"/>
    <w:rsid w:val="00071807"/>
    <w:rsid w:val="00075093"/>
    <w:rsid w:val="000803E1"/>
    <w:rsid w:val="00084513"/>
    <w:rsid w:val="00084859"/>
    <w:rsid w:val="00092D94"/>
    <w:rsid w:val="000A136E"/>
    <w:rsid w:val="000B0868"/>
    <w:rsid w:val="000B08B1"/>
    <w:rsid w:val="000B3E12"/>
    <w:rsid w:val="000B3E78"/>
    <w:rsid w:val="000B3EA5"/>
    <w:rsid w:val="000B7B48"/>
    <w:rsid w:val="000C096D"/>
    <w:rsid w:val="000C139A"/>
    <w:rsid w:val="000C2053"/>
    <w:rsid w:val="000C248C"/>
    <w:rsid w:val="000D0297"/>
    <w:rsid w:val="000D291C"/>
    <w:rsid w:val="000D50A9"/>
    <w:rsid w:val="000D6E2B"/>
    <w:rsid w:val="000E5A54"/>
    <w:rsid w:val="000E63D3"/>
    <w:rsid w:val="000E67CF"/>
    <w:rsid w:val="000F480C"/>
    <w:rsid w:val="0010461E"/>
    <w:rsid w:val="00106FAA"/>
    <w:rsid w:val="00107E4B"/>
    <w:rsid w:val="00112F92"/>
    <w:rsid w:val="00113443"/>
    <w:rsid w:val="001269A7"/>
    <w:rsid w:val="00131092"/>
    <w:rsid w:val="00140E6A"/>
    <w:rsid w:val="00146545"/>
    <w:rsid w:val="00146B75"/>
    <w:rsid w:val="0015266D"/>
    <w:rsid w:val="0015288A"/>
    <w:rsid w:val="0015352D"/>
    <w:rsid w:val="00160F47"/>
    <w:rsid w:val="0016354E"/>
    <w:rsid w:val="00177CA1"/>
    <w:rsid w:val="001820AC"/>
    <w:rsid w:val="00183823"/>
    <w:rsid w:val="00183942"/>
    <w:rsid w:val="00195B51"/>
    <w:rsid w:val="001A009E"/>
    <w:rsid w:val="001A0B08"/>
    <w:rsid w:val="001A1287"/>
    <w:rsid w:val="001A1BCA"/>
    <w:rsid w:val="001A2000"/>
    <w:rsid w:val="001A3859"/>
    <w:rsid w:val="001A3C9D"/>
    <w:rsid w:val="001A43F8"/>
    <w:rsid w:val="001A7B83"/>
    <w:rsid w:val="001B79E5"/>
    <w:rsid w:val="001D1573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2C5A"/>
    <w:rsid w:val="002046A6"/>
    <w:rsid w:val="00204956"/>
    <w:rsid w:val="00213640"/>
    <w:rsid w:val="00221547"/>
    <w:rsid w:val="002216FC"/>
    <w:rsid w:val="00221C52"/>
    <w:rsid w:val="00222533"/>
    <w:rsid w:val="00222F30"/>
    <w:rsid w:val="00224EE2"/>
    <w:rsid w:val="00227038"/>
    <w:rsid w:val="00227EC7"/>
    <w:rsid w:val="00244AD1"/>
    <w:rsid w:val="002463BC"/>
    <w:rsid w:val="002465CE"/>
    <w:rsid w:val="002471D9"/>
    <w:rsid w:val="00254EA2"/>
    <w:rsid w:val="0025734A"/>
    <w:rsid w:val="00262014"/>
    <w:rsid w:val="00263255"/>
    <w:rsid w:val="00276494"/>
    <w:rsid w:val="00277B0C"/>
    <w:rsid w:val="00291903"/>
    <w:rsid w:val="0029629D"/>
    <w:rsid w:val="002A7269"/>
    <w:rsid w:val="002B1A2C"/>
    <w:rsid w:val="002C1353"/>
    <w:rsid w:val="002C34F2"/>
    <w:rsid w:val="002C58FF"/>
    <w:rsid w:val="002C7AFE"/>
    <w:rsid w:val="002D05D2"/>
    <w:rsid w:val="002D1651"/>
    <w:rsid w:val="002E0D61"/>
    <w:rsid w:val="002E382D"/>
    <w:rsid w:val="002E4C7B"/>
    <w:rsid w:val="002F13AF"/>
    <w:rsid w:val="002F1A2A"/>
    <w:rsid w:val="002F5A1B"/>
    <w:rsid w:val="002F6012"/>
    <w:rsid w:val="0030487A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47FCC"/>
    <w:rsid w:val="00351FE0"/>
    <w:rsid w:val="00352615"/>
    <w:rsid w:val="0035412B"/>
    <w:rsid w:val="003567A8"/>
    <w:rsid w:val="0035684D"/>
    <w:rsid w:val="00362895"/>
    <w:rsid w:val="00370DBF"/>
    <w:rsid w:val="00375FD4"/>
    <w:rsid w:val="003761CF"/>
    <w:rsid w:val="0038049D"/>
    <w:rsid w:val="00382A71"/>
    <w:rsid w:val="00386093"/>
    <w:rsid w:val="003904A4"/>
    <w:rsid w:val="00391841"/>
    <w:rsid w:val="00391B6D"/>
    <w:rsid w:val="00394922"/>
    <w:rsid w:val="00397AAF"/>
    <w:rsid w:val="003A0E32"/>
    <w:rsid w:val="003A2B94"/>
    <w:rsid w:val="003A6F7B"/>
    <w:rsid w:val="003B387D"/>
    <w:rsid w:val="003C0D58"/>
    <w:rsid w:val="003D4FA3"/>
    <w:rsid w:val="003D7911"/>
    <w:rsid w:val="003E0807"/>
    <w:rsid w:val="003E51FB"/>
    <w:rsid w:val="003E6B39"/>
    <w:rsid w:val="003F07E1"/>
    <w:rsid w:val="004030BC"/>
    <w:rsid w:val="00403F7D"/>
    <w:rsid w:val="00406785"/>
    <w:rsid w:val="004076BD"/>
    <w:rsid w:val="004079B4"/>
    <w:rsid w:val="00417A56"/>
    <w:rsid w:val="00420957"/>
    <w:rsid w:val="00422A10"/>
    <w:rsid w:val="00430179"/>
    <w:rsid w:val="00436D89"/>
    <w:rsid w:val="00436DC6"/>
    <w:rsid w:val="004414B5"/>
    <w:rsid w:val="0044378B"/>
    <w:rsid w:val="00444482"/>
    <w:rsid w:val="00444B42"/>
    <w:rsid w:val="00445E44"/>
    <w:rsid w:val="00445E9B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865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03DF"/>
    <w:rsid w:val="004D16A3"/>
    <w:rsid w:val="004D4AA1"/>
    <w:rsid w:val="004D6D68"/>
    <w:rsid w:val="004E5EDD"/>
    <w:rsid w:val="004F448A"/>
    <w:rsid w:val="004F48B3"/>
    <w:rsid w:val="004F493D"/>
    <w:rsid w:val="004F65E8"/>
    <w:rsid w:val="004F7E79"/>
    <w:rsid w:val="0050005E"/>
    <w:rsid w:val="00502B88"/>
    <w:rsid w:val="0050689F"/>
    <w:rsid w:val="005142C4"/>
    <w:rsid w:val="0051509C"/>
    <w:rsid w:val="00520774"/>
    <w:rsid w:val="005272E2"/>
    <w:rsid w:val="00527E63"/>
    <w:rsid w:val="0053108F"/>
    <w:rsid w:val="00532B56"/>
    <w:rsid w:val="00534B10"/>
    <w:rsid w:val="005446A2"/>
    <w:rsid w:val="00544D2F"/>
    <w:rsid w:val="00551BD8"/>
    <w:rsid w:val="0058053E"/>
    <w:rsid w:val="00581055"/>
    <w:rsid w:val="00591E38"/>
    <w:rsid w:val="00595CDA"/>
    <w:rsid w:val="005A19C5"/>
    <w:rsid w:val="005A3034"/>
    <w:rsid w:val="005A462D"/>
    <w:rsid w:val="005B253B"/>
    <w:rsid w:val="005B62EF"/>
    <w:rsid w:val="005B74C5"/>
    <w:rsid w:val="005B771D"/>
    <w:rsid w:val="005C5D16"/>
    <w:rsid w:val="005D3193"/>
    <w:rsid w:val="005D4A6E"/>
    <w:rsid w:val="005E1E54"/>
    <w:rsid w:val="005E6979"/>
    <w:rsid w:val="005E75CB"/>
    <w:rsid w:val="005F057A"/>
    <w:rsid w:val="005F4CB1"/>
    <w:rsid w:val="005F5A59"/>
    <w:rsid w:val="006013C1"/>
    <w:rsid w:val="0060669E"/>
    <w:rsid w:val="00610F2E"/>
    <w:rsid w:val="00611399"/>
    <w:rsid w:val="00624C4E"/>
    <w:rsid w:val="00625200"/>
    <w:rsid w:val="006363A8"/>
    <w:rsid w:val="00636DB7"/>
    <w:rsid w:val="00637F86"/>
    <w:rsid w:val="00650905"/>
    <w:rsid w:val="00650D6B"/>
    <w:rsid w:val="006532ED"/>
    <w:rsid w:val="006549F2"/>
    <w:rsid w:val="006567B7"/>
    <w:rsid w:val="00657BFB"/>
    <w:rsid w:val="00661621"/>
    <w:rsid w:val="0066333C"/>
    <w:rsid w:val="006639B4"/>
    <w:rsid w:val="006650FE"/>
    <w:rsid w:val="0066527A"/>
    <w:rsid w:val="00672C4C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0C92"/>
    <w:rsid w:val="006B160A"/>
    <w:rsid w:val="006B4E6C"/>
    <w:rsid w:val="006B50B6"/>
    <w:rsid w:val="006C0D23"/>
    <w:rsid w:val="006D79EA"/>
    <w:rsid w:val="006E0C62"/>
    <w:rsid w:val="006E5D05"/>
    <w:rsid w:val="006E6D7C"/>
    <w:rsid w:val="00701053"/>
    <w:rsid w:val="00701507"/>
    <w:rsid w:val="00706583"/>
    <w:rsid w:val="00714021"/>
    <w:rsid w:val="00716A0F"/>
    <w:rsid w:val="00717D45"/>
    <w:rsid w:val="007208F7"/>
    <w:rsid w:val="007218AF"/>
    <w:rsid w:val="007365D1"/>
    <w:rsid w:val="00740E0E"/>
    <w:rsid w:val="007472E6"/>
    <w:rsid w:val="00750212"/>
    <w:rsid w:val="00754779"/>
    <w:rsid w:val="0075716D"/>
    <w:rsid w:val="007600B6"/>
    <w:rsid w:val="00765F14"/>
    <w:rsid w:val="00770E31"/>
    <w:rsid w:val="007770F1"/>
    <w:rsid w:val="00777EAC"/>
    <w:rsid w:val="00783FB1"/>
    <w:rsid w:val="00785CDD"/>
    <w:rsid w:val="0078722C"/>
    <w:rsid w:val="00791847"/>
    <w:rsid w:val="007925F0"/>
    <w:rsid w:val="007939B3"/>
    <w:rsid w:val="0079509C"/>
    <w:rsid w:val="00796708"/>
    <w:rsid w:val="007B1B42"/>
    <w:rsid w:val="007C2337"/>
    <w:rsid w:val="007C30EB"/>
    <w:rsid w:val="007E063C"/>
    <w:rsid w:val="007E2A4B"/>
    <w:rsid w:val="007E307D"/>
    <w:rsid w:val="007E6010"/>
    <w:rsid w:val="007E6A4E"/>
    <w:rsid w:val="007E6C94"/>
    <w:rsid w:val="007F1005"/>
    <w:rsid w:val="007F25E0"/>
    <w:rsid w:val="007F2973"/>
    <w:rsid w:val="007F5328"/>
    <w:rsid w:val="00802202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3824"/>
    <w:rsid w:val="0088798F"/>
    <w:rsid w:val="00887E4B"/>
    <w:rsid w:val="008915C8"/>
    <w:rsid w:val="00892D24"/>
    <w:rsid w:val="008A36CF"/>
    <w:rsid w:val="008A3BC4"/>
    <w:rsid w:val="008B403C"/>
    <w:rsid w:val="008B7983"/>
    <w:rsid w:val="008C2511"/>
    <w:rsid w:val="008D026D"/>
    <w:rsid w:val="008D23AB"/>
    <w:rsid w:val="008D2BCB"/>
    <w:rsid w:val="008D4B8B"/>
    <w:rsid w:val="008D5A78"/>
    <w:rsid w:val="008D6876"/>
    <w:rsid w:val="008E7B64"/>
    <w:rsid w:val="008F4BAD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084"/>
    <w:rsid w:val="009323B9"/>
    <w:rsid w:val="00932DCE"/>
    <w:rsid w:val="0093327E"/>
    <w:rsid w:val="00934028"/>
    <w:rsid w:val="00936B00"/>
    <w:rsid w:val="0093760E"/>
    <w:rsid w:val="00945121"/>
    <w:rsid w:val="00946044"/>
    <w:rsid w:val="0094660B"/>
    <w:rsid w:val="00946A33"/>
    <w:rsid w:val="0095260E"/>
    <w:rsid w:val="0095421C"/>
    <w:rsid w:val="009578DD"/>
    <w:rsid w:val="00961124"/>
    <w:rsid w:val="009621B6"/>
    <w:rsid w:val="00972A6E"/>
    <w:rsid w:val="00974F2D"/>
    <w:rsid w:val="00977524"/>
    <w:rsid w:val="00977E88"/>
    <w:rsid w:val="009848B9"/>
    <w:rsid w:val="00984920"/>
    <w:rsid w:val="0099303A"/>
    <w:rsid w:val="00995187"/>
    <w:rsid w:val="009971C2"/>
    <w:rsid w:val="009A1254"/>
    <w:rsid w:val="009B2FF2"/>
    <w:rsid w:val="009B380C"/>
    <w:rsid w:val="009B4843"/>
    <w:rsid w:val="009B5889"/>
    <w:rsid w:val="009B6543"/>
    <w:rsid w:val="009B7B18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371F"/>
    <w:rsid w:val="009F585A"/>
    <w:rsid w:val="00A01D0C"/>
    <w:rsid w:val="00A022A9"/>
    <w:rsid w:val="00A06303"/>
    <w:rsid w:val="00A0643F"/>
    <w:rsid w:val="00A067EE"/>
    <w:rsid w:val="00A10FCE"/>
    <w:rsid w:val="00A16D91"/>
    <w:rsid w:val="00A16E40"/>
    <w:rsid w:val="00A174CC"/>
    <w:rsid w:val="00A2073D"/>
    <w:rsid w:val="00A20751"/>
    <w:rsid w:val="00A27E2D"/>
    <w:rsid w:val="00A31D99"/>
    <w:rsid w:val="00A357BA"/>
    <w:rsid w:val="00A35ADC"/>
    <w:rsid w:val="00A402A3"/>
    <w:rsid w:val="00A45098"/>
    <w:rsid w:val="00A53681"/>
    <w:rsid w:val="00A633D4"/>
    <w:rsid w:val="00A6461A"/>
    <w:rsid w:val="00A73C30"/>
    <w:rsid w:val="00A80678"/>
    <w:rsid w:val="00A84504"/>
    <w:rsid w:val="00A8672F"/>
    <w:rsid w:val="00A93057"/>
    <w:rsid w:val="00A968B0"/>
    <w:rsid w:val="00AA188B"/>
    <w:rsid w:val="00AB2672"/>
    <w:rsid w:val="00AB2817"/>
    <w:rsid w:val="00AB43C4"/>
    <w:rsid w:val="00AB6B81"/>
    <w:rsid w:val="00AC32E7"/>
    <w:rsid w:val="00AC3A9F"/>
    <w:rsid w:val="00AC6B96"/>
    <w:rsid w:val="00AC6D2F"/>
    <w:rsid w:val="00AD6B52"/>
    <w:rsid w:val="00AD7026"/>
    <w:rsid w:val="00AE2745"/>
    <w:rsid w:val="00AE2F64"/>
    <w:rsid w:val="00AE3EAF"/>
    <w:rsid w:val="00AF214E"/>
    <w:rsid w:val="00AF42CB"/>
    <w:rsid w:val="00AF483F"/>
    <w:rsid w:val="00AF5E07"/>
    <w:rsid w:val="00AF5F06"/>
    <w:rsid w:val="00B00A25"/>
    <w:rsid w:val="00B03455"/>
    <w:rsid w:val="00B1422A"/>
    <w:rsid w:val="00B1765C"/>
    <w:rsid w:val="00B213C4"/>
    <w:rsid w:val="00B40C60"/>
    <w:rsid w:val="00B479A9"/>
    <w:rsid w:val="00B52EDF"/>
    <w:rsid w:val="00B540A5"/>
    <w:rsid w:val="00B55438"/>
    <w:rsid w:val="00B71188"/>
    <w:rsid w:val="00B72A74"/>
    <w:rsid w:val="00B76A41"/>
    <w:rsid w:val="00B77B65"/>
    <w:rsid w:val="00B8301F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E2F54"/>
    <w:rsid w:val="00BF2406"/>
    <w:rsid w:val="00C06E43"/>
    <w:rsid w:val="00C1547B"/>
    <w:rsid w:val="00C16315"/>
    <w:rsid w:val="00C22F1F"/>
    <w:rsid w:val="00C274FE"/>
    <w:rsid w:val="00C3091E"/>
    <w:rsid w:val="00C40FF1"/>
    <w:rsid w:val="00C419E2"/>
    <w:rsid w:val="00C5020E"/>
    <w:rsid w:val="00C534DC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0F19"/>
    <w:rsid w:val="00CD2BFD"/>
    <w:rsid w:val="00CD3A6A"/>
    <w:rsid w:val="00CE2288"/>
    <w:rsid w:val="00CE5AD6"/>
    <w:rsid w:val="00CE617F"/>
    <w:rsid w:val="00CE78EF"/>
    <w:rsid w:val="00D02B90"/>
    <w:rsid w:val="00D048F7"/>
    <w:rsid w:val="00D0517E"/>
    <w:rsid w:val="00D140FC"/>
    <w:rsid w:val="00D21D8C"/>
    <w:rsid w:val="00D31357"/>
    <w:rsid w:val="00D33220"/>
    <w:rsid w:val="00D334D1"/>
    <w:rsid w:val="00D44C89"/>
    <w:rsid w:val="00D452F7"/>
    <w:rsid w:val="00D4632E"/>
    <w:rsid w:val="00D516CD"/>
    <w:rsid w:val="00D65ED8"/>
    <w:rsid w:val="00D668E6"/>
    <w:rsid w:val="00D70670"/>
    <w:rsid w:val="00D72E23"/>
    <w:rsid w:val="00D74D80"/>
    <w:rsid w:val="00D76624"/>
    <w:rsid w:val="00D84656"/>
    <w:rsid w:val="00D87570"/>
    <w:rsid w:val="00D91ADC"/>
    <w:rsid w:val="00D91CB9"/>
    <w:rsid w:val="00D97989"/>
    <w:rsid w:val="00D97D8D"/>
    <w:rsid w:val="00DA352E"/>
    <w:rsid w:val="00DA50EF"/>
    <w:rsid w:val="00DA529F"/>
    <w:rsid w:val="00DA5CEB"/>
    <w:rsid w:val="00DC7694"/>
    <w:rsid w:val="00DD1BF6"/>
    <w:rsid w:val="00DD2F9B"/>
    <w:rsid w:val="00DD7242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412D"/>
    <w:rsid w:val="00EA6243"/>
    <w:rsid w:val="00EA74AB"/>
    <w:rsid w:val="00EB3D1B"/>
    <w:rsid w:val="00EC4EE7"/>
    <w:rsid w:val="00ED1D89"/>
    <w:rsid w:val="00ED66BC"/>
    <w:rsid w:val="00EF201C"/>
    <w:rsid w:val="00EF233A"/>
    <w:rsid w:val="00EF303E"/>
    <w:rsid w:val="00EF3A40"/>
    <w:rsid w:val="00EF56C0"/>
    <w:rsid w:val="00EF56CA"/>
    <w:rsid w:val="00EF61CC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09EB"/>
    <w:rsid w:val="00F8650A"/>
    <w:rsid w:val="00F87D92"/>
    <w:rsid w:val="00F90AA7"/>
    <w:rsid w:val="00F91501"/>
    <w:rsid w:val="00F92498"/>
    <w:rsid w:val="00F9496B"/>
    <w:rsid w:val="00F96DFB"/>
    <w:rsid w:val="00F970C9"/>
    <w:rsid w:val="00F97AFA"/>
    <w:rsid w:val="00FA06A8"/>
    <w:rsid w:val="00FA3DF5"/>
    <w:rsid w:val="00FA741F"/>
    <w:rsid w:val="00FB4E07"/>
    <w:rsid w:val="00FB755A"/>
    <w:rsid w:val="00FC60A2"/>
    <w:rsid w:val="00FD1871"/>
    <w:rsid w:val="00FD3110"/>
    <w:rsid w:val="00FF489D"/>
    <w:rsid w:val="00FF5C3D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24F9F846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DA5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0E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0E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0EF"/>
    <w:rPr>
      <w:b/>
      <w:bCs/>
      <w:szCs w:val="20"/>
    </w:rPr>
  </w:style>
  <w:style w:type="paragraph" w:styleId="ListBullet">
    <w:name w:val="List Bullet"/>
    <w:basedOn w:val="Normal"/>
    <w:uiPriority w:val="99"/>
    <w:unhideWhenUsed/>
    <w:rsid w:val="000D0297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2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597C7FC4EA8B4F66A9631B3AE0431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F0AEC-E4F7-43EF-AC09-4017AFFBCC26}"/>
      </w:docPartPr>
      <w:docPartBody>
        <w:p w:rsidR="00034650" w:rsidRDefault="006036B3" w:rsidP="006036B3">
          <w:pPr>
            <w:pStyle w:val="597C7FC4EA8B4F66A9631B3AE0431895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173B5DB51004490BB21891B6E8243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AE929-1D75-4D99-819D-05C6983EB879}"/>
      </w:docPartPr>
      <w:docPartBody>
        <w:p w:rsidR="00DB7C4B" w:rsidRDefault="00DA48B3" w:rsidP="00DA48B3">
          <w:pPr>
            <w:pStyle w:val="173B5DB51004490BB21891B6E8243DB6"/>
          </w:pPr>
          <w:r w:rsidRPr="0051509C">
            <w:rPr>
              <w:rStyle w:val="PlaceholderText"/>
            </w:rPr>
            <w:t>Click here to enter standard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34650"/>
    <w:rsid w:val="00081EE4"/>
    <w:rsid w:val="004813DB"/>
    <w:rsid w:val="004A506E"/>
    <w:rsid w:val="004D02DB"/>
    <w:rsid w:val="006036B3"/>
    <w:rsid w:val="006D6E25"/>
    <w:rsid w:val="00922C09"/>
    <w:rsid w:val="0093687F"/>
    <w:rsid w:val="00D21A9F"/>
    <w:rsid w:val="00DA48B3"/>
    <w:rsid w:val="00DB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48B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32CCF3EC116E44A6970651D56202F0C9">
    <w:name w:val="32CCF3EC116E44A6970651D56202F0C9"/>
    <w:rsid w:val="00081EE4"/>
    <w:rPr>
      <w:lang w:val="en-US" w:eastAsia="en-US"/>
    </w:rPr>
  </w:style>
  <w:style w:type="paragraph" w:customStyle="1" w:styleId="597C7FC4EA8B4F66A9631B3AE0431895">
    <w:name w:val="597C7FC4EA8B4F66A9631B3AE0431895"/>
    <w:rsid w:val="006036B3"/>
    <w:rPr>
      <w:lang w:val="en-US" w:eastAsia="en-US"/>
    </w:rPr>
  </w:style>
  <w:style w:type="paragraph" w:customStyle="1" w:styleId="173B5DB51004490BB21891B6E8243DB6">
    <w:name w:val="173B5DB51004490BB21891B6E8243DB6"/>
    <w:rsid w:val="00DA48B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ACACA-F8AE-4A74-BD31-3DD7A835E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D3ABB5-A94F-4AB5-A0E3-AB983365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903FA2D1.dotm</Template>
  <TotalTime>143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21</cp:revision>
  <cp:lastPrinted>2018-10-22T22:41:00Z</cp:lastPrinted>
  <dcterms:created xsi:type="dcterms:W3CDTF">2019-07-10T00:41:00Z</dcterms:created>
  <dcterms:modified xsi:type="dcterms:W3CDTF">2019-09-26T00:13:00Z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