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3DAB8001" w14:textId="77777777" w:rsidR="00BD499F" w:rsidRPr="004C23F4" w:rsidRDefault="00077BC4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</w:t>
          </w:r>
          <w:r w:rsidR="00F91501">
            <w:rPr>
              <w:rFonts w:ascii="Arial" w:hAnsi="Arial" w:cs="Arial"/>
            </w:rPr>
            <w:t>a</w:t>
          </w:r>
          <w:r w:rsidR="000512F1">
            <w:rPr>
              <w:rFonts w:ascii="Arial" w:hAnsi="Arial" w:cs="Arial"/>
            </w:rPr>
            <w:t>lcium cyanamide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9"/>
        <w:gridCol w:w="5037"/>
      </w:tblGrid>
      <w:tr w:rsidR="00F43AD5" w:rsidRPr="004C23F4" w14:paraId="21273492" w14:textId="77777777" w:rsidTr="00B37BD7">
        <w:trPr>
          <w:cantSplit/>
          <w:tblHeader/>
        </w:trPr>
        <w:tc>
          <w:tcPr>
            <w:tcW w:w="3989" w:type="dxa"/>
          </w:tcPr>
          <w:p w14:paraId="775A776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37" w:type="dxa"/>
          </w:tcPr>
          <w:p w14:paraId="64A4CBB1" w14:textId="77777777" w:rsidR="00F43AD5" w:rsidRPr="00717D45" w:rsidRDefault="00FB1298" w:rsidP="00B76A41">
            <w:pPr>
              <w:pStyle w:val="Tablefont"/>
            </w:pPr>
            <w:r>
              <w:t>156-62-7</w:t>
            </w:r>
          </w:p>
        </w:tc>
      </w:tr>
      <w:tr w:rsidR="00F43AD5" w:rsidRPr="00DB26E1" w14:paraId="1632915F" w14:textId="77777777" w:rsidTr="00B37BD7">
        <w:trPr>
          <w:cantSplit/>
        </w:trPr>
        <w:tc>
          <w:tcPr>
            <w:tcW w:w="3989" w:type="dxa"/>
          </w:tcPr>
          <w:p w14:paraId="781894C2" w14:textId="77777777" w:rsidR="00F43AD5" w:rsidRPr="00DB26E1" w:rsidRDefault="00CB1CB1" w:rsidP="00B76A41">
            <w:pPr>
              <w:pStyle w:val="Tablerowright"/>
            </w:pPr>
            <w:r w:rsidRPr="00DB26E1">
              <w:t>Synonyms:</w:t>
            </w:r>
          </w:p>
        </w:tc>
        <w:tc>
          <w:tcPr>
            <w:tcW w:w="5037" w:type="dxa"/>
          </w:tcPr>
          <w:p w14:paraId="620FE0DE" w14:textId="77777777" w:rsidR="00F43AD5" w:rsidRPr="003477D1" w:rsidRDefault="00FB1298" w:rsidP="00B76A41">
            <w:pPr>
              <w:pStyle w:val="Tablefont"/>
            </w:pPr>
            <w:r w:rsidRPr="003477D1">
              <w:t xml:space="preserve">Calcium </w:t>
            </w:r>
            <w:proofErr w:type="spellStart"/>
            <w:r w:rsidR="007F576C" w:rsidRPr="003477D1">
              <w:t>carbimide</w:t>
            </w:r>
            <w:proofErr w:type="spellEnd"/>
            <w:r w:rsidR="007F576C" w:rsidRPr="003477D1">
              <w:t xml:space="preserve">, </w:t>
            </w:r>
            <w:r w:rsidR="006B4B17" w:rsidRPr="003477D1">
              <w:t>l</w:t>
            </w:r>
            <w:r w:rsidR="007F576C" w:rsidRPr="003477D1">
              <w:t>ime nitrogen</w:t>
            </w:r>
            <w:r w:rsidR="006B4B17" w:rsidRPr="003477D1">
              <w:t>, calcium</w:t>
            </w:r>
            <w:r w:rsidR="00544AA9" w:rsidRPr="003477D1">
              <w:t xml:space="preserve"> </w:t>
            </w:r>
            <w:proofErr w:type="spellStart"/>
            <w:r w:rsidR="00544AA9" w:rsidRPr="003477D1">
              <w:t>cyanamid</w:t>
            </w:r>
            <w:proofErr w:type="spellEnd"/>
            <w:r w:rsidR="00544AA9" w:rsidRPr="003477D1">
              <w:t xml:space="preserve">, </w:t>
            </w:r>
            <w:proofErr w:type="spellStart"/>
            <w:r w:rsidR="00544AA9" w:rsidRPr="003477D1">
              <w:t>alzodef</w:t>
            </w:r>
            <w:proofErr w:type="spellEnd"/>
            <w:r w:rsidR="00544AA9" w:rsidRPr="003477D1">
              <w:t xml:space="preserve">, </w:t>
            </w:r>
            <w:proofErr w:type="spellStart"/>
            <w:r w:rsidR="00544AA9" w:rsidRPr="003477D1">
              <w:t>dormex</w:t>
            </w:r>
            <w:proofErr w:type="spellEnd"/>
            <w:r w:rsidR="00544AA9" w:rsidRPr="003477D1">
              <w:t xml:space="preserve">, </w:t>
            </w:r>
            <w:proofErr w:type="spellStart"/>
            <w:r w:rsidR="00544AA9" w:rsidRPr="003477D1">
              <w:t>temposil</w:t>
            </w:r>
            <w:proofErr w:type="spellEnd"/>
            <w:r w:rsidR="006B4B17" w:rsidRPr="003477D1">
              <w:t xml:space="preserve"> </w:t>
            </w:r>
          </w:p>
        </w:tc>
      </w:tr>
      <w:tr w:rsidR="00F43AD5" w:rsidRPr="004C23F4" w14:paraId="14214F24" w14:textId="77777777" w:rsidTr="00B37BD7">
        <w:trPr>
          <w:cantSplit/>
        </w:trPr>
        <w:tc>
          <w:tcPr>
            <w:tcW w:w="3989" w:type="dxa"/>
          </w:tcPr>
          <w:p w14:paraId="2CFFB27E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37" w:type="dxa"/>
          </w:tcPr>
          <w:p w14:paraId="686F6277" w14:textId="77777777" w:rsidR="00F43AD5" w:rsidRPr="00717D45" w:rsidRDefault="007F576C" w:rsidP="00B76A41">
            <w:pPr>
              <w:pStyle w:val="Tablefont"/>
            </w:pPr>
            <w:r w:rsidRPr="00112906">
              <w:t>CaC</w:t>
            </w:r>
            <w:r w:rsidR="00F060A5" w:rsidRPr="00112906">
              <w:t>N</w:t>
            </w:r>
            <w:r w:rsidR="00F060A5" w:rsidRPr="00112906">
              <w:rPr>
                <w:vertAlign w:val="subscript"/>
              </w:rPr>
              <w:t>2</w:t>
            </w:r>
          </w:p>
        </w:tc>
      </w:tr>
    </w:tbl>
    <w:p w14:paraId="5CE5DEBC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9E27E3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680B595B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799EB726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58E51960" w14:textId="77777777" w:rsidR="002C7AFE" w:rsidRPr="009E27E3" w:rsidRDefault="009E27E3" w:rsidP="00017C82">
            <w:pPr>
              <w:pStyle w:val="Tablefont"/>
              <w:rPr>
                <w:b/>
                <w:vertAlign w:val="superscript"/>
              </w:rPr>
            </w:pPr>
            <w:r>
              <w:rPr>
                <w:b/>
              </w:rPr>
              <w:t>0.2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2C7AFE" w:rsidRPr="004C23F4" w14:paraId="7479C0DB" w14:textId="77777777" w:rsidTr="00921DE7">
        <w:trPr>
          <w:cantSplit/>
        </w:trPr>
        <w:tc>
          <w:tcPr>
            <w:tcW w:w="4077" w:type="dxa"/>
            <w:vAlign w:val="center"/>
          </w:tcPr>
          <w:p w14:paraId="166FDDF7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5CA30167" w14:textId="77777777" w:rsidR="002C7AFE" w:rsidRPr="00DC2E35" w:rsidRDefault="00077BC4" w:rsidP="00017C82">
            <w:pPr>
              <w:pStyle w:val="Tablefont"/>
            </w:pPr>
            <w:r w:rsidRPr="00DC2E35">
              <w:t>—</w:t>
            </w:r>
          </w:p>
        </w:tc>
      </w:tr>
      <w:tr w:rsidR="002C7AFE" w:rsidRPr="004C23F4" w14:paraId="59AD22D1" w14:textId="77777777" w:rsidTr="00921DE7">
        <w:trPr>
          <w:cantSplit/>
        </w:trPr>
        <w:tc>
          <w:tcPr>
            <w:tcW w:w="4077" w:type="dxa"/>
            <w:vAlign w:val="center"/>
          </w:tcPr>
          <w:p w14:paraId="7DE875BC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59F9A7F4" w14:textId="77777777" w:rsidR="002C7AFE" w:rsidRPr="00DC2E35" w:rsidRDefault="00077BC4" w:rsidP="009E27E3">
            <w:pPr>
              <w:pStyle w:val="Tablefont"/>
            </w:pPr>
            <w:r w:rsidRPr="00DC2E35">
              <w:t>—</w:t>
            </w:r>
          </w:p>
        </w:tc>
      </w:tr>
      <w:tr w:rsidR="002C7AFE" w:rsidRPr="004C23F4" w14:paraId="12C78319" w14:textId="77777777" w:rsidTr="00A2073D">
        <w:trPr>
          <w:cantSplit/>
        </w:trPr>
        <w:tc>
          <w:tcPr>
            <w:tcW w:w="4077" w:type="dxa"/>
          </w:tcPr>
          <w:p w14:paraId="621D8A55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2250D9FD" w14:textId="77777777" w:rsidR="002C7AFE" w:rsidRPr="00EB3D1B" w:rsidRDefault="001A1A77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</w:p>
        </w:tc>
      </w:tr>
      <w:tr w:rsidR="002C7AFE" w:rsidRPr="004C23F4" w14:paraId="5082ACC0" w14:textId="77777777" w:rsidTr="00921DE7">
        <w:trPr>
          <w:cantSplit/>
        </w:trPr>
        <w:tc>
          <w:tcPr>
            <w:tcW w:w="4077" w:type="dxa"/>
            <w:vAlign w:val="center"/>
          </w:tcPr>
          <w:p w14:paraId="0AFD14CD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2A13B139" w14:textId="77777777" w:rsidR="002C7AFE" w:rsidRPr="00DC2E35" w:rsidRDefault="00077BC4" w:rsidP="00017C82">
            <w:pPr>
              <w:pStyle w:val="Tablefont"/>
            </w:pPr>
            <w:r w:rsidRPr="00DC2E35">
              <w:t>—</w:t>
            </w:r>
          </w:p>
        </w:tc>
      </w:tr>
      <w:tr w:rsidR="009F04D2" w:rsidRPr="004C23F4" w14:paraId="16C0065C" w14:textId="77777777" w:rsidTr="00514E44">
        <w:trPr>
          <w:cantSplit/>
        </w:trPr>
        <w:tc>
          <w:tcPr>
            <w:tcW w:w="4077" w:type="dxa"/>
          </w:tcPr>
          <w:p w14:paraId="402A21CF" w14:textId="77777777" w:rsidR="009F04D2" w:rsidRDefault="009F04D2" w:rsidP="00514E44">
            <w:pPr>
              <w:pStyle w:val="Tablerowright"/>
            </w:pPr>
            <w:r>
              <w:t>Sampling and analysis:</w:t>
            </w:r>
          </w:p>
        </w:tc>
        <w:tc>
          <w:tcPr>
            <w:tcW w:w="5165" w:type="dxa"/>
          </w:tcPr>
          <w:p w14:paraId="2B5FD6CB" w14:textId="77777777" w:rsidR="009F04D2" w:rsidRPr="00514E44" w:rsidRDefault="00514E44" w:rsidP="00017C82">
            <w:pPr>
              <w:pStyle w:val="Tablefont"/>
            </w:pPr>
            <w:r w:rsidRPr="00514E44">
              <w:t xml:space="preserve">The recommended value is readily quantifiable through currently available sampling and analysis techniques. </w:t>
            </w:r>
          </w:p>
        </w:tc>
      </w:tr>
    </w:tbl>
    <w:p w14:paraId="5FC0BE61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0054699B" w14:textId="2D3CDD7F" w:rsidR="006639B4" w:rsidRPr="009236B3" w:rsidRDefault="009236B3" w:rsidP="000C139A">
      <w:pPr>
        <w:rPr>
          <w:rFonts w:cs="Arial"/>
        </w:rPr>
      </w:pPr>
      <w:r>
        <w:rPr>
          <w:rFonts w:cs="Arial"/>
        </w:rPr>
        <w:t>A TWA of 0.2 mg/m</w:t>
      </w:r>
      <w:r>
        <w:rPr>
          <w:rFonts w:cs="Arial"/>
          <w:vertAlign w:val="superscript"/>
        </w:rPr>
        <w:t xml:space="preserve">3 </w:t>
      </w:r>
      <w:r w:rsidR="005373C9">
        <w:rPr>
          <w:rFonts w:cs="Arial"/>
        </w:rPr>
        <w:t xml:space="preserve">is </w:t>
      </w:r>
      <w:r>
        <w:rPr>
          <w:rFonts w:cs="Arial"/>
        </w:rPr>
        <w:t xml:space="preserve">recommended to protect for </w:t>
      </w:r>
      <w:r>
        <w:t xml:space="preserve">effects on the male reproductive system and </w:t>
      </w:r>
      <w:r w:rsidR="00077BC4">
        <w:t>for</w:t>
      </w:r>
      <w:r>
        <w:t xml:space="preserve"> </w:t>
      </w:r>
      <w:r w:rsidR="0012503F">
        <w:t xml:space="preserve">local irritation effects </w:t>
      </w:r>
      <w:r w:rsidR="00077BC4">
        <w:t xml:space="preserve">on </w:t>
      </w:r>
      <w:r w:rsidR="005373C9">
        <w:t xml:space="preserve">exposed </w:t>
      </w:r>
      <w:r>
        <w:t>workers.</w:t>
      </w:r>
    </w:p>
    <w:p w14:paraId="41641508" w14:textId="77777777" w:rsidR="00C7155E" w:rsidRPr="004C23F4" w:rsidRDefault="00F10C97" w:rsidP="003365A5">
      <w:pPr>
        <w:pStyle w:val="Heading2"/>
      </w:pPr>
      <w:r>
        <w:t>Discussion and conclusions</w:t>
      </w:r>
    </w:p>
    <w:p w14:paraId="6888E0A3" w14:textId="77777777" w:rsidR="00DC2E35" w:rsidRDefault="009236B3" w:rsidP="006639B4">
      <w:r>
        <w:rPr>
          <w:rFonts w:cs="Arial"/>
        </w:rPr>
        <w:t xml:space="preserve">Calcium cyanamide is primarily </w:t>
      </w:r>
      <w:r>
        <w:t>used as the raw material in the commercial manufacture of calcium cyanide and dicyanamide.</w:t>
      </w:r>
      <w:r w:rsidR="00077BC4">
        <w:t xml:space="preserve"> </w:t>
      </w:r>
      <w:r w:rsidRPr="009236B3">
        <w:t>Calcium cyanamide is readily converted into cyanamide into the body</w:t>
      </w:r>
      <w:r>
        <w:t xml:space="preserve">, which is believed to </w:t>
      </w:r>
      <w:r w:rsidRPr="009236B3">
        <w:t>react with alcohol to form the compound diethyl cyanamide</w:t>
      </w:r>
      <w:r w:rsidR="0012503F">
        <w:t>.</w:t>
      </w:r>
      <w:r>
        <w:t xml:space="preserve"> </w:t>
      </w:r>
    </w:p>
    <w:p w14:paraId="4F2BF744" w14:textId="77777777" w:rsidR="00DC2E35" w:rsidRDefault="009236B3" w:rsidP="006639B4">
      <w:r>
        <w:t>Critical effects include local irritant effects</w:t>
      </w:r>
      <w:r w:rsidR="003C7A7D">
        <w:t xml:space="preserve"> </w:t>
      </w:r>
      <w:r>
        <w:t xml:space="preserve">and effects on the male </w:t>
      </w:r>
      <w:r w:rsidR="0012503F">
        <w:t>reproductive system in mammals (ACGIH, 2018; DFG, 2007; HC</w:t>
      </w:r>
      <w:r w:rsidR="00193752">
        <w:t>OT</w:t>
      </w:r>
      <w:r w:rsidR="0012503F">
        <w:t>N, 2004).</w:t>
      </w:r>
      <w:r w:rsidR="00DC2E35">
        <w:t xml:space="preserve"> No data about</w:t>
      </w:r>
      <w:r w:rsidR="0012503F">
        <w:t xml:space="preserve"> airborne concentrations of calcium cyanamide and effects </w:t>
      </w:r>
      <w:r w:rsidR="00077BC4">
        <w:t>o</w:t>
      </w:r>
      <w:r w:rsidR="0012503F">
        <w:t>n workers in industrial settings</w:t>
      </w:r>
      <w:r w:rsidR="00077BC4">
        <w:t xml:space="preserve"> </w:t>
      </w:r>
      <w:r w:rsidR="00C976D5">
        <w:t xml:space="preserve">are </w:t>
      </w:r>
      <w:r w:rsidR="00077BC4">
        <w:t>available</w:t>
      </w:r>
      <w:r w:rsidR="0012503F">
        <w:t>. Regardless, ACGIH (2018) consider</w:t>
      </w:r>
      <w:r w:rsidR="00C976D5">
        <w:t>s</w:t>
      </w:r>
      <w:r w:rsidR="0012503F">
        <w:t xml:space="preserve"> a TWA of 0.5 mg/m</w:t>
      </w:r>
      <w:r w:rsidR="0012503F">
        <w:rPr>
          <w:vertAlign w:val="superscript"/>
        </w:rPr>
        <w:t>3</w:t>
      </w:r>
      <w:r w:rsidR="0012503F" w:rsidRPr="00281279">
        <w:t xml:space="preserve"> </w:t>
      </w:r>
      <w:r w:rsidR="00C976D5">
        <w:t>protective</w:t>
      </w:r>
      <w:r w:rsidR="00077BC4">
        <w:t xml:space="preserve"> for</w:t>
      </w:r>
      <w:r w:rsidR="0012503F" w:rsidRPr="0012503F">
        <w:t xml:space="preserve"> local irritant effects</w:t>
      </w:r>
      <w:r w:rsidR="0012503F">
        <w:t xml:space="preserve"> in exposed workers. </w:t>
      </w:r>
    </w:p>
    <w:p w14:paraId="6C7D28CB" w14:textId="627CD71C" w:rsidR="0012503F" w:rsidRPr="0012503F" w:rsidRDefault="0012503F" w:rsidP="006639B4">
      <w:r>
        <w:t>A 52</w:t>
      </w:r>
      <w:r w:rsidR="00077BC4">
        <w:t xml:space="preserve"> </w:t>
      </w:r>
      <w:r>
        <w:t>week oral study with cyanamide in dogs reported a NOAEL of 0.2 mg/kg</w:t>
      </w:r>
      <w:r w:rsidR="004226B3">
        <w:t>/day</w:t>
      </w:r>
      <w:r w:rsidR="003B14DC">
        <w:t xml:space="preserve"> </w:t>
      </w:r>
      <w:r w:rsidR="00FA7552">
        <w:t>for</w:t>
      </w:r>
      <w:r>
        <w:t xml:space="preserve"> immature sperm</w:t>
      </w:r>
      <w:r w:rsidR="002C767A">
        <w:t xml:space="preserve"> (HC</w:t>
      </w:r>
      <w:r w:rsidR="00193752">
        <w:t>OT</w:t>
      </w:r>
      <w:r w:rsidR="002C767A">
        <w:t>N, 2004).</w:t>
      </w:r>
      <w:r w:rsidR="00077BC4">
        <w:t xml:space="preserve"> </w:t>
      </w:r>
      <w:r w:rsidR="002C767A">
        <w:t xml:space="preserve">Using this value as a starting point and converting as per factors and parameters used by </w:t>
      </w:r>
      <w:r w:rsidR="00DC2E35">
        <w:t xml:space="preserve">the HCOTN (2004), a </w:t>
      </w:r>
      <w:r w:rsidR="002C767A">
        <w:t>TWA of 0.2 mg/m</w:t>
      </w:r>
      <w:r w:rsidR="002C767A">
        <w:rPr>
          <w:vertAlign w:val="superscript"/>
        </w:rPr>
        <w:t>3</w:t>
      </w:r>
      <w:r w:rsidR="00BE66CB">
        <w:rPr>
          <w:vertAlign w:val="superscript"/>
        </w:rPr>
        <w:t xml:space="preserve"> </w:t>
      </w:r>
      <w:r w:rsidR="002C767A">
        <w:t xml:space="preserve">is </w:t>
      </w:r>
      <w:r w:rsidR="00FA7552">
        <w:t>calculat</w:t>
      </w:r>
      <w:r w:rsidR="002C767A">
        <w:t xml:space="preserve">ed. </w:t>
      </w:r>
      <w:r w:rsidR="00DC2E35">
        <w:t>This TWA is expected to be protective of both irritant and male reproductive effects.</w:t>
      </w:r>
    </w:p>
    <w:p w14:paraId="1892EEC8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57DF2C05" w14:textId="77777777" w:rsidR="002C767A" w:rsidRPr="002C767A" w:rsidRDefault="002C767A" w:rsidP="002C767A">
      <w:pPr>
        <w:rPr>
          <w:rFonts w:cs="Arial"/>
        </w:rPr>
      </w:pPr>
      <w:r w:rsidRPr="002C767A">
        <w:rPr>
          <w:rFonts w:cs="Arial"/>
        </w:rPr>
        <w:t>Not classified as a carcinogen according to the Globally Harmoni</w:t>
      </w:r>
      <w:r w:rsidR="005373C9">
        <w:rPr>
          <w:rFonts w:cs="Arial"/>
        </w:rPr>
        <w:t>z</w:t>
      </w:r>
      <w:r w:rsidRPr="002C767A">
        <w:rPr>
          <w:rFonts w:cs="Arial"/>
        </w:rPr>
        <w:t>ed System of Classification and Labelling o</w:t>
      </w:r>
      <w:r w:rsidR="003C7A7D">
        <w:rPr>
          <w:rFonts w:cs="Arial"/>
        </w:rPr>
        <w:t>f</w:t>
      </w:r>
      <w:r w:rsidRPr="002C767A">
        <w:rPr>
          <w:rFonts w:cs="Arial"/>
        </w:rPr>
        <w:t xml:space="preserve"> Chemicals (GHS). </w:t>
      </w:r>
    </w:p>
    <w:p w14:paraId="27A8B2F4" w14:textId="77777777" w:rsidR="002C767A" w:rsidRPr="002C767A" w:rsidRDefault="002C767A" w:rsidP="002C767A">
      <w:pPr>
        <w:rPr>
          <w:rFonts w:cs="Arial"/>
        </w:rPr>
      </w:pPr>
      <w:r w:rsidRPr="002C767A">
        <w:rPr>
          <w:rFonts w:cs="Arial"/>
        </w:rPr>
        <w:t>Not classified as a skin</w:t>
      </w:r>
      <w:r w:rsidR="00BE66CB">
        <w:rPr>
          <w:rFonts w:cs="Arial"/>
        </w:rPr>
        <w:t xml:space="preserve"> sensitiser</w:t>
      </w:r>
      <w:r w:rsidRPr="002C767A">
        <w:rPr>
          <w:rFonts w:cs="Arial"/>
        </w:rPr>
        <w:t xml:space="preserve"> or respiratory sensitiser according to the GHS.</w:t>
      </w:r>
    </w:p>
    <w:p w14:paraId="0DE60D24" w14:textId="77777777" w:rsidR="005E6979" w:rsidRPr="004C23F4" w:rsidRDefault="00586F9E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  <w:r>
        <w:rPr>
          <w:rFonts w:cs="Arial"/>
        </w:rPr>
        <w:t>A skin notation is recommended based on evidence of dermal absorption in animals.</w:t>
      </w:r>
    </w:p>
    <w:p w14:paraId="4D92D107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469E72B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56B611F4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3DD60622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01E46920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21DBA20C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E331C2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E331C2">
                  <w:t>TWA: 0.5 mg/m</w:t>
                </w:r>
                <w:r w:rsidR="00E331C2" w:rsidRPr="00E331C2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7D38759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2A19E08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0D44D80F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A042D25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FB1298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5C520A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sdt>
                  <w:sdtPr>
                    <w:alias w:val="SWA WES"/>
                    <w:tag w:val="SWA WES"/>
                    <w:id w:val="1995452432"/>
                    <w:placeholder>
                      <w:docPart w:val="61B1CBE4039A4A7AB2A968D54FDB4A87"/>
                    </w:placeholder>
                  </w:sdtPr>
                  <w:sdtEndPr/>
                  <w:sdtContent>
                    <w:r w:rsidR="00125A54">
                      <w:t>TLV-</w:t>
                    </w:r>
                    <w:r w:rsidR="00C53CC6">
                      <w:t>TWA: 0.5 mg/m</w:t>
                    </w:r>
                    <w:r w:rsidR="00C53CC6" w:rsidRPr="00E331C2">
                      <w:rPr>
                        <w:vertAlign w:val="superscript"/>
                      </w:rPr>
                      <w:t>3</w:t>
                    </w:r>
                  </w:sdtContent>
                </w:sdt>
              </w:sdtContent>
            </w:sdt>
          </w:p>
        </w:tc>
      </w:tr>
      <w:tr w:rsidR="00C978F0" w:rsidRPr="00DA352E" w14:paraId="59C6D1C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521756B" w14:textId="77777777" w:rsidR="00C978F0" w:rsidRDefault="00125A54" w:rsidP="003365A5">
            <w:pPr>
              <w:pStyle w:val="Tabletextprimarysource"/>
            </w:pPr>
            <w:r>
              <w:t xml:space="preserve">TLV-TWA recommended to reduce the potential for irritation of the eyes and respiratory tract in exposed workers and for </w:t>
            </w:r>
            <w:r w:rsidR="00CF0AF8">
              <w:t>disulfiram</w:t>
            </w:r>
            <w:r>
              <w:t>-like effects in exposed workers who consume alcohol after work.</w:t>
            </w:r>
          </w:p>
          <w:p w14:paraId="0FA245AB" w14:textId="77777777" w:rsidR="00125A54" w:rsidRDefault="00125A54" w:rsidP="003365A5">
            <w:pPr>
              <w:pStyle w:val="Tabletextprimarysource"/>
            </w:pPr>
            <w:r>
              <w:t>Summary of data</w:t>
            </w:r>
            <w:r w:rsidR="007552B8">
              <w:t>:</w:t>
            </w:r>
          </w:p>
          <w:p w14:paraId="5F5762A6" w14:textId="77777777" w:rsidR="007552B8" w:rsidRDefault="007552B8" w:rsidP="003365A5">
            <w:pPr>
              <w:pStyle w:val="Tabletextprimarysource"/>
            </w:pPr>
            <w:r>
              <w:t>Human data:</w:t>
            </w:r>
          </w:p>
          <w:p w14:paraId="3670569E" w14:textId="77777777" w:rsidR="007552B8" w:rsidRDefault="007552B8" w:rsidP="003477D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Oral do</w:t>
            </w:r>
            <w:r w:rsidR="008B2D90">
              <w:t>se</w:t>
            </w:r>
            <w:r>
              <w:t xml:space="preserve"> 571 mg/kg lethal in humans</w:t>
            </w:r>
          </w:p>
          <w:p w14:paraId="0EB7BCD9" w14:textId="77777777" w:rsidR="007552B8" w:rsidRDefault="007552B8" w:rsidP="003477D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Exposure may result in primary skin irritation (erythematous or macular rash) or sensitisation related dermatitis</w:t>
            </w:r>
          </w:p>
          <w:p w14:paraId="39D49551" w14:textId="77777777" w:rsidR="007552B8" w:rsidRDefault="007552B8" w:rsidP="003477D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Skin irritation likely due to lime content</w:t>
            </w:r>
          </w:p>
          <w:p w14:paraId="2B711F04" w14:textId="77777777" w:rsidR="007552B8" w:rsidRDefault="007552B8" w:rsidP="003477D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Approximately 0.5</w:t>
            </w:r>
            <w:r w:rsidR="00B5424B">
              <w:t>–</w:t>
            </w:r>
            <w:r>
              <w:t xml:space="preserve">1% </w:t>
            </w:r>
            <w:r w:rsidR="00C976D5">
              <w:t xml:space="preserve">of </w:t>
            </w:r>
            <w:r>
              <w:t>exposed</w:t>
            </w:r>
            <w:r w:rsidR="00C976D5">
              <w:t xml:space="preserve"> people</w:t>
            </w:r>
            <w:r>
              <w:t xml:space="preserve"> develop sensitising dermatitis</w:t>
            </w:r>
          </w:p>
          <w:p w14:paraId="2DBFA715" w14:textId="77777777" w:rsidR="007552B8" w:rsidRDefault="007552B8" w:rsidP="003477D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“Cyanamid Flush”</w:t>
            </w:r>
            <w:r w:rsidR="00C976D5">
              <w:t xml:space="preserve"> (</w:t>
            </w:r>
            <w:r>
              <w:t>a transient vasomotor disturbance in upper part</w:t>
            </w:r>
            <w:r w:rsidR="009A2D52">
              <w:t>s</w:t>
            </w:r>
            <w:r>
              <w:t xml:space="preserve"> of the body</w:t>
            </w:r>
            <w:r w:rsidR="00C976D5">
              <w:t>)</w:t>
            </w:r>
            <w:r>
              <w:t xml:space="preserve"> may develop in exposed workers</w:t>
            </w:r>
          </w:p>
          <w:p w14:paraId="2C79A72C" w14:textId="77777777" w:rsidR="007552B8" w:rsidRDefault="007552B8" w:rsidP="003477D1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Several publications have reported the </w:t>
            </w:r>
            <w:r w:rsidR="00C976D5">
              <w:t>disulfiram</w:t>
            </w:r>
            <w:r>
              <w:t>-like effect</w:t>
            </w:r>
          </w:p>
          <w:p w14:paraId="27A3C9E8" w14:textId="69AAC385" w:rsidR="00342AAE" w:rsidRDefault="00DA2E99" w:rsidP="00DC2E35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data regarding airborne concentrations in industrial settings</w:t>
            </w:r>
            <w:r w:rsidR="008B4CD8">
              <w:t>.</w:t>
            </w:r>
          </w:p>
          <w:p w14:paraId="51858705" w14:textId="77777777" w:rsidR="007552B8" w:rsidRDefault="007552B8" w:rsidP="007552B8">
            <w:pPr>
              <w:pStyle w:val="Tabletextprimarysource"/>
            </w:pPr>
            <w:r>
              <w:t>Animal data:</w:t>
            </w:r>
          </w:p>
          <w:p w14:paraId="0A99BE6F" w14:textId="77777777" w:rsidR="007552B8" w:rsidRDefault="00FF5900" w:rsidP="003477D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86 mg/m</w:t>
            </w:r>
            <w:r w:rsidRPr="004226B3">
              <w:rPr>
                <w:vertAlign w:val="superscript"/>
              </w:rPr>
              <w:t>3</w:t>
            </w:r>
            <w:r>
              <w:t xml:space="preserve"> reported as lowest dose lethal </w:t>
            </w:r>
            <w:r w:rsidRPr="00DC2E35">
              <w:rPr>
                <w:i/>
              </w:rPr>
              <w:t>via</w:t>
            </w:r>
            <w:r>
              <w:t xml:space="preserve"> inhalation in rats</w:t>
            </w:r>
          </w:p>
          <w:p w14:paraId="472B6637" w14:textId="77777777" w:rsidR="00FA7552" w:rsidRDefault="00FF5900" w:rsidP="003477D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10 g/kg of calcium cyanamide applied as an aqueous paste to the clipped abdomens of rabbits</w:t>
            </w:r>
            <w:r w:rsidR="00824894">
              <w:t xml:space="preserve"> (n=5) continuously </w:t>
            </w:r>
            <w:r>
              <w:t>for 24</w:t>
            </w:r>
            <w:r w:rsidR="009A2D52">
              <w:t xml:space="preserve"> </w:t>
            </w:r>
            <w:r>
              <w:t xml:space="preserve">h resulted in </w:t>
            </w:r>
            <w:r w:rsidR="007606A4">
              <w:t xml:space="preserve">2 </w:t>
            </w:r>
            <w:r>
              <w:t>death</w:t>
            </w:r>
            <w:r w:rsidR="007606A4">
              <w:t>s</w:t>
            </w:r>
          </w:p>
          <w:p w14:paraId="66FD272B" w14:textId="77777777" w:rsidR="00824894" w:rsidRDefault="00FF5900" w:rsidP="003477D1">
            <w:pPr>
              <w:pStyle w:val="ListBullet"/>
              <w:numPr>
                <w:ilvl w:val="1"/>
                <w:numId w:val="9"/>
              </w:numPr>
              <w:spacing w:before="60" w:after="60"/>
              <w:ind w:left="1094" w:hanging="357"/>
              <w:contextualSpacing w:val="0"/>
            </w:pPr>
            <w:r>
              <w:t>no deaths at 5</w:t>
            </w:r>
            <w:r w:rsidR="00444969">
              <w:t xml:space="preserve"> </w:t>
            </w:r>
            <w:r>
              <w:t>g/kg</w:t>
            </w:r>
          </w:p>
          <w:p w14:paraId="18D478A3" w14:textId="6B7752DE" w:rsidR="00FF5900" w:rsidRDefault="00FF5900" w:rsidP="003477D1">
            <w:pPr>
              <w:pStyle w:val="ListBullet"/>
              <w:numPr>
                <w:ilvl w:val="1"/>
                <w:numId w:val="9"/>
              </w:numPr>
              <w:spacing w:before="60" w:after="60"/>
              <w:ind w:left="1094" w:hanging="357"/>
              <w:contextualSpacing w:val="0"/>
            </w:pPr>
            <w:r>
              <w:t>severe skin irritation developed after several d</w:t>
            </w:r>
            <w:r w:rsidR="00DB26E1">
              <w:t>ays</w:t>
            </w:r>
          </w:p>
          <w:p w14:paraId="2A24BACA" w14:textId="3793877F" w:rsidR="00FF5900" w:rsidRDefault="00FF02C6" w:rsidP="003477D1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Not carcinogenic in a 107 wk feeding study with various doses </w:t>
            </w:r>
            <w:r w:rsidR="005373C9" w:rsidRPr="003477D1">
              <w:t>≤</w:t>
            </w:r>
            <w:r>
              <w:t>400 ppm</w:t>
            </w:r>
            <w:r w:rsidR="007606A4">
              <w:t xml:space="preserve"> (rats)</w:t>
            </w:r>
            <w:r>
              <w:t xml:space="preserve"> and </w:t>
            </w:r>
            <w:r w:rsidR="005373C9" w:rsidRPr="003477D1">
              <w:t>≤</w:t>
            </w:r>
            <w:r>
              <w:t>2,000</w:t>
            </w:r>
            <w:r w:rsidR="007606A4">
              <w:t> </w:t>
            </w:r>
            <w:r>
              <w:t>ppm</w:t>
            </w:r>
            <w:r w:rsidR="007606A4">
              <w:t xml:space="preserve"> (mice)</w:t>
            </w:r>
            <w:r w:rsidR="009A2D52">
              <w:t>.</w:t>
            </w:r>
          </w:p>
          <w:p w14:paraId="5E1EAC5A" w14:textId="77777777" w:rsidR="00BE66CB" w:rsidRPr="00DA352E" w:rsidRDefault="00BE66CB" w:rsidP="00281279">
            <w:pPr>
              <w:pStyle w:val="ListBullet"/>
              <w:numPr>
                <w:ilvl w:val="0"/>
                <w:numId w:val="0"/>
              </w:numPr>
              <w:ind w:left="1080"/>
            </w:pPr>
          </w:p>
        </w:tc>
      </w:tr>
      <w:tr w:rsidR="00C978F0" w:rsidRPr="00DA352E" w14:paraId="0ED5DC89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B6AE4BC" w14:textId="77777777" w:rsidR="00C978F0" w:rsidRPr="00DA352E" w:rsidRDefault="00DA352E" w:rsidP="00362154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362154">
                  <w:t>1979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477CA1">
                  <w:t>MAK: 1 mg/m</w:t>
                </w:r>
                <w:r w:rsidR="00477CA1" w:rsidRPr="00477CA1">
                  <w:rPr>
                    <w:vertAlign w:val="superscript"/>
                  </w:rPr>
                  <w:t>3</w:t>
                </w:r>
                <w:r w:rsidR="00477CA1">
                  <w:rPr>
                    <w:vertAlign w:val="superscript"/>
                  </w:rPr>
                  <w:t xml:space="preserve"> </w:t>
                </w:r>
                <w:r w:rsidR="00477CA1">
                  <w:t>(inhalable dust)</w:t>
                </w:r>
              </w:sdtContent>
            </w:sdt>
          </w:p>
        </w:tc>
      </w:tr>
      <w:tr w:rsidR="00C978F0" w:rsidRPr="00DA352E" w14:paraId="121B80DC" w14:textId="77777777" w:rsidTr="00DC2E35">
        <w:trPr>
          <w:gridAfter w:val="1"/>
          <w:wAfter w:w="8" w:type="pct"/>
        </w:trPr>
        <w:tc>
          <w:tcPr>
            <w:tcW w:w="4992" w:type="pct"/>
          </w:tcPr>
          <w:p w14:paraId="3D7A3E40" w14:textId="77777777" w:rsidR="00C978F0" w:rsidRDefault="003B0630" w:rsidP="003365A5">
            <w:pPr>
              <w:pStyle w:val="Tabletextprimarysource"/>
            </w:pPr>
            <w:r>
              <w:t>MAK recommended to reduce disturbance of alcohol metabolism and local irritant effects</w:t>
            </w:r>
            <w:r w:rsidR="009A2D52">
              <w:t>.</w:t>
            </w:r>
          </w:p>
          <w:p w14:paraId="15B2E5DC" w14:textId="77777777" w:rsidR="003B0630" w:rsidRDefault="003B0630" w:rsidP="003365A5">
            <w:pPr>
              <w:pStyle w:val="Tabletextprimarysource"/>
            </w:pPr>
            <w:r>
              <w:t>Summary of additional data:</w:t>
            </w:r>
          </w:p>
          <w:p w14:paraId="0B28DCC7" w14:textId="77777777" w:rsidR="003D1469" w:rsidRDefault="005373C9" w:rsidP="003477D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M</w:t>
            </w:r>
            <w:r w:rsidR="003B0630">
              <w:t xml:space="preserve">etabolised to cyanamide </w:t>
            </w:r>
            <w:r w:rsidR="003D1469">
              <w:t xml:space="preserve">which is assumed to </w:t>
            </w:r>
            <w:r w:rsidR="009E27E3">
              <w:t>react</w:t>
            </w:r>
            <w:r w:rsidR="003D1469">
              <w:t xml:space="preserve"> with alcohol to form the compound diethyl cyanamide</w:t>
            </w:r>
          </w:p>
          <w:p w14:paraId="39AA6615" w14:textId="77777777" w:rsidR="003B0630" w:rsidRDefault="003D1469" w:rsidP="003477D1">
            <w:pPr>
              <w:pStyle w:val="ListBullet"/>
              <w:spacing w:before="60" w:after="60"/>
              <w:ind w:left="714" w:hanging="357"/>
              <w:contextualSpacing w:val="0"/>
            </w:pPr>
            <w:proofErr w:type="spellStart"/>
            <w:r>
              <w:t>Acetylcyanamide</w:t>
            </w:r>
            <w:proofErr w:type="spellEnd"/>
            <w:r>
              <w:t xml:space="preserve"> is also a </w:t>
            </w:r>
            <w:r w:rsidR="005373C9">
              <w:t xml:space="preserve">primary </w:t>
            </w:r>
            <w:r>
              <w:t>metabolite in humans</w:t>
            </w:r>
          </w:p>
          <w:p w14:paraId="591AF869" w14:textId="77777777" w:rsidR="003D1469" w:rsidRDefault="003D1469" w:rsidP="003477D1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A study in 65 workers at a production plant failed to </w:t>
            </w:r>
            <w:r w:rsidR="009A2D52">
              <w:t xml:space="preserve">provide </w:t>
            </w:r>
            <w:r>
              <w:t>evidence of adverse health effects other than moderate alcohol intolerance</w:t>
            </w:r>
          </w:p>
          <w:p w14:paraId="7AB8CA9A" w14:textId="7DA7DCDC" w:rsidR="00FA7552" w:rsidRDefault="003D1469" w:rsidP="003477D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A study of 21 exposed and 9 non-exposed male volunteers</w:t>
            </w:r>
            <w:r w:rsidR="00BE6B08">
              <w:t xml:space="preserve"> determined higher concentrations of </w:t>
            </w:r>
            <w:proofErr w:type="spellStart"/>
            <w:r w:rsidR="00BE6B08">
              <w:t>acetylcyanamide</w:t>
            </w:r>
            <w:proofErr w:type="spellEnd"/>
            <w:r w:rsidR="00BE6B08">
              <w:t xml:space="preserve"> in urine of exposed workers</w:t>
            </w:r>
          </w:p>
          <w:p w14:paraId="1E417CD2" w14:textId="77777777" w:rsidR="003D1469" w:rsidRDefault="00FA7552" w:rsidP="003477D1">
            <w:pPr>
              <w:pStyle w:val="ListBullet"/>
              <w:numPr>
                <w:ilvl w:val="1"/>
                <w:numId w:val="9"/>
              </w:numPr>
              <w:spacing w:before="60" w:after="60"/>
              <w:ind w:left="1094" w:hanging="357"/>
              <w:contextualSpacing w:val="0"/>
            </w:pPr>
            <w:r>
              <w:t>n</w:t>
            </w:r>
            <w:r w:rsidR="00BE6B08">
              <w:t>o significant difference in hormone values between groups</w:t>
            </w:r>
          </w:p>
          <w:p w14:paraId="515E35F7" w14:textId="19A3316F" w:rsidR="00BE6B08" w:rsidRDefault="00BE6B08" w:rsidP="003477D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LC</w:t>
            </w:r>
            <w:r w:rsidRPr="003477D1">
              <w:rPr>
                <w:vertAlign w:val="subscript"/>
              </w:rPr>
              <w:t>50</w:t>
            </w:r>
            <w:r w:rsidR="005373C9">
              <w:t>:</w:t>
            </w:r>
            <w:r>
              <w:t xml:space="preserve"> &gt;155 mg/m</w:t>
            </w:r>
            <w:r w:rsidRPr="003477D1">
              <w:t>3</w:t>
            </w:r>
            <w:r>
              <w:t xml:space="preserve"> </w:t>
            </w:r>
            <w:r w:rsidR="005373C9">
              <w:t>(</w:t>
            </w:r>
            <w:r>
              <w:t>rats</w:t>
            </w:r>
            <w:r w:rsidR="005373C9">
              <w:t>, &gt;4</w:t>
            </w:r>
            <w:r w:rsidR="00FA7552">
              <w:t xml:space="preserve"> </w:t>
            </w:r>
            <w:r w:rsidR="005373C9">
              <w:t xml:space="preserve">h, </w:t>
            </w:r>
            <w:r>
              <w:t>inhalation</w:t>
            </w:r>
            <w:r w:rsidR="005373C9">
              <w:t>)</w:t>
            </w:r>
          </w:p>
          <w:p w14:paraId="26492EFB" w14:textId="6ED00B64" w:rsidR="00BE6B08" w:rsidRDefault="00BE6B08" w:rsidP="003477D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 w:rsidRPr="003477D1">
              <w:rPr>
                <w:vertAlign w:val="subscript"/>
              </w:rPr>
              <w:t>50</w:t>
            </w:r>
            <w:r w:rsidR="005373C9">
              <w:t>:</w:t>
            </w:r>
            <w:r>
              <w:t xml:space="preserve"> &gt;2,000 mg/kg in </w:t>
            </w:r>
            <w:r w:rsidR="005373C9">
              <w:t>(</w:t>
            </w:r>
            <w:r>
              <w:t>rabbits</w:t>
            </w:r>
            <w:r w:rsidR="005373C9">
              <w:t xml:space="preserve">, dermal) </w:t>
            </w:r>
          </w:p>
          <w:p w14:paraId="609C1C63" w14:textId="77777777" w:rsidR="00BE6B08" w:rsidRDefault="00BE6B08" w:rsidP="003477D1">
            <w:pPr>
              <w:pStyle w:val="ListBullet"/>
              <w:spacing w:before="60" w:after="60"/>
              <w:ind w:left="714" w:hanging="357"/>
              <w:contextualSpacing w:val="0"/>
            </w:pPr>
            <w:r>
              <w:lastRenderedPageBreak/>
              <w:t>Report</w:t>
            </w:r>
            <w:r w:rsidR="00F43622">
              <w:t>ed</w:t>
            </w:r>
            <w:r>
              <w:t xml:space="preserve"> to be readily absorbed through the skin</w:t>
            </w:r>
            <w:r w:rsidR="009A2D52">
              <w:t>.</w:t>
            </w:r>
          </w:p>
          <w:p w14:paraId="5FF9ED8F" w14:textId="77777777" w:rsidR="00FA7552" w:rsidRPr="00DA352E" w:rsidRDefault="00FA7552" w:rsidP="00281279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4A37B6A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42B3FB4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7F576C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7F576C">
                  <w:t>NA</w:t>
                </w:r>
              </w:sdtContent>
            </w:sdt>
          </w:p>
        </w:tc>
      </w:tr>
      <w:tr w:rsidR="00C978F0" w:rsidRPr="00DA352E" w14:paraId="6FC7AB8A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6680654" w14:textId="77777777" w:rsidR="00C978F0" w:rsidRPr="00DA352E" w:rsidRDefault="007F576C" w:rsidP="003365A5">
            <w:pPr>
              <w:pStyle w:val="Tabletextprimarysource"/>
            </w:pPr>
            <w:r>
              <w:t>No report</w:t>
            </w:r>
            <w:r w:rsidR="00FA7552">
              <w:t>.</w:t>
            </w:r>
          </w:p>
        </w:tc>
      </w:tr>
      <w:tr w:rsidR="00DA352E" w:rsidRPr="00DA352E" w14:paraId="36C6DE3B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A0CC3F8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6B4B1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6B4B17">
                  <w:t>NA</w:t>
                </w:r>
              </w:sdtContent>
            </w:sdt>
          </w:p>
        </w:tc>
      </w:tr>
      <w:tr w:rsidR="00DA352E" w:rsidRPr="00DA352E" w14:paraId="1F0418B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6484ECF" w14:textId="77777777" w:rsidR="00DA352E" w:rsidRPr="00DA352E" w:rsidRDefault="006B4B17" w:rsidP="003365A5">
            <w:pPr>
              <w:pStyle w:val="Tabletextprimarysource"/>
            </w:pPr>
            <w:r>
              <w:t>No report</w:t>
            </w:r>
            <w:r w:rsidR="00FA7552">
              <w:t>.</w:t>
            </w:r>
          </w:p>
        </w:tc>
      </w:tr>
      <w:tr w:rsidR="00DA352E" w:rsidRPr="00DA352E" w14:paraId="3BC8390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B350330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D22170">
                  <w:t>2004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sdt>
                  <w:sdtPr>
                    <w:alias w:val="SWA WES"/>
                    <w:tag w:val="SWA WES"/>
                    <w:id w:val="-557329734"/>
                    <w:placeholder>
                      <w:docPart w:val="597C7FC4EA8B4F66A9631B3AE0431895"/>
                    </w:placeholder>
                  </w:sdtPr>
                  <w:sdtEndPr/>
                  <w:sdtContent>
                    <w:sdt>
                      <w:sdtPr>
                        <w:alias w:val="SWA WES"/>
                        <w:tag w:val="SWA WES"/>
                        <w:id w:val="1702132474"/>
                        <w:placeholder>
                          <w:docPart w:val="173B5DB51004490BB21891B6E8243DB6"/>
                        </w:placeholder>
                      </w:sdtPr>
                      <w:sdtEndPr/>
                      <w:sdtContent>
                        <w:sdt>
                          <w:sdtPr>
                            <w:alias w:val="SWA WES"/>
                            <w:tag w:val="SWA WES"/>
                            <w:id w:val="-1812775854"/>
                            <w:placeholder>
                              <w:docPart w:val="A35B1B003C0E49079FB643B81BF7C619"/>
                            </w:placeholder>
                          </w:sdtPr>
                          <w:sdtEndPr/>
                          <w:sdtContent>
                            <w:r w:rsidR="00410E5B">
                              <w:t>TWA: 0.2</w:t>
                            </w:r>
                            <w:r w:rsidR="00D22170">
                              <w:t xml:space="preserve"> mg/m</w:t>
                            </w:r>
                            <w:r w:rsidR="00D22170" w:rsidRPr="00E331C2">
                              <w:rPr>
                                <w:vertAlign w:val="superscript"/>
                              </w:rPr>
                              <w:t>3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DA352E" w:rsidRPr="00DA352E" w14:paraId="09C92E0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B41A83A" w14:textId="77777777" w:rsidR="00DA352E" w:rsidRDefault="00410E5B" w:rsidP="003365A5">
            <w:pPr>
              <w:pStyle w:val="Tabletextprimarysource"/>
            </w:pPr>
            <w:r>
              <w:t>TWA recommended to protect for effects on the male reproductive system as evidenced in dogs.</w:t>
            </w:r>
          </w:p>
          <w:p w14:paraId="70DF8040" w14:textId="77777777" w:rsidR="00410E5B" w:rsidRDefault="00410E5B" w:rsidP="003365A5">
            <w:pPr>
              <w:pStyle w:val="Tabletextprimarysource"/>
            </w:pPr>
            <w:r>
              <w:t>Summary of additional data:</w:t>
            </w:r>
          </w:p>
          <w:p w14:paraId="49480685" w14:textId="2DD3CC7C" w:rsidR="007E1B9A" w:rsidRDefault="007E1B9A" w:rsidP="003477D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Effects from</w:t>
            </w:r>
            <w:r w:rsidR="00410E5B">
              <w:t xml:space="preserve"> 3 </w:t>
            </w:r>
            <w:r w:rsidR="009E27E3">
              <w:t>repeat dose oral studies in male dogs</w:t>
            </w:r>
            <w:r>
              <w:t xml:space="preserve"> as including chronic inflammation of the testes, atrophy of testicular tubul</w:t>
            </w:r>
            <w:r w:rsidR="003477D1">
              <w:t>es</w:t>
            </w:r>
            <w:r>
              <w:t xml:space="preserve">, atrophy and necrosis of germ epithelium cells, hypo- and </w:t>
            </w:r>
            <w:proofErr w:type="spellStart"/>
            <w:r>
              <w:t>aspermatogenesis</w:t>
            </w:r>
            <w:proofErr w:type="spellEnd"/>
            <w:r>
              <w:t xml:space="preserve"> and reduced spermatocyte counts and immature sperm in the </w:t>
            </w:r>
            <w:proofErr w:type="spellStart"/>
            <w:r>
              <w:t>epididymides</w:t>
            </w:r>
            <w:proofErr w:type="spellEnd"/>
          </w:p>
          <w:p w14:paraId="6B2EEC1D" w14:textId="16070F3E" w:rsidR="00410E5B" w:rsidRDefault="007E1B9A" w:rsidP="003477D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NOAEL of 0.2 mg/kg</w:t>
            </w:r>
            <w:r w:rsidR="004226B3">
              <w:t>/d</w:t>
            </w:r>
            <w:r>
              <w:t xml:space="preserve"> based on immature sperm</w:t>
            </w:r>
            <w:r w:rsidR="00410E5B">
              <w:t xml:space="preserve"> </w:t>
            </w:r>
            <w:r>
              <w:t>in dogs from an unpublished 52</w:t>
            </w:r>
            <w:r w:rsidR="00F85B02">
              <w:t xml:space="preserve"> </w:t>
            </w:r>
            <w:r>
              <w:t>wk feeding study</w:t>
            </w:r>
          </w:p>
          <w:p w14:paraId="0224FF89" w14:textId="46E0433B" w:rsidR="007E1B9A" w:rsidRDefault="007E1B9A" w:rsidP="003477D1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TWA is derived </w:t>
            </w:r>
            <w:r w:rsidRPr="00DC2E35">
              <w:rPr>
                <w:i/>
              </w:rPr>
              <w:t>via</w:t>
            </w:r>
            <w:r>
              <w:t xml:space="preserve"> conversion of the 0.2 mg/kg</w:t>
            </w:r>
            <w:r w:rsidR="004226B3">
              <w:t>/d</w:t>
            </w:r>
            <w:r>
              <w:t xml:space="preserve"> NOAEL using the following factors:</w:t>
            </w:r>
          </w:p>
          <w:p w14:paraId="606BECEE" w14:textId="77777777" w:rsidR="007E1B9A" w:rsidRDefault="007E1B9A" w:rsidP="003477D1">
            <w:pPr>
              <w:pStyle w:val="ListBullet"/>
              <w:numPr>
                <w:ilvl w:val="1"/>
                <w:numId w:val="9"/>
              </w:numPr>
              <w:spacing w:before="60" w:after="60"/>
              <w:ind w:left="1094" w:hanging="357"/>
              <w:contextualSpacing w:val="0"/>
            </w:pPr>
            <w:r>
              <w:t>7/5 for work</w:t>
            </w:r>
            <w:r w:rsidR="008B4CD8">
              <w:t xml:space="preserve"> </w:t>
            </w:r>
            <w:r>
              <w:t>week conversion</w:t>
            </w:r>
          </w:p>
          <w:p w14:paraId="276D4F37" w14:textId="77777777" w:rsidR="007E1B9A" w:rsidRDefault="007E1B9A" w:rsidP="003477D1">
            <w:pPr>
              <w:pStyle w:val="ListBullet"/>
              <w:numPr>
                <w:ilvl w:val="1"/>
                <w:numId w:val="9"/>
              </w:numPr>
              <w:spacing w:before="60" w:after="60"/>
              <w:ind w:left="1094" w:hanging="357"/>
              <w:contextualSpacing w:val="0"/>
            </w:pPr>
            <w:r>
              <w:t xml:space="preserve">1.4 for </w:t>
            </w:r>
            <w:proofErr w:type="spellStart"/>
            <w:r>
              <w:t>allometric</w:t>
            </w:r>
            <w:proofErr w:type="spellEnd"/>
            <w:r>
              <w:t xml:space="preserve"> scaling from dogs to humans</w:t>
            </w:r>
          </w:p>
          <w:p w14:paraId="2784B8EA" w14:textId="77777777" w:rsidR="007E1B9A" w:rsidRDefault="007E1B9A" w:rsidP="003477D1">
            <w:pPr>
              <w:pStyle w:val="ListBullet"/>
              <w:numPr>
                <w:ilvl w:val="1"/>
                <w:numId w:val="9"/>
              </w:numPr>
              <w:spacing w:before="60" w:after="60"/>
              <w:ind w:left="1094" w:hanging="357"/>
              <w:contextualSpacing w:val="0"/>
            </w:pPr>
            <w:r>
              <w:t>9 for int</w:t>
            </w:r>
            <w:r w:rsidRPr="00544E88">
              <w:t>er-</w:t>
            </w:r>
            <w:r>
              <w:t xml:space="preserve"> and </w:t>
            </w:r>
            <w:proofErr w:type="spellStart"/>
            <w:r>
              <w:t>intraspecies</w:t>
            </w:r>
            <w:proofErr w:type="spellEnd"/>
            <w:r>
              <w:t xml:space="preserve"> variation</w:t>
            </w:r>
          </w:p>
          <w:p w14:paraId="29B6AADF" w14:textId="77777777" w:rsidR="007E1B9A" w:rsidRDefault="007E1B9A" w:rsidP="003477D1">
            <w:pPr>
              <w:pStyle w:val="ListBullet"/>
              <w:numPr>
                <w:ilvl w:val="1"/>
                <w:numId w:val="9"/>
              </w:numPr>
              <w:spacing w:before="60" w:after="60"/>
              <w:ind w:left="1094" w:hanging="357"/>
              <w:contextualSpacing w:val="0"/>
            </w:pPr>
            <w:r>
              <w:t>70 kg human breathing 10</w:t>
            </w:r>
            <w:r w:rsidR="00444969">
              <w:t xml:space="preserve"> </w:t>
            </w:r>
            <w:r>
              <w:t>m</w:t>
            </w:r>
            <w:r>
              <w:rPr>
                <w:vertAlign w:val="superscript"/>
              </w:rPr>
              <w:t xml:space="preserve">3 </w:t>
            </w:r>
            <w:r>
              <w:t>of air with 100% retention</w:t>
            </w:r>
          </w:p>
          <w:p w14:paraId="5FC5F9E3" w14:textId="01A5E12A" w:rsidR="007E1B9A" w:rsidRDefault="00BF568D" w:rsidP="003477D1">
            <w:pPr>
              <w:pStyle w:val="ListBullet"/>
              <w:numPr>
                <w:ilvl w:val="1"/>
                <w:numId w:val="9"/>
              </w:numPr>
              <w:spacing w:before="60" w:after="60"/>
              <w:ind w:left="1094" w:hanging="357"/>
              <w:contextualSpacing w:val="0"/>
            </w:pPr>
            <w:r>
              <w:t>applying</w:t>
            </w:r>
            <w:r w:rsidR="007E1B9A">
              <w:t xml:space="preserve"> a preferred value approach</w:t>
            </w:r>
            <w:r>
              <w:t xml:space="preserve"> to </w:t>
            </w:r>
            <w:r w:rsidR="003A02B1">
              <w:t xml:space="preserve">derive </w:t>
            </w:r>
            <w:r>
              <w:t>a concentration of 0.2 mg/m</w:t>
            </w:r>
            <w:r>
              <w:rPr>
                <w:vertAlign w:val="superscript"/>
              </w:rPr>
              <w:t>3</w:t>
            </w:r>
          </w:p>
          <w:p w14:paraId="4910613E" w14:textId="77777777" w:rsidR="00586F9E" w:rsidRDefault="00586F9E" w:rsidP="003477D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>
              <w:rPr>
                <w:vertAlign w:val="subscript"/>
              </w:rPr>
              <w:t>50</w:t>
            </w:r>
            <w:r>
              <w:t>: 590 mg/kg (rabbits, dermal)</w:t>
            </w:r>
          </w:p>
          <w:p w14:paraId="146F50F5" w14:textId="77777777" w:rsidR="009E27E3" w:rsidRDefault="001772EB" w:rsidP="003477D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Skin notation warranted based on</w:t>
            </w:r>
            <w:r w:rsidR="00480AEC">
              <w:t xml:space="preserve"> determination that the amount absorbed by the skin is greater than 10% of the amount taken up by inhalation when exposed to the TWA concentration</w:t>
            </w:r>
            <w:r w:rsidR="009E27E3">
              <w:t xml:space="preserve"> </w:t>
            </w:r>
          </w:p>
          <w:p w14:paraId="0D817AC8" w14:textId="77777777" w:rsidR="001772EB" w:rsidRDefault="009E27E3" w:rsidP="003477D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Concluded no mutagenic or genotoxic potential</w:t>
            </w:r>
            <w:r w:rsidR="00F85B02">
              <w:t>.</w:t>
            </w:r>
          </w:p>
          <w:p w14:paraId="3B5011D7" w14:textId="77777777" w:rsidR="00BE66CB" w:rsidRPr="00DA352E" w:rsidRDefault="00BE66CB" w:rsidP="00281279">
            <w:pPr>
              <w:pStyle w:val="ListBullet"/>
              <w:numPr>
                <w:ilvl w:val="0"/>
                <w:numId w:val="0"/>
              </w:numPr>
              <w:ind w:left="1080"/>
            </w:pPr>
          </w:p>
        </w:tc>
      </w:tr>
    </w:tbl>
    <w:p w14:paraId="05F6F8D1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7"/>
        <w:gridCol w:w="424"/>
        <w:gridCol w:w="661"/>
        <w:gridCol w:w="6444"/>
      </w:tblGrid>
      <w:tr w:rsidR="004966BF" w:rsidRPr="00263255" w14:paraId="6393FEC0" w14:textId="77777777" w:rsidTr="001772EB">
        <w:trPr>
          <w:cantSplit/>
          <w:trHeight w:val="393"/>
          <w:tblHeader/>
        </w:trPr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6EB42797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14:paraId="105FB881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4335EF06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4" w:type="dxa"/>
            <w:shd w:val="clear" w:color="auto" w:fill="BFBFBF" w:themeFill="background1" w:themeFillShade="BF"/>
            <w:vAlign w:val="center"/>
          </w:tcPr>
          <w:p w14:paraId="071FA1EF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1016D279" w14:textId="77777777" w:rsidTr="001772EB">
        <w:trPr>
          <w:cantSplit/>
        </w:trPr>
        <w:tc>
          <w:tcPr>
            <w:tcW w:w="1497" w:type="dxa"/>
          </w:tcPr>
          <w:p w14:paraId="3FA0FD0B" w14:textId="77777777" w:rsidR="004966BF" w:rsidRPr="004C23F4" w:rsidRDefault="004966BF" w:rsidP="00224EE2">
            <w:pPr>
              <w:pStyle w:val="Tablefont"/>
            </w:pPr>
            <w:r>
              <w:t>NTP</w:t>
            </w:r>
          </w:p>
        </w:tc>
        <w:tc>
          <w:tcPr>
            <w:tcW w:w="424" w:type="dxa"/>
          </w:tcPr>
          <w:p w14:paraId="1E185B0D" w14:textId="77777777" w:rsidR="004966BF" w:rsidRPr="00CE617F" w:rsidRDefault="00C94C92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954586092"/>
                <w:placeholder>
                  <w:docPart w:val="0599BE4318CD4CC0836196E577CC2921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1772EB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2769C336" w14:textId="77777777" w:rsidR="004966BF" w:rsidRPr="004C23F4" w:rsidRDefault="001772EB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1979</w:t>
            </w:r>
          </w:p>
        </w:tc>
        <w:tc>
          <w:tcPr>
            <w:tcW w:w="6444" w:type="dxa"/>
          </w:tcPr>
          <w:p w14:paraId="1F72BF04" w14:textId="020BF3BA" w:rsidR="004966BF" w:rsidRPr="004C23F4" w:rsidRDefault="001772EB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 further information</w:t>
            </w:r>
            <w:r w:rsidR="00DC2E35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4D7A1836" w14:textId="77777777" w:rsidTr="001772EB">
        <w:trPr>
          <w:cantSplit/>
        </w:trPr>
        <w:tc>
          <w:tcPr>
            <w:tcW w:w="1497" w:type="dxa"/>
          </w:tcPr>
          <w:p w14:paraId="56953383" w14:textId="77777777" w:rsidR="004966BF" w:rsidRDefault="004966BF" w:rsidP="00224EE2">
            <w:pPr>
              <w:pStyle w:val="Tablefont"/>
            </w:pPr>
            <w:r>
              <w:t>US NIOSH</w:t>
            </w:r>
          </w:p>
        </w:tc>
        <w:tc>
          <w:tcPr>
            <w:tcW w:w="424" w:type="dxa"/>
          </w:tcPr>
          <w:p w14:paraId="34E61456" w14:textId="77777777" w:rsidR="004966BF" w:rsidRDefault="00C94C92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480AEC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79A708B8" w14:textId="77777777" w:rsidR="004966BF" w:rsidRPr="004C23F4" w:rsidRDefault="00480AEC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1989</w:t>
            </w:r>
          </w:p>
        </w:tc>
        <w:tc>
          <w:tcPr>
            <w:tcW w:w="6444" w:type="dxa"/>
          </w:tcPr>
          <w:p w14:paraId="1806871D" w14:textId="0D6435BB" w:rsidR="004966BF" w:rsidRPr="004C23F4" w:rsidRDefault="00480AEC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 further information</w:t>
            </w:r>
            <w:r w:rsidR="00DC2E35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0"/>
    <w:p w14:paraId="5FFF9DB1" w14:textId="77777777" w:rsidR="007E2A4B" w:rsidRDefault="007E2A4B" w:rsidP="00DC2E35">
      <w:pPr>
        <w:pStyle w:val="Heading3"/>
        <w:keepNext w:val="0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1430C30E" w14:textId="77777777" w:rsidTr="001772EB">
        <w:trPr>
          <w:trHeight w:val="454"/>
          <w:tblHeader/>
        </w:trPr>
        <w:tc>
          <w:tcPr>
            <w:tcW w:w="6603" w:type="dxa"/>
            <w:vAlign w:val="center"/>
          </w:tcPr>
          <w:p w14:paraId="6C51737A" w14:textId="77777777" w:rsidR="002E0D61" w:rsidRDefault="00B1422A" w:rsidP="00DC2E35">
            <w:pPr>
              <w:pStyle w:val="Tablefont"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0BC809E8" w14:textId="77777777" w:rsidR="002E0D61" w:rsidRDefault="001772EB" w:rsidP="00DC2E35">
                <w:pPr>
                  <w:pStyle w:val="Tablefont"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0F88CC6D" w14:textId="77777777" w:rsidTr="001772EB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2DB7A549" w14:textId="77777777" w:rsidR="008A36CF" w:rsidRPr="006901A2" w:rsidRDefault="001772EB" w:rsidP="00DC2E35">
                <w:pPr>
                  <w:pStyle w:val="Tablefont"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794CBA02" w14:textId="77777777" w:rsidR="008A36CF" w:rsidRDefault="008A36CF" w:rsidP="00DC2E35">
            <w:pPr>
              <w:pStyle w:val="Tablefont"/>
              <w:keepLines/>
              <w:spacing w:before="40" w:after="40"/>
            </w:pPr>
          </w:p>
        </w:tc>
      </w:tr>
    </w:tbl>
    <w:bookmarkEnd w:id="1"/>
    <w:p w14:paraId="0E172214" w14:textId="77777777" w:rsidR="00687890" w:rsidRPr="004C23F4" w:rsidRDefault="00B479A9" w:rsidP="00474E33">
      <w:pPr>
        <w:pStyle w:val="Heading2"/>
      </w:pPr>
      <w:r w:rsidRPr="004C23F4">
        <w:lastRenderedPageBreak/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205444DD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288320C0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498C242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05D610ED" w14:textId="77777777" w:rsidTr="00812887">
        <w:trPr>
          <w:cantSplit/>
        </w:trPr>
        <w:tc>
          <w:tcPr>
            <w:tcW w:w="3227" w:type="dxa"/>
          </w:tcPr>
          <w:p w14:paraId="5BE29173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1DF2C757" w14:textId="77777777" w:rsidR="00687890" w:rsidRPr="00DD2F9B" w:rsidRDefault="00404008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5427C3F0" w14:textId="77777777" w:rsidTr="00812887">
        <w:trPr>
          <w:cantSplit/>
        </w:trPr>
        <w:tc>
          <w:tcPr>
            <w:tcW w:w="3227" w:type="dxa"/>
          </w:tcPr>
          <w:p w14:paraId="0054100B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33F83576" w14:textId="77777777" w:rsidR="007925F0" w:rsidRPr="00DD2F9B" w:rsidRDefault="00ED2D69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0393DF89" w14:textId="77777777" w:rsidTr="00812887">
        <w:trPr>
          <w:cantSplit/>
        </w:trPr>
        <w:tc>
          <w:tcPr>
            <w:tcW w:w="3227" w:type="dxa"/>
          </w:tcPr>
          <w:p w14:paraId="1494AEC6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27019A94" w14:textId="77777777" w:rsidR="00AF483F" w:rsidRPr="00DD2F9B" w:rsidRDefault="00404008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06162D12" w14:textId="77777777" w:rsidTr="00812887">
        <w:trPr>
          <w:cantSplit/>
        </w:trPr>
        <w:tc>
          <w:tcPr>
            <w:tcW w:w="3227" w:type="dxa"/>
          </w:tcPr>
          <w:p w14:paraId="5AF32DFC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3E38049F" w14:textId="77777777" w:rsidR="00687890" w:rsidRPr="00DD2F9B" w:rsidRDefault="00166026" w:rsidP="004F7E79">
            <w:pPr>
              <w:pStyle w:val="Tablefont"/>
            </w:pPr>
            <w:r>
              <w:t>NA</w:t>
            </w:r>
          </w:p>
        </w:tc>
      </w:tr>
      <w:tr w:rsidR="00E41A26" w:rsidRPr="004C23F4" w14:paraId="216622A2" w14:textId="77777777" w:rsidTr="00812887">
        <w:trPr>
          <w:cantSplit/>
        </w:trPr>
        <w:tc>
          <w:tcPr>
            <w:tcW w:w="3227" w:type="dxa"/>
          </w:tcPr>
          <w:p w14:paraId="1BCBAED5" w14:textId="77777777" w:rsidR="00E41A26" w:rsidRPr="0015352D" w:rsidRDefault="00E41A26" w:rsidP="00F4402E">
            <w:pPr>
              <w:pStyle w:val="Tablefont"/>
            </w:pPr>
            <w:r w:rsidRPr="0015352D">
              <w:t>ECHA</w:t>
            </w:r>
          </w:p>
        </w:tc>
        <w:tc>
          <w:tcPr>
            <w:tcW w:w="6015" w:type="dxa"/>
          </w:tcPr>
          <w:p w14:paraId="6FFEEA0F" w14:textId="77777777" w:rsidR="00E41A26" w:rsidRPr="005B74C5" w:rsidRDefault="00017E91" w:rsidP="00DD2F9B">
            <w:pPr>
              <w:pStyle w:val="Tablefont"/>
              <w:rPr>
                <w:highlight w:val="yellow"/>
              </w:rPr>
            </w:pPr>
            <w:r w:rsidRPr="00017E91">
              <w:t>NA</w:t>
            </w:r>
          </w:p>
        </w:tc>
      </w:tr>
      <w:tr w:rsidR="002E0D61" w:rsidRPr="004C23F4" w14:paraId="69F8B1CE" w14:textId="77777777" w:rsidTr="005405AD">
        <w:trPr>
          <w:cantSplit/>
        </w:trPr>
        <w:tc>
          <w:tcPr>
            <w:tcW w:w="3227" w:type="dxa"/>
          </w:tcPr>
          <w:p w14:paraId="664B6AF4" w14:textId="77777777" w:rsidR="004079B4" w:rsidRPr="0015352D" w:rsidRDefault="002E0D61" w:rsidP="00F4402E">
            <w:pPr>
              <w:pStyle w:val="Tablefont"/>
            </w:pPr>
            <w:r w:rsidRPr="0015352D">
              <w:t>ACGIH</w:t>
            </w:r>
          </w:p>
        </w:tc>
        <w:tc>
          <w:tcPr>
            <w:tcW w:w="6015" w:type="dxa"/>
            <w:shd w:val="clear" w:color="auto" w:fill="auto"/>
          </w:tcPr>
          <w:p w14:paraId="76530521" w14:textId="77777777" w:rsidR="002E0D61" w:rsidRPr="00B540A5" w:rsidRDefault="005405AD" w:rsidP="00DD2F9B">
            <w:pPr>
              <w:pStyle w:val="Tablefont"/>
              <w:rPr>
                <w:highlight w:val="yellow"/>
              </w:rPr>
            </w:pPr>
            <w:r w:rsidRPr="005405AD">
              <w:t>Carcinogenicity – A4</w:t>
            </w:r>
          </w:p>
        </w:tc>
      </w:tr>
      <w:tr w:rsidR="002E0D61" w:rsidRPr="004C23F4" w14:paraId="5F080E68" w14:textId="77777777" w:rsidTr="00812887">
        <w:trPr>
          <w:cantSplit/>
        </w:trPr>
        <w:tc>
          <w:tcPr>
            <w:tcW w:w="3227" w:type="dxa"/>
          </w:tcPr>
          <w:p w14:paraId="04CA1E8E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5902E495" w14:textId="77777777" w:rsidR="002E0D61" w:rsidRPr="00DD2F9B" w:rsidRDefault="00FB53CF" w:rsidP="00DD2F9B">
            <w:pPr>
              <w:pStyle w:val="Tablefont"/>
            </w:pPr>
            <w:r>
              <w:t>H (skin)</w:t>
            </w:r>
          </w:p>
        </w:tc>
      </w:tr>
      <w:tr w:rsidR="002E0D61" w:rsidRPr="004C23F4" w14:paraId="55C3071A" w14:textId="77777777" w:rsidTr="00812887">
        <w:trPr>
          <w:cantSplit/>
        </w:trPr>
        <w:tc>
          <w:tcPr>
            <w:tcW w:w="3227" w:type="dxa"/>
          </w:tcPr>
          <w:p w14:paraId="531D834C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2E42DA72" w14:textId="77777777" w:rsidR="002E0D61" w:rsidRPr="00DD2F9B" w:rsidRDefault="00C1319A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A81531A" w14:textId="77777777" w:rsidTr="00812887">
        <w:trPr>
          <w:cantSplit/>
        </w:trPr>
        <w:tc>
          <w:tcPr>
            <w:tcW w:w="3227" w:type="dxa"/>
          </w:tcPr>
          <w:p w14:paraId="35F4596C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A174A10" w14:textId="77777777" w:rsidR="002E0D61" w:rsidRPr="00DD2F9B" w:rsidRDefault="00FB53CF" w:rsidP="00DD2F9B">
            <w:pPr>
              <w:pStyle w:val="Tablefont"/>
            </w:pPr>
            <w:r>
              <w:t>Skin</w:t>
            </w:r>
          </w:p>
        </w:tc>
      </w:tr>
      <w:tr w:rsidR="00386093" w:rsidRPr="004C23F4" w14:paraId="4CA78BBA" w14:textId="77777777" w:rsidTr="00812887">
        <w:trPr>
          <w:cantSplit/>
        </w:trPr>
        <w:tc>
          <w:tcPr>
            <w:tcW w:w="3227" w:type="dxa"/>
          </w:tcPr>
          <w:p w14:paraId="7E5E000E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73523B3" w14:textId="77777777" w:rsidR="00386093" w:rsidRPr="00DD2F9B" w:rsidRDefault="00E53E04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C4EB4B3" w14:textId="77777777" w:rsidTr="00812887">
        <w:trPr>
          <w:cantSplit/>
        </w:trPr>
        <w:tc>
          <w:tcPr>
            <w:tcW w:w="3227" w:type="dxa"/>
          </w:tcPr>
          <w:p w14:paraId="52A84898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CF5C9E2" w14:textId="77777777" w:rsidR="00386093" w:rsidRPr="00DD2F9B" w:rsidRDefault="00017E91" w:rsidP="00777EAC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12770974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7BB2531F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4024FC03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32BBE02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40698519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142" w:type="dxa"/>
              <w:tblLook w:val="04A0" w:firstRow="1" w:lastRow="0" w:firstColumn="1" w:lastColumn="0" w:noHBand="0" w:noVBand="1"/>
            </w:tblPr>
            <w:tblGrid>
              <w:gridCol w:w="3314"/>
              <w:gridCol w:w="976"/>
              <w:gridCol w:w="976"/>
              <w:gridCol w:w="2876"/>
            </w:tblGrid>
            <w:tr w:rsidR="00586F9E" w:rsidRPr="00586F9E" w14:paraId="59B9861E" w14:textId="77777777" w:rsidTr="00586F9E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5E4DC27" w14:textId="77777777" w:rsidR="00586F9E" w:rsidRPr="00586F9E" w:rsidRDefault="00F85B02" w:rsidP="00586F9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t xml:space="preserve"> </w:t>
                  </w:r>
                  <w:r w:rsidR="00586F9E" w:rsidRPr="00586F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7DEA594" w14:textId="77777777" w:rsidR="00586F9E" w:rsidRPr="00586F9E" w:rsidRDefault="00586F9E" w:rsidP="00586F9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86F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382D756" w14:textId="77777777" w:rsidR="00586F9E" w:rsidRPr="00586F9E" w:rsidRDefault="00586F9E" w:rsidP="00586F9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586F9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D8BDD66" w14:textId="77777777" w:rsidR="00586F9E" w:rsidRPr="00586F9E" w:rsidRDefault="00586F9E" w:rsidP="00586F9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86F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86F9E" w:rsidRPr="00586F9E" w14:paraId="0FB67D44" w14:textId="77777777" w:rsidTr="00586F9E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D5B149A" w14:textId="77777777" w:rsidR="00586F9E" w:rsidRPr="00586F9E" w:rsidRDefault="00586F9E" w:rsidP="00586F9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86F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586F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586F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6A321A68" w14:textId="77777777" w:rsidR="00586F9E" w:rsidRPr="00586F9E" w:rsidRDefault="00586F9E" w:rsidP="00586F9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586F9E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F2BE60B" w14:textId="77777777" w:rsidR="00586F9E" w:rsidRPr="00586F9E" w:rsidRDefault="00586F9E" w:rsidP="00586F9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586F9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224FACD" w14:textId="77777777" w:rsidR="00586F9E" w:rsidRPr="00586F9E" w:rsidRDefault="00586F9E" w:rsidP="00586F9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86F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86F9E" w:rsidRPr="00586F9E" w14:paraId="06469AEA" w14:textId="77777777" w:rsidTr="00586F9E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6F057AB" w14:textId="77777777" w:rsidR="00586F9E" w:rsidRPr="00586F9E" w:rsidRDefault="00586F9E" w:rsidP="00586F9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86F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D601D47" w14:textId="77777777" w:rsidR="00586F9E" w:rsidRPr="00586F9E" w:rsidRDefault="00586F9E" w:rsidP="00586F9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86F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B5004AF" w14:textId="77777777" w:rsidR="00586F9E" w:rsidRPr="00586F9E" w:rsidRDefault="00586F9E" w:rsidP="00586F9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586F9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D089E3" w14:textId="77777777" w:rsidR="00586F9E" w:rsidRPr="00586F9E" w:rsidRDefault="00586F9E" w:rsidP="00586F9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86F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86F9E" w:rsidRPr="00586F9E" w14:paraId="2CF526C5" w14:textId="77777777" w:rsidTr="00586F9E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DB1C77E" w14:textId="0DB3FFF2" w:rsidR="00586F9E" w:rsidRPr="00586F9E" w:rsidRDefault="00586F9E" w:rsidP="00586F9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86F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586F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586F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586F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586F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83F075E" w14:textId="77777777" w:rsidR="00586F9E" w:rsidRPr="00586F9E" w:rsidRDefault="00586F9E" w:rsidP="00586F9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86F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50A4569" w14:textId="77777777" w:rsidR="00586F9E" w:rsidRPr="00586F9E" w:rsidRDefault="00586F9E" w:rsidP="00586F9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586F9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615CA0D" w14:textId="77777777" w:rsidR="00586F9E" w:rsidRPr="00586F9E" w:rsidRDefault="00586F9E" w:rsidP="00586F9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86F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86F9E" w:rsidRPr="00586F9E" w14:paraId="56DEA20C" w14:textId="77777777" w:rsidTr="00586F9E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3DD296F" w14:textId="77777777" w:rsidR="00586F9E" w:rsidRPr="00586F9E" w:rsidRDefault="00586F9E" w:rsidP="00586F9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586F9E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586F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68B674E" w14:textId="77777777" w:rsidR="00586F9E" w:rsidRPr="00586F9E" w:rsidRDefault="00586F9E" w:rsidP="00586F9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86F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D070F54" w14:textId="77777777" w:rsidR="00586F9E" w:rsidRPr="00586F9E" w:rsidRDefault="00586F9E" w:rsidP="00586F9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586F9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2E3C3E2" w14:textId="77777777" w:rsidR="00586F9E" w:rsidRPr="00586F9E" w:rsidRDefault="00586F9E" w:rsidP="00586F9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86F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86F9E" w:rsidRPr="00586F9E" w14:paraId="3109EB43" w14:textId="77777777" w:rsidTr="00586F9E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5FB843F" w14:textId="0FD5824D" w:rsidR="00586F9E" w:rsidRPr="00586F9E" w:rsidRDefault="00586F9E" w:rsidP="00586F9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86F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D0D2F38" w14:textId="5B46C8BD" w:rsidR="00586F9E" w:rsidRPr="00586F9E" w:rsidRDefault="00586F9E" w:rsidP="00586F9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86F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DD93203" w14:textId="77777777" w:rsidR="00586F9E" w:rsidRPr="00586F9E" w:rsidRDefault="00586F9E" w:rsidP="00586F9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586F9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0607F8C" w14:textId="77777777" w:rsidR="00586F9E" w:rsidRPr="00586F9E" w:rsidRDefault="00586F9E" w:rsidP="00586F9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86F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B37BD7" w:rsidRPr="00586F9E" w14:paraId="71DE1710" w14:textId="77777777" w:rsidTr="00014502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493352A" w14:textId="77777777" w:rsidR="00B37BD7" w:rsidRPr="00586F9E" w:rsidRDefault="00B37BD7" w:rsidP="00586F9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86F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E6B8590" w14:textId="77777777" w:rsidR="00B37BD7" w:rsidRPr="00586F9E" w:rsidRDefault="00B37BD7" w:rsidP="00586F9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86F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DEFE86F" w14:textId="77777777" w:rsidR="00B37BD7" w:rsidRPr="00586F9E" w:rsidRDefault="00B37BD7" w:rsidP="00586F9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586F9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  <w:p w14:paraId="77B4E5BA" w14:textId="77777777" w:rsidR="00B37BD7" w:rsidRPr="00586F9E" w:rsidRDefault="00B37BD7" w:rsidP="00586F9E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586F9E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consider assigning a skin notation</w:t>
                  </w:r>
                </w:p>
              </w:tc>
            </w:tr>
          </w:tbl>
          <w:p w14:paraId="7027C2CF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2B23DA56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6C240308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97BEF4F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429869EA" w14:textId="77777777" w:rsidR="00EB3D1B" w:rsidRDefault="003866C2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3C953F9E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2C9C1BA7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4B67806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2727600A" w14:textId="77777777" w:rsidR="001B79E5" w:rsidRDefault="00404008" w:rsidP="001B79E5">
                <w:pPr>
                  <w:pStyle w:val="Tablefont"/>
                </w:pPr>
                <w:r>
                  <w:t>80.10</w:t>
                </w:r>
              </w:p>
            </w:tc>
          </w:sdtContent>
        </w:sdt>
      </w:tr>
      <w:tr w:rsidR="00A31D99" w:rsidRPr="004C23F4" w14:paraId="2C373257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BDD9C19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7FBA6164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54F3F1A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C92F491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CBD4B07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03C5A9B" w14:textId="77777777" w:rsidTr="00EA6243">
        <w:trPr>
          <w:cantSplit/>
        </w:trPr>
        <w:tc>
          <w:tcPr>
            <w:tcW w:w="4077" w:type="dxa"/>
            <w:vAlign w:val="center"/>
          </w:tcPr>
          <w:p w14:paraId="2D8B8B82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D73D843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1C06643E" w14:textId="77777777" w:rsidTr="00EA6243">
        <w:trPr>
          <w:cantSplit/>
        </w:trPr>
        <w:tc>
          <w:tcPr>
            <w:tcW w:w="4077" w:type="dxa"/>
            <w:vAlign w:val="center"/>
          </w:tcPr>
          <w:p w14:paraId="666CC519" w14:textId="77777777" w:rsidR="00687890" w:rsidRPr="00263255" w:rsidRDefault="00687890" w:rsidP="00263255">
            <w:pPr>
              <w:pStyle w:val="Tablefont"/>
            </w:pPr>
            <w:r w:rsidRPr="00263255">
              <w:lastRenderedPageBreak/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5D23349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5E160F62" w14:textId="77777777" w:rsidTr="00EA6243">
        <w:trPr>
          <w:cantSplit/>
        </w:trPr>
        <w:tc>
          <w:tcPr>
            <w:tcW w:w="4077" w:type="dxa"/>
            <w:vAlign w:val="center"/>
          </w:tcPr>
          <w:p w14:paraId="3C406794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0DD2766E" w14:textId="77777777" w:rsidR="00E06F40" w:rsidRPr="00A006A0" w:rsidRDefault="00C94C92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D3A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915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0F591000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621336BA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66C78AF7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102B2410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277C6799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16277143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0230DC34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6A9F0E9B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73003FB9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6B99A03A" w14:textId="77777777" w:rsidR="00FC1084" w:rsidRDefault="00FC1084" w:rsidP="00084859">
      <w:r w:rsidRPr="002022B6">
        <w:t>Deutsche Forschungsgemeinschaft (DFG)</w:t>
      </w:r>
      <w:r>
        <w:t xml:space="preserve"> (2007) </w:t>
      </w:r>
      <w:r w:rsidR="003E7FFD">
        <w:t xml:space="preserve">Calcium </w:t>
      </w:r>
      <w:r>
        <w:t>Cyanamide – MAK value documentation.</w:t>
      </w:r>
    </w:p>
    <w:p w14:paraId="7FA4D35E" w14:textId="77777777" w:rsidR="00544E88" w:rsidRDefault="00544E88" w:rsidP="00084859">
      <w:r w:rsidRPr="00DB0A36">
        <w:t>Health Council of the Netherlands (HCOTN) (</w:t>
      </w:r>
      <w:r>
        <w:t>2004</w:t>
      </w:r>
      <w:r w:rsidRPr="00DB0A36">
        <w:t xml:space="preserve">) </w:t>
      </w:r>
      <w:r w:rsidR="00ED70C3">
        <w:t>Cyanamide and calcium cyanamide</w:t>
      </w:r>
      <w:r w:rsidRPr="00DB0A36">
        <w:t xml:space="preserve">. Health-based recommendation on occupational exposure limits. The Hague: Health Council of the Netherlands; publication no. </w:t>
      </w:r>
      <w:r>
        <w:t>2000/15OSH</w:t>
      </w:r>
      <w:r w:rsidRPr="00DB0A36">
        <w:t>/</w:t>
      </w:r>
      <w:r>
        <w:t>133</w:t>
      </w:r>
      <w:r w:rsidRPr="00DB0A36">
        <w:t>.</w:t>
      </w:r>
    </w:p>
    <w:p w14:paraId="714DB88D" w14:textId="77777777" w:rsidR="00D02EEE" w:rsidRDefault="00D02EEE" w:rsidP="00084859">
      <w:r w:rsidRPr="002022B6">
        <w:t>National Toxicology Program (NTP)</w:t>
      </w:r>
      <w:r>
        <w:t xml:space="preserve"> (</w:t>
      </w:r>
      <w:r w:rsidR="004E2FCD">
        <w:t>1979</w:t>
      </w:r>
      <w:r>
        <w:t xml:space="preserve">) Technical Report on </w:t>
      </w:r>
      <w:r w:rsidR="0072403A">
        <w:t>bioassay of calcium cyanamide for possible carcinogenicity</w:t>
      </w:r>
      <w:r>
        <w:t xml:space="preserve">. </w:t>
      </w:r>
      <w:r w:rsidR="00A4690B">
        <w:t>N</w:t>
      </w:r>
      <w:r w:rsidR="00483384">
        <w:t>ational Cancer Institute c</w:t>
      </w:r>
      <w:r w:rsidR="00A4690B">
        <w:t>arcinogenesis</w:t>
      </w:r>
      <w:r w:rsidR="00483384">
        <w:t xml:space="preserve"> technical report</w:t>
      </w:r>
      <w:r>
        <w:t xml:space="preserve"> series No. </w:t>
      </w:r>
      <w:r w:rsidR="006E35A7">
        <w:t>163</w:t>
      </w:r>
      <w:r>
        <w:t>. D</w:t>
      </w:r>
      <w:r w:rsidR="004E2FCD">
        <w:t>HEW</w:t>
      </w:r>
      <w:r>
        <w:t xml:space="preserve"> Pub</w:t>
      </w:r>
      <w:r w:rsidR="00BE21A9">
        <w:t>lication</w:t>
      </w:r>
      <w:r>
        <w:t xml:space="preserve"> No</w:t>
      </w:r>
      <w:r w:rsidR="004E2FCD">
        <w:t>. (NIH)</w:t>
      </w:r>
      <w:r>
        <w:t xml:space="preserve"> </w:t>
      </w:r>
      <w:r w:rsidR="004E2FCD">
        <w:t>79-1719</w:t>
      </w:r>
      <w:r>
        <w:t>.</w:t>
      </w:r>
    </w:p>
    <w:p w14:paraId="4DADFFB8" w14:textId="77777777" w:rsidR="00480AEC" w:rsidRDefault="00480AEC" w:rsidP="00084859">
      <w:pPr>
        <w:rPr>
          <w:rStyle w:val="Hyperlink"/>
        </w:rPr>
      </w:pPr>
      <w:r w:rsidRPr="00D86E03">
        <w:t>US National Institute for Occupational Safety and Health (NIOSH)</w:t>
      </w:r>
      <w:r>
        <w:t xml:space="preserve"> (1989)</w:t>
      </w:r>
      <w:r w:rsidRPr="00480AEC">
        <w:t xml:space="preserve"> Calcium cyanamide</w:t>
      </w:r>
      <w:r>
        <w:t>: Accessed online July 2019</w:t>
      </w:r>
      <w:r w:rsidR="00077BC4">
        <w:t xml:space="preserve"> </w:t>
      </w:r>
      <w:hyperlink r:id="rId18" w:history="1">
        <w:r>
          <w:rPr>
            <w:rStyle w:val="Hyperlink"/>
          </w:rPr>
          <w:t>https://www.cdc.gov/niosh/npg/npgd0091.html</w:t>
        </w:r>
      </w:hyperlink>
    </w:p>
    <w:p w14:paraId="2738117C" w14:textId="77777777" w:rsidR="00F85B02" w:rsidRPr="00351FE0" w:rsidRDefault="00F85B02" w:rsidP="00084859"/>
    <w:sectPr w:rsidR="00F85B02" w:rsidRPr="00351FE0" w:rsidSect="00B87D4C">
      <w:headerReference w:type="default" r:id="rId19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DF62FB" w16cid:durableId="212B45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25D18" w14:textId="77777777" w:rsidR="00C55FB7" w:rsidRDefault="00C55FB7" w:rsidP="00F43AD5">
      <w:pPr>
        <w:spacing w:after="0" w:line="240" w:lineRule="auto"/>
      </w:pPr>
      <w:r>
        <w:separator/>
      </w:r>
    </w:p>
  </w:endnote>
  <w:endnote w:type="continuationSeparator" w:id="0">
    <w:p w14:paraId="1AD62F59" w14:textId="77777777" w:rsidR="00C55FB7" w:rsidRDefault="00C55FB7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FF7C0" w14:textId="77777777" w:rsidR="00C94C92" w:rsidRDefault="00C94C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37C443" w14:textId="77777777" w:rsidR="008A36CF" w:rsidRDefault="007F2973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 xml:space="preserve">Calcium </w:t>
        </w:r>
        <w:r w:rsidR="009D4B0F">
          <w:rPr>
            <w:b/>
            <w:sz w:val="18"/>
            <w:szCs w:val="18"/>
          </w:rPr>
          <w:t>cyanamide</w:t>
        </w:r>
        <w:r w:rsidR="008A36CF">
          <w:rPr>
            <w:b/>
            <w:sz w:val="18"/>
            <w:szCs w:val="18"/>
          </w:rPr>
          <w:t xml:space="preserve"> (</w:t>
        </w:r>
        <w:r w:rsidR="009D4B0F">
          <w:rPr>
            <w:b/>
            <w:sz w:val="18"/>
            <w:szCs w:val="18"/>
          </w:rPr>
          <w:t>156-62-7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5B70F483" w14:textId="1700CBCF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C94C92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7B3E8" w14:textId="77777777" w:rsidR="00C94C92" w:rsidRDefault="00C94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85B51" w14:textId="77777777" w:rsidR="00C55FB7" w:rsidRDefault="00C55FB7" w:rsidP="00F43AD5">
      <w:pPr>
        <w:spacing w:after="0" w:line="240" w:lineRule="auto"/>
      </w:pPr>
      <w:r>
        <w:separator/>
      </w:r>
    </w:p>
  </w:footnote>
  <w:footnote w:type="continuationSeparator" w:id="0">
    <w:p w14:paraId="6F77075A" w14:textId="77777777" w:rsidR="00C55FB7" w:rsidRDefault="00C55FB7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A8BD8" w14:textId="77777777" w:rsidR="00C94C92" w:rsidRDefault="00C94C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64504" w14:textId="77777777" w:rsidR="00C94C92" w:rsidRDefault="00C94C92" w:rsidP="00C94C92">
    <w:pPr>
      <w:pStyle w:val="Header"/>
      <w:jc w:val="right"/>
    </w:pPr>
    <w:sdt>
      <w:sdtPr>
        <w:id w:val="-739631374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609F3B6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228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0682948E" wp14:editId="5A89C6DA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2E1088" w14:textId="39B2DBE4" w:rsidR="008A36CF" w:rsidRDefault="008A36CF" w:rsidP="00F43AD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7A606" w14:textId="77777777" w:rsidR="00C94C92" w:rsidRDefault="00C94C9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D8D59" w14:textId="77777777" w:rsidR="00C94C92" w:rsidRDefault="00C94C92" w:rsidP="00C94C92">
    <w:pPr>
      <w:pStyle w:val="Header"/>
      <w:jc w:val="right"/>
    </w:pPr>
    <w:sdt>
      <w:sdtPr>
        <w:id w:val="-1495485029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771A9FB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2290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52D452D7" wp14:editId="367AF532">
          <wp:extent cx="2938272" cy="594360"/>
          <wp:effectExtent l="0" t="0" r="0" b="0"/>
          <wp:docPr id="3" name="Picture 3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DF9B0A" w14:textId="2D67765F" w:rsidR="006E0A0B" w:rsidRDefault="006E0A0B" w:rsidP="006E0A0B">
    <w:pPr>
      <w:pStyle w:val="Header"/>
      <w:jc w:val="right"/>
    </w:pPr>
    <w:bookmarkStart w:id="5" w:name="_GoBack"/>
    <w:bookmarkEnd w:id="5"/>
  </w:p>
  <w:p w14:paraId="6E4B83FB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23699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75EB2"/>
    <w:multiLevelType w:val="hybridMultilevel"/>
    <w:tmpl w:val="587018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B02DA2"/>
    <w:multiLevelType w:val="hybridMultilevel"/>
    <w:tmpl w:val="DD6C1E8E"/>
    <w:lvl w:ilvl="0" w:tplc="FA08A13A">
      <w:start w:val="1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C7ABB"/>
    <w:multiLevelType w:val="hybridMultilevel"/>
    <w:tmpl w:val="AE44E8A8"/>
    <w:lvl w:ilvl="0" w:tplc="AEA8EC08">
      <w:start w:val="1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A2135"/>
    <w:multiLevelType w:val="hybridMultilevel"/>
    <w:tmpl w:val="7C2C4B34"/>
    <w:lvl w:ilvl="0" w:tplc="7DEAD838">
      <w:start w:val="1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B5C1C"/>
    <w:multiLevelType w:val="hybridMultilevel"/>
    <w:tmpl w:val="D976050C"/>
    <w:lvl w:ilvl="0" w:tplc="0C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65635C71"/>
    <w:multiLevelType w:val="hybridMultilevel"/>
    <w:tmpl w:val="34BEB15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F039D3"/>
    <w:multiLevelType w:val="hybridMultilevel"/>
    <w:tmpl w:val="3C5AAC50"/>
    <w:lvl w:ilvl="0" w:tplc="55E48CD4">
      <w:start w:val="1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19AF"/>
    <w:rsid w:val="00013A22"/>
    <w:rsid w:val="00014C3F"/>
    <w:rsid w:val="00017C82"/>
    <w:rsid w:val="00017E91"/>
    <w:rsid w:val="00032B88"/>
    <w:rsid w:val="00046DF5"/>
    <w:rsid w:val="00047B7D"/>
    <w:rsid w:val="000512F1"/>
    <w:rsid w:val="00052060"/>
    <w:rsid w:val="0005574A"/>
    <w:rsid w:val="00055FE1"/>
    <w:rsid w:val="00056EC2"/>
    <w:rsid w:val="00060B48"/>
    <w:rsid w:val="00067F32"/>
    <w:rsid w:val="00071807"/>
    <w:rsid w:val="00075093"/>
    <w:rsid w:val="00077BC4"/>
    <w:rsid w:val="000803E1"/>
    <w:rsid w:val="00084513"/>
    <w:rsid w:val="00084859"/>
    <w:rsid w:val="00092D94"/>
    <w:rsid w:val="000B0868"/>
    <w:rsid w:val="000B08B1"/>
    <w:rsid w:val="000B3E12"/>
    <w:rsid w:val="000B3E78"/>
    <w:rsid w:val="000B3EA5"/>
    <w:rsid w:val="000B7B48"/>
    <w:rsid w:val="000C096D"/>
    <w:rsid w:val="000C139A"/>
    <w:rsid w:val="000C2053"/>
    <w:rsid w:val="000C248C"/>
    <w:rsid w:val="000D291C"/>
    <w:rsid w:val="000D50A9"/>
    <w:rsid w:val="000D6E2B"/>
    <w:rsid w:val="000E37F7"/>
    <w:rsid w:val="000E5A54"/>
    <w:rsid w:val="000E63D3"/>
    <w:rsid w:val="000E67CF"/>
    <w:rsid w:val="0010461E"/>
    <w:rsid w:val="00106FAA"/>
    <w:rsid w:val="00107E4B"/>
    <w:rsid w:val="00112906"/>
    <w:rsid w:val="00112F92"/>
    <w:rsid w:val="00113443"/>
    <w:rsid w:val="0012503F"/>
    <w:rsid w:val="00125A54"/>
    <w:rsid w:val="001269A7"/>
    <w:rsid w:val="00131092"/>
    <w:rsid w:val="00140E6A"/>
    <w:rsid w:val="00146545"/>
    <w:rsid w:val="00146B75"/>
    <w:rsid w:val="0015266D"/>
    <w:rsid w:val="0015288A"/>
    <w:rsid w:val="0015352D"/>
    <w:rsid w:val="00160F47"/>
    <w:rsid w:val="0016354E"/>
    <w:rsid w:val="00166026"/>
    <w:rsid w:val="001772EB"/>
    <w:rsid w:val="00177CA1"/>
    <w:rsid w:val="001820AC"/>
    <w:rsid w:val="00183823"/>
    <w:rsid w:val="00183942"/>
    <w:rsid w:val="00193752"/>
    <w:rsid w:val="00195B51"/>
    <w:rsid w:val="001A009E"/>
    <w:rsid w:val="001A0B08"/>
    <w:rsid w:val="001A1287"/>
    <w:rsid w:val="001A1A77"/>
    <w:rsid w:val="001A3113"/>
    <w:rsid w:val="001A3859"/>
    <w:rsid w:val="001A3C9D"/>
    <w:rsid w:val="001A43F8"/>
    <w:rsid w:val="001A7B83"/>
    <w:rsid w:val="001B040A"/>
    <w:rsid w:val="001B79E5"/>
    <w:rsid w:val="001D1573"/>
    <w:rsid w:val="001D2D84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2C5A"/>
    <w:rsid w:val="002046A6"/>
    <w:rsid w:val="00204956"/>
    <w:rsid w:val="00213640"/>
    <w:rsid w:val="00221547"/>
    <w:rsid w:val="002216FC"/>
    <w:rsid w:val="00221C52"/>
    <w:rsid w:val="00222533"/>
    <w:rsid w:val="00222F30"/>
    <w:rsid w:val="00224EE2"/>
    <w:rsid w:val="00227038"/>
    <w:rsid w:val="00227EC7"/>
    <w:rsid w:val="00244AD1"/>
    <w:rsid w:val="002463BC"/>
    <w:rsid w:val="002465CE"/>
    <w:rsid w:val="00254EA2"/>
    <w:rsid w:val="0025734A"/>
    <w:rsid w:val="00262014"/>
    <w:rsid w:val="00263255"/>
    <w:rsid w:val="00276494"/>
    <w:rsid w:val="00277B0C"/>
    <w:rsid w:val="00281279"/>
    <w:rsid w:val="00291903"/>
    <w:rsid w:val="0029629D"/>
    <w:rsid w:val="002A7269"/>
    <w:rsid w:val="002B1A2C"/>
    <w:rsid w:val="002C34F2"/>
    <w:rsid w:val="002C58FF"/>
    <w:rsid w:val="002C767A"/>
    <w:rsid w:val="002C7AFE"/>
    <w:rsid w:val="002D05D2"/>
    <w:rsid w:val="002D1651"/>
    <w:rsid w:val="002E0D61"/>
    <w:rsid w:val="002E382D"/>
    <w:rsid w:val="002E4C7B"/>
    <w:rsid w:val="002F1A2A"/>
    <w:rsid w:val="002F5A1B"/>
    <w:rsid w:val="0030487A"/>
    <w:rsid w:val="0030740C"/>
    <w:rsid w:val="00315833"/>
    <w:rsid w:val="0031630C"/>
    <w:rsid w:val="003215EE"/>
    <w:rsid w:val="003224BF"/>
    <w:rsid w:val="003241A8"/>
    <w:rsid w:val="003253F0"/>
    <w:rsid w:val="003337DA"/>
    <w:rsid w:val="00334EFB"/>
    <w:rsid w:val="00335CDE"/>
    <w:rsid w:val="003365A5"/>
    <w:rsid w:val="00342AAE"/>
    <w:rsid w:val="00347192"/>
    <w:rsid w:val="0034744C"/>
    <w:rsid w:val="003477D1"/>
    <w:rsid w:val="00347FCC"/>
    <w:rsid w:val="00351FE0"/>
    <w:rsid w:val="00352615"/>
    <w:rsid w:val="0035412B"/>
    <w:rsid w:val="003567A8"/>
    <w:rsid w:val="0035684D"/>
    <w:rsid w:val="00362154"/>
    <w:rsid w:val="00362895"/>
    <w:rsid w:val="00370DBF"/>
    <w:rsid w:val="003761CF"/>
    <w:rsid w:val="0038049D"/>
    <w:rsid w:val="00382A71"/>
    <w:rsid w:val="00386093"/>
    <w:rsid w:val="003866C2"/>
    <w:rsid w:val="003904A4"/>
    <w:rsid w:val="00391841"/>
    <w:rsid w:val="00391B6D"/>
    <w:rsid w:val="00394922"/>
    <w:rsid w:val="00397AAF"/>
    <w:rsid w:val="003A02B1"/>
    <w:rsid w:val="003A0E32"/>
    <w:rsid w:val="003A2B94"/>
    <w:rsid w:val="003A6F7B"/>
    <w:rsid w:val="003B0630"/>
    <w:rsid w:val="003B14DC"/>
    <w:rsid w:val="003B387D"/>
    <w:rsid w:val="003C0D58"/>
    <w:rsid w:val="003C7A7D"/>
    <w:rsid w:val="003D1469"/>
    <w:rsid w:val="003D4622"/>
    <w:rsid w:val="003D4FA3"/>
    <w:rsid w:val="003E0807"/>
    <w:rsid w:val="003E51FB"/>
    <w:rsid w:val="003E6B39"/>
    <w:rsid w:val="003E7FFD"/>
    <w:rsid w:val="003F07E1"/>
    <w:rsid w:val="004030BC"/>
    <w:rsid w:val="00403F7D"/>
    <w:rsid w:val="00404008"/>
    <w:rsid w:val="00405449"/>
    <w:rsid w:val="00406785"/>
    <w:rsid w:val="004079B4"/>
    <w:rsid w:val="00410E5B"/>
    <w:rsid w:val="00417A56"/>
    <w:rsid w:val="00420957"/>
    <w:rsid w:val="004226B3"/>
    <w:rsid w:val="00422A10"/>
    <w:rsid w:val="00430179"/>
    <w:rsid w:val="00436D89"/>
    <w:rsid w:val="00436DC6"/>
    <w:rsid w:val="004414B5"/>
    <w:rsid w:val="0044378B"/>
    <w:rsid w:val="00444482"/>
    <w:rsid w:val="00444969"/>
    <w:rsid w:val="00444B42"/>
    <w:rsid w:val="00445E44"/>
    <w:rsid w:val="00445E9B"/>
    <w:rsid w:val="004509E2"/>
    <w:rsid w:val="00451567"/>
    <w:rsid w:val="004515EE"/>
    <w:rsid w:val="004529F0"/>
    <w:rsid w:val="00460A03"/>
    <w:rsid w:val="00472A11"/>
    <w:rsid w:val="00472AAD"/>
    <w:rsid w:val="00474E33"/>
    <w:rsid w:val="00476803"/>
    <w:rsid w:val="00477CA1"/>
    <w:rsid w:val="00480AEC"/>
    <w:rsid w:val="00483384"/>
    <w:rsid w:val="00485BFD"/>
    <w:rsid w:val="004867A2"/>
    <w:rsid w:val="004873F2"/>
    <w:rsid w:val="00490865"/>
    <w:rsid w:val="00490D4C"/>
    <w:rsid w:val="00493A35"/>
    <w:rsid w:val="0049527A"/>
    <w:rsid w:val="004966BF"/>
    <w:rsid w:val="00497984"/>
    <w:rsid w:val="004A5088"/>
    <w:rsid w:val="004B17A3"/>
    <w:rsid w:val="004C1E3F"/>
    <w:rsid w:val="004C23F4"/>
    <w:rsid w:val="004C3475"/>
    <w:rsid w:val="004C58B6"/>
    <w:rsid w:val="004D03DF"/>
    <w:rsid w:val="004D16A3"/>
    <w:rsid w:val="004D4AA1"/>
    <w:rsid w:val="004D6D68"/>
    <w:rsid w:val="004E1E09"/>
    <w:rsid w:val="004E2FCD"/>
    <w:rsid w:val="004E5EDD"/>
    <w:rsid w:val="004F448A"/>
    <w:rsid w:val="004F48B3"/>
    <w:rsid w:val="004F493D"/>
    <w:rsid w:val="004F65E8"/>
    <w:rsid w:val="004F7E79"/>
    <w:rsid w:val="0050005E"/>
    <w:rsid w:val="0050120C"/>
    <w:rsid w:val="00502B88"/>
    <w:rsid w:val="00502D27"/>
    <w:rsid w:val="005142C4"/>
    <w:rsid w:val="00514E44"/>
    <w:rsid w:val="0051509C"/>
    <w:rsid w:val="00520774"/>
    <w:rsid w:val="005272E2"/>
    <w:rsid w:val="00527E63"/>
    <w:rsid w:val="0053108F"/>
    <w:rsid w:val="00532B56"/>
    <w:rsid w:val="00534B10"/>
    <w:rsid w:val="005373C9"/>
    <w:rsid w:val="005405AD"/>
    <w:rsid w:val="005446A2"/>
    <w:rsid w:val="00544AA9"/>
    <w:rsid w:val="00544D2F"/>
    <w:rsid w:val="00544E88"/>
    <w:rsid w:val="00551BD8"/>
    <w:rsid w:val="0058053E"/>
    <w:rsid w:val="00581055"/>
    <w:rsid w:val="00586F9E"/>
    <w:rsid w:val="00591505"/>
    <w:rsid w:val="00591E38"/>
    <w:rsid w:val="00595CDA"/>
    <w:rsid w:val="005A19C5"/>
    <w:rsid w:val="005A22F6"/>
    <w:rsid w:val="005A3034"/>
    <w:rsid w:val="005A462D"/>
    <w:rsid w:val="005B253B"/>
    <w:rsid w:val="005B62EF"/>
    <w:rsid w:val="005B74C5"/>
    <w:rsid w:val="005B771D"/>
    <w:rsid w:val="005C520A"/>
    <w:rsid w:val="005C5D16"/>
    <w:rsid w:val="005D3193"/>
    <w:rsid w:val="005D4A6E"/>
    <w:rsid w:val="005D5593"/>
    <w:rsid w:val="005E6979"/>
    <w:rsid w:val="005E75CB"/>
    <w:rsid w:val="005F057A"/>
    <w:rsid w:val="005F4CB1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0D6B"/>
    <w:rsid w:val="006532ED"/>
    <w:rsid w:val="006549F2"/>
    <w:rsid w:val="006567B7"/>
    <w:rsid w:val="00657BFB"/>
    <w:rsid w:val="00661621"/>
    <w:rsid w:val="0066333C"/>
    <w:rsid w:val="006639B4"/>
    <w:rsid w:val="006650FE"/>
    <w:rsid w:val="0066527A"/>
    <w:rsid w:val="00672C4C"/>
    <w:rsid w:val="0067305D"/>
    <w:rsid w:val="00677D9B"/>
    <w:rsid w:val="00685E3B"/>
    <w:rsid w:val="006867F3"/>
    <w:rsid w:val="00687890"/>
    <w:rsid w:val="006901A2"/>
    <w:rsid w:val="00690368"/>
    <w:rsid w:val="0069079C"/>
    <w:rsid w:val="00690B53"/>
    <w:rsid w:val="00695B72"/>
    <w:rsid w:val="006B160A"/>
    <w:rsid w:val="006B4B17"/>
    <w:rsid w:val="006B4E6C"/>
    <w:rsid w:val="006B50B6"/>
    <w:rsid w:val="006C0D23"/>
    <w:rsid w:val="006D4166"/>
    <w:rsid w:val="006D79EA"/>
    <w:rsid w:val="006E0A0B"/>
    <w:rsid w:val="006E35A7"/>
    <w:rsid w:val="006E5D05"/>
    <w:rsid w:val="00701053"/>
    <w:rsid w:val="00701507"/>
    <w:rsid w:val="00706583"/>
    <w:rsid w:val="00714021"/>
    <w:rsid w:val="00716A0F"/>
    <w:rsid w:val="00717D45"/>
    <w:rsid w:val="007208F7"/>
    <w:rsid w:val="007218AF"/>
    <w:rsid w:val="0072403A"/>
    <w:rsid w:val="007365D1"/>
    <w:rsid w:val="00740E0E"/>
    <w:rsid w:val="007472E6"/>
    <w:rsid w:val="00750212"/>
    <w:rsid w:val="00754779"/>
    <w:rsid w:val="007552B8"/>
    <w:rsid w:val="0075716D"/>
    <w:rsid w:val="007600B6"/>
    <w:rsid w:val="007606A4"/>
    <w:rsid w:val="00765F14"/>
    <w:rsid w:val="00770E31"/>
    <w:rsid w:val="007770F1"/>
    <w:rsid w:val="00777EAC"/>
    <w:rsid w:val="00783FB1"/>
    <w:rsid w:val="00785CDD"/>
    <w:rsid w:val="0078722C"/>
    <w:rsid w:val="00791847"/>
    <w:rsid w:val="007925F0"/>
    <w:rsid w:val="007939B3"/>
    <w:rsid w:val="0079509C"/>
    <w:rsid w:val="00796708"/>
    <w:rsid w:val="007B0B42"/>
    <w:rsid w:val="007B1B42"/>
    <w:rsid w:val="007C30EB"/>
    <w:rsid w:val="007E063C"/>
    <w:rsid w:val="007E1B9A"/>
    <w:rsid w:val="007E2A4B"/>
    <w:rsid w:val="007E307D"/>
    <w:rsid w:val="007E6010"/>
    <w:rsid w:val="007E655A"/>
    <w:rsid w:val="007E6A4E"/>
    <w:rsid w:val="007E6C94"/>
    <w:rsid w:val="007F1005"/>
    <w:rsid w:val="007F25E0"/>
    <w:rsid w:val="007F2973"/>
    <w:rsid w:val="007F5328"/>
    <w:rsid w:val="007F576C"/>
    <w:rsid w:val="007F5F97"/>
    <w:rsid w:val="00804F5A"/>
    <w:rsid w:val="00810C6D"/>
    <w:rsid w:val="00812887"/>
    <w:rsid w:val="00824894"/>
    <w:rsid w:val="00826F21"/>
    <w:rsid w:val="00834CC8"/>
    <w:rsid w:val="00835E00"/>
    <w:rsid w:val="00837113"/>
    <w:rsid w:val="008414E4"/>
    <w:rsid w:val="00843D91"/>
    <w:rsid w:val="00843E21"/>
    <w:rsid w:val="0084508E"/>
    <w:rsid w:val="00857A8A"/>
    <w:rsid w:val="008630EE"/>
    <w:rsid w:val="00864D13"/>
    <w:rsid w:val="00871CD5"/>
    <w:rsid w:val="008745A2"/>
    <w:rsid w:val="008768A8"/>
    <w:rsid w:val="00883824"/>
    <w:rsid w:val="0088798F"/>
    <w:rsid w:val="00887E4B"/>
    <w:rsid w:val="008915C8"/>
    <w:rsid w:val="00892D24"/>
    <w:rsid w:val="00894A65"/>
    <w:rsid w:val="008A36CF"/>
    <w:rsid w:val="008A3BC4"/>
    <w:rsid w:val="008B2D90"/>
    <w:rsid w:val="008B403C"/>
    <w:rsid w:val="008B4CD8"/>
    <w:rsid w:val="008B7983"/>
    <w:rsid w:val="008C0494"/>
    <w:rsid w:val="008C2511"/>
    <w:rsid w:val="008D026D"/>
    <w:rsid w:val="008D23AB"/>
    <w:rsid w:val="008D4B8B"/>
    <w:rsid w:val="008D5A78"/>
    <w:rsid w:val="008D6876"/>
    <w:rsid w:val="008E7B64"/>
    <w:rsid w:val="008F5DCD"/>
    <w:rsid w:val="00900951"/>
    <w:rsid w:val="009118A6"/>
    <w:rsid w:val="00916909"/>
    <w:rsid w:val="00916EC0"/>
    <w:rsid w:val="00920467"/>
    <w:rsid w:val="00921DE7"/>
    <w:rsid w:val="009236B3"/>
    <w:rsid w:val="0092530C"/>
    <w:rsid w:val="0093041A"/>
    <w:rsid w:val="00930714"/>
    <w:rsid w:val="00931B03"/>
    <w:rsid w:val="009323B9"/>
    <w:rsid w:val="00932DCE"/>
    <w:rsid w:val="0093327E"/>
    <w:rsid w:val="00934028"/>
    <w:rsid w:val="0093760E"/>
    <w:rsid w:val="00945121"/>
    <w:rsid w:val="00946044"/>
    <w:rsid w:val="0094660B"/>
    <w:rsid w:val="00946A33"/>
    <w:rsid w:val="0095260E"/>
    <w:rsid w:val="0095421C"/>
    <w:rsid w:val="009578DD"/>
    <w:rsid w:val="00961124"/>
    <w:rsid w:val="009621B6"/>
    <w:rsid w:val="0097211B"/>
    <w:rsid w:val="00972A6E"/>
    <w:rsid w:val="00974F2D"/>
    <w:rsid w:val="00977524"/>
    <w:rsid w:val="00977E88"/>
    <w:rsid w:val="009848B9"/>
    <w:rsid w:val="00984920"/>
    <w:rsid w:val="00990565"/>
    <w:rsid w:val="0099303A"/>
    <w:rsid w:val="009971C2"/>
    <w:rsid w:val="009A1254"/>
    <w:rsid w:val="009A2D52"/>
    <w:rsid w:val="009B2FF2"/>
    <w:rsid w:val="009B380C"/>
    <w:rsid w:val="009B4843"/>
    <w:rsid w:val="009B5889"/>
    <w:rsid w:val="009B6543"/>
    <w:rsid w:val="009B7B18"/>
    <w:rsid w:val="009C199D"/>
    <w:rsid w:val="009C278F"/>
    <w:rsid w:val="009C2B94"/>
    <w:rsid w:val="009C5874"/>
    <w:rsid w:val="009D3B5A"/>
    <w:rsid w:val="009D4B0F"/>
    <w:rsid w:val="009E0C05"/>
    <w:rsid w:val="009E0D1C"/>
    <w:rsid w:val="009E2214"/>
    <w:rsid w:val="009E27E3"/>
    <w:rsid w:val="009E355A"/>
    <w:rsid w:val="009E63E2"/>
    <w:rsid w:val="009F04D2"/>
    <w:rsid w:val="009F05CF"/>
    <w:rsid w:val="009F0F3A"/>
    <w:rsid w:val="009F371F"/>
    <w:rsid w:val="009F585A"/>
    <w:rsid w:val="00A01D0C"/>
    <w:rsid w:val="00A022A9"/>
    <w:rsid w:val="00A06303"/>
    <w:rsid w:val="00A0643F"/>
    <w:rsid w:val="00A067EE"/>
    <w:rsid w:val="00A10FCE"/>
    <w:rsid w:val="00A16D91"/>
    <w:rsid w:val="00A16E40"/>
    <w:rsid w:val="00A174CC"/>
    <w:rsid w:val="00A2073D"/>
    <w:rsid w:val="00A20751"/>
    <w:rsid w:val="00A27E2D"/>
    <w:rsid w:val="00A31D99"/>
    <w:rsid w:val="00A357BA"/>
    <w:rsid w:val="00A35ADC"/>
    <w:rsid w:val="00A402A3"/>
    <w:rsid w:val="00A4690B"/>
    <w:rsid w:val="00A53681"/>
    <w:rsid w:val="00A633D4"/>
    <w:rsid w:val="00A6461A"/>
    <w:rsid w:val="00A73C30"/>
    <w:rsid w:val="00A84504"/>
    <w:rsid w:val="00A8672F"/>
    <w:rsid w:val="00A93057"/>
    <w:rsid w:val="00A968B0"/>
    <w:rsid w:val="00A978A3"/>
    <w:rsid w:val="00AA188B"/>
    <w:rsid w:val="00AB2672"/>
    <w:rsid w:val="00AB2817"/>
    <w:rsid w:val="00AB43C4"/>
    <w:rsid w:val="00AB6B81"/>
    <w:rsid w:val="00AC32E7"/>
    <w:rsid w:val="00AC3A9F"/>
    <w:rsid w:val="00AC6B96"/>
    <w:rsid w:val="00AC6D2F"/>
    <w:rsid w:val="00AD66FD"/>
    <w:rsid w:val="00AD6B52"/>
    <w:rsid w:val="00AE2745"/>
    <w:rsid w:val="00AE2F64"/>
    <w:rsid w:val="00AF214E"/>
    <w:rsid w:val="00AF42CB"/>
    <w:rsid w:val="00AF483F"/>
    <w:rsid w:val="00AF5E07"/>
    <w:rsid w:val="00AF5F06"/>
    <w:rsid w:val="00B00A25"/>
    <w:rsid w:val="00B03455"/>
    <w:rsid w:val="00B1422A"/>
    <w:rsid w:val="00B1765C"/>
    <w:rsid w:val="00B213C4"/>
    <w:rsid w:val="00B35727"/>
    <w:rsid w:val="00B37BD7"/>
    <w:rsid w:val="00B40C60"/>
    <w:rsid w:val="00B479A9"/>
    <w:rsid w:val="00B52EDF"/>
    <w:rsid w:val="00B540A5"/>
    <w:rsid w:val="00B5424B"/>
    <w:rsid w:val="00B55438"/>
    <w:rsid w:val="00B71188"/>
    <w:rsid w:val="00B72A74"/>
    <w:rsid w:val="00B76A41"/>
    <w:rsid w:val="00B77B65"/>
    <w:rsid w:val="00B8301F"/>
    <w:rsid w:val="00B87D4C"/>
    <w:rsid w:val="00B93646"/>
    <w:rsid w:val="00BA0B38"/>
    <w:rsid w:val="00BA1DBB"/>
    <w:rsid w:val="00BA4510"/>
    <w:rsid w:val="00BA529A"/>
    <w:rsid w:val="00BB612A"/>
    <w:rsid w:val="00BB692A"/>
    <w:rsid w:val="00BC58B8"/>
    <w:rsid w:val="00BD499F"/>
    <w:rsid w:val="00BD56DE"/>
    <w:rsid w:val="00BE21A9"/>
    <w:rsid w:val="00BE2F54"/>
    <w:rsid w:val="00BE66CB"/>
    <w:rsid w:val="00BE6B08"/>
    <w:rsid w:val="00BF2406"/>
    <w:rsid w:val="00BF568D"/>
    <w:rsid w:val="00C06E43"/>
    <w:rsid w:val="00C1319A"/>
    <w:rsid w:val="00C1547B"/>
    <w:rsid w:val="00C16315"/>
    <w:rsid w:val="00C3091E"/>
    <w:rsid w:val="00C40FF1"/>
    <w:rsid w:val="00C419E2"/>
    <w:rsid w:val="00C5020E"/>
    <w:rsid w:val="00C519CF"/>
    <w:rsid w:val="00C53CC6"/>
    <w:rsid w:val="00C55FB7"/>
    <w:rsid w:val="00C57452"/>
    <w:rsid w:val="00C61EDF"/>
    <w:rsid w:val="00C6239D"/>
    <w:rsid w:val="00C6594B"/>
    <w:rsid w:val="00C67FFB"/>
    <w:rsid w:val="00C71507"/>
    <w:rsid w:val="00C7155E"/>
    <w:rsid w:val="00C71D1E"/>
    <w:rsid w:val="00C71D7D"/>
    <w:rsid w:val="00C74833"/>
    <w:rsid w:val="00C850A0"/>
    <w:rsid w:val="00C85A86"/>
    <w:rsid w:val="00C94C92"/>
    <w:rsid w:val="00C976D5"/>
    <w:rsid w:val="00C978F0"/>
    <w:rsid w:val="00CA58FE"/>
    <w:rsid w:val="00CB1CB1"/>
    <w:rsid w:val="00CB6BC1"/>
    <w:rsid w:val="00CB6CB8"/>
    <w:rsid w:val="00CC1A68"/>
    <w:rsid w:val="00CC2123"/>
    <w:rsid w:val="00CD0F19"/>
    <w:rsid w:val="00CD2BFD"/>
    <w:rsid w:val="00CD3A6A"/>
    <w:rsid w:val="00CE2288"/>
    <w:rsid w:val="00CE5AD6"/>
    <w:rsid w:val="00CE617F"/>
    <w:rsid w:val="00CE78EF"/>
    <w:rsid w:val="00CF0AF8"/>
    <w:rsid w:val="00D02B90"/>
    <w:rsid w:val="00D02EEE"/>
    <w:rsid w:val="00D048F7"/>
    <w:rsid w:val="00D0517E"/>
    <w:rsid w:val="00D140FC"/>
    <w:rsid w:val="00D21D8C"/>
    <w:rsid w:val="00D22170"/>
    <w:rsid w:val="00D31357"/>
    <w:rsid w:val="00D33220"/>
    <w:rsid w:val="00D334D1"/>
    <w:rsid w:val="00D364A3"/>
    <w:rsid w:val="00D44C89"/>
    <w:rsid w:val="00D4632E"/>
    <w:rsid w:val="00D50925"/>
    <w:rsid w:val="00D516CD"/>
    <w:rsid w:val="00D65ED8"/>
    <w:rsid w:val="00D668E6"/>
    <w:rsid w:val="00D70670"/>
    <w:rsid w:val="00D72E23"/>
    <w:rsid w:val="00D74D80"/>
    <w:rsid w:val="00D76624"/>
    <w:rsid w:val="00D84656"/>
    <w:rsid w:val="00D87570"/>
    <w:rsid w:val="00D91ADC"/>
    <w:rsid w:val="00D91CB9"/>
    <w:rsid w:val="00D97989"/>
    <w:rsid w:val="00D97A4C"/>
    <w:rsid w:val="00D97D8D"/>
    <w:rsid w:val="00DA2E99"/>
    <w:rsid w:val="00DA352E"/>
    <w:rsid w:val="00DA50EF"/>
    <w:rsid w:val="00DA529F"/>
    <w:rsid w:val="00DB26E1"/>
    <w:rsid w:val="00DC2E35"/>
    <w:rsid w:val="00DC7694"/>
    <w:rsid w:val="00DD1BF6"/>
    <w:rsid w:val="00DD2D1A"/>
    <w:rsid w:val="00DD2F9B"/>
    <w:rsid w:val="00DE2513"/>
    <w:rsid w:val="00DE26E8"/>
    <w:rsid w:val="00DE6185"/>
    <w:rsid w:val="00DF6F36"/>
    <w:rsid w:val="00E0084C"/>
    <w:rsid w:val="00E025AB"/>
    <w:rsid w:val="00E02B23"/>
    <w:rsid w:val="00E06F40"/>
    <w:rsid w:val="00E07CE8"/>
    <w:rsid w:val="00E26A07"/>
    <w:rsid w:val="00E32595"/>
    <w:rsid w:val="00E331C2"/>
    <w:rsid w:val="00E37CFD"/>
    <w:rsid w:val="00E41A26"/>
    <w:rsid w:val="00E46BCB"/>
    <w:rsid w:val="00E50D2A"/>
    <w:rsid w:val="00E51CAF"/>
    <w:rsid w:val="00E53E04"/>
    <w:rsid w:val="00E568C5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412D"/>
    <w:rsid w:val="00EA6243"/>
    <w:rsid w:val="00EA74AB"/>
    <w:rsid w:val="00EB3D1B"/>
    <w:rsid w:val="00EC4EE7"/>
    <w:rsid w:val="00ED0083"/>
    <w:rsid w:val="00ED1D89"/>
    <w:rsid w:val="00ED2D69"/>
    <w:rsid w:val="00ED66BC"/>
    <w:rsid w:val="00ED70C3"/>
    <w:rsid w:val="00EF233A"/>
    <w:rsid w:val="00EF303E"/>
    <w:rsid w:val="00EF3A40"/>
    <w:rsid w:val="00EF56C0"/>
    <w:rsid w:val="00EF56CA"/>
    <w:rsid w:val="00EF7F78"/>
    <w:rsid w:val="00F0040C"/>
    <w:rsid w:val="00F01B08"/>
    <w:rsid w:val="00F01C4D"/>
    <w:rsid w:val="00F053FA"/>
    <w:rsid w:val="00F060A5"/>
    <w:rsid w:val="00F10C97"/>
    <w:rsid w:val="00F11C71"/>
    <w:rsid w:val="00F16019"/>
    <w:rsid w:val="00F20E68"/>
    <w:rsid w:val="00F22093"/>
    <w:rsid w:val="00F236DF"/>
    <w:rsid w:val="00F43622"/>
    <w:rsid w:val="00F43AD5"/>
    <w:rsid w:val="00F4402E"/>
    <w:rsid w:val="00F56DD0"/>
    <w:rsid w:val="00F6491C"/>
    <w:rsid w:val="00F67BBB"/>
    <w:rsid w:val="00F75C6C"/>
    <w:rsid w:val="00F809EB"/>
    <w:rsid w:val="00F80DE7"/>
    <w:rsid w:val="00F85B02"/>
    <w:rsid w:val="00F8650A"/>
    <w:rsid w:val="00F87D92"/>
    <w:rsid w:val="00F90AA7"/>
    <w:rsid w:val="00F91501"/>
    <w:rsid w:val="00F92498"/>
    <w:rsid w:val="00F9496B"/>
    <w:rsid w:val="00F96DFB"/>
    <w:rsid w:val="00F970C9"/>
    <w:rsid w:val="00F97AFA"/>
    <w:rsid w:val="00FA06A8"/>
    <w:rsid w:val="00FA3DF5"/>
    <w:rsid w:val="00FA741F"/>
    <w:rsid w:val="00FA7552"/>
    <w:rsid w:val="00FB1298"/>
    <w:rsid w:val="00FB4204"/>
    <w:rsid w:val="00FB4E07"/>
    <w:rsid w:val="00FB53CF"/>
    <w:rsid w:val="00FB755A"/>
    <w:rsid w:val="00FC1084"/>
    <w:rsid w:val="00FC60A2"/>
    <w:rsid w:val="00FC6C54"/>
    <w:rsid w:val="00FD1871"/>
    <w:rsid w:val="00FD3110"/>
    <w:rsid w:val="00FF02C6"/>
    <w:rsid w:val="00FF489D"/>
    <w:rsid w:val="00FF590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."/>
  <w:listSeparator w:val=","/>
  <w14:docId w14:val="7D326921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DA5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0E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0E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0EF"/>
    <w:rPr>
      <w:b/>
      <w:bCs/>
      <w:szCs w:val="20"/>
    </w:rPr>
  </w:style>
  <w:style w:type="paragraph" w:styleId="ListBullet">
    <w:name w:val="List Bullet"/>
    <w:basedOn w:val="Normal"/>
    <w:uiPriority w:val="99"/>
    <w:unhideWhenUsed/>
    <w:rsid w:val="007552B8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cdc.gov/niosh/npg/npgd0091.html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599BE4318CD4CC0836196E577CC2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A569F-48FE-4FF8-8C03-2D2A8FB34A20}"/>
      </w:docPartPr>
      <w:docPartBody>
        <w:p w:rsidR="00D21A9F" w:rsidRDefault="00D21A9F">
          <w:pPr>
            <w:pStyle w:val="0599BE4318CD4CC0836196E577CC2921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597C7FC4EA8B4F66A9631B3AE0431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F0AEC-E4F7-43EF-AC09-4017AFFBCC26}"/>
      </w:docPartPr>
      <w:docPartBody>
        <w:p w:rsidR="00034650" w:rsidRDefault="006036B3" w:rsidP="006036B3">
          <w:pPr>
            <w:pStyle w:val="597C7FC4EA8B4F66A9631B3AE0431895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173B5DB51004490BB21891B6E8243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AE929-1D75-4D99-819D-05C6983EB879}"/>
      </w:docPartPr>
      <w:docPartBody>
        <w:p w:rsidR="00FF586D" w:rsidRDefault="00DA48B3" w:rsidP="00DA48B3">
          <w:pPr>
            <w:pStyle w:val="173B5DB51004490BB21891B6E8243DB6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1B1CBE4039A4A7AB2A968D54FDB4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91FE1-C660-4A9C-803E-8053B560DF10}"/>
      </w:docPartPr>
      <w:docPartBody>
        <w:p w:rsidR="00530545" w:rsidRDefault="00FF586D" w:rsidP="00FF586D">
          <w:pPr>
            <w:pStyle w:val="61B1CBE4039A4A7AB2A968D54FDB4A87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A35B1B003C0E49079FB643B81BF7C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6F6D7-7EF4-4CDE-B846-F3AA1F900DA9}"/>
      </w:docPartPr>
      <w:docPartBody>
        <w:p w:rsidR="00530545" w:rsidRDefault="00FF586D" w:rsidP="00FF586D">
          <w:pPr>
            <w:pStyle w:val="A35B1B003C0E49079FB643B81BF7C619"/>
          </w:pPr>
          <w:r w:rsidRPr="0051509C">
            <w:rPr>
              <w:rStyle w:val="PlaceholderText"/>
            </w:rPr>
            <w:t>Click here to enter standard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34650"/>
    <w:rsid w:val="00081EE4"/>
    <w:rsid w:val="001B6FE5"/>
    <w:rsid w:val="001D33FF"/>
    <w:rsid w:val="002B33E8"/>
    <w:rsid w:val="00446E10"/>
    <w:rsid w:val="004813DB"/>
    <w:rsid w:val="004A506E"/>
    <w:rsid w:val="004D02DB"/>
    <w:rsid w:val="00530545"/>
    <w:rsid w:val="006036B3"/>
    <w:rsid w:val="006D6E25"/>
    <w:rsid w:val="00751513"/>
    <w:rsid w:val="007D03C1"/>
    <w:rsid w:val="00A4342D"/>
    <w:rsid w:val="00BE2331"/>
    <w:rsid w:val="00C77972"/>
    <w:rsid w:val="00D21A9F"/>
    <w:rsid w:val="00DA48B3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342D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32CCF3EC116E44A6970651D56202F0C9">
    <w:name w:val="32CCF3EC116E44A6970651D56202F0C9"/>
    <w:rsid w:val="00081EE4"/>
    <w:rPr>
      <w:lang w:val="en-US" w:eastAsia="en-US"/>
    </w:rPr>
  </w:style>
  <w:style w:type="paragraph" w:customStyle="1" w:styleId="597C7FC4EA8B4F66A9631B3AE0431895">
    <w:name w:val="597C7FC4EA8B4F66A9631B3AE0431895"/>
    <w:rsid w:val="006036B3"/>
    <w:rPr>
      <w:lang w:val="en-US" w:eastAsia="en-US"/>
    </w:rPr>
  </w:style>
  <w:style w:type="paragraph" w:customStyle="1" w:styleId="173B5DB51004490BB21891B6E8243DB6">
    <w:name w:val="173B5DB51004490BB21891B6E8243DB6"/>
    <w:rsid w:val="00DA48B3"/>
    <w:rPr>
      <w:lang w:val="en-US" w:eastAsia="en-US"/>
    </w:rPr>
  </w:style>
  <w:style w:type="paragraph" w:customStyle="1" w:styleId="61B1CBE4039A4A7AB2A968D54FDB4A87">
    <w:name w:val="61B1CBE4039A4A7AB2A968D54FDB4A87"/>
    <w:rsid w:val="00FF586D"/>
    <w:rPr>
      <w:lang w:val="en-US" w:eastAsia="en-US"/>
    </w:rPr>
  </w:style>
  <w:style w:type="paragraph" w:customStyle="1" w:styleId="A35B1B003C0E49079FB643B81BF7C619">
    <w:name w:val="A35B1B003C0E49079FB643B81BF7C619"/>
    <w:rsid w:val="00FF586D"/>
    <w:rPr>
      <w:lang w:val="en-US" w:eastAsia="en-US"/>
    </w:rPr>
  </w:style>
  <w:style w:type="paragraph" w:customStyle="1" w:styleId="993322FBE5484BCAB2D44FB7242B2722">
    <w:name w:val="993322FBE5484BCAB2D44FB7242B2722"/>
    <w:rsid w:val="007D03C1"/>
  </w:style>
  <w:style w:type="paragraph" w:customStyle="1" w:styleId="AE70C54245A3402E8F1E89F5282DD4F1">
    <w:name w:val="AE70C54245A3402E8F1E89F5282DD4F1"/>
    <w:rsid w:val="007D03C1"/>
  </w:style>
  <w:style w:type="paragraph" w:customStyle="1" w:styleId="B103716F4DD74E43B3589B1D6B592671">
    <w:name w:val="B103716F4DD74E43B3589B1D6B592671"/>
    <w:rsid w:val="00A4342D"/>
    <w:rPr>
      <w:lang w:val="en-US" w:eastAsia="en-US"/>
    </w:rPr>
  </w:style>
  <w:style w:type="paragraph" w:customStyle="1" w:styleId="7AE661DE9DFC4F81B4E49434BBB0987F">
    <w:name w:val="7AE661DE9DFC4F81B4E49434BBB0987F"/>
    <w:rsid w:val="00A4342D"/>
    <w:rPr>
      <w:lang w:val="en-US" w:eastAsia="en-US"/>
    </w:rPr>
  </w:style>
  <w:style w:type="paragraph" w:customStyle="1" w:styleId="0B22D3E8847D4A498843FAAA9AB46281">
    <w:name w:val="0B22D3E8847D4A498843FAAA9AB46281"/>
    <w:rsid w:val="00A4342D"/>
    <w:rPr>
      <w:lang w:val="en-US" w:eastAsia="en-US"/>
    </w:rPr>
  </w:style>
  <w:style w:type="paragraph" w:customStyle="1" w:styleId="B4C90F1205BF4B44A6AEE50E8BE243EF">
    <w:name w:val="B4C90F1205BF4B44A6AEE50E8BE243EF"/>
    <w:rsid w:val="00A4342D"/>
    <w:rPr>
      <w:lang w:val="en-US" w:eastAsia="en-US"/>
    </w:rPr>
  </w:style>
  <w:style w:type="paragraph" w:customStyle="1" w:styleId="7202A640D8BF45CA9C46AEAD0D1C93EC">
    <w:name w:val="7202A640D8BF45CA9C46AEAD0D1C93EC"/>
    <w:rsid w:val="00A4342D"/>
    <w:rPr>
      <w:lang w:val="en-US" w:eastAsia="en-US"/>
    </w:rPr>
  </w:style>
  <w:style w:type="paragraph" w:customStyle="1" w:styleId="D10D83CD7E8D42198E81F8FF4D0F95EA">
    <w:name w:val="D10D83CD7E8D42198E81F8FF4D0F95EA"/>
    <w:rsid w:val="00A4342D"/>
    <w:rPr>
      <w:lang w:val="en-US" w:eastAsia="en-US"/>
    </w:rPr>
  </w:style>
  <w:style w:type="paragraph" w:customStyle="1" w:styleId="CE05DC9AD6A34C1EA9F9287E08DC9EFE">
    <w:name w:val="CE05DC9AD6A34C1EA9F9287E08DC9EFE"/>
    <w:rsid w:val="00A4342D"/>
    <w:rPr>
      <w:lang w:val="en-US" w:eastAsia="en-US"/>
    </w:rPr>
  </w:style>
  <w:style w:type="paragraph" w:customStyle="1" w:styleId="E9F22E831C62438D8B75DD419A093988">
    <w:name w:val="E9F22E831C62438D8B75DD419A093988"/>
    <w:rsid w:val="00A4342D"/>
    <w:rPr>
      <w:lang w:val="en-US" w:eastAsia="en-US"/>
    </w:rPr>
  </w:style>
  <w:style w:type="paragraph" w:customStyle="1" w:styleId="1971E3B89FAF4E44B0FC2C26E8604782">
    <w:name w:val="1971E3B89FAF4E44B0FC2C26E8604782"/>
    <w:rsid w:val="00A4342D"/>
    <w:rPr>
      <w:lang w:val="en-US" w:eastAsia="en-US"/>
    </w:rPr>
  </w:style>
  <w:style w:type="paragraph" w:customStyle="1" w:styleId="1A55782B451A4B2A8AEB3AE7586D870A">
    <w:name w:val="1A55782B451A4B2A8AEB3AE7586D870A"/>
    <w:rsid w:val="00A4342D"/>
    <w:rPr>
      <w:lang w:val="en-US" w:eastAsia="en-US"/>
    </w:rPr>
  </w:style>
  <w:style w:type="paragraph" w:customStyle="1" w:styleId="A2436703DB684BCFBA2D629A32F748A0">
    <w:name w:val="A2436703DB684BCFBA2D629A32F748A0"/>
    <w:rsid w:val="00A4342D"/>
    <w:rPr>
      <w:lang w:val="en-US" w:eastAsia="en-US"/>
    </w:rPr>
  </w:style>
  <w:style w:type="paragraph" w:customStyle="1" w:styleId="E8DC69B0CBDF420D8B3B7447127C5C59">
    <w:name w:val="E8DC69B0CBDF420D8B3B7447127C5C59"/>
    <w:rsid w:val="00A4342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f54d604-3e62-4e70-ba33-9e9084b96a6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620301-BBD2-4934-8DFA-181049F86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07C66A-FCE7-48F5-9F36-4121BDA83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5DD3B597.dotm</Template>
  <TotalTime>122</TotalTime>
  <Pages>5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17</cp:revision>
  <cp:lastPrinted>2018-10-22T22:41:00Z</cp:lastPrinted>
  <dcterms:created xsi:type="dcterms:W3CDTF">2019-09-03T08:59:00Z</dcterms:created>
  <dcterms:modified xsi:type="dcterms:W3CDTF">2019-09-24T02:05:00Z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