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B0A3A03" w14:textId="7A126A38" w:rsidR="00BD499F" w:rsidRPr="004C23F4" w:rsidRDefault="00990349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E56589">
            <w:rPr>
              <w:rFonts w:ascii="Arial" w:hAnsi="Arial" w:cs="Arial"/>
            </w:rPr>
            <w:t>aptafol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31"/>
        <w:gridCol w:w="5095"/>
      </w:tblGrid>
      <w:tr w:rsidR="00C21174" w:rsidRPr="004C23F4" w14:paraId="62A458B3" w14:textId="77777777" w:rsidTr="00B76A41">
        <w:trPr>
          <w:cantSplit/>
          <w:tblHeader/>
        </w:trPr>
        <w:tc>
          <w:tcPr>
            <w:tcW w:w="4077" w:type="dxa"/>
          </w:tcPr>
          <w:p w14:paraId="22602E4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EDD1610" w14:textId="77777777" w:rsidR="00F43AD5" w:rsidRPr="00717D45" w:rsidRDefault="00614690" w:rsidP="00B76A41">
            <w:pPr>
              <w:pStyle w:val="Tablefont"/>
            </w:pPr>
            <w:r>
              <w:t>2425-06-1</w:t>
            </w:r>
          </w:p>
        </w:tc>
      </w:tr>
      <w:tr w:rsidR="00C21174" w:rsidRPr="004C23F4" w14:paraId="5ECF010F" w14:textId="77777777" w:rsidTr="00B76A41">
        <w:trPr>
          <w:cantSplit/>
        </w:trPr>
        <w:tc>
          <w:tcPr>
            <w:tcW w:w="4077" w:type="dxa"/>
          </w:tcPr>
          <w:p w14:paraId="55EBB2A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E319286" w14:textId="1AD1EAAF" w:rsidR="00F43AD5" w:rsidRPr="00717D45" w:rsidRDefault="00BF4DC5" w:rsidP="00B76A41">
            <w:pPr>
              <w:pStyle w:val="Tablefont"/>
            </w:pPr>
            <w:proofErr w:type="spellStart"/>
            <w:r>
              <w:t>Difolatan</w:t>
            </w:r>
            <w:proofErr w:type="spellEnd"/>
            <w:r>
              <w:t>, 1H-Isoindole-1, 3(2H)-</w:t>
            </w:r>
            <w:proofErr w:type="spellStart"/>
            <w:r>
              <w:t>dione</w:t>
            </w:r>
            <w:proofErr w:type="spellEnd"/>
            <w:r>
              <w:t xml:space="preserve">, </w:t>
            </w:r>
            <w:r w:rsidR="00CB340C">
              <w:br/>
            </w:r>
            <w:r>
              <w:t>3a, 4, 7, 7a-tetrahydro</w:t>
            </w:r>
            <w:r w:rsidR="00C21174">
              <w:t>-2-[(1,</w:t>
            </w:r>
            <w:r w:rsidR="001754FE">
              <w:t xml:space="preserve"> 1, 2, 2-tetrachloroethyl)</w:t>
            </w:r>
            <w:proofErr w:type="spellStart"/>
            <w:r w:rsidR="001754FE">
              <w:t>thio</w:t>
            </w:r>
            <w:proofErr w:type="spellEnd"/>
            <w:r w:rsidR="001754FE">
              <w:t>]</w:t>
            </w:r>
            <w:r w:rsidR="00990349">
              <w:t>,</w:t>
            </w:r>
            <w:r w:rsidR="00C21174">
              <w:t xml:space="preserve"> </w:t>
            </w:r>
            <w:proofErr w:type="spellStart"/>
            <w:r w:rsidR="00990349">
              <w:t>folcid</w:t>
            </w:r>
            <w:proofErr w:type="spellEnd"/>
            <w:r w:rsidR="00C21174">
              <w:t xml:space="preserve">, </w:t>
            </w:r>
            <w:proofErr w:type="spellStart"/>
            <w:r w:rsidR="00990349">
              <w:t>tetrachloroethylthiotetrahydrophthalimide</w:t>
            </w:r>
            <w:proofErr w:type="spellEnd"/>
          </w:p>
        </w:tc>
      </w:tr>
      <w:tr w:rsidR="00C21174" w:rsidRPr="004C23F4" w14:paraId="6BFAB550" w14:textId="77777777" w:rsidTr="00B76A41">
        <w:trPr>
          <w:cantSplit/>
        </w:trPr>
        <w:tc>
          <w:tcPr>
            <w:tcW w:w="4077" w:type="dxa"/>
          </w:tcPr>
          <w:p w14:paraId="4668893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36605D6" w14:textId="6D967326" w:rsidR="00F43AD5" w:rsidRPr="00717D45" w:rsidRDefault="00360D69" w:rsidP="00B76A41">
            <w:pPr>
              <w:pStyle w:val="Tablefont"/>
            </w:pPr>
            <w:r>
              <w:t>C</w:t>
            </w:r>
            <w:r w:rsidRPr="00360D69">
              <w:rPr>
                <w:vertAlign w:val="subscript"/>
              </w:rPr>
              <w:t>10</w:t>
            </w:r>
            <w:r>
              <w:t>H</w:t>
            </w:r>
            <w:r w:rsidRPr="00360D69">
              <w:rPr>
                <w:vertAlign w:val="subscript"/>
              </w:rPr>
              <w:t>9</w:t>
            </w:r>
            <w:r>
              <w:t>Cl</w:t>
            </w:r>
            <w:r w:rsidRPr="00360D69">
              <w:rPr>
                <w:vertAlign w:val="subscript"/>
              </w:rPr>
              <w:t>4</w:t>
            </w:r>
            <w:r>
              <w:t>NO</w:t>
            </w:r>
            <w:r w:rsidRPr="00360D69">
              <w:rPr>
                <w:vertAlign w:val="subscript"/>
              </w:rPr>
              <w:t>2</w:t>
            </w:r>
            <w:r>
              <w:t>S</w:t>
            </w:r>
          </w:p>
        </w:tc>
      </w:tr>
      <w:tr w:rsidR="00C21174" w:rsidRPr="004C23F4" w14:paraId="004ECEB8" w14:textId="77777777" w:rsidTr="00B76A41">
        <w:trPr>
          <w:cantSplit/>
        </w:trPr>
        <w:tc>
          <w:tcPr>
            <w:tcW w:w="4077" w:type="dxa"/>
          </w:tcPr>
          <w:p w14:paraId="0C0A9E5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E697F8C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6A5D0670" w14:textId="1293F8CC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30A2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16D1452B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0DCCED3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09B59993" w14:textId="57F45D2D" w:rsidR="002C7AFE" w:rsidRPr="00830A29" w:rsidRDefault="00830A29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597DC626" w14:textId="77777777" w:rsidTr="00921DE7">
        <w:trPr>
          <w:cantSplit/>
        </w:trPr>
        <w:tc>
          <w:tcPr>
            <w:tcW w:w="4077" w:type="dxa"/>
            <w:vAlign w:val="center"/>
          </w:tcPr>
          <w:p w14:paraId="75572EE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2CAF3B2C" w14:textId="4E38C805" w:rsidR="002C7AFE" w:rsidRPr="00EB3D1B" w:rsidRDefault="0099034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910EF8A" w14:textId="77777777" w:rsidTr="00921DE7">
        <w:trPr>
          <w:cantSplit/>
        </w:trPr>
        <w:tc>
          <w:tcPr>
            <w:tcW w:w="4077" w:type="dxa"/>
            <w:vAlign w:val="center"/>
          </w:tcPr>
          <w:p w14:paraId="49277E5D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0B279878" w14:textId="735E4207" w:rsidR="002C7AFE" w:rsidRPr="00EB3D1B" w:rsidRDefault="0099034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88D35DC" w14:textId="77777777" w:rsidTr="00A2073D">
        <w:trPr>
          <w:cantSplit/>
        </w:trPr>
        <w:tc>
          <w:tcPr>
            <w:tcW w:w="4077" w:type="dxa"/>
          </w:tcPr>
          <w:p w14:paraId="69C24098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5C3501A6" w14:textId="0140850C" w:rsidR="002C7AFE" w:rsidRPr="00EB3D1B" w:rsidRDefault="00DA0C53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1B, Sk., DSEN</w:t>
            </w:r>
          </w:p>
        </w:tc>
      </w:tr>
      <w:tr w:rsidR="002C7AFE" w:rsidRPr="004C23F4" w14:paraId="02BB0A76" w14:textId="77777777" w:rsidTr="00921DE7">
        <w:trPr>
          <w:cantSplit/>
        </w:trPr>
        <w:tc>
          <w:tcPr>
            <w:tcW w:w="4077" w:type="dxa"/>
            <w:vAlign w:val="center"/>
          </w:tcPr>
          <w:p w14:paraId="5C584317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4112A119" w14:textId="0217FB10" w:rsidR="002C7AFE" w:rsidRPr="00EB3D1B" w:rsidRDefault="0099034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14:paraId="35DD3131" w14:textId="77777777" w:rsidTr="00715BBE">
        <w:trPr>
          <w:cantSplit/>
        </w:trPr>
        <w:tc>
          <w:tcPr>
            <w:tcW w:w="4077" w:type="dxa"/>
          </w:tcPr>
          <w:p w14:paraId="5C8D0431" w14:textId="77777777" w:rsidR="009F04D2" w:rsidRDefault="009F04D2" w:rsidP="00715BBE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7FD3404F" w14:textId="4A2FE258" w:rsidR="003303F9" w:rsidRPr="00E86D90" w:rsidRDefault="003303F9" w:rsidP="003303F9">
            <w:pPr>
              <w:spacing w:after="0"/>
              <w:rPr>
                <w:rFonts w:cs="Arial"/>
                <w:color w:val="000000"/>
                <w:szCs w:val="20"/>
              </w:rPr>
            </w:pPr>
            <w:r w:rsidRPr="00E86D90">
              <w:rPr>
                <w:rFonts w:cs="Arial"/>
                <w:color w:val="000000"/>
                <w:szCs w:val="20"/>
              </w:rPr>
              <w:t xml:space="preserve">The recommended value is quantifiable through available sampling and analysis techniques. </w:t>
            </w:r>
          </w:p>
          <w:p w14:paraId="28E6B5E7" w14:textId="06362739" w:rsidR="009F04D2" w:rsidRPr="00E86D90" w:rsidRDefault="009F04D2" w:rsidP="00017C82">
            <w:pPr>
              <w:pStyle w:val="Tablefont"/>
              <w:rPr>
                <w:rFonts w:cs="Arial"/>
                <w:szCs w:val="20"/>
              </w:rPr>
            </w:pPr>
          </w:p>
        </w:tc>
      </w:tr>
    </w:tbl>
    <w:p w14:paraId="01B4E93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463903D" w14:textId="46E15DD0" w:rsidR="006639B4" w:rsidRPr="00830A29" w:rsidRDefault="00830A29" w:rsidP="000C139A">
      <w:pPr>
        <w:rPr>
          <w:rFonts w:cs="Arial"/>
          <w:vertAlign w:val="superscript"/>
        </w:rPr>
      </w:pPr>
      <w:r>
        <w:rPr>
          <w:rFonts w:cs="Arial"/>
        </w:rPr>
        <w:t>A TWA of 0.1 mg/</w:t>
      </w:r>
      <w:r w:rsidR="00FE4D12" w:rsidRPr="00715BBE">
        <w:rPr>
          <w:rFonts w:cs="Arial"/>
        </w:rPr>
        <w:t>m</w:t>
      </w:r>
      <w:r w:rsidR="00FE4D12" w:rsidRPr="00715BBE">
        <w:rPr>
          <w:rFonts w:cs="Arial"/>
          <w:vertAlign w:val="superscript"/>
        </w:rPr>
        <w:t>3</w:t>
      </w:r>
      <w:r w:rsidR="00126253">
        <w:rPr>
          <w:rFonts w:cs="Arial"/>
        </w:rPr>
        <w:t xml:space="preserve"> </w:t>
      </w:r>
      <w:r w:rsidR="00CB340C">
        <w:rPr>
          <w:rFonts w:cs="Arial"/>
        </w:rPr>
        <w:t>is</w:t>
      </w:r>
      <w:r w:rsidRPr="00830A29">
        <w:rPr>
          <w:rFonts w:cs="Arial"/>
        </w:rPr>
        <w:t xml:space="preserve"> recommended to protect for</w:t>
      </w:r>
      <w:r>
        <w:rPr>
          <w:rFonts w:cs="Arial"/>
        </w:rPr>
        <w:t xml:space="preserve"> </w:t>
      </w:r>
      <w:r w:rsidR="001024A9">
        <w:rPr>
          <w:rFonts w:cs="Arial"/>
        </w:rPr>
        <w:t xml:space="preserve">effects on the </w:t>
      </w:r>
      <w:r>
        <w:rPr>
          <w:rFonts w:cs="Arial"/>
        </w:rPr>
        <w:t>liver</w:t>
      </w:r>
      <w:r w:rsidR="001024A9">
        <w:rPr>
          <w:rFonts w:cs="Arial"/>
        </w:rPr>
        <w:t xml:space="preserve"> and</w:t>
      </w:r>
      <w:r>
        <w:rPr>
          <w:rFonts w:cs="Arial"/>
        </w:rPr>
        <w:t xml:space="preserve"> kidney and </w:t>
      </w:r>
      <w:r w:rsidR="001024A9">
        <w:rPr>
          <w:rFonts w:cs="Arial"/>
        </w:rPr>
        <w:t>sensitisation</w:t>
      </w:r>
      <w:r>
        <w:rPr>
          <w:rFonts w:cs="Arial"/>
        </w:rPr>
        <w:t xml:space="preserve"> in exposed workers.</w:t>
      </w:r>
    </w:p>
    <w:p w14:paraId="4AA142E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549CAF6" w14:textId="77777777" w:rsidR="001024A9" w:rsidRDefault="00830A29" w:rsidP="00830A29">
      <w:proofErr w:type="spellStart"/>
      <w:r>
        <w:rPr>
          <w:rFonts w:cs="Arial"/>
        </w:rPr>
        <w:t>Captafol</w:t>
      </w:r>
      <w:proofErr w:type="spellEnd"/>
      <w:r>
        <w:rPr>
          <w:rFonts w:cs="Arial"/>
        </w:rPr>
        <w:t xml:space="preserve"> is </w:t>
      </w:r>
      <w:r>
        <w:t>used as a broad-spectrum fungicide for fruits, vegetables, ornamental plants and turf grasses.</w:t>
      </w:r>
      <w:r w:rsidR="00990349">
        <w:t xml:space="preserve"> </w:t>
      </w:r>
    </w:p>
    <w:p w14:paraId="21FDB736" w14:textId="3F2F1173" w:rsidR="00CB340C" w:rsidRDefault="00830A29" w:rsidP="00830A29">
      <w:r>
        <w:t xml:space="preserve">No </w:t>
      </w:r>
      <w:r w:rsidR="004F3A4D">
        <w:t xml:space="preserve">human </w:t>
      </w:r>
      <w:r w:rsidR="00BE0578">
        <w:t xml:space="preserve">studies with </w:t>
      </w:r>
      <w:r>
        <w:t xml:space="preserve">reliable quantitative information </w:t>
      </w:r>
      <w:r w:rsidR="00BE0578">
        <w:t xml:space="preserve">are </w:t>
      </w:r>
      <w:r>
        <w:t>available.</w:t>
      </w:r>
      <w:r w:rsidR="00990349">
        <w:t xml:space="preserve"> </w:t>
      </w:r>
      <w:proofErr w:type="spellStart"/>
      <w:r>
        <w:t>Captafol</w:t>
      </w:r>
      <w:proofErr w:type="spellEnd"/>
      <w:r>
        <w:t xml:space="preserve"> has been </w:t>
      </w:r>
      <w:r w:rsidR="00BE0578">
        <w:t xml:space="preserve">shown to be </w:t>
      </w:r>
      <w:r>
        <w:t xml:space="preserve">a dermal </w:t>
      </w:r>
      <w:r w:rsidR="00D842BB">
        <w:t xml:space="preserve">sensitiser </w:t>
      </w:r>
      <w:r>
        <w:t>and</w:t>
      </w:r>
      <w:r w:rsidR="00687914">
        <w:t xml:space="preserve"> </w:t>
      </w:r>
      <w:r w:rsidR="00D9627F">
        <w:t>a</w:t>
      </w:r>
      <w:r w:rsidR="003039EA">
        <w:t xml:space="preserve"> potential</w:t>
      </w:r>
      <w:r w:rsidR="00D9627F">
        <w:t xml:space="preserve"> </w:t>
      </w:r>
      <w:r>
        <w:t>respiratory sensitiser based on reports of dermatitis and asthma in occupational</w:t>
      </w:r>
      <w:r w:rsidR="00990349">
        <w:t>ly</w:t>
      </w:r>
      <w:r>
        <w:t xml:space="preserve"> exposed </w:t>
      </w:r>
      <w:r w:rsidR="00CB340C">
        <w:t>workers</w:t>
      </w:r>
      <w:r>
        <w:t>.</w:t>
      </w:r>
      <w:r w:rsidR="00990349">
        <w:t xml:space="preserve"> </w:t>
      </w:r>
    </w:p>
    <w:p w14:paraId="76723885" w14:textId="28E318ED" w:rsidR="00FF73FE" w:rsidRDefault="00830A29" w:rsidP="001809A2">
      <w:r>
        <w:t>A 12</w:t>
      </w:r>
      <w:r w:rsidR="00990349">
        <w:t xml:space="preserve"> </w:t>
      </w:r>
      <w:r>
        <w:t xml:space="preserve">month oral study in dogs reported </w:t>
      </w:r>
      <w:r w:rsidR="00CB340C">
        <w:t>a LOAEL</w:t>
      </w:r>
      <w:r>
        <w:t xml:space="preserve"> of 2 mg/kg</w:t>
      </w:r>
      <w:r w:rsidR="002F3757">
        <w:t>/day</w:t>
      </w:r>
      <w:r>
        <w:t xml:space="preserve"> for </w:t>
      </w:r>
      <w:r w:rsidR="00CB340C">
        <w:t xml:space="preserve">adverse </w:t>
      </w:r>
      <w:r>
        <w:t>changes in the liver and kidneys (ACGIH, 201</w:t>
      </w:r>
      <w:r w:rsidR="00D842BB">
        <w:t>8</w:t>
      </w:r>
      <w:r>
        <w:t xml:space="preserve">). The </w:t>
      </w:r>
      <w:r w:rsidRPr="00830A29">
        <w:t xml:space="preserve">TWA </w:t>
      </w:r>
      <w:r w:rsidR="00A06EF3">
        <w:t xml:space="preserve">of </w:t>
      </w:r>
      <w:r w:rsidR="00A06EF3">
        <w:rPr>
          <w:rFonts w:cs="Arial"/>
        </w:rPr>
        <w:t>0.1 mg/</w:t>
      </w:r>
      <w:r w:rsidR="00A06EF3" w:rsidRPr="002A7C10">
        <w:rPr>
          <w:rFonts w:cs="Arial"/>
        </w:rPr>
        <w:t>m</w:t>
      </w:r>
      <w:r w:rsidR="00A06EF3" w:rsidRPr="002A7C10">
        <w:rPr>
          <w:rFonts w:cs="Arial"/>
          <w:vertAlign w:val="superscript"/>
        </w:rPr>
        <w:t>3</w:t>
      </w:r>
      <w:r w:rsidR="00A06EF3">
        <w:t xml:space="preserve"> </w:t>
      </w:r>
      <w:r>
        <w:t xml:space="preserve">is </w:t>
      </w:r>
      <w:r w:rsidR="0060672E">
        <w:t xml:space="preserve">derived using </w:t>
      </w:r>
      <w:r>
        <w:t>the</w:t>
      </w:r>
      <w:r w:rsidR="0060672E">
        <w:t xml:space="preserve"> oral</w:t>
      </w:r>
      <w:r>
        <w:t xml:space="preserve"> </w:t>
      </w:r>
      <w:r w:rsidR="00FE4D12">
        <w:t>LOAEL</w:t>
      </w:r>
      <w:r>
        <w:t xml:space="preserve"> of 2 mg/kg</w:t>
      </w:r>
      <w:r w:rsidR="002F3757">
        <w:t>/day</w:t>
      </w:r>
      <w:r>
        <w:t xml:space="preserve"> </w:t>
      </w:r>
      <w:r w:rsidR="0060672E">
        <w:t xml:space="preserve">and </w:t>
      </w:r>
      <w:r>
        <w:t>convert</w:t>
      </w:r>
      <w:r w:rsidR="0060672E">
        <w:t>ing it to inhalational exposure</w:t>
      </w:r>
      <w:r w:rsidRPr="00830A29">
        <w:t>.</w:t>
      </w:r>
      <w:r w:rsidR="00990349">
        <w:t xml:space="preserve"> </w:t>
      </w:r>
      <w:r w:rsidR="00DD76BF">
        <w:t>A</w:t>
      </w:r>
      <w:r w:rsidR="006E3A57">
        <w:t>n uncertainty</w:t>
      </w:r>
      <w:r w:rsidR="00DD76BF">
        <w:t xml:space="preserve"> factor</w:t>
      </w:r>
      <w:r w:rsidR="007112BA">
        <w:t xml:space="preserve"> </w:t>
      </w:r>
      <w:r w:rsidR="001809A2">
        <w:t xml:space="preserve">of </w:t>
      </w:r>
      <w:r w:rsidR="00DD76BF">
        <w:t>10</w:t>
      </w:r>
      <w:r w:rsidR="00453215">
        <w:t>0</w:t>
      </w:r>
      <w:r w:rsidR="00DD76BF">
        <w:t xml:space="preserve"> was applied </w:t>
      </w:r>
      <w:r w:rsidR="009C7FC4">
        <w:t xml:space="preserve">and the value is </w:t>
      </w:r>
      <w:r w:rsidR="001C2CB0">
        <w:t xml:space="preserve">then </w:t>
      </w:r>
      <w:r w:rsidR="009C7FC4">
        <w:t xml:space="preserve">rounded down </w:t>
      </w:r>
      <w:r w:rsidR="00DD76BF">
        <w:t xml:space="preserve">to </w:t>
      </w:r>
      <w:r w:rsidRPr="00830A29">
        <w:t xml:space="preserve">account for </w:t>
      </w:r>
      <w:r w:rsidR="00CB340C">
        <w:t>reported dermal and respiratory</w:t>
      </w:r>
      <w:r w:rsidR="006E3A57">
        <w:t xml:space="preserve"> </w:t>
      </w:r>
      <w:r w:rsidR="00DD76BF">
        <w:t>sensitiser effects</w:t>
      </w:r>
      <w:r w:rsidR="006E3A57">
        <w:t xml:space="preserve"> in exposed workers</w:t>
      </w:r>
      <w:r w:rsidR="00990349">
        <w:t>.</w:t>
      </w:r>
    </w:p>
    <w:p w14:paraId="79CE0B59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F213BC0" w14:textId="113E17F7" w:rsidR="00FC61EC" w:rsidRDefault="00FC61EC" w:rsidP="00FC61EC">
      <w:pPr>
        <w:rPr>
          <w:rFonts w:cs="Arial"/>
        </w:rPr>
      </w:pPr>
      <w:r>
        <w:rPr>
          <w:rFonts w:cs="Arial"/>
        </w:rPr>
        <w:t>C</w:t>
      </w:r>
      <w:r w:rsidRPr="00011ADB">
        <w:rPr>
          <w:rFonts w:cs="Arial"/>
        </w:rPr>
        <w:t xml:space="preserve">lassified as a </w:t>
      </w:r>
      <w:r>
        <w:rPr>
          <w:rFonts w:cs="Arial"/>
        </w:rPr>
        <w:t xml:space="preserve">category 1B </w:t>
      </w:r>
      <w:r w:rsidRPr="00011ADB">
        <w:rPr>
          <w:rFonts w:cs="Arial"/>
        </w:rPr>
        <w:t>carcinogen according to the Globally Harmonized System of Classification and Labelling of Chemicals (GHS).</w:t>
      </w:r>
    </w:p>
    <w:p w14:paraId="6F934EC7" w14:textId="6162FAE0" w:rsidR="00CB340C" w:rsidRPr="004D53F2" w:rsidRDefault="00FC61EC" w:rsidP="00E634EF">
      <w:pPr>
        <w:pStyle w:val="Tabletextprimarysource"/>
        <w:spacing w:line="276" w:lineRule="auto"/>
      </w:pPr>
      <w:r>
        <w:rPr>
          <w:rFonts w:cs="Arial"/>
        </w:rPr>
        <w:t>C</w:t>
      </w:r>
      <w:r w:rsidRPr="00011ADB">
        <w:rPr>
          <w:rFonts w:cs="Arial"/>
        </w:rPr>
        <w:t xml:space="preserve">lassified as </w:t>
      </w:r>
      <w:r>
        <w:rPr>
          <w:rFonts w:cs="Arial"/>
        </w:rPr>
        <w:t>a</w:t>
      </w:r>
      <w:r w:rsidRPr="00011ADB">
        <w:rPr>
          <w:rFonts w:cs="Arial"/>
        </w:rPr>
        <w:t xml:space="preserve"> </w:t>
      </w:r>
      <w:r>
        <w:rPr>
          <w:rFonts w:cs="Arial"/>
        </w:rPr>
        <w:t>skin</w:t>
      </w:r>
      <w:r w:rsidRPr="00011ADB">
        <w:rPr>
          <w:rFonts w:cs="Arial"/>
        </w:rPr>
        <w:t xml:space="preserve"> sensitiser </w:t>
      </w:r>
      <w:r w:rsidR="003602FA">
        <w:rPr>
          <w:rFonts w:cs="Arial"/>
        </w:rPr>
        <w:t>and n</w:t>
      </w:r>
      <w:r>
        <w:rPr>
          <w:rFonts w:cs="Arial"/>
        </w:rPr>
        <w:t>ot</w:t>
      </w:r>
      <w:r w:rsidRPr="00011ADB">
        <w:rPr>
          <w:rFonts w:cs="Arial"/>
        </w:rPr>
        <w:t xml:space="preserve"> </w:t>
      </w:r>
      <w:r>
        <w:rPr>
          <w:rFonts w:cs="Arial"/>
        </w:rPr>
        <w:t>a</w:t>
      </w:r>
      <w:r w:rsidRPr="00011ADB">
        <w:rPr>
          <w:rFonts w:cs="Arial"/>
        </w:rPr>
        <w:t xml:space="preserve"> respiratory sensitiser according to the GHS</w:t>
      </w:r>
      <w:r w:rsidR="003602FA">
        <w:rPr>
          <w:rFonts w:cs="Arial"/>
        </w:rPr>
        <w:t xml:space="preserve">. </w:t>
      </w:r>
      <w:r w:rsidR="0082070E" w:rsidRPr="008C0D1D">
        <w:rPr>
          <w:rFonts w:cs="Arial"/>
        </w:rPr>
        <w:t>A</w:t>
      </w:r>
      <w:r w:rsidRPr="008C0D1D">
        <w:rPr>
          <w:rFonts w:cs="Arial"/>
        </w:rPr>
        <w:t xml:space="preserve"> review of the </w:t>
      </w:r>
      <w:r w:rsidR="0082070E" w:rsidRPr="008C0D1D">
        <w:rPr>
          <w:rFonts w:cs="Arial"/>
        </w:rPr>
        <w:t xml:space="preserve">GHS </w:t>
      </w:r>
      <w:r w:rsidRPr="008C0D1D">
        <w:rPr>
          <w:rFonts w:cs="Arial"/>
        </w:rPr>
        <w:t>classification is recommended</w:t>
      </w:r>
      <w:r w:rsidR="0082070E" w:rsidRPr="008C0D1D">
        <w:rPr>
          <w:rFonts w:cs="Arial"/>
        </w:rPr>
        <w:t xml:space="preserve"> for </w:t>
      </w:r>
      <w:r w:rsidR="00CB340C">
        <w:rPr>
          <w:rFonts w:cs="Arial"/>
        </w:rPr>
        <w:t xml:space="preserve">dermal and </w:t>
      </w:r>
      <w:r w:rsidR="0082070E" w:rsidRPr="008C0D1D">
        <w:rPr>
          <w:rFonts w:cs="Arial"/>
        </w:rPr>
        <w:t xml:space="preserve">respiratory sensitisation </w:t>
      </w:r>
      <w:r w:rsidR="008058DC" w:rsidRPr="008C0D1D">
        <w:rPr>
          <w:rFonts w:cs="Arial"/>
        </w:rPr>
        <w:t xml:space="preserve">due to </w:t>
      </w:r>
      <w:r w:rsidR="00CB340C">
        <w:rPr>
          <w:rFonts w:cs="Arial"/>
        </w:rPr>
        <w:t xml:space="preserve">case </w:t>
      </w:r>
      <w:r w:rsidR="008058DC" w:rsidRPr="008C0D1D">
        <w:rPr>
          <w:rFonts w:cs="Arial"/>
        </w:rPr>
        <w:t xml:space="preserve">reports of </w:t>
      </w:r>
      <w:r w:rsidR="00CB340C">
        <w:rPr>
          <w:rFonts w:cs="Arial"/>
        </w:rPr>
        <w:t>dermal and</w:t>
      </w:r>
      <w:r w:rsidR="0082070E" w:rsidRPr="008C0D1D">
        <w:rPr>
          <w:rFonts w:cs="Arial"/>
        </w:rPr>
        <w:t xml:space="preserve"> respiratory sensitiser effects</w:t>
      </w:r>
      <w:r w:rsidRPr="008C0D1D">
        <w:rPr>
          <w:rFonts w:cs="Arial"/>
        </w:rPr>
        <w:t>.</w:t>
      </w:r>
      <w:r w:rsidR="00CB340C" w:rsidRPr="00CB340C">
        <w:t xml:space="preserve"> </w:t>
      </w:r>
    </w:p>
    <w:p w14:paraId="7B39A6B2" w14:textId="254E8D2E" w:rsidR="00FC61EC" w:rsidRPr="004C23F4" w:rsidRDefault="00FC61EC" w:rsidP="00FC61EC">
      <w:pPr>
        <w:rPr>
          <w:rFonts w:cs="Arial"/>
        </w:rPr>
      </w:pPr>
      <w:r>
        <w:rPr>
          <w:rFonts w:cs="Arial"/>
        </w:rPr>
        <w:t xml:space="preserve">A skin notation is recommended based on the evidence </w:t>
      </w:r>
      <w:r w:rsidR="00490F90">
        <w:rPr>
          <w:rFonts w:cs="Arial"/>
        </w:rPr>
        <w:t xml:space="preserve">of adverse </w:t>
      </w:r>
      <w:r>
        <w:rPr>
          <w:rFonts w:cs="Arial"/>
        </w:rPr>
        <w:t>effects following dermal contact</w:t>
      </w:r>
      <w:r w:rsidR="00490F90">
        <w:rPr>
          <w:rFonts w:cs="Arial"/>
        </w:rPr>
        <w:t xml:space="preserve"> in humans</w:t>
      </w:r>
      <w:r>
        <w:rPr>
          <w:rFonts w:cs="Arial"/>
        </w:rPr>
        <w:t>.</w:t>
      </w:r>
    </w:p>
    <w:p w14:paraId="23E0156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6A2C44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A8DE287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D517F5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155405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0380CF2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D6F9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D6F9F">
                  <w:t>TWA: 0.1 mg/m</w:t>
                </w:r>
                <w:r w:rsidR="007D6F9F" w:rsidRPr="007D6F9F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222D88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E92D5D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85034E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D9D1B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A128E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A128E">
                  <w:t>TLV-TWA: 0.007 ppm (0.1 mg/m</w:t>
                </w:r>
                <w:r w:rsidR="00AA128E" w:rsidRPr="00AA128E">
                  <w:rPr>
                    <w:vertAlign w:val="superscript"/>
                  </w:rPr>
                  <w:t>3</w:t>
                </w:r>
                <w:r w:rsidR="00AA128E">
                  <w:t>)</w:t>
                </w:r>
              </w:sdtContent>
            </w:sdt>
          </w:p>
        </w:tc>
      </w:tr>
      <w:tr w:rsidR="00C978F0" w:rsidRPr="00DA352E" w14:paraId="3EB7765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08E5B35" w14:textId="5FBD88D5" w:rsidR="00C978F0" w:rsidRDefault="00455519" w:rsidP="003365A5">
            <w:pPr>
              <w:pStyle w:val="Tabletextprimarysource"/>
            </w:pPr>
            <w:r>
              <w:t>TLV-TWA recommended to protect for possible liver, kidney and sensitiser effects in exposed workers.</w:t>
            </w:r>
          </w:p>
          <w:p w14:paraId="05EAF68F" w14:textId="77777777" w:rsidR="00455519" w:rsidRDefault="00455519" w:rsidP="003365A5">
            <w:pPr>
              <w:pStyle w:val="Tabletextprimarysource"/>
            </w:pPr>
            <w:r>
              <w:t>Summary of data:</w:t>
            </w:r>
          </w:p>
          <w:p w14:paraId="4D7F623D" w14:textId="2A2DAA6E" w:rsidR="00D842BB" w:rsidRDefault="00D842BB" w:rsidP="00D842BB">
            <w:pPr>
              <w:pStyle w:val="Tabletextprimarysource"/>
            </w:pPr>
            <w:r>
              <w:t>TLV-TWA of 0.1 mg/m</w:t>
            </w:r>
            <w:r>
              <w:rPr>
                <w:vertAlign w:val="superscript"/>
              </w:rPr>
              <w:t xml:space="preserve">3 </w:t>
            </w:r>
            <w:r>
              <w:t>is derived using the oral dose of 2 mg/kg (LOEL in dogs) and converting it to an inhalational exposure of 14 mg/m</w:t>
            </w:r>
            <w:r>
              <w:rPr>
                <w:vertAlign w:val="superscript"/>
              </w:rPr>
              <w:t xml:space="preserve">3 </w:t>
            </w:r>
            <w:r>
              <w:t>(assuming 70 kg human breathing 10 m</w:t>
            </w:r>
            <w:r>
              <w:rPr>
                <w:vertAlign w:val="superscript"/>
              </w:rPr>
              <w:t>3</w:t>
            </w:r>
            <w:r>
              <w:t>, 8 h shift and 100% absorption). An uncertainty factor of 10</w:t>
            </w:r>
            <w:r w:rsidR="00986533">
              <w:t>0</w:t>
            </w:r>
            <w:r>
              <w:t xml:space="preserve"> is applied and the value is then rounded down to account for possible sensitiser effects.</w:t>
            </w:r>
          </w:p>
          <w:p w14:paraId="1E0CBBCC" w14:textId="36EA5A29" w:rsidR="00455519" w:rsidRDefault="00455519" w:rsidP="003365A5">
            <w:pPr>
              <w:pStyle w:val="Tabletextprimarysource"/>
            </w:pPr>
            <w:r>
              <w:t>Human data:</w:t>
            </w:r>
          </w:p>
          <w:p w14:paraId="54AEDF08" w14:textId="77777777" w:rsidR="00455519" w:rsidRDefault="00455519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studies with reliable quantitative data </w:t>
            </w:r>
          </w:p>
          <w:p w14:paraId="31488CD5" w14:textId="5B5DF8BB" w:rsidR="00455519" w:rsidRDefault="00CB340C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Considered</w:t>
            </w:r>
            <w:r w:rsidR="00455519">
              <w:t xml:space="preserve"> a dermal and respiratory sensitiser based on reports of occupational dermatitis and asthma </w:t>
            </w:r>
          </w:p>
          <w:p w14:paraId="416E4DCF" w14:textId="479BBD25" w:rsidR="00455519" w:rsidRDefault="00CB340C" w:rsidP="007E169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 w:rsidR="00455519">
              <w:t>ensitisation estimated to occur in 10</w:t>
            </w:r>
            <w:r w:rsidR="00FE4D12">
              <w:t>–</w:t>
            </w:r>
            <w:r w:rsidR="00455519">
              <w:t>40% of people occupationally exposed</w:t>
            </w:r>
          </w:p>
          <w:p w14:paraId="57D97493" w14:textId="03DE0F95" w:rsidR="00D9627F" w:rsidRDefault="00455519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Marked </w:t>
            </w:r>
            <w:proofErr w:type="spellStart"/>
            <w:r>
              <w:t>vesiculation</w:t>
            </w:r>
            <w:proofErr w:type="spellEnd"/>
            <w:r>
              <w:t xml:space="preserve"> and </w:t>
            </w:r>
            <w:r w:rsidR="002F3757">
              <w:t>o</w:t>
            </w:r>
            <w:r>
              <w:t xml:space="preserve">edema of hands and face and wheezing reported in a worker </w:t>
            </w:r>
            <w:r w:rsidR="00D04AB7">
              <w:t>at a distributing plant</w:t>
            </w:r>
          </w:p>
          <w:p w14:paraId="55FFB741" w14:textId="63AC6ECF" w:rsidR="00455519" w:rsidRDefault="00D9627F" w:rsidP="007E169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D04AB7">
              <w:t xml:space="preserve">eported effects </w:t>
            </w:r>
            <w:r w:rsidR="00FE5015">
              <w:t>occurred</w:t>
            </w:r>
            <w:r w:rsidR="00D04AB7">
              <w:t xml:space="preserve"> only after brushing</w:t>
            </w:r>
            <w:r w:rsidR="00455519">
              <w:t xml:space="preserve"> against large bags of </w:t>
            </w:r>
            <w:proofErr w:type="spellStart"/>
            <w:r w:rsidR="00D842BB">
              <w:t>c</w:t>
            </w:r>
            <w:r w:rsidR="00990349">
              <w:t>aptafol</w:t>
            </w:r>
            <w:proofErr w:type="spellEnd"/>
          </w:p>
          <w:p w14:paraId="0A65E36F" w14:textId="5E9E8327" w:rsidR="00455519" w:rsidRDefault="00455519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Occupational asthma reported</w:t>
            </w:r>
            <w:r w:rsidR="00D04AB7">
              <w:t xml:space="preserve"> in </w:t>
            </w:r>
            <w:r w:rsidR="00E86D90">
              <w:t xml:space="preserve">a </w:t>
            </w:r>
            <w:r w:rsidR="00D04AB7">
              <w:t xml:space="preserve">worker following </w:t>
            </w:r>
            <w:r w:rsidR="001024A9">
              <w:t>chronic</w:t>
            </w:r>
            <w:r w:rsidR="00990349">
              <w:t xml:space="preserve"> </w:t>
            </w:r>
            <w:r w:rsidR="00D04AB7">
              <w:t>exposure</w:t>
            </w:r>
            <w:r w:rsidR="001024A9">
              <w:t xml:space="preserve"> over years</w:t>
            </w:r>
            <w:r w:rsidR="00D04AB7">
              <w:t xml:space="preserve"> (no further information)</w:t>
            </w:r>
          </w:p>
          <w:p w14:paraId="6A51705E" w14:textId="77777777" w:rsidR="00CB340C" w:rsidRDefault="00D04AB7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Of 133 w</w:t>
            </w:r>
            <w:r w:rsidR="001F2D98">
              <w:t>orkers, 23% exposed workers had</w:t>
            </w:r>
            <w:r>
              <w:t xml:space="preserve"> history of occupationally induced dermatitis</w:t>
            </w:r>
          </w:p>
          <w:p w14:paraId="41CFF0E4" w14:textId="2382A802" w:rsidR="00D04AB7" w:rsidRDefault="00CB340C" w:rsidP="007E169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i</w:t>
            </w:r>
            <w:r w:rsidR="00D04AB7">
              <w:t>rritant dermatitis more common than allergic</w:t>
            </w:r>
          </w:p>
          <w:p w14:paraId="722C8762" w14:textId="0B5E7979" w:rsidR="00CB340C" w:rsidRDefault="00D04AB7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Case-control study found statistically significant increases in pancreatic cancer in residen</w:t>
            </w:r>
            <w:r w:rsidR="00990349">
              <w:t>ts</w:t>
            </w:r>
            <w:r>
              <w:t xml:space="preserve"> living in areas with high </w:t>
            </w:r>
            <w:r w:rsidR="00CB340C">
              <w:t xml:space="preserve">use of </w:t>
            </w:r>
            <w:r w:rsidR="00643B5E">
              <w:t>pesticide</w:t>
            </w:r>
            <w:r w:rsidR="00CB340C">
              <w:t>s</w:t>
            </w:r>
          </w:p>
          <w:p w14:paraId="37AAB5E5" w14:textId="658B9A58" w:rsidR="00643B5E" w:rsidRDefault="00CB340C" w:rsidP="007E169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c</w:t>
            </w:r>
            <w:r w:rsidR="00D04AB7">
              <w:t xml:space="preserve">onfounding identified by other cancer risk factors and chemical </w:t>
            </w:r>
            <w:r w:rsidR="00643B5E">
              <w:t>use</w:t>
            </w:r>
          </w:p>
          <w:p w14:paraId="75F7E4F1" w14:textId="7DA831E4" w:rsidR="00643B5E" w:rsidRDefault="00643B5E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Reported adverse effects following contact to skin warrants skin notation</w:t>
            </w:r>
            <w:r w:rsidR="00CB340C">
              <w:t>.</w:t>
            </w:r>
          </w:p>
          <w:p w14:paraId="2F58BED4" w14:textId="77777777" w:rsidR="00FB5223" w:rsidRDefault="00FB5223" w:rsidP="00D04AB7">
            <w:pPr>
              <w:pStyle w:val="Tabletextprimarysource"/>
            </w:pPr>
          </w:p>
          <w:p w14:paraId="4927230E" w14:textId="5EEF23B6" w:rsidR="00D04AB7" w:rsidRDefault="00D04AB7" w:rsidP="00D04AB7">
            <w:pPr>
              <w:pStyle w:val="Tabletextprimarysource"/>
            </w:pPr>
            <w:r>
              <w:t>Animal data:</w:t>
            </w:r>
          </w:p>
          <w:p w14:paraId="5CCDCAFD" w14:textId="05E47739" w:rsidR="00D04AB7" w:rsidRDefault="00D11251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LOEL</w:t>
            </w:r>
            <w:r w:rsidR="00643B5E">
              <w:t xml:space="preserve"> of 100 mg/kg</w:t>
            </w:r>
            <w:r w:rsidR="002F3757">
              <w:t>/d</w:t>
            </w:r>
            <w:r w:rsidR="00643B5E">
              <w:t xml:space="preserve"> from oral study in rats and mice with kidney and liver as target organs</w:t>
            </w:r>
          </w:p>
          <w:p w14:paraId="1EC7D7CF" w14:textId="5AACEC1C" w:rsidR="00643B5E" w:rsidRDefault="00643B5E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12</w:t>
            </w:r>
            <w:r w:rsidR="00CE714D"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oral study in dogs reported </w:t>
            </w:r>
            <w:r w:rsidR="00D11251">
              <w:t>LOEL</w:t>
            </w:r>
            <w:r>
              <w:t xml:space="preserve"> of 2 mg/kg</w:t>
            </w:r>
            <w:r w:rsidR="002F3757">
              <w:t>/d</w:t>
            </w:r>
            <w:r>
              <w:t xml:space="preserve"> (changes in liver and kidney)</w:t>
            </w:r>
          </w:p>
          <w:p w14:paraId="02502D5C" w14:textId="47325FEA" w:rsidR="00643B5E" w:rsidRDefault="00986533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Separate </w:t>
            </w:r>
            <w:r w:rsidR="00643B5E">
              <w:t>2</w:t>
            </w:r>
            <w:r w:rsidR="00CE714D">
              <w:t xml:space="preserve"> </w:t>
            </w:r>
            <w:r w:rsidR="00643B5E">
              <w:t xml:space="preserve">yr oral study in dogs reported a </w:t>
            </w:r>
            <w:r w:rsidR="00A06EF3">
              <w:t>NOEL</w:t>
            </w:r>
            <w:r w:rsidR="00643B5E">
              <w:t xml:space="preserve"> of 10 mg/kg</w:t>
            </w:r>
            <w:r w:rsidR="002F3757">
              <w:t>/d</w:t>
            </w:r>
            <w:r w:rsidR="00643B5E">
              <w:t xml:space="preserve"> (changes in liver and kidney)</w:t>
            </w:r>
          </w:p>
          <w:p w14:paraId="5273BB31" w14:textId="28B9346A" w:rsidR="00CB340C" w:rsidRDefault="00643B5E" w:rsidP="007E1695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 rats and mice, oral exposure caused tumours in various tissues including vascular system, </w:t>
            </w:r>
            <w:r w:rsidR="001024A9">
              <w:t>GIT</w:t>
            </w:r>
            <w:r>
              <w:t xml:space="preserve"> and liver</w:t>
            </w:r>
          </w:p>
          <w:p w14:paraId="244C0FBB" w14:textId="2713C91E" w:rsidR="00643B5E" w:rsidRDefault="00CB340C" w:rsidP="007E169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proofErr w:type="gramStart"/>
            <w:r>
              <w:t>r</w:t>
            </w:r>
            <w:r w:rsidR="00643B5E">
              <w:t>ats</w:t>
            </w:r>
            <w:proofErr w:type="gramEnd"/>
            <w:r w:rsidR="00643B5E">
              <w:t xml:space="preserve"> also developed tumours in the kidneys</w:t>
            </w:r>
            <w:r w:rsidR="00CE714D">
              <w:t>.</w:t>
            </w:r>
          </w:p>
          <w:p w14:paraId="7EC08A72" w14:textId="77777777" w:rsidR="00FB5223" w:rsidRDefault="00FB5223" w:rsidP="00FE5015">
            <w:pPr>
              <w:pStyle w:val="Tabletextprimarysource"/>
            </w:pPr>
          </w:p>
          <w:p w14:paraId="645BE0B2" w14:textId="0ED77EA0" w:rsidR="00FE5015" w:rsidRDefault="00FE5015" w:rsidP="00FE5015">
            <w:pPr>
              <w:pStyle w:val="Tabletextprimarysource"/>
            </w:pPr>
            <w:r>
              <w:t>Positive for mutagenicity in bacteria and yeast and other cellular systems</w:t>
            </w:r>
            <w:r w:rsidR="00CE714D">
              <w:t>.</w:t>
            </w:r>
            <w:r w:rsidR="00493473">
              <w:t xml:space="preserve"> </w:t>
            </w:r>
            <w:r>
              <w:t xml:space="preserve">Inactive in </w:t>
            </w:r>
            <w:r>
              <w:rPr>
                <w:i/>
              </w:rPr>
              <w:t>in vivo</w:t>
            </w:r>
            <w:r>
              <w:t xml:space="preserve"> </w:t>
            </w:r>
            <w:r w:rsidR="002B583F">
              <w:t>mutagenicity tests</w:t>
            </w:r>
            <w:r w:rsidR="00CE714D">
              <w:t>.</w:t>
            </w:r>
          </w:p>
          <w:p w14:paraId="580B25D6" w14:textId="64FA77DD" w:rsidR="00E431B2" w:rsidRPr="002B583F" w:rsidRDefault="00E431B2" w:rsidP="00D842BB">
            <w:pPr>
              <w:pStyle w:val="Tabletextprimarysource"/>
            </w:pPr>
          </w:p>
        </w:tc>
      </w:tr>
      <w:tr w:rsidR="00C978F0" w:rsidRPr="00DA352E" w14:paraId="1DEF894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44655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476F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476F4">
                  <w:t>NA</w:t>
                </w:r>
              </w:sdtContent>
            </w:sdt>
          </w:p>
        </w:tc>
      </w:tr>
      <w:tr w:rsidR="00C978F0" w:rsidRPr="00DA352E" w14:paraId="57883E4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9713844" w14:textId="2B3C4352" w:rsidR="00C978F0" w:rsidRPr="00DA352E" w:rsidRDefault="006476F4" w:rsidP="003365A5">
            <w:pPr>
              <w:pStyle w:val="Tabletextprimarysource"/>
            </w:pPr>
            <w:r>
              <w:t>No report</w:t>
            </w:r>
            <w:r w:rsidR="00CB340C">
              <w:t>.</w:t>
            </w:r>
          </w:p>
        </w:tc>
      </w:tr>
      <w:tr w:rsidR="00C978F0" w:rsidRPr="00DA352E" w14:paraId="003F57E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0C9FEC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476F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6476F4">
                  <w:t>NA</w:t>
                </w:r>
              </w:sdtContent>
            </w:sdt>
          </w:p>
        </w:tc>
      </w:tr>
      <w:tr w:rsidR="00C978F0" w:rsidRPr="00DA352E" w14:paraId="0D1B809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91D1E2E" w14:textId="738F3B65" w:rsidR="00C978F0" w:rsidRPr="00DA352E" w:rsidRDefault="006476F4" w:rsidP="003365A5">
            <w:pPr>
              <w:pStyle w:val="Tabletextprimarysource"/>
            </w:pPr>
            <w:r>
              <w:t>No report</w:t>
            </w:r>
            <w:r w:rsidR="00CB340C">
              <w:t>.</w:t>
            </w:r>
          </w:p>
        </w:tc>
      </w:tr>
      <w:tr w:rsidR="00DA352E" w:rsidRPr="00DA352E" w14:paraId="4D587C4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20D356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B551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6B5515">
                  <w:t>NA</w:t>
                </w:r>
              </w:sdtContent>
            </w:sdt>
          </w:p>
        </w:tc>
      </w:tr>
      <w:tr w:rsidR="00DA352E" w:rsidRPr="00DA352E" w14:paraId="6E133A6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6A409A7" w14:textId="6FBFC2B9" w:rsidR="00DA352E" w:rsidRPr="00DA352E" w:rsidRDefault="006B5515" w:rsidP="003365A5">
            <w:pPr>
              <w:pStyle w:val="Tabletextprimarysource"/>
            </w:pPr>
            <w:r>
              <w:t>No report</w:t>
            </w:r>
            <w:r w:rsidR="00CB340C">
              <w:t>.</w:t>
            </w:r>
          </w:p>
        </w:tc>
      </w:tr>
      <w:tr w:rsidR="00DA352E" w:rsidRPr="00DA352E" w14:paraId="1A49618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2B4B9D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B551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6B5515">
                  <w:t>NA</w:t>
                </w:r>
              </w:sdtContent>
            </w:sdt>
          </w:p>
        </w:tc>
      </w:tr>
      <w:tr w:rsidR="00DA352E" w:rsidRPr="00DA352E" w14:paraId="7AE13D8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C2ECFA9" w14:textId="7274E639" w:rsidR="00DA352E" w:rsidRPr="00DA352E" w:rsidRDefault="006B5515" w:rsidP="003365A5">
            <w:pPr>
              <w:pStyle w:val="Tabletextprimarysource"/>
            </w:pPr>
            <w:r>
              <w:t>No report</w:t>
            </w:r>
            <w:r w:rsidR="00CB340C">
              <w:t>.</w:t>
            </w:r>
          </w:p>
        </w:tc>
      </w:tr>
    </w:tbl>
    <w:p w14:paraId="2E02CB5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054E5DD6" w14:textId="77777777" w:rsidTr="002B583F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3C3FE4AF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7A34CEC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56ECE9BA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59CF6B25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F40E19D" w14:textId="77777777" w:rsidTr="002B583F">
        <w:trPr>
          <w:cantSplit/>
        </w:trPr>
        <w:tc>
          <w:tcPr>
            <w:tcW w:w="1498" w:type="dxa"/>
          </w:tcPr>
          <w:p w14:paraId="316D2A5F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4" w:type="dxa"/>
          </w:tcPr>
          <w:p w14:paraId="43FF3968" w14:textId="763838BC" w:rsidR="004966BF" w:rsidRPr="00CE617F" w:rsidRDefault="00EF1A3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B583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314A1BC8" w14:textId="5BE4B525" w:rsidR="004966BF" w:rsidRPr="004C23F4" w:rsidRDefault="001F2D9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54" w:type="dxa"/>
          </w:tcPr>
          <w:p w14:paraId="090402E2" w14:textId="77777777" w:rsidR="004966BF" w:rsidRDefault="002B583F" w:rsidP="00830A29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Probably carcinogenic to</w:t>
            </w:r>
            <w:r w:rsidRPr="002B583F">
              <w:rPr>
                <w:rStyle w:val="checkbox"/>
                <w:rFonts w:ascii="Arial" w:hAnsi="Arial" w:cs="Arial"/>
              </w:rPr>
              <w:t xml:space="preserve"> humans</w:t>
            </w:r>
          </w:p>
          <w:p w14:paraId="031888B3" w14:textId="10999886" w:rsidR="002B583F" w:rsidRPr="004C23F4" w:rsidRDefault="002B583F" w:rsidP="00830A29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</w:t>
            </w:r>
            <w:r w:rsidRPr="002B583F">
              <w:rPr>
                <w:rStyle w:val="checkbox"/>
                <w:rFonts w:ascii="Arial" w:hAnsi="Arial" w:cs="Arial"/>
              </w:rPr>
              <w:t>ctive in a wide</w:t>
            </w:r>
            <w:r>
              <w:rPr>
                <w:rStyle w:val="checkbox"/>
                <w:rFonts w:ascii="Arial" w:hAnsi="Arial" w:cs="Arial"/>
              </w:rPr>
              <w:t xml:space="preserve"> range of tests for genetic </w:t>
            </w:r>
            <w:r w:rsidRPr="002B583F">
              <w:rPr>
                <w:rStyle w:val="checkbox"/>
                <w:rFonts w:ascii="Arial" w:hAnsi="Arial" w:cs="Arial"/>
              </w:rPr>
              <w:t>effects</w:t>
            </w:r>
            <w:r w:rsidR="00F3444D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62F3502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733B3D63" w14:textId="77777777" w:rsidTr="00830A29">
        <w:trPr>
          <w:trHeight w:val="454"/>
          <w:tblHeader/>
        </w:trPr>
        <w:tc>
          <w:tcPr>
            <w:tcW w:w="6597" w:type="dxa"/>
            <w:vAlign w:val="center"/>
          </w:tcPr>
          <w:p w14:paraId="2B56045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DF24B30" w14:textId="25815D9C" w:rsidR="002E0D61" w:rsidRDefault="002B583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3DA203DA" w14:textId="77777777" w:rsidTr="00830A29">
        <w:trPr>
          <w:trHeight w:val="454"/>
        </w:trPr>
        <w:tc>
          <w:tcPr>
            <w:tcW w:w="6597" w:type="dxa"/>
            <w:vAlign w:val="center"/>
          </w:tcPr>
          <w:p w14:paraId="42AEEDB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BE22493" w14:textId="53809E50" w:rsidR="008A36CF" w:rsidRDefault="00830A29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CB340C" w14:paraId="1F2A8D5A" w14:textId="77777777" w:rsidTr="00E1480E">
        <w:trPr>
          <w:trHeight w:val="454"/>
        </w:trPr>
        <w:sdt>
          <w:sdtPr>
            <w:rPr>
              <w:b/>
            </w:rPr>
            <w:id w:val="1830936485"/>
            <w:placeholder>
              <w:docPart w:val="51EE3AED370C4D329F2D79444FBD7F84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7AF1893B" w14:textId="583DB81C" w:rsidR="00CB340C" w:rsidRDefault="00CB340C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7F99E21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0A9417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D82991E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638EB5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67D6510" w14:textId="77777777" w:rsidTr="00812887">
        <w:trPr>
          <w:cantSplit/>
        </w:trPr>
        <w:tc>
          <w:tcPr>
            <w:tcW w:w="3227" w:type="dxa"/>
          </w:tcPr>
          <w:p w14:paraId="284182C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44281E0" w14:textId="3ED97454" w:rsidR="00687890" w:rsidRPr="00DD2F9B" w:rsidRDefault="00F12798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6243ABD" w14:textId="77777777" w:rsidTr="00812887">
        <w:trPr>
          <w:cantSplit/>
        </w:trPr>
        <w:tc>
          <w:tcPr>
            <w:tcW w:w="3227" w:type="dxa"/>
          </w:tcPr>
          <w:p w14:paraId="039AE5D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8711AF6" w14:textId="36412E81" w:rsidR="007925F0" w:rsidRPr="00DD2F9B" w:rsidRDefault="0008524F" w:rsidP="00DD2F9B">
            <w:pPr>
              <w:pStyle w:val="Tablefont"/>
            </w:pPr>
            <w:r>
              <w:t xml:space="preserve">Carcinogenicity – category 1B, </w:t>
            </w:r>
            <w:r w:rsidR="006A3D2C">
              <w:t>Skin sensitisation – category 1</w:t>
            </w:r>
          </w:p>
        </w:tc>
      </w:tr>
      <w:tr w:rsidR="00AF483F" w:rsidRPr="004C23F4" w14:paraId="3B83C115" w14:textId="77777777" w:rsidTr="00812887">
        <w:trPr>
          <w:cantSplit/>
        </w:trPr>
        <w:tc>
          <w:tcPr>
            <w:tcW w:w="3227" w:type="dxa"/>
          </w:tcPr>
          <w:p w14:paraId="46EE49A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E8CD2E7" w14:textId="0CA806BB" w:rsidR="00AF483F" w:rsidRPr="00DD2F9B" w:rsidRDefault="003B1F9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C56C291" w14:textId="77777777" w:rsidTr="00812887">
        <w:trPr>
          <w:cantSplit/>
        </w:trPr>
        <w:tc>
          <w:tcPr>
            <w:tcW w:w="3227" w:type="dxa"/>
          </w:tcPr>
          <w:p w14:paraId="48932250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F982F2D" w14:textId="51814AF8" w:rsidR="00687890" w:rsidRPr="00DD2F9B" w:rsidRDefault="00734C01" w:rsidP="00DD2F9B">
            <w:pPr>
              <w:pStyle w:val="Tablefont"/>
            </w:pPr>
            <w:r>
              <w:t>Carcinogenicity – category 1B, Skin sensitisation – category 1</w:t>
            </w:r>
          </w:p>
        </w:tc>
      </w:tr>
      <w:tr w:rsidR="00E41A26" w:rsidRPr="004C23F4" w14:paraId="772DD2CC" w14:textId="77777777" w:rsidTr="00812887">
        <w:trPr>
          <w:cantSplit/>
        </w:trPr>
        <w:tc>
          <w:tcPr>
            <w:tcW w:w="3227" w:type="dxa"/>
          </w:tcPr>
          <w:p w14:paraId="4772F9C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0E47373" w14:textId="70F25A0E" w:rsidR="00E41A26" w:rsidRPr="00DD2F9B" w:rsidRDefault="002D5459" w:rsidP="00DD2F9B">
            <w:pPr>
              <w:pStyle w:val="Tablefont"/>
            </w:pPr>
            <w:r>
              <w:t>Carcinogenicity – category 1B</w:t>
            </w:r>
            <w:r w:rsidR="00182FB1">
              <w:t xml:space="preserve">, </w:t>
            </w:r>
            <w:r>
              <w:t>Skin sensitisation – category 1</w:t>
            </w:r>
          </w:p>
        </w:tc>
      </w:tr>
      <w:tr w:rsidR="002E0D61" w:rsidRPr="004C23F4" w14:paraId="0C9DCFFF" w14:textId="77777777" w:rsidTr="00812887">
        <w:trPr>
          <w:cantSplit/>
        </w:trPr>
        <w:tc>
          <w:tcPr>
            <w:tcW w:w="3227" w:type="dxa"/>
          </w:tcPr>
          <w:p w14:paraId="33FCDC0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6913B55" w14:textId="77777777" w:rsidR="002E0D61" w:rsidRPr="00DD2F9B" w:rsidRDefault="006B5515" w:rsidP="00DD2F9B">
            <w:pPr>
              <w:pStyle w:val="Tablefont"/>
            </w:pPr>
            <w:r>
              <w:t xml:space="preserve">Carcinogenicity – A3, </w:t>
            </w:r>
            <w:r w:rsidR="0008524F">
              <w:t xml:space="preserve">Skin, </w:t>
            </w:r>
            <w:r w:rsidRPr="00514736">
              <w:t>DSEN</w:t>
            </w:r>
            <w:r>
              <w:t>, RSEN</w:t>
            </w:r>
          </w:p>
        </w:tc>
      </w:tr>
      <w:tr w:rsidR="002E0D61" w:rsidRPr="004C23F4" w14:paraId="23A676D0" w14:textId="77777777" w:rsidTr="00812887">
        <w:trPr>
          <w:cantSplit/>
        </w:trPr>
        <w:tc>
          <w:tcPr>
            <w:tcW w:w="3227" w:type="dxa"/>
          </w:tcPr>
          <w:p w14:paraId="1D41323F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9314EBC" w14:textId="0A684455" w:rsidR="002E0D61" w:rsidRPr="00DD2F9B" w:rsidRDefault="003E44E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B60E878" w14:textId="77777777" w:rsidTr="00812887">
        <w:trPr>
          <w:cantSplit/>
        </w:trPr>
        <w:tc>
          <w:tcPr>
            <w:tcW w:w="3227" w:type="dxa"/>
          </w:tcPr>
          <w:p w14:paraId="4428CE5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C80FC6E" w14:textId="68D34118" w:rsidR="002E0D61" w:rsidRPr="00DD2F9B" w:rsidRDefault="003E44E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CF8AEA7" w14:textId="77777777" w:rsidTr="00812887">
        <w:trPr>
          <w:cantSplit/>
        </w:trPr>
        <w:tc>
          <w:tcPr>
            <w:tcW w:w="3227" w:type="dxa"/>
          </w:tcPr>
          <w:p w14:paraId="3FC31BA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B08001A" w14:textId="6EC5AE52" w:rsidR="002E0D61" w:rsidRPr="00DD2F9B" w:rsidRDefault="0071504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5777304" w14:textId="77777777" w:rsidTr="00812887">
        <w:trPr>
          <w:cantSplit/>
        </w:trPr>
        <w:tc>
          <w:tcPr>
            <w:tcW w:w="3227" w:type="dxa"/>
          </w:tcPr>
          <w:p w14:paraId="2B5101E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DC2CE76" w14:textId="46FDC577" w:rsidR="00386093" w:rsidRPr="00DD2F9B" w:rsidRDefault="00F05EB3" w:rsidP="00DD2F9B">
            <w:pPr>
              <w:pStyle w:val="Tablefont"/>
            </w:pPr>
            <w:r>
              <w:t>Carcinogenicity – Group 2A</w:t>
            </w:r>
          </w:p>
        </w:tc>
      </w:tr>
      <w:tr w:rsidR="00386093" w:rsidRPr="004C23F4" w14:paraId="0C776417" w14:textId="77777777" w:rsidTr="00812887">
        <w:trPr>
          <w:cantSplit/>
        </w:trPr>
        <w:tc>
          <w:tcPr>
            <w:tcW w:w="3227" w:type="dxa"/>
          </w:tcPr>
          <w:p w14:paraId="22841461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00EA25B" w14:textId="479502D0" w:rsidR="00386093" w:rsidRPr="00DD2F9B" w:rsidRDefault="00007348" w:rsidP="00D87570">
            <w:pPr>
              <w:pStyle w:val="Tablefont"/>
              <w:keepNext/>
            </w:pPr>
            <w:r>
              <w:t>N</w:t>
            </w:r>
            <w:r w:rsidR="00085084">
              <w:t>A</w:t>
            </w:r>
          </w:p>
        </w:tc>
      </w:tr>
    </w:tbl>
    <w:bookmarkEnd w:id="2"/>
    <w:p w14:paraId="5B477077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EB2623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00CDB6A" w14:textId="77777777" w:rsidTr="00EF1A38">
        <w:trPr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C6EC1C7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bookmarkStart w:id="4" w:name="_GoBack" w:colFirst="0" w:colLast="1"/>
            <w:r>
              <w:t>Calculation</w:t>
            </w:r>
            <w:r w:rsidR="00177CA1">
              <w:tab/>
            </w:r>
          </w:p>
        </w:tc>
      </w:tr>
      <w:tr w:rsidR="00932DCE" w:rsidRPr="004C23F4" w14:paraId="65DA5FC2" w14:textId="77777777" w:rsidTr="001809A2">
        <w:tc>
          <w:tcPr>
            <w:tcW w:w="5000" w:type="pct"/>
            <w:vAlign w:val="center"/>
          </w:tcPr>
          <w:tbl>
            <w:tblPr>
              <w:tblW w:w="8935" w:type="dxa"/>
              <w:tblLook w:val="04A0" w:firstRow="1" w:lastRow="0" w:firstColumn="1" w:lastColumn="0" w:noHBand="0" w:noVBand="1"/>
            </w:tblPr>
            <w:tblGrid>
              <w:gridCol w:w="3827"/>
              <w:gridCol w:w="1128"/>
              <w:gridCol w:w="1128"/>
              <w:gridCol w:w="1363"/>
              <w:gridCol w:w="1364"/>
            </w:tblGrid>
            <w:tr w:rsidR="00FC61EC" w:rsidRPr="00FC61EC" w14:paraId="4DF453DD" w14:textId="77777777" w:rsidTr="00FC61EC">
              <w:trPr>
                <w:trHeight w:val="391"/>
              </w:trPr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bookmarkEnd w:id="4"/>
                <w:p w14:paraId="770B7388" w14:textId="77777777" w:rsidR="00FC61EC" w:rsidRPr="00FC61EC" w:rsidRDefault="00FC61EC" w:rsidP="00FC61E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D5C1EF2" w14:textId="77777777" w:rsidR="00FC61EC" w:rsidRPr="00FC61EC" w:rsidRDefault="00FC61EC" w:rsidP="00FC61E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1BEB2E" w14:textId="77777777" w:rsidR="00FC61EC" w:rsidRPr="00FC61EC" w:rsidRDefault="00FC61EC" w:rsidP="00FC61E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19FF35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605046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61EC" w:rsidRPr="00FC61EC" w14:paraId="7973C5FA" w14:textId="77777777" w:rsidTr="00FC61EC">
              <w:trPr>
                <w:trHeight w:val="391"/>
              </w:trPr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42153C" w14:textId="77777777" w:rsidR="00FC61EC" w:rsidRPr="00FC61EC" w:rsidRDefault="00FC61EC" w:rsidP="00FC61E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35715E" w14:textId="77777777" w:rsidR="00FC61EC" w:rsidRPr="00FC61EC" w:rsidRDefault="00FC61EC" w:rsidP="00FC61E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4B036E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CF7C75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E68B1D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61EC" w:rsidRPr="00FC61EC" w14:paraId="7DD52246" w14:textId="77777777" w:rsidTr="00FC61EC">
              <w:trPr>
                <w:trHeight w:val="391"/>
              </w:trPr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7EFE21" w14:textId="77777777" w:rsidR="00FC61EC" w:rsidRPr="00FC61EC" w:rsidRDefault="00FC61EC" w:rsidP="00FC61E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E830FF" w14:textId="77777777" w:rsidR="00FC61EC" w:rsidRPr="00FC61EC" w:rsidRDefault="00FC61EC" w:rsidP="00FC61E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AC8DE4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CC22D8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618918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61EC" w:rsidRPr="00FC61EC" w14:paraId="77E3E22C" w14:textId="77777777" w:rsidTr="00FC61EC">
              <w:trPr>
                <w:trHeight w:val="391"/>
              </w:trPr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90DF59" w14:textId="77777777" w:rsidR="00FC61EC" w:rsidRPr="00FC61EC" w:rsidRDefault="00FC61EC" w:rsidP="00FC61E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D5465A" w14:textId="77777777" w:rsidR="00FC61EC" w:rsidRPr="00FC61EC" w:rsidRDefault="00FC61EC" w:rsidP="00FC61E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F8CFA0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41FA60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2F1922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61EC" w:rsidRPr="00FC61EC" w14:paraId="70A60FEE" w14:textId="77777777" w:rsidTr="00FC61EC">
              <w:trPr>
                <w:trHeight w:val="391"/>
              </w:trPr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68B45B" w14:textId="77777777" w:rsidR="00FC61EC" w:rsidRPr="00FC61EC" w:rsidRDefault="00FC61EC" w:rsidP="00FC61E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DC095C" w14:textId="77777777" w:rsidR="00FC61EC" w:rsidRPr="00FC61EC" w:rsidRDefault="00FC61EC" w:rsidP="00FC61E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5FE378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A62C4B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FDE77A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61EC" w:rsidRPr="00FC61EC" w14:paraId="4636291E" w14:textId="77777777" w:rsidTr="00FC61EC">
              <w:trPr>
                <w:trHeight w:val="391"/>
              </w:trPr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BE0AC8" w14:textId="77777777" w:rsidR="00FC61EC" w:rsidRPr="00FC61EC" w:rsidRDefault="00FC61EC" w:rsidP="00FC61E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B07518" w14:textId="77777777" w:rsidR="00FC61EC" w:rsidRPr="00FC61EC" w:rsidRDefault="00FC61EC" w:rsidP="00FC61E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88FCC7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5616DD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B7FB72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61EC" w:rsidRPr="00FC61EC" w14:paraId="2EC7989E" w14:textId="77777777" w:rsidTr="00FC61EC">
              <w:trPr>
                <w:trHeight w:val="391"/>
              </w:trPr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D44289" w14:textId="77777777" w:rsidR="00FC61EC" w:rsidRPr="00FC61EC" w:rsidRDefault="00FC61EC" w:rsidP="00FC61E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09450E" w14:textId="77777777" w:rsidR="00FC61EC" w:rsidRPr="00FC61EC" w:rsidRDefault="00FC61EC" w:rsidP="00FC61E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AB0845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692544" w14:textId="77777777" w:rsidR="00FC61EC" w:rsidRPr="00FC61EC" w:rsidRDefault="00FC61EC" w:rsidP="00FC61E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61E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484A4F8B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059894A2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F55B52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98AC7B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C1BBE05" w14:textId="77777777" w:rsidR="00EB3D1B" w:rsidRDefault="008C593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613BCB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4A8BC0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3C663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E2A37BA" w14:textId="6308403B" w:rsidR="001B79E5" w:rsidRDefault="00C61DC4" w:rsidP="001B79E5">
                <w:pPr>
                  <w:pStyle w:val="Tablefont"/>
                </w:pPr>
                <w:r>
                  <w:t>349.1</w:t>
                </w:r>
              </w:p>
            </w:tc>
          </w:sdtContent>
        </w:sdt>
      </w:tr>
      <w:tr w:rsidR="00A31D99" w:rsidRPr="004C23F4" w14:paraId="595DBE5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84324A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2E0E92A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3B3864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C5BA70E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324BEAB" w14:textId="772134D7" w:rsidR="00687890" w:rsidRPr="004C23F4" w:rsidRDefault="001B6034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09733C71" w14:textId="77777777" w:rsidTr="00EA6243">
        <w:trPr>
          <w:cantSplit/>
        </w:trPr>
        <w:tc>
          <w:tcPr>
            <w:tcW w:w="4077" w:type="dxa"/>
            <w:vAlign w:val="center"/>
          </w:tcPr>
          <w:p w14:paraId="6932472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8E161D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5EF743E" w14:textId="77777777" w:rsidTr="00EA6243">
        <w:trPr>
          <w:cantSplit/>
        </w:trPr>
        <w:tc>
          <w:tcPr>
            <w:tcW w:w="4077" w:type="dxa"/>
            <w:vAlign w:val="center"/>
          </w:tcPr>
          <w:p w14:paraId="24E26B8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D4407E4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2EEF7BA" w14:textId="77777777" w:rsidTr="00EA6243">
        <w:trPr>
          <w:cantSplit/>
        </w:trPr>
        <w:tc>
          <w:tcPr>
            <w:tcW w:w="4077" w:type="dxa"/>
            <w:vAlign w:val="center"/>
          </w:tcPr>
          <w:p w14:paraId="5E4B542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AE73528" w14:textId="77777777" w:rsidR="00E06F40" w:rsidRPr="00A006A0" w:rsidRDefault="00EF1A3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4A27D41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C03819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8ABE28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51F476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06348B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D8EDCF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CBFAD2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BE9D5F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07DEBC8" w14:textId="77777777" w:rsidR="001F2D98" w:rsidRDefault="001F2D98" w:rsidP="001F2D98">
      <w:r>
        <w:t>American Conference of Industrial Hygienists (ACGIH</w:t>
      </w:r>
      <w:r>
        <w:rPr>
          <w:vertAlign w:val="superscript"/>
        </w:rPr>
        <w:t>®</w:t>
      </w:r>
      <w:r>
        <w:t>) (2018)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2018.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026484F" w14:textId="15DDB314" w:rsidR="00F161B8" w:rsidRDefault="00F161B8" w:rsidP="00084859">
      <w:r>
        <w:t>European Chemicals Agency (ECHA) (</w:t>
      </w:r>
      <w:r w:rsidR="00701A84">
        <w:t>2006</w:t>
      </w:r>
      <w:r>
        <w:t xml:space="preserve">) </w:t>
      </w:r>
      <w:proofErr w:type="spellStart"/>
      <w:r w:rsidR="00701A84">
        <w:t>Captafol</w:t>
      </w:r>
      <w:proofErr w:type="spellEnd"/>
      <w:r w:rsidR="00701A84">
        <w:t xml:space="preserve"> (ISO); 1,2,3,6-tetrahydro-N-(1,1,2,2-tetrachloro</w:t>
      </w:r>
      <w:r w:rsidR="00F66AF1">
        <w:t>ethylthio)</w:t>
      </w:r>
      <w:proofErr w:type="spellStart"/>
      <w:r w:rsidR="00F66AF1">
        <w:t>phthalimide</w:t>
      </w:r>
      <w:proofErr w:type="spellEnd"/>
      <w:r>
        <w:t xml:space="preserve"> – REACH assessment.</w:t>
      </w:r>
    </w:p>
    <w:p w14:paraId="421C193A" w14:textId="77777777" w:rsidR="001F2D98" w:rsidRDefault="001F2D98" w:rsidP="001F2D98">
      <w:r>
        <w:rPr>
          <w:color w:val="000000"/>
        </w:rPr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65FDD357" w14:textId="2620C10E" w:rsidR="00514736" w:rsidRPr="00351FE0" w:rsidRDefault="002467A1" w:rsidP="00084859">
      <w:r w:rsidRPr="002022B6">
        <w:t>International Agency for Research on Cancer</w:t>
      </w:r>
      <w:r>
        <w:t xml:space="preserve"> (IARC) (</w:t>
      </w:r>
      <w:r w:rsidR="008631CB">
        <w:t>1991</w:t>
      </w:r>
      <w:r>
        <w:t xml:space="preserve">) </w:t>
      </w:r>
      <w:r w:rsidR="000B00FA">
        <w:t>Occupational</w:t>
      </w:r>
      <w:r w:rsidR="008631CB">
        <w:t xml:space="preserve"> Exposures in Insecticide Application, and some Pesticides</w:t>
      </w:r>
      <w:r>
        <w:t>. IARC Monographs on the evaluation of the carcinogenic risk to humans</w:t>
      </w:r>
      <w:r w:rsidR="000B00FA">
        <w:t>, Volume 53</w:t>
      </w:r>
      <w:r>
        <w:t>.</w:t>
      </w:r>
    </w:p>
    <w:sectPr w:rsidR="00514736" w:rsidRPr="00351FE0" w:rsidSect="00DA0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993" w:left="1440" w:header="708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F2FC49" w16cid:durableId="20D84E9C"/>
  <w16cid:commentId w16cid:paraId="0A1AEDD6" w16cid:durableId="20D84CD2"/>
  <w16cid:commentId w16cid:paraId="6CB3F782" w16cid:durableId="20D84CD3"/>
  <w16cid:commentId w16cid:paraId="41F44614" w16cid:durableId="20D84CD4"/>
  <w16cid:commentId w16cid:paraId="2D44849F" w16cid:durableId="20D84FBB"/>
  <w16cid:commentId w16cid:paraId="6A71A6C9" w16cid:durableId="20D84C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8DD53" w14:textId="77777777" w:rsidR="000E0E4E" w:rsidRDefault="000E0E4E" w:rsidP="00F43AD5">
      <w:pPr>
        <w:spacing w:after="0" w:line="240" w:lineRule="auto"/>
      </w:pPr>
      <w:r>
        <w:separator/>
      </w:r>
    </w:p>
  </w:endnote>
  <w:endnote w:type="continuationSeparator" w:id="0">
    <w:p w14:paraId="11EE0C05" w14:textId="77777777" w:rsidR="000E0E4E" w:rsidRDefault="000E0E4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3EA9" w14:textId="77777777" w:rsidR="00CF634F" w:rsidRDefault="00CF6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77373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987BA9C" w14:textId="77777777" w:rsidR="00990349" w:rsidRDefault="00990349" w:rsidP="00990349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Captafol</w:t>
        </w:r>
        <w:proofErr w:type="spellEnd"/>
        <w:r>
          <w:rPr>
            <w:b/>
            <w:sz w:val="18"/>
            <w:szCs w:val="18"/>
          </w:rPr>
          <w:t xml:space="preserve"> (2425-06-1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2273C790" w14:textId="132995EA" w:rsidR="00990349" w:rsidRPr="00990349" w:rsidRDefault="00990349" w:rsidP="00990349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F1A38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174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E0DE1" w14:textId="77777777" w:rsidR="00F7569A" w:rsidRDefault="00F7569A" w:rsidP="00F7569A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Captafol</w:t>
        </w:r>
        <w:proofErr w:type="spellEnd"/>
        <w:r>
          <w:rPr>
            <w:b/>
            <w:sz w:val="18"/>
            <w:szCs w:val="18"/>
          </w:rPr>
          <w:t xml:space="preserve"> (2425-06-1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668D790B" w14:textId="023E95E4" w:rsidR="00F7569A" w:rsidRDefault="00F75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A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C850AA" w14:textId="77777777" w:rsidR="00CF634F" w:rsidRDefault="00CF6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AB2C3" w14:textId="77777777" w:rsidR="000E0E4E" w:rsidRDefault="000E0E4E" w:rsidP="00F43AD5">
      <w:pPr>
        <w:spacing w:after="0" w:line="240" w:lineRule="auto"/>
      </w:pPr>
      <w:r>
        <w:separator/>
      </w:r>
    </w:p>
  </w:footnote>
  <w:footnote w:type="continuationSeparator" w:id="0">
    <w:p w14:paraId="237BB7D1" w14:textId="77777777" w:rsidR="000E0E4E" w:rsidRDefault="000E0E4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50C2" w14:textId="77777777" w:rsidR="00CF634F" w:rsidRDefault="00CF6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CABC" w14:textId="17D5FA91" w:rsidR="00990349" w:rsidRDefault="00990349" w:rsidP="00990349">
    <w:pPr>
      <w:pStyle w:val="Header"/>
      <w:jc w:val="right"/>
    </w:pPr>
  </w:p>
  <w:p w14:paraId="5F18D06F" w14:textId="59677B88" w:rsidR="00EF1A38" w:rsidRDefault="00EF1A38" w:rsidP="00EF1A38">
    <w:pPr>
      <w:pStyle w:val="Header"/>
      <w:jc w:val="right"/>
    </w:pPr>
    <w:sdt>
      <w:sdtPr>
        <w:id w:val="1295876722"/>
        <w:docPartObj>
          <w:docPartGallery w:val="Watermarks"/>
          <w:docPartUnique/>
        </w:docPartObj>
      </w:sdtPr>
      <w:sdtContent>
        <w:r>
          <w:pict w14:anchorId="66D187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553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F4A8225" wp14:editId="18283434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ADCD2" w14:textId="77777777" w:rsidR="008A36CF" w:rsidRPr="00990349" w:rsidRDefault="008A36CF" w:rsidP="009903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CEC3" w14:textId="42081725" w:rsidR="00EF1A38" w:rsidRDefault="00EF1A38" w:rsidP="00EF1A38">
    <w:pPr>
      <w:pStyle w:val="Header"/>
      <w:jc w:val="right"/>
    </w:pPr>
    <w:sdt>
      <w:sdtPr>
        <w:id w:val="1106470854"/>
        <w:docPartObj>
          <w:docPartGallery w:val="Watermarks"/>
          <w:docPartUnique/>
        </w:docPartObj>
      </w:sdtPr>
      <w:sdtContent>
        <w:r>
          <w:pict w14:anchorId="3D01E9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553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D572D69" wp14:editId="09955C71">
          <wp:extent cx="2943225" cy="59055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FF6345" w14:textId="68E53BAC" w:rsidR="00DA0C53" w:rsidRDefault="00DA0C53" w:rsidP="00DA0C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24BC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7F393A"/>
    <w:multiLevelType w:val="hybridMultilevel"/>
    <w:tmpl w:val="5382276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9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062E"/>
    <w:rsid w:val="00007348"/>
    <w:rsid w:val="00007B80"/>
    <w:rsid w:val="00013A22"/>
    <w:rsid w:val="00014C3F"/>
    <w:rsid w:val="000169BA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2582"/>
    <w:rsid w:val="000803E1"/>
    <w:rsid w:val="00084513"/>
    <w:rsid w:val="00084859"/>
    <w:rsid w:val="00085084"/>
    <w:rsid w:val="0008524F"/>
    <w:rsid w:val="00092D94"/>
    <w:rsid w:val="000B00FA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0E4E"/>
    <w:rsid w:val="000E5A54"/>
    <w:rsid w:val="000E63D3"/>
    <w:rsid w:val="000E67CF"/>
    <w:rsid w:val="001024A9"/>
    <w:rsid w:val="0010461E"/>
    <w:rsid w:val="00106FAA"/>
    <w:rsid w:val="00112FFD"/>
    <w:rsid w:val="00113443"/>
    <w:rsid w:val="00126253"/>
    <w:rsid w:val="001269A7"/>
    <w:rsid w:val="00131092"/>
    <w:rsid w:val="00140E6A"/>
    <w:rsid w:val="00146545"/>
    <w:rsid w:val="00146B75"/>
    <w:rsid w:val="0015266D"/>
    <w:rsid w:val="0015288A"/>
    <w:rsid w:val="00160F47"/>
    <w:rsid w:val="001754FE"/>
    <w:rsid w:val="00177CA1"/>
    <w:rsid w:val="001809A2"/>
    <w:rsid w:val="00182FB1"/>
    <w:rsid w:val="00183823"/>
    <w:rsid w:val="00183942"/>
    <w:rsid w:val="001A009E"/>
    <w:rsid w:val="001A1287"/>
    <w:rsid w:val="001A3859"/>
    <w:rsid w:val="001A3C9D"/>
    <w:rsid w:val="001A43F8"/>
    <w:rsid w:val="001A62B3"/>
    <w:rsid w:val="001B6034"/>
    <w:rsid w:val="001B79E5"/>
    <w:rsid w:val="001C2CB0"/>
    <w:rsid w:val="001D56F0"/>
    <w:rsid w:val="001D663B"/>
    <w:rsid w:val="001D7B41"/>
    <w:rsid w:val="001E46DA"/>
    <w:rsid w:val="001E7D80"/>
    <w:rsid w:val="001F2D98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67A1"/>
    <w:rsid w:val="0025734A"/>
    <w:rsid w:val="00263255"/>
    <w:rsid w:val="0026684C"/>
    <w:rsid w:val="00276494"/>
    <w:rsid w:val="00277B0C"/>
    <w:rsid w:val="002B1A2C"/>
    <w:rsid w:val="002B583F"/>
    <w:rsid w:val="002C34F2"/>
    <w:rsid w:val="002C58FF"/>
    <w:rsid w:val="002C7AFE"/>
    <w:rsid w:val="002D05D2"/>
    <w:rsid w:val="002D5459"/>
    <w:rsid w:val="002E0D61"/>
    <w:rsid w:val="002E4C7B"/>
    <w:rsid w:val="002F1DC3"/>
    <w:rsid w:val="002F3757"/>
    <w:rsid w:val="003039EA"/>
    <w:rsid w:val="0030740C"/>
    <w:rsid w:val="00315833"/>
    <w:rsid w:val="003215EE"/>
    <w:rsid w:val="003224BF"/>
    <w:rsid w:val="003241A8"/>
    <w:rsid w:val="003253F0"/>
    <w:rsid w:val="00327A61"/>
    <w:rsid w:val="003303F9"/>
    <w:rsid w:val="003337DA"/>
    <w:rsid w:val="00334EFB"/>
    <w:rsid w:val="00335CDE"/>
    <w:rsid w:val="003365A5"/>
    <w:rsid w:val="00341BF2"/>
    <w:rsid w:val="00347192"/>
    <w:rsid w:val="0034744C"/>
    <w:rsid w:val="00351FE0"/>
    <w:rsid w:val="00352615"/>
    <w:rsid w:val="0035412B"/>
    <w:rsid w:val="003567A8"/>
    <w:rsid w:val="003602FA"/>
    <w:rsid w:val="00360D69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0FE8"/>
    <w:rsid w:val="003B1F90"/>
    <w:rsid w:val="003B387D"/>
    <w:rsid w:val="003C0D58"/>
    <w:rsid w:val="003D4FA3"/>
    <w:rsid w:val="003E0807"/>
    <w:rsid w:val="003E44ED"/>
    <w:rsid w:val="003E51FB"/>
    <w:rsid w:val="003E6B39"/>
    <w:rsid w:val="003F07E1"/>
    <w:rsid w:val="003F4197"/>
    <w:rsid w:val="004030BC"/>
    <w:rsid w:val="00403F7D"/>
    <w:rsid w:val="00406785"/>
    <w:rsid w:val="004079B4"/>
    <w:rsid w:val="00417A56"/>
    <w:rsid w:val="00420957"/>
    <w:rsid w:val="00422A10"/>
    <w:rsid w:val="004248A4"/>
    <w:rsid w:val="00430179"/>
    <w:rsid w:val="00430374"/>
    <w:rsid w:val="004414B5"/>
    <w:rsid w:val="00444482"/>
    <w:rsid w:val="00444B42"/>
    <w:rsid w:val="00445E44"/>
    <w:rsid w:val="004509E2"/>
    <w:rsid w:val="004515EE"/>
    <w:rsid w:val="004529F0"/>
    <w:rsid w:val="00453215"/>
    <w:rsid w:val="00455519"/>
    <w:rsid w:val="00460A03"/>
    <w:rsid w:val="00472A11"/>
    <w:rsid w:val="00472AAD"/>
    <w:rsid w:val="00474E33"/>
    <w:rsid w:val="00476803"/>
    <w:rsid w:val="004849DE"/>
    <w:rsid w:val="00485BFD"/>
    <w:rsid w:val="004867A2"/>
    <w:rsid w:val="004873F2"/>
    <w:rsid w:val="004905FD"/>
    <w:rsid w:val="00490D4C"/>
    <w:rsid w:val="00490F90"/>
    <w:rsid w:val="00493473"/>
    <w:rsid w:val="00493A35"/>
    <w:rsid w:val="0049527A"/>
    <w:rsid w:val="004966BF"/>
    <w:rsid w:val="00497984"/>
    <w:rsid w:val="004A1A84"/>
    <w:rsid w:val="004A5088"/>
    <w:rsid w:val="004B0492"/>
    <w:rsid w:val="004B521B"/>
    <w:rsid w:val="004C1E3F"/>
    <w:rsid w:val="004C23F4"/>
    <w:rsid w:val="004C3475"/>
    <w:rsid w:val="004C58B6"/>
    <w:rsid w:val="004D16A3"/>
    <w:rsid w:val="004D4AA1"/>
    <w:rsid w:val="004D53F2"/>
    <w:rsid w:val="004D6D68"/>
    <w:rsid w:val="004E5EDD"/>
    <w:rsid w:val="004F3A4D"/>
    <w:rsid w:val="004F448A"/>
    <w:rsid w:val="004F493D"/>
    <w:rsid w:val="004F65E8"/>
    <w:rsid w:val="0050005E"/>
    <w:rsid w:val="00502B88"/>
    <w:rsid w:val="005142C4"/>
    <w:rsid w:val="00514736"/>
    <w:rsid w:val="00514886"/>
    <w:rsid w:val="0051509C"/>
    <w:rsid w:val="005272E2"/>
    <w:rsid w:val="0053108F"/>
    <w:rsid w:val="00532B56"/>
    <w:rsid w:val="00534B10"/>
    <w:rsid w:val="00535717"/>
    <w:rsid w:val="005446A2"/>
    <w:rsid w:val="00544D2F"/>
    <w:rsid w:val="00551BD8"/>
    <w:rsid w:val="00576566"/>
    <w:rsid w:val="00581055"/>
    <w:rsid w:val="00591E38"/>
    <w:rsid w:val="005A19C5"/>
    <w:rsid w:val="005A3034"/>
    <w:rsid w:val="005A462D"/>
    <w:rsid w:val="005B253B"/>
    <w:rsid w:val="005B771D"/>
    <w:rsid w:val="005C1F48"/>
    <w:rsid w:val="005C5D16"/>
    <w:rsid w:val="005C6A07"/>
    <w:rsid w:val="005D0A56"/>
    <w:rsid w:val="005D3193"/>
    <w:rsid w:val="005D4A6E"/>
    <w:rsid w:val="005D7919"/>
    <w:rsid w:val="005E6979"/>
    <w:rsid w:val="005E75CB"/>
    <w:rsid w:val="005F1C02"/>
    <w:rsid w:val="005F675A"/>
    <w:rsid w:val="006013C1"/>
    <w:rsid w:val="0060669E"/>
    <w:rsid w:val="0060672E"/>
    <w:rsid w:val="00610F2E"/>
    <w:rsid w:val="00611399"/>
    <w:rsid w:val="00614690"/>
    <w:rsid w:val="00624C4E"/>
    <w:rsid w:val="00625200"/>
    <w:rsid w:val="006363A8"/>
    <w:rsid w:val="00636DB7"/>
    <w:rsid w:val="00643B5E"/>
    <w:rsid w:val="006476F4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87914"/>
    <w:rsid w:val="006901A2"/>
    <w:rsid w:val="00690368"/>
    <w:rsid w:val="0069079C"/>
    <w:rsid w:val="00690B53"/>
    <w:rsid w:val="00695B72"/>
    <w:rsid w:val="006A3D2C"/>
    <w:rsid w:val="006B160A"/>
    <w:rsid w:val="006B2A98"/>
    <w:rsid w:val="006B4E6C"/>
    <w:rsid w:val="006B50B6"/>
    <w:rsid w:val="006B5515"/>
    <w:rsid w:val="006D1675"/>
    <w:rsid w:val="006D79EA"/>
    <w:rsid w:val="006E3A57"/>
    <w:rsid w:val="006E5D05"/>
    <w:rsid w:val="00701053"/>
    <w:rsid w:val="00701507"/>
    <w:rsid w:val="00701A84"/>
    <w:rsid w:val="007112BA"/>
    <w:rsid w:val="00714021"/>
    <w:rsid w:val="0071504B"/>
    <w:rsid w:val="00715BBE"/>
    <w:rsid w:val="00716A0F"/>
    <w:rsid w:val="00717D45"/>
    <w:rsid w:val="007208F7"/>
    <w:rsid w:val="007218AF"/>
    <w:rsid w:val="00721946"/>
    <w:rsid w:val="00734C01"/>
    <w:rsid w:val="007365D1"/>
    <w:rsid w:val="00740E0E"/>
    <w:rsid w:val="00750212"/>
    <w:rsid w:val="00754779"/>
    <w:rsid w:val="0075716D"/>
    <w:rsid w:val="00765F14"/>
    <w:rsid w:val="00770E31"/>
    <w:rsid w:val="007770F1"/>
    <w:rsid w:val="00782E1B"/>
    <w:rsid w:val="00783FB1"/>
    <w:rsid w:val="00785CDD"/>
    <w:rsid w:val="007908D5"/>
    <w:rsid w:val="00791847"/>
    <w:rsid w:val="007925F0"/>
    <w:rsid w:val="007939B3"/>
    <w:rsid w:val="0079509C"/>
    <w:rsid w:val="00796708"/>
    <w:rsid w:val="007B1B42"/>
    <w:rsid w:val="007C30EB"/>
    <w:rsid w:val="007C7E13"/>
    <w:rsid w:val="007D6F9F"/>
    <w:rsid w:val="007E063C"/>
    <w:rsid w:val="007E1695"/>
    <w:rsid w:val="007E2A4B"/>
    <w:rsid w:val="007E307D"/>
    <w:rsid w:val="007E6A4E"/>
    <w:rsid w:val="007E6C94"/>
    <w:rsid w:val="007F1005"/>
    <w:rsid w:val="007F25E0"/>
    <w:rsid w:val="007F33FC"/>
    <w:rsid w:val="007F5328"/>
    <w:rsid w:val="008038C4"/>
    <w:rsid w:val="00804F5A"/>
    <w:rsid w:val="008058DC"/>
    <w:rsid w:val="00810C6D"/>
    <w:rsid w:val="00812887"/>
    <w:rsid w:val="0082070E"/>
    <w:rsid w:val="00826F21"/>
    <w:rsid w:val="00830A29"/>
    <w:rsid w:val="00832198"/>
    <w:rsid w:val="00834CC8"/>
    <w:rsid w:val="00835E00"/>
    <w:rsid w:val="00837113"/>
    <w:rsid w:val="008414E4"/>
    <w:rsid w:val="00843E21"/>
    <w:rsid w:val="0084508E"/>
    <w:rsid w:val="00852E62"/>
    <w:rsid w:val="00857A31"/>
    <w:rsid w:val="00857A8A"/>
    <w:rsid w:val="008630EE"/>
    <w:rsid w:val="008631CB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73CB"/>
    <w:rsid w:val="008B403C"/>
    <w:rsid w:val="008B7983"/>
    <w:rsid w:val="008C0D1D"/>
    <w:rsid w:val="008C2511"/>
    <w:rsid w:val="008C5931"/>
    <w:rsid w:val="008D026D"/>
    <w:rsid w:val="008D23AB"/>
    <w:rsid w:val="008D4B8B"/>
    <w:rsid w:val="008D5A78"/>
    <w:rsid w:val="008E4E97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0D4"/>
    <w:rsid w:val="00984920"/>
    <w:rsid w:val="00986533"/>
    <w:rsid w:val="00990349"/>
    <w:rsid w:val="0099173D"/>
    <w:rsid w:val="0099303A"/>
    <w:rsid w:val="009971C2"/>
    <w:rsid w:val="009A1254"/>
    <w:rsid w:val="009B050D"/>
    <w:rsid w:val="009B2FF2"/>
    <w:rsid w:val="009B380C"/>
    <w:rsid w:val="009B4843"/>
    <w:rsid w:val="009B6543"/>
    <w:rsid w:val="009C199D"/>
    <w:rsid w:val="009C278F"/>
    <w:rsid w:val="009C2B94"/>
    <w:rsid w:val="009C5874"/>
    <w:rsid w:val="009C7FC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3DC0"/>
    <w:rsid w:val="00A0643F"/>
    <w:rsid w:val="00A067EE"/>
    <w:rsid w:val="00A06EF3"/>
    <w:rsid w:val="00A10B06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35F9F"/>
    <w:rsid w:val="00A402A3"/>
    <w:rsid w:val="00A53681"/>
    <w:rsid w:val="00A633D4"/>
    <w:rsid w:val="00A6461A"/>
    <w:rsid w:val="00A67F66"/>
    <w:rsid w:val="00A84504"/>
    <w:rsid w:val="00A8672F"/>
    <w:rsid w:val="00A93057"/>
    <w:rsid w:val="00A968B0"/>
    <w:rsid w:val="00A97A78"/>
    <w:rsid w:val="00AA128E"/>
    <w:rsid w:val="00AB2672"/>
    <w:rsid w:val="00AB2677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6350"/>
    <w:rsid w:val="00B87D4C"/>
    <w:rsid w:val="00B93646"/>
    <w:rsid w:val="00B96852"/>
    <w:rsid w:val="00BA0B38"/>
    <w:rsid w:val="00BA1DBB"/>
    <w:rsid w:val="00BA4510"/>
    <w:rsid w:val="00BA529A"/>
    <w:rsid w:val="00BB08BC"/>
    <w:rsid w:val="00BB103D"/>
    <w:rsid w:val="00BB612A"/>
    <w:rsid w:val="00BC24BC"/>
    <w:rsid w:val="00BD499F"/>
    <w:rsid w:val="00BD56DE"/>
    <w:rsid w:val="00BE0578"/>
    <w:rsid w:val="00BE45C3"/>
    <w:rsid w:val="00BF2406"/>
    <w:rsid w:val="00BF4DC5"/>
    <w:rsid w:val="00C01277"/>
    <w:rsid w:val="00C06E43"/>
    <w:rsid w:val="00C16315"/>
    <w:rsid w:val="00C21174"/>
    <w:rsid w:val="00C3091E"/>
    <w:rsid w:val="00C33AFC"/>
    <w:rsid w:val="00C405E0"/>
    <w:rsid w:val="00C40FF1"/>
    <w:rsid w:val="00C419E2"/>
    <w:rsid w:val="00C5020E"/>
    <w:rsid w:val="00C57452"/>
    <w:rsid w:val="00C61DC4"/>
    <w:rsid w:val="00C61EDF"/>
    <w:rsid w:val="00C6239D"/>
    <w:rsid w:val="00C6594B"/>
    <w:rsid w:val="00C67FFB"/>
    <w:rsid w:val="00C70A6A"/>
    <w:rsid w:val="00C7155E"/>
    <w:rsid w:val="00C71D1E"/>
    <w:rsid w:val="00C71D7D"/>
    <w:rsid w:val="00C74833"/>
    <w:rsid w:val="00C8071C"/>
    <w:rsid w:val="00C850A0"/>
    <w:rsid w:val="00C85A86"/>
    <w:rsid w:val="00C978F0"/>
    <w:rsid w:val="00CA58FE"/>
    <w:rsid w:val="00CB1CB1"/>
    <w:rsid w:val="00CB340C"/>
    <w:rsid w:val="00CB6BC1"/>
    <w:rsid w:val="00CB6CB8"/>
    <w:rsid w:val="00CC1A68"/>
    <w:rsid w:val="00CC2123"/>
    <w:rsid w:val="00CD1B0F"/>
    <w:rsid w:val="00CD2BFD"/>
    <w:rsid w:val="00CE5AD6"/>
    <w:rsid w:val="00CE617F"/>
    <w:rsid w:val="00CE714D"/>
    <w:rsid w:val="00CE78EF"/>
    <w:rsid w:val="00CF634F"/>
    <w:rsid w:val="00D048F7"/>
    <w:rsid w:val="00D04AB7"/>
    <w:rsid w:val="00D0517E"/>
    <w:rsid w:val="00D11251"/>
    <w:rsid w:val="00D140FC"/>
    <w:rsid w:val="00D17986"/>
    <w:rsid w:val="00D21D8C"/>
    <w:rsid w:val="00D31357"/>
    <w:rsid w:val="00D33220"/>
    <w:rsid w:val="00D334D1"/>
    <w:rsid w:val="00D44C89"/>
    <w:rsid w:val="00D516CD"/>
    <w:rsid w:val="00D65834"/>
    <w:rsid w:val="00D668E6"/>
    <w:rsid w:val="00D70670"/>
    <w:rsid w:val="00D74D80"/>
    <w:rsid w:val="00D76624"/>
    <w:rsid w:val="00D842BB"/>
    <w:rsid w:val="00D87570"/>
    <w:rsid w:val="00D91CB9"/>
    <w:rsid w:val="00D9627F"/>
    <w:rsid w:val="00D97989"/>
    <w:rsid w:val="00D97D8D"/>
    <w:rsid w:val="00DA0C53"/>
    <w:rsid w:val="00DA352E"/>
    <w:rsid w:val="00DC7694"/>
    <w:rsid w:val="00DD1BF6"/>
    <w:rsid w:val="00DD2F9B"/>
    <w:rsid w:val="00DD76BF"/>
    <w:rsid w:val="00DE2513"/>
    <w:rsid w:val="00DE26E8"/>
    <w:rsid w:val="00DE570E"/>
    <w:rsid w:val="00DF6F36"/>
    <w:rsid w:val="00E0084C"/>
    <w:rsid w:val="00E025AB"/>
    <w:rsid w:val="00E02B23"/>
    <w:rsid w:val="00E06F40"/>
    <w:rsid w:val="00E07CE8"/>
    <w:rsid w:val="00E26A07"/>
    <w:rsid w:val="00E32595"/>
    <w:rsid w:val="00E35078"/>
    <w:rsid w:val="00E37CFD"/>
    <w:rsid w:val="00E41A26"/>
    <w:rsid w:val="00E431B2"/>
    <w:rsid w:val="00E46BCB"/>
    <w:rsid w:val="00E51CAF"/>
    <w:rsid w:val="00E56589"/>
    <w:rsid w:val="00E56D07"/>
    <w:rsid w:val="00E60F04"/>
    <w:rsid w:val="00E62AAC"/>
    <w:rsid w:val="00E634EF"/>
    <w:rsid w:val="00E67C2F"/>
    <w:rsid w:val="00E67EF5"/>
    <w:rsid w:val="00E804EA"/>
    <w:rsid w:val="00E80A71"/>
    <w:rsid w:val="00E82337"/>
    <w:rsid w:val="00E86D90"/>
    <w:rsid w:val="00E92499"/>
    <w:rsid w:val="00E949AF"/>
    <w:rsid w:val="00E96077"/>
    <w:rsid w:val="00EA0A06"/>
    <w:rsid w:val="00EA6243"/>
    <w:rsid w:val="00EA74AB"/>
    <w:rsid w:val="00EB25F9"/>
    <w:rsid w:val="00EB3D1B"/>
    <w:rsid w:val="00ED0472"/>
    <w:rsid w:val="00ED1D89"/>
    <w:rsid w:val="00ED66BC"/>
    <w:rsid w:val="00EE1F75"/>
    <w:rsid w:val="00EF1A38"/>
    <w:rsid w:val="00EF233A"/>
    <w:rsid w:val="00EF303E"/>
    <w:rsid w:val="00EF3A40"/>
    <w:rsid w:val="00EF7F78"/>
    <w:rsid w:val="00F00F63"/>
    <w:rsid w:val="00F01B08"/>
    <w:rsid w:val="00F01C4D"/>
    <w:rsid w:val="00F0211B"/>
    <w:rsid w:val="00F053D0"/>
    <w:rsid w:val="00F053FA"/>
    <w:rsid w:val="00F05EB3"/>
    <w:rsid w:val="00F10C97"/>
    <w:rsid w:val="00F11C71"/>
    <w:rsid w:val="00F12798"/>
    <w:rsid w:val="00F16019"/>
    <w:rsid w:val="00F161B8"/>
    <w:rsid w:val="00F16CCE"/>
    <w:rsid w:val="00F17DA7"/>
    <w:rsid w:val="00F20E68"/>
    <w:rsid w:val="00F22093"/>
    <w:rsid w:val="00F236DF"/>
    <w:rsid w:val="00F3444D"/>
    <w:rsid w:val="00F43AD5"/>
    <w:rsid w:val="00F4402E"/>
    <w:rsid w:val="00F55812"/>
    <w:rsid w:val="00F56DD0"/>
    <w:rsid w:val="00F6491C"/>
    <w:rsid w:val="00F66AF1"/>
    <w:rsid w:val="00F67BBB"/>
    <w:rsid w:val="00F737EA"/>
    <w:rsid w:val="00F7569A"/>
    <w:rsid w:val="00F82980"/>
    <w:rsid w:val="00F87D92"/>
    <w:rsid w:val="00F90AA7"/>
    <w:rsid w:val="00F92498"/>
    <w:rsid w:val="00F9496B"/>
    <w:rsid w:val="00F970C9"/>
    <w:rsid w:val="00FA06A8"/>
    <w:rsid w:val="00FA3DF5"/>
    <w:rsid w:val="00FA49DF"/>
    <w:rsid w:val="00FA741F"/>
    <w:rsid w:val="00FB4E07"/>
    <w:rsid w:val="00FB5223"/>
    <w:rsid w:val="00FB755A"/>
    <w:rsid w:val="00FC60A2"/>
    <w:rsid w:val="00FC61EC"/>
    <w:rsid w:val="00FD1871"/>
    <w:rsid w:val="00FD3110"/>
    <w:rsid w:val="00FE4D12"/>
    <w:rsid w:val="00FE5015"/>
    <w:rsid w:val="00FF5C3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9"/>
    <o:shapelayout v:ext="edit">
      <o:idmap v:ext="edit" data="1"/>
    </o:shapelayout>
  </w:shapeDefaults>
  <w:decimalSymbol w:val="."/>
  <w:listSeparator w:val=","/>
  <w14:docId w14:val="40DD7CE4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085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2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24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24F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455519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0A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1EE3AED370C4D329F2D79444FBD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70F2-7E0C-4C38-AE3D-8A0B7AE667D8}"/>
      </w:docPartPr>
      <w:docPartBody>
        <w:p w:rsidR="001951B1" w:rsidRDefault="002F1E0E" w:rsidP="002F1E0E">
          <w:pPr>
            <w:pStyle w:val="51EE3AED370C4D329F2D79444FBD7F84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951B1"/>
    <w:rsid w:val="002F1E0E"/>
    <w:rsid w:val="00532EC1"/>
    <w:rsid w:val="006D690E"/>
    <w:rsid w:val="00D21A9F"/>
    <w:rsid w:val="00E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E0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1D218D03714489E9C1DDDDF4897F022">
    <w:name w:val="B1D218D03714489E9C1DDDDF4897F022"/>
    <w:rsid w:val="00532EC1"/>
  </w:style>
  <w:style w:type="paragraph" w:customStyle="1" w:styleId="55CA733838C84A60A3A346A5E107162C">
    <w:name w:val="55CA733838C84A60A3A346A5E107162C"/>
    <w:rsid w:val="00532EC1"/>
  </w:style>
  <w:style w:type="paragraph" w:customStyle="1" w:styleId="D8A97785088341DC9E7577B346FDB520">
    <w:name w:val="D8A97785088341DC9E7577B346FDB520"/>
    <w:rsid w:val="00532EC1"/>
  </w:style>
  <w:style w:type="paragraph" w:customStyle="1" w:styleId="E314A7487818409FBAB9C21CF757FD38">
    <w:name w:val="E314A7487818409FBAB9C21CF757FD38"/>
    <w:rsid w:val="00532EC1"/>
  </w:style>
  <w:style w:type="paragraph" w:customStyle="1" w:styleId="A62A60F10BE540F79F6AADD1BAF59486">
    <w:name w:val="A62A60F10BE540F79F6AADD1BAF59486"/>
    <w:rsid w:val="00532EC1"/>
  </w:style>
  <w:style w:type="paragraph" w:customStyle="1" w:styleId="EC8D58C534994A61AFDBA78DA9976F40">
    <w:name w:val="EC8D58C534994A61AFDBA78DA9976F40"/>
    <w:rsid w:val="00532EC1"/>
  </w:style>
  <w:style w:type="paragraph" w:customStyle="1" w:styleId="5965D9DD128240A4A89BE25BAFB21077">
    <w:name w:val="5965D9DD128240A4A89BE25BAFB21077"/>
    <w:rsid w:val="00532EC1"/>
  </w:style>
  <w:style w:type="paragraph" w:customStyle="1" w:styleId="3A4F5CE039FF4AF7BA426933B4B08B24">
    <w:name w:val="3A4F5CE039FF4AF7BA426933B4B08B24"/>
    <w:rsid w:val="00532EC1"/>
  </w:style>
  <w:style w:type="paragraph" w:customStyle="1" w:styleId="803964202F9A41CD828BE0E3E370D71B">
    <w:name w:val="803964202F9A41CD828BE0E3E370D71B"/>
    <w:rsid w:val="00532EC1"/>
  </w:style>
  <w:style w:type="paragraph" w:customStyle="1" w:styleId="B5875B0128CB4ECBAE180BFA5ABC9E5F">
    <w:name w:val="B5875B0128CB4ECBAE180BFA5ABC9E5F"/>
    <w:rsid w:val="00EA5710"/>
    <w:rPr>
      <w:lang w:val="en-US" w:eastAsia="en-US"/>
    </w:rPr>
  </w:style>
  <w:style w:type="paragraph" w:customStyle="1" w:styleId="802099F31D6D43BD91CCA85B05A73D57">
    <w:name w:val="802099F31D6D43BD91CCA85B05A73D57"/>
    <w:rsid w:val="00EA5710"/>
    <w:rPr>
      <w:lang w:val="en-US" w:eastAsia="en-US"/>
    </w:rPr>
  </w:style>
  <w:style w:type="paragraph" w:customStyle="1" w:styleId="F1A2E959F35A4F5FAE8FC00119802B6D">
    <w:name w:val="F1A2E959F35A4F5FAE8FC00119802B6D"/>
    <w:rsid w:val="00EA5710"/>
    <w:rPr>
      <w:lang w:val="en-US" w:eastAsia="en-US"/>
    </w:rPr>
  </w:style>
  <w:style w:type="paragraph" w:customStyle="1" w:styleId="732659FDFDE841DFBB7F0FCAF50F1E47">
    <w:name w:val="732659FDFDE841DFBB7F0FCAF50F1E47"/>
    <w:rsid w:val="00EA5710"/>
    <w:rPr>
      <w:lang w:val="en-US" w:eastAsia="en-US"/>
    </w:rPr>
  </w:style>
  <w:style w:type="paragraph" w:customStyle="1" w:styleId="C48BA5FA466D4039A0E9C20081C4B396">
    <w:name w:val="C48BA5FA466D4039A0E9C20081C4B396"/>
    <w:rsid w:val="00EA5710"/>
    <w:rPr>
      <w:lang w:val="en-US" w:eastAsia="en-US"/>
    </w:rPr>
  </w:style>
  <w:style w:type="paragraph" w:customStyle="1" w:styleId="FC52686A43574FB0BF3E20BC0CA57943">
    <w:name w:val="FC52686A43574FB0BF3E20BC0CA57943"/>
    <w:rsid w:val="00EA5710"/>
    <w:rPr>
      <w:lang w:val="en-US" w:eastAsia="en-US"/>
    </w:rPr>
  </w:style>
  <w:style w:type="paragraph" w:customStyle="1" w:styleId="51EE3AED370C4D329F2D79444FBD7F84">
    <w:name w:val="51EE3AED370C4D329F2D79444FBD7F84"/>
    <w:rsid w:val="002F1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25618B-FA8A-4E18-8CDF-FD8D89FB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35D66-A598-4F06-BD17-E5F79D5F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AEAD2A30.dotm</Template>
  <TotalTime>180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15</cp:revision>
  <cp:lastPrinted>2019-07-30T04:08:00Z</cp:lastPrinted>
  <dcterms:created xsi:type="dcterms:W3CDTF">2019-09-19T08:03:00Z</dcterms:created>
  <dcterms:modified xsi:type="dcterms:W3CDTF">2019-09-26T22:05:00Z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