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alias w:val="NameofChemical"/>
        <w:tag w:val="NameofChemical"/>
        <w:id w:val="1425919599"/>
        <w:lock w:val="sdtLocked"/>
        <w:placeholder>
          <w:docPart w:val="CE1736E50B02464986D1BEC8B7ACDE96"/>
        </w:placeholder>
        <w:text/>
      </w:sdtPr>
      <w:sdtEndPr/>
      <w:sdtContent>
        <w:p w14:paraId="7F8FD809" w14:textId="77777777" w:rsidR="00BD499F" w:rsidRPr="004C23F4" w:rsidRDefault="00637267" w:rsidP="00B40C60">
          <w:pPr>
            <w:pStyle w:val="Heading1"/>
            <w:jc w:val="center"/>
            <w:rPr>
              <w:rFonts w:ascii="Arial" w:hAnsi="Arial" w:cs="Arial"/>
            </w:rPr>
          </w:pPr>
          <w:r>
            <w:rPr>
              <w:rFonts w:ascii="Arial" w:hAnsi="Arial" w:cs="Arial"/>
            </w:rPr>
            <w:t>C</w:t>
          </w:r>
          <w:r w:rsidR="00232AD8">
            <w:rPr>
              <w:rFonts w:ascii="Arial" w:hAnsi="Arial" w:cs="Arial"/>
            </w:rPr>
            <w:t>aptan</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75"/>
        <w:gridCol w:w="5051"/>
      </w:tblGrid>
      <w:tr w:rsidR="00F43AD5" w:rsidRPr="004C23F4" w14:paraId="7253E2F8" w14:textId="77777777" w:rsidTr="00B76A41">
        <w:trPr>
          <w:cantSplit/>
          <w:tblHeader/>
        </w:trPr>
        <w:tc>
          <w:tcPr>
            <w:tcW w:w="4077" w:type="dxa"/>
          </w:tcPr>
          <w:p w14:paraId="4C5FC436" w14:textId="77777777" w:rsidR="00F43AD5" w:rsidRPr="00921DE7" w:rsidRDefault="00CB1CB1" w:rsidP="00B76A41">
            <w:pPr>
              <w:pStyle w:val="Tablerowright"/>
            </w:pPr>
            <w:r w:rsidRPr="00921DE7">
              <w:t>CAS number:</w:t>
            </w:r>
          </w:p>
        </w:tc>
        <w:tc>
          <w:tcPr>
            <w:tcW w:w="5165" w:type="dxa"/>
          </w:tcPr>
          <w:p w14:paraId="10F717AC" w14:textId="77777777" w:rsidR="00F43AD5" w:rsidRPr="00717D45" w:rsidRDefault="00CF722C" w:rsidP="00B76A41">
            <w:pPr>
              <w:pStyle w:val="Tablefont"/>
            </w:pPr>
            <w:r>
              <w:t>133-06-2</w:t>
            </w:r>
          </w:p>
        </w:tc>
      </w:tr>
      <w:tr w:rsidR="00F43AD5" w:rsidRPr="004C23F4" w14:paraId="07B40A32" w14:textId="77777777" w:rsidTr="00B76A41">
        <w:trPr>
          <w:cantSplit/>
        </w:trPr>
        <w:tc>
          <w:tcPr>
            <w:tcW w:w="4077" w:type="dxa"/>
          </w:tcPr>
          <w:p w14:paraId="17373ADC" w14:textId="77777777" w:rsidR="00F43AD5" w:rsidRPr="00921DE7" w:rsidRDefault="00CB1CB1" w:rsidP="00B76A41">
            <w:pPr>
              <w:pStyle w:val="Tablerowright"/>
            </w:pPr>
            <w:r w:rsidRPr="00921DE7">
              <w:t>Synonyms:</w:t>
            </w:r>
          </w:p>
        </w:tc>
        <w:tc>
          <w:tcPr>
            <w:tcW w:w="5165" w:type="dxa"/>
          </w:tcPr>
          <w:p w14:paraId="3CD9B9A7" w14:textId="77777777" w:rsidR="00F43AD5" w:rsidRPr="00717D45" w:rsidRDefault="00974590" w:rsidP="00B76A41">
            <w:pPr>
              <w:pStyle w:val="Tablefont"/>
            </w:pPr>
            <w:proofErr w:type="spellStart"/>
            <w:r>
              <w:t>C</w:t>
            </w:r>
            <w:r w:rsidRPr="00710E9D">
              <w:t>aptane</w:t>
            </w:r>
            <w:proofErr w:type="spellEnd"/>
            <w:r>
              <w:t xml:space="preserve">, </w:t>
            </w:r>
            <w:r w:rsidR="00710E9D" w:rsidRPr="00710E9D">
              <w:t>N-(</w:t>
            </w:r>
            <w:proofErr w:type="spellStart"/>
            <w:r>
              <w:t>t</w:t>
            </w:r>
            <w:r w:rsidR="00710E9D" w:rsidRPr="00710E9D">
              <w:t>richloromethylthio</w:t>
            </w:r>
            <w:proofErr w:type="spellEnd"/>
            <w:r w:rsidR="00710E9D" w:rsidRPr="00710E9D">
              <w:t>)-4-cyclohexene-1,2-dicarboximide</w:t>
            </w:r>
          </w:p>
        </w:tc>
      </w:tr>
      <w:tr w:rsidR="00F43AD5" w:rsidRPr="004C23F4" w14:paraId="0DA1E886" w14:textId="77777777" w:rsidTr="00B76A41">
        <w:trPr>
          <w:cantSplit/>
        </w:trPr>
        <w:tc>
          <w:tcPr>
            <w:tcW w:w="4077" w:type="dxa"/>
          </w:tcPr>
          <w:p w14:paraId="20F7E16E" w14:textId="77777777" w:rsidR="00F43AD5" w:rsidRPr="00921DE7" w:rsidRDefault="00CB1CB1" w:rsidP="00B76A41">
            <w:pPr>
              <w:pStyle w:val="Tablerowright"/>
            </w:pPr>
            <w:r w:rsidRPr="00921DE7">
              <w:t>Chemical formula:</w:t>
            </w:r>
          </w:p>
        </w:tc>
        <w:tc>
          <w:tcPr>
            <w:tcW w:w="5165" w:type="dxa"/>
          </w:tcPr>
          <w:p w14:paraId="608FF474" w14:textId="77777777" w:rsidR="00F43AD5" w:rsidRPr="00717D45" w:rsidRDefault="00710E9D" w:rsidP="00B76A41">
            <w:pPr>
              <w:pStyle w:val="Tablefont"/>
            </w:pPr>
            <w:r w:rsidRPr="00710E9D">
              <w:t>C</w:t>
            </w:r>
            <w:r w:rsidRPr="00710E9D">
              <w:rPr>
                <w:vertAlign w:val="subscript"/>
              </w:rPr>
              <w:t>9</w:t>
            </w:r>
            <w:r w:rsidRPr="00710E9D">
              <w:t>H</w:t>
            </w:r>
            <w:r w:rsidRPr="00710E9D">
              <w:rPr>
                <w:vertAlign w:val="subscript"/>
              </w:rPr>
              <w:t>8</w:t>
            </w:r>
            <w:r w:rsidRPr="00710E9D">
              <w:t>Cl</w:t>
            </w:r>
            <w:r w:rsidRPr="00710E9D">
              <w:rPr>
                <w:vertAlign w:val="subscript"/>
              </w:rPr>
              <w:t>3</w:t>
            </w:r>
            <w:r w:rsidRPr="00710E9D">
              <w:t>NO</w:t>
            </w:r>
            <w:r w:rsidRPr="00710E9D">
              <w:rPr>
                <w:vertAlign w:val="subscript"/>
              </w:rPr>
              <w:t>2</w:t>
            </w:r>
            <w:r w:rsidRPr="00710E9D">
              <w:t>S</w:t>
            </w:r>
          </w:p>
        </w:tc>
      </w:tr>
      <w:tr w:rsidR="00F43AD5" w:rsidRPr="004C23F4" w14:paraId="692F6A9E" w14:textId="77777777" w:rsidTr="00B76A41">
        <w:trPr>
          <w:cantSplit/>
        </w:trPr>
        <w:tc>
          <w:tcPr>
            <w:tcW w:w="4077" w:type="dxa"/>
          </w:tcPr>
          <w:p w14:paraId="1762231D" w14:textId="77777777" w:rsidR="00F43AD5" w:rsidRPr="00921DE7" w:rsidRDefault="00CB1CB1" w:rsidP="00B76A41">
            <w:pPr>
              <w:pStyle w:val="Tablerowright"/>
            </w:pPr>
            <w:r w:rsidRPr="00921DE7">
              <w:t>Structural formula:</w:t>
            </w:r>
          </w:p>
        </w:tc>
        <w:tc>
          <w:tcPr>
            <w:tcW w:w="5165" w:type="dxa"/>
          </w:tcPr>
          <w:p w14:paraId="2AE9DF7C" w14:textId="77777777" w:rsidR="00F43AD5" w:rsidRPr="00B36376" w:rsidRDefault="00637267" w:rsidP="00B76A41">
            <w:pPr>
              <w:pStyle w:val="Tablerowheading"/>
              <w:rPr>
                <w:rFonts w:ascii="Calibri" w:hAnsi="Calibri"/>
                <w:b w:val="0"/>
              </w:rPr>
            </w:pPr>
            <w:r>
              <w:t>—</w:t>
            </w:r>
          </w:p>
        </w:tc>
      </w:tr>
    </w:tbl>
    <w:p w14:paraId="5B1A0FAE" w14:textId="06C9501E"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8F2471">
            <w:rPr>
              <w:rStyle w:val="WESstatus"/>
            </w:rPr>
            <w:t>(interim)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97"/>
        <w:gridCol w:w="5029"/>
      </w:tblGrid>
      <w:tr w:rsidR="002C7AFE" w:rsidRPr="004C23F4" w14:paraId="09D1033C" w14:textId="77777777" w:rsidTr="00610F2E">
        <w:trPr>
          <w:cantSplit/>
          <w:tblHeader/>
        </w:trPr>
        <w:tc>
          <w:tcPr>
            <w:tcW w:w="4077" w:type="dxa"/>
            <w:vAlign w:val="center"/>
          </w:tcPr>
          <w:p w14:paraId="11D86FB7" w14:textId="77777777" w:rsidR="002C7AFE" w:rsidRPr="002C58FF" w:rsidRDefault="00921DE7" w:rsidP="00921DE7">
            <w:pPr>
              <w:pStyle w:val="Tablerowright"/>
            </w:pPr>
            <w:r>
              <w:t>TWA:</w:t>
            </w:r>
          </w:p>
        </w:tc>
        <w:tc>
          <w:tcPr>
            <w:tcW w:w="5165" w:type="dxa"/>
          </w:tcPr>
          <w:p w14:paraId="3742695E" w14:textId="529CCDBD" w:rsidR="002C7AFE" w:rsidRPr="00E82A38" w:rsidRDefault="008F2471" w:rsidP="00017C82">
            <w:pPr>
              <w:pStyle w:val="Tablefont"/>
              <w:rPr>
                <w:b/>
              </w:rPr>
            </w:pPr>
            <w:r>
              <w:rPr>
                <w:b/>
              </w:rPr>
              <w:t>5</w:t>
            </w:r>
            <w:r w:rsidR="00E82A38">
              <w:rPr>
                <w:b/>
              </w:rPr>
              <w:t xml:space="preserve"> mg/m</w:t>
            </w:r>
            <w:r w:rsidR="00E82A38">
              <w:rPr>
                <w:b/>
                <w:vertAlign w:val="superscript"/>
              </w:rPr>
              <w:t>3</w:t>
            </w:r>
          </w:p>
        </w:tc>
      </w:tr>
      <w:tr w:rsidR="002C7AFE" w:rsidRPr="004C23F4" w14:paraId="7A890C7C" w14:textId="77777777" w:rsidTr="00921DE7">
        <w:trPr>
          <w:cantSplit/>
        </w:trPr>
        <w:tc>
          <w:tcPr>
            <w:tcW w:w="4077" w:type="dxa"/>
            <w:vAlign w:val="center"/>
          </w:tcPr>
          <w:p w14:paraId="3275BE3C" w14:textId="77777777" w:rsidR="002C7AFE" w:rsidRPr="002C58FF" w:rsidRDefault="002C7AFE" w:rsidP="00921DE7">
            <w:pPr>
              <w:pStyle w:val="Tablerowright"/>
            </w:pPr>
            <w:r w:rsidRPr="002C58FF">
              <w:t>STEL</w:t>
            </w:r>
            <w:r w:rsidR="00921DE7">
              <w:t>:</w:t>
            </w:r>
          </w:p>
        </w:tc>
        <w:tc>
          <w:tcPr>
            <w:tcW w:w="5165" w:type="dxa"/>
          </w:tcPr>
          <w:p w14:paraId="6A0FC86E" w14:textId="77777777" w:rsidR="002C7AFE" w:rsidRPr="00EB3D1B" w:rsidRDefault="00E82A38" w:rsidP="00017C82">
            <w:pPr>
              <w:pStyle w:val="Tablefont"/>
              <w:rPr>
                <w:b/>
              </w:rPr>
            </w:pPr>
            <w:r>
              <w:rPr>
                <w:b/>
              </w:rPr>
              <w:t>—</w:t>
            </w:r>
          </w:p>
        </w:tc>
      </w:tr>
      <w:tr w:rsidR="002C7AFE" w:rsidRPr="004C23F4" w14:paraId="138C802A" w14:textId="77777777" w:rsidTr="00921DE7">
        <w:trPr>
          <w:cantSplit/>
        </w:trPr>
        <w:tc>
          <w:tcPr>
            <w:tcW w:w="4077" w:type="dxa"/>
            <w:vAlign w:val="center"/>
          </w:tcPr>
          <w:p w14:paraId="76B0D9CB" w14:textId="77777777" w:rsidR="002C7AFE" w:rsidRPr="002C58FF" w:rsidRDefault="00921DE7" w:rsidP="00921DE7">
            <w:pPr>
              <w:pStyle w:val="Tablerowright"/>
            </w:pPr>
            <w:r>
              <w:t>Peak limitation:</w:t>
            </w:r>
          </w:p>
        </w:tc>
        <w:tc>
          <w:tcPr>
            <w:tcW w:w="5165" w:type="dxa"/>
          </w:tcPr>
          <w:p w14:paraId="79A03E8C" w14:textId="77777777" w:rsidR="002C7AFE" w:rsidRPr="00EB3D1B" w:rsidRDefault="00E82A38" w:rsidP="00017C82">
            <w:pPr>
              <w:pStyle w:val="Tablefont"/>
              <w:rPr>
                <w:b/>
              </w:rPr>
            </w:pPr>
            <w:r>
              <w:rPr>
                <w:b/>
              </w:rPr>
              <w:t>—</w:t>
            </w:r>
          </w:p>
        </w:tc>
      </w:tr>
      <w:tr w:rsidR="002C7AFE" w:rsidRPr="004C23F4" w14:paraId="63A2E85E" w14:textId="77777777" w:rsidTr="00A2073D">
        <w:trPr>
          <w:cantSplit/>
        </w:trPr>
        <w:tc>
          <w:tcPr>
            <w:tcW w:w="4077" w:type="dxa"/>
          </w:tcPr>
          <w:p w14:paraId="101D961D" w14:textId="77777777" w:rsidR="002C7AFE" w:rsidRPr="002C58FF" w:rsidRDefault="00A2073D" w:rsidP="003241A8">
            <w:pPr>
              <w:pStyle w:val="Tablerowright"/>
            </w:pPr>
            <w:r>
              <w:rPr>
                <w:b w:val="0"/>
                <w:bCs/>
                <w:color w:val="000000" w:themeColor="text1"/>
              </w:rPr>
              <w:tab/>
            </w:r>
            <w:r w:rsidR="00921DE7" w:rsidRPr="003241A8">
              <w:t>Notations</w:t>
            </w:r>
            <w:r w:rsidR="00921DE7">
              <w:t>:</w:t>
            </w:r>
          </w:p>
        </w:tc>
        <w:tc>
          <w:tcPr>
            <w:tcW w:w="5165" w:type="dxa"/>
          </w:tcPr>
          <w:p w14:paraId="5A149B9E" w14:textId="4F750FC7" w:rsidR="002C7AFE" w:rsidRPr="00EB3D1B" w:rsidRDefault="00E82A38" w:rsidP="008A36CF">
            <w:pPr>
              <w:pStyle w:val="Tablefont"/>
              <w:rPr>
                <w:b/>
              </w:rPr>
            </w:pPr>
            <w:proofErr w:type="spellStart"/>
            <w:r>
              <w:rPr>
                <w:b/>
              </w:rPr>
              <w:t>Carc</w:t>
            </w:r>
            <w:proofErr w:type="spellEnd"/>
            <w:r>
              <w:rPr>
                <w:b/>
              </w:rPr>
              <w:t>. 2, DSEN</w:t>
            </w:r>
          </w:p>
        </w:tc>
      </w:tr>
      <w:tr w:rsidR="002C7AFE" w:rsidRPr="004C23F4" w14:paraId="0E25E3F0" w14:textId="77777777" w:rsidTr="00921DE7">
        <w:trPr>
          <w:cantSplit/>
        </w:trPr>
        <w:tc>
          <w:tcPr>
            <w:tcW w:w="4077" w:type="dxa"/>
            <w:vAlign w:val="center"/>
          </w:tcPr>
          <w:p w14:paraId="7BB95488" w14:textId="77777777" w:rsidR="00F10C97" w:rsidRPr="002C58FF" w:rsidRDefault="00921DE7" w:rsidP="009F04D2">
            <w:pPr>
              <w:pStyle w:val="Tablerowright"/>
            </w:pPr>
            <w:r>
              <w:t>IDLH:</w:t>
            </w:r>
          </w:p>
        </w:tc>
        <w:tc>
          <w:tcPr>
            <w:tcW w:w="5165" w:type="dxa"/>
          </w:tcPr>
          <w:p w14:paraId="0FECE550" w14:textId="77777777" w:rsidR="002C7AFE" w:rsidRPr="00EB3D1B" w:rsidRDefault="00E82A38" w:rsidP="00017C82">
            <w:pPr>
              <w:pStyle w:val="Tablefont"/>
              <w:rPr>
                <w:b/>
              </w:rPr>
            </w:pPr>
            <w:r>
              <w:rPr>
                <w:b/>
              </w:rPr>
              <w:t>—</w:t>
            </w:r>
          </w:p>
        </w:tc>
      </w:tr>
      <w:tr w:rsidR="009F04D2" w:rsidRPr="004C23F4" w14:paraId="7B6679C8" w14:textId="77777777" w:rsidTr="00280D04">
        <w:trPr>
          <w:cantSplit/>
        </w:trPr>
        <w:tc>
          <w:tcPr>
            <w:tcW w:w="4077" w:type="dxa"/>
          </w:tcPr>
          <w:p w14:paraId="5EA638AA" w14:textId="77777777" w:rsidR="009F04D2" w:rsidRDefault="009F04D2" w:rsidP="00280D04">
            <w:pPr>
              <w:pStyle w:val="Tablerowright"/>
            </w:pPr>
            <w:r>
              <w:t>Sampling and analysis:</w:t>
            </w:r>
          </w:p>
        </w:tc>
        <w:tc>
          <w:tcPr>
            <w:tcW w:w="5165" w:type="dxa"/>
          </w:tcPr>
          <w:p w14:paraId="29D8C0BA" w14:textId="7F0264EE" w:rsidR="009F04D2" w:rsidRPr="00280D04" w:rsidRDefault="009E3E0B" w:rsidP="00017C82">
            <w:pPr>
              <w:pStyle w:val="Tablefont"/>
            </w:pPr>
            <w:r w:rsidRPr="00280D04">
              <w:t xml:space="preserve">The recommended value is readily quantifiable through currently available sampling and analysis techniques. </w:t>
            </w:r>
          </w:p>
        </w:tc>
      </w:tr>
    </w:tbl>
    <w:p w14:paraId="255AE22C" w14:textId="77777777" w:rsidR="00CB1CB1" w:rsidRPr="003365A5" w:rsidRDefault="00F10C97" w:rsidP="003365A5">
      <w:pPr>
        <w:pStyle w:val="Heading2"/>
      </w:pPr>
      <w:r>
        <w:t>Recommendation and basis for workplace exposure standard</w:t>
      </w:r>
    </w:p>
    <w:p w14:paraId="64751933" w14:textId="5FC13D07" w:rsidR="007A2A44" w:rsidRDefault="008F2471" w:rsidP="007A2A44">
      <w:pPr>
        <w:rPr>
          <w:rFonts w:cs="Arial"/>
        </w:rPr>
      </w:pPr>
      <w:r>
        <w:rPr>
          <w:rFonts w:cs="Arial"/>
        </w:rPr>
        <w:t>A</w:t>
      </w:r>
      <w:r w:rsidR="00CF1A47">
        <w:rPr>
          <w:rFonts w:cs="Arial"/>
        </w:rPr>
        <w:t>n interim</w:t>
      </w:r>
      <w:r>
        <w:rPr>
          <w:rFonts w:cs="Arial"/>
        </w:rPr>
        <w:t xml:space="preserve"> TWA of 5</w:t>
      </w:r>
      <w:r w:rsidR="00E661CB">
        <w:rPr>
          <w:rFonts w:cs="Arial"/>
        </w:rPr>
        <w:t xml:space="preserve"> mg/m</w:t>
      </w:r>
      <w:r w:rsidR="00E661CB">
        <w:rPr>
          <w:rFonts w:cs="Arial"/>
          <w:vertAlign w:val="superscript"/>
        </w:rPr>
        <w:t>3</w:t>
      </w:r>
      <w:r w:rsidR="00E661CB">
        <w:rPr>
          <w:rFonts w:cs="Arial"/>
        </w:rPr>
        <w:t xml:space="preserve"> </w:t>
      </w:r>
      <w:r w:rsidR="004C4809">
        <w:rPr>
          <w:rFonts w:cs="Arial"/>
        </w:rPr>
        <w:t xml:space="preserve">is </w:t>
      </w:r>
      <w:r w:rsidR="00E661CB">
        <w:rPr>
          <w:rFonts w:cs="Arial"/>
        </w:rPr>
        <w:t>recommended to protect for irritation</w:t>
      </w:r>
      <w:r w:rsidR="007A2A44">
        <w:rPr>
          <w:rFonts w:cs="Arial"/>
        </w:rPr>
        <w:t xml:space="preserve"> in exposed workers.</w:t>
      </w:r>
    </w:p>
    <w:p w14:paraId="73E65CEC" w14:textId="53BF0B81" w:rsidR="007D1BCA" w:rsidRPr="00FE1167" w:rsidRDefault="007D1BCA" w:rsidP="007A2A44">
      <w:pPr>
        <w:rPr>
          <w:rFonts w:cs="Arial"/>
        </w:rPr>
      </w:pPr>
      <w:r>
        <w:rPr>
          <w:rFonts w:cs="Arial"/>
        </w:rPr>
        <w:t xml:space="preserve">There </w:t>
      </w:r>
      <w:r w:rsidR="00E63B3A">
        <w:rPr>
          <w:rFonts w:cs="Arial"/>
        </w:rPr>
        <w:t>are</w:t>
      </w:r>
      <w:r>
        <w:rPr>
          <w:rFonts w:cs="Arial"/>
        </w:rPr>
        <w:t xml:space="preserve"> limited inhalational data available in humans and some evidence of </w:t>
      </w:r>
      <w:r w:rsidR="00CF1A47">
        <w:rPr>
          <w:rFonts w:cs="Arial"/>
        </w:rPr>
        <w:t xml:space="preserve">reversible </w:t>
      </w:r>
      <w:r>
        <w:t>toxicity in rats in a repeat inhalational study (NICNAS, 2016). F</w:t>
      </w:r>
      <w:r w:rsidRPr="009C25DF">
        <w:t xml:space="preserve">urther assessment of </w:t>
      </w:r>
      <w:r>
        <w:t xml:space="preserve">additional data sources is </w:t>
      </w:r>
      <w:r w:rsidR="00CF1A47">
        <w:t xml:space="preserve">to confirm the critical effects in humans is </w:t>
      </w:r>
      <w:r>
        <w:t>recommended at</w:t>
      </w:r>
      <w:r w:rsidRPr="009C25DF">
        <w:t xml:space="preserve"> </w:t>
      </w:r>
      <w:r w:rsidR="00CF1A47">
        <w:t>the next scheduled review</w:t>
      </w:r>
      <w:r>
        <w:t xml:space="preserve">. </w:t>
      </w:r>
    </w:p>
    <w:p w14:paraId="5C131389" w14:textId="77777777" w:rsidR="00C7155E" w:rsidRPr="004C23F4" w:rsidRDefault="00F10C97" w:rsidP="003365A5">
      <w:pPr>
        <w:pStyle w:val="Heading2"/>
      </w:pPr>
      <w:r>
        <w:t>Discussion and conclusions</w:t>
      </w:r>
    </w:p>
    <w:p w14:paraId="729DCE83" w14:textId="77777777" w:rsidR="00CF1A47" w:rsidRDefault="008B6C6F" w:rsidP="006639B4">
      <w:pPr>
        <w:rPr>
          <w:rFonts w:cs="Arial"/>
        </w:rPr>
      </w:pPr>
      <w:proofErr w:type="spellStart"/>
      <w:r>
        <w:rPr>
          <w:rFonts w:cs="Arial"/>
        </w:rPr>
        <w:t>Captan</w:t>
      </w:r>
      <w:proofErr w:type="spellEnd"/>
      <w:r>
        <w:rPr>
          <w:rFonts w:cs="Arial"/>
        </w:rPr>
        <w:t xml:space="preserve"> is u</w:t>
      </w:r>
      <w:r w:rsidR="0090134A">
        <w:rPr>
          <w:rFonts w:cs="Arial"/>
        </w:rPr>
        <w:t>sed as a fungicide in agricultura</w:t>
      </w:r>
      <w:r>
        <w:rPr>
          <w:rFonts w:cs="Arial"/>
        </w:rPr>
        <w:t xml:space="preserve">l and therapeutic applications. </w:t>
      </w:r>
    </w:p>
    <w:p w14:paraId="4A202FCA" w14:textId="43524A2F" w:rsidR="00E61737" w:rsidRDefault="00CF1A47" w:rsidP="006639B4">
      <w:r>
        <w:t>Skin irritation and positive dermal patch test responses are reported in various worker case studies (ACGIH, 2018), with overall evidence indicating</w:t>
      </w:r>
      <w:r w:rsidR="008B6C6F">
        <w:rPr>
          <w:rFonts w:cs="Arial"/>
        </w:rPr>
        <w:t xml:space="preserve"> l</w:t>
      </w:r>
      <w:r w:rsidR="0090134A">
        <w:rPr>
          <w:rFonts w:cs="Arial"/>
        </w:rPr>
        <w:t>ow toxicity</w:t>
      </w:r>
      <w:r>
        <w:rPr>
          <w:rFonts w:cs="Arial"/>
        </w:rPr>
        <w:t>. Carcinogenic effects are only reported at</w:t>
      </w:r>
      <w:r w:rsidR="00DB7B15">
        <w:rPr>
          <w:rFonts w:cs="Arial"/>
        </w:rPr>
        <w:t xml:space="preserve"> </w:t>
      </w:r>
      <w:r w:rsidR="00AD1605">
        <w:rPr>
          <w:rFonts w:cs="Arial"/>
        </w:rPr>
        <w:t xml:space="preserve">high </w:t>
      </w:r>
      <w:r w:rsidR="00DB7B15">
        <w:rPr>
          <w:rFonts w:cs="Arial"/>
        </w:rPr>
        <w:t xml:space="preserve">oral </w:t>
      </w:r>
      <w:r w:rsidR="00AD1605">
        <w:rPr>
          <w:rFonts w:cs="Arial"/>
        </w:rPr>
        <w:t xml:space="preserve">doses in animal models </w:t>
      </w:r>
      <w:r w:rsidR="008B6C6F">
        <w:rPr>
          <w:rFonts w:cs="Arial"/>
        </w:rPr>
        <w:t>(ACGIH, 201</w:t>
      </w:r>
      <w:r w:rsidR="00F93364">
        <w:rPr>
          <w:rFonts w:cs="Arial"/>
        </w:rPr>
        <w:t>8</w:t>
      </w:r>
      <w:r w:rsidR="00306911">
        <w:rPr>
          <w:rFonts w:cs="Arial"/>
        </w:rPr>
        <w:t>;</w:t>
      </w:r>
      <w:r w:rsidR="008B6C6F">
        <w:rPr>
          <w:rFonts w:cs="Arial"/>
        </w:rPr>
        <w:t xml:space="preserve"> NICNAS, 2016)</w:t>
      </w:r>
      <w:r w:rsidR="00E661CB">
        <w:rPr>
          <w:rFonts w:cs="Arial"/>
        </w:rPr>
        <w:t>.</w:t>
      </w:r>
      <w:r w:rsidR="00DB7B15">
        <w:rPr>
          <w:rFonts w:cs="Arial"/>
        </w:rPr>
        <w:t xml:space="preserve"> </w:t>
      </w:r>
      <w:r w:rsidR="00CF64C8">
        <w:t xml:space="preserve">It is considered a confirmed animal carcinogen with unknown relevance to humans. </w:t>
      </w:r>
      <w:r w:rsidR="008F2471">
        <w:t>Accordingly,</w:t>
      </w:r>
      <w:r w:rsidR="007E36C3">
        <w:t xml:space="preserve"> the</w:t>
      </w:r>
      <w:r w:rsidR="002F0E50">
        <w:t xml:space="preserve"> </w:t>
      </w:r>
      <w:r w:rsidR="007E36C3">
        <w:t>ACGIH sets a TLV-TWA at 5 mg/m</w:t>
      </w:r>
      <w:r w:rsidR="007E36C3">
        <w:rPr>
          <w:vertAlign w:val="superscript"/>
        </w:rPr>
        <w:t>3</w:t>
      </w:r>
      <w:r w:rsidR="007E36C3">
        <w:t xml:space="preserve"> measured by </w:t>
      </w:r>
      <w:r w:rsidR="002F0E50">
        <w:t xml:space="preserve">the </w:t>
      </w:r>
      <w:r w:rsidR="008F2471">
        <w:t>inhalable</w:t>
      </w:r>
      <w:r w:rsidR="002F0E50">
        <w:t xml:space="preserve"> </w:t>
      </w:r>
      <w:r w:rsidR="007E36C3">
        <w:t xml:space="preserve">dust </w:t>
      </w:r>
      <w:r w:rsidR="002F0E50">
        <w:t>fraction</w:t>
      </w:r>
      <w:r w:rsidR="007E36C3">
        <w:t xml:space="preserve"> (ACGIH, 201</w:t>
      </w:r>
      <w:r w:rsidR="00F13A19">
        <w:t>8</w:t>
      </w:r>
      <w:r w:rsidR="007E36C3">
        <w:t xml:space="preserve">). </w:t>
      </w:r>
    </w:p>
    <w:p w14:paraId="62A65D07" w14:textId="280D3B79" w:rsidR="00CF1A47" w:rsidRDefault="00CF1A47" w:rsidP="006639B4">
      <w:r>
        <w:rPr>
          <w:rFonts w:cs="Arial"/>
        </w:rPr>
        <w:t xml:space="preserve">There are limited </w:t>
      </w:r>
      <w:r>
        <w:t>toxicological data for inhalational exposures with available data primarily from oral studies</w:t>
      </w:r>
      <w:r w:rsidRPr="0012581E">
        <w:t>.</w:t>
      </w:r>
      <w:r>
        <w:t xml:space="preserve"> </w:t>
      </w:r>
      <w:r w:rsidR="00912A2A">
        <w:t xml:space="preserve">Irritation is reported </w:t>
      </w:r>
      <w:r>
        <w:t>i</w:t>
      </w:r>
      <w:r w:rsidR="00912A2A">
        <w:t xml:space="preserve">n animals with a reported NOAEL of 12.5 </w:t>
      </w:r>
      <w:r w:rsidR="00912A2A" w:rsidRPr="00280D04">
        <w:rPr>
          <w:rFonts w:cs="Arial"/>
        </w:rPr>
        <w:t>mg/m</w:t>
      </w:r>
      <w:r w:rsidR="00912A2A" w:rsidRPr="00280D04">
        <w:rPr>
          <w:rFonts w:cs="Arial"/>
          <w:vertAlign w:val="superscript"/>
        </w:rPr>
        <w:t>3</w:t>
      </w:r>
      <w:r w:rsidR="00912A2A" w:rsidRPr="00280D04">
        <w:rPr>
          <w:sz w:val="18"/>
        </w:rPr>
        <w:t xml:space="preserve"> </w:t>
      </w:r>
      <w:r w:rsidR="00912A2A">
        <w:t xml:space="preserve">for local irritant effects in a repeat dermal study in rabbits. </w:t>
      </w:r>
      <w:r w:rsidR="00837CDA">
        <w:t>Reversible</w:t>
      </w:r>
      <w:r w:rsidR="007D1BCA">
        <w:t xml:space="preserve"> lung effects were reported in a repeat inhalational study in rats at 15 </w:t>
      </w:r>
      <w:r w:rsidR="007D1BCA" w:rsidRPr="00280D04">
        <w:rPr>
          <w:rFonts w:cs="Arial"/>
        </w:rPr>
        <w:t>mg/m</w:t>
      </w:r>
      <w:r w:rsidR="007D1BCA" w:rsidRPr="00280D04">
        <w:rPr>
          <w:rFonts w:cs="Arial"/>
          <w:vertAlign w:val="superscript"/>
        </w:rPr>
        <w:t>3</w:t>
      </w:r>
      <w:r w:rsidR="007D1BCA" w:rsidRPr="00280D04">
        <w:rPr>
          <w:sz w:val="18"/>
        </w:rPr>
        <w:t xml:space="preserve"> </w:t>
      </w:r>
      <w:r w:rsidR="007D1BCA">
        <w:t xml:space="preserve">(NICNAS 2016). </w:t>
      </w:r>
    </w:p>
    <w:p w14:paraId="2E6E2047" w14:textId="30905010" w:rsidR="0009751D" w:rsidRDefault="0009751D" w:rsidP="006639B4">
      <w:r>
        <w:t xml:space="preserve">The </w:t>
      </w:r>
      <w:r w:rsidR="00633FE0">
        <w:t xml:space="preserve">recommended </w:t>
      </w:r>
      <w:r w:rsidR="009C3D82">
        <w:t>TWA</w:t>
      </w:r>
      <w:r w:rsidR="008F2471">
        <w:t xml:space="preserve"> </w:t>
      </w:r>
      <w:r w:rsidR="009C3D82">
        <w:t>of 5 mg/m</w:t>
      </w:r>
      <w:r w:rsidR="009C3D82">
        <w:rPr>
          <w:vertAlign w:val="superscript"/>
        </w:rPr>
        <w:t>3</w:t>
      </w:r>
      <w:r w:rsidR="009C3D82">
        <w:t xml:space="preserve"> is</w:t>
      </w:r>
      <w:r>
        <w:t xml:space="preserve"> </w:t>
      </w:r>
      <w:r w:rsidR="00F264D3">
        <w:t xml:space="preserve">considered </w:t>
      </w:r>
      <w:r>
        <w:t xml:space="preserve">to protect </w:t>
      </w:r>
      <w:r w:rsidR="00F25503">
        <w:t>for</w:t>
      </w:r>
      <w:r w:rsidR="009C3D82">
        <w:t xml:space="preserve"> </w:t>
      </w:r>
      <w:r w:rsidR="00155E91">
        <w:t>irritation and other effects</w:t>
      </w:r>
      <w:r>
        <w:t xml:space="preserve"> in exposed workers</w:t>
      </w:r>
      <w:r w:rsidR="008D31A1">
        <w:t xml:space="preserve">. </w:t>
      </w:r>
      <w:r w:rsidR="00CF1A47">
        <w:t xml:space="preserve">However, the data </w:t>
      </w:r>
      <w:r w:rsidR="003E2648">
        <w:t>are limited,</w:t>
      </w:r>
      <w:r w:rsidR="00CF1A47">
        <w:t xml:space="preserve"> and a further review of additional sources is recommended to confirm the critical effects in humans.</w:t>
      </w:r>
    </w:p>
    <w:p w14:paraId="780D15F2" w14:textId="77777777" w:rsidR="004529F0" w:rsidRPr="004C23F4" w:rsidRDefault="004529F0" w:rsidP="004529F0">
      <w:pPr>
        <w:pStyle w:val="Heading2"/>
      </w:pPr>
      <w:r>
        <w:lastRenderedPageBreak/>
        <w:t>Recommendation for notations</w:t>
      </w:r>
    </w:p>
    <w:p w14:paraId="290FCBA4" w14:textId="77777777" w:rsidR="00E661CB" w:rsidRPr="00CE64B9" w:rsidRDefault="00E661CB" w:rsidP="00E661CB">
      <w:pPr>
        <w:rPr>
          <w:rFonts w:cs="Arial"/>
        </w:rPr>
      </w:pPr>
      <w:r>
        <w:rPr>
          <w:rFonts w:cs="Arial"/>
        </w:rPr>
        <w:t>C</w:t>
      </w:r>
      <w:r w:rsidRPr="0017329C">
        <w:rPr>
          <w:rFonts w:cs="Arial"/>
        </w:rPr>
        <w:t>lassified</w:t>
      </w:r>
      <w:r w:rsidRPr="00CE64B9">
        <w:rPr>
          <w:rFonts w:cs="Arial"/>
        </w:rPr>
        <w:t xml:space="preserve"> as a </w:t>
      </w:r>
      <w:r>
        <w:rPr>
          <w:rFonts w:cs="Arial"/>
        </w:rPr>
        <w:t xml:space="preserve">category 2 </w:t>
      </w:r>
      <w:r w:rsidRPr="00CE64B9">
        <w:rPr>
          <w:rFonts w:cs="Arial"/>
        </w:rPr>
        <w:t>carcinogen according to the Globally Harmonized System of Classification a</w:t>
      </w:r>
      <w:r>
        <w:rPr>
          <w:rFonts w:cs="Arial"/>
        </w:rPr>
        <w:t xml:space="preserve">nd Labelling of Chemicals (GHS). </w:t>
      </w:r>
    </w:p>
    <w:p w14:paraId="139B69D6" w14:textId="624C0027" w:rsidR="00547FF8" w:rsidRPr="00924C49" w:rsidRDefault="00E661CB" w:rsidP="00547FF8">
      <w:r w:rsidRPr="00011ADB">
        <w:rPr>
          <w:rFonts w:cs="Arial"/>
        </w:rPr>
        <w:t xml:space="preserve">Classified as a skin sensitiser </w:t>
      </w:r>
      <w:r w:rsidR="00547FF8">
        <w:rPr>
          <w:rFonts w:cs="Arial"/>
        </w:rPr>
        <w:t>and</w:t>
      </w:r>
      <w:r w:rsidR="004C4809">
        <w:rPr>
          <w:rFonts w:cs="Arial"/>
        </w:rPr>
        <w:t xml:space="preserve"> n</w:t>
      </w:r>
      <w:r>
        <w:rPr>
          <w:rFonts w:cs="Arial"/>
        </w:rPr>
        <w:t>ot</w:t>
      </w:r>
      <w:r w:rsidRPr="00CE64B9">
        <w:rPr>
          <w:rFonts w:cs="Arial"/>
        </w:rPr>
        <w:t xml:space="preserve"> a </w:t>
      </w:r>
      <w:r>
        <w:rPr>
          <w:rFonts w:cs="Arial"/>
        </w:rPr>
        <w:t>respiratory</w:t>
      </w:r>
      <w:r w:rsidRPr="00CE64B9">
        <w:rPr>
          <w:rFonts w:cs="Arial"/>
        </w:rPr>
        <w:t xml:space="preserve"> sensitiser according to the GH</w:t>
      </w:r>
      <w:r>
        <w:rPr>
          <w:rFonts w:cs="Arial"/>
        </w:rPr>
        <w:t>S</w:t>
      </w:r>
      <w:r w:rsidRPr="00CE64B9">
        <w:rPr>
          <w:rFonts w:cs="Arial"/>
        </w:rPr>
        <w:t>.</w:t>
      </w:r>
      <w:r w:rsidR="00547FF8">
        <w:rPr>
          <w:rFonts w:cs="Arial"/>
        </w:rPr>
        <w:t xml:space="preserve"> </w:t>
      </w:r>
    </w:p>
    <w:p w14:paraId="5B220A23" w14:textId="2067BF14" w:rsidR="005E6979" w:rsidRPr="004C23F4" w:rsidRDefault="00155E91">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r>
        <w:rPr>
          <w:rFonts w:cs="Arial"/>
        </w:rPr>
        <w:t>Further a</w:t>
      </w:r>
      <w:r w:rsidR="006716CC" w:rsidRPr="00B2025E">
        <w:rPr>
          <w:rFonts w:cs="Arial"/>
        </w:rPr>
        <w:t xml:space="preserve">ssessment of </w:t>
      </w:r>
      <w:r w:rsidR="00CF1A47">
        <w:rPr>
          <w:rFonts w:cs="Arial"/>
        </w:rPr>
        <w:t xml:space="preserve">data to inform </w:t>
      </w:r>
      <w:r w:rsidR="006716CC" w:rsidRPr="00B2025E">
        <w:rPr>
          <w:rFonts w:cs="Arial"/>
        </w:rPr>
        <w:t xml:space="preserve">a skin notation </w:t>
      </w:r>
      <w:r w:rsidR="00547FF8">
        <w:rPr>
          <w:rFonts w:cs="Arial"/>
        </w:rPr>
        <w:t>is</w:t>
      </w:r>
      <w:r w:rsidR="006716CC" w:rsidRPr="00B2025E">
        <w:rPr>
          <w:rFonts w:cs="Arial"/>
        </w:rPr>
        <w:t xml:space="preserve"> recommended for priority review based on evidence </w:t>
      </w:r>
      <w:r w:rsidR="00547FF8">
        <w:rPr>
          <w:rFonts w:cs="Arial"/>
        </w:rPr>
        <w:t>of</w:t>
      </w:r>
      <w:r w:rsidR="006716CC" w:rsidRPr="00B2025E">
        <w:rPr>
          <w:rFonts w:cs="Arial"/>
        </w:rPr>
        <w:t xml:space="preserve"> systemic toxicity in animals. </w:t>
      </w:r>
      <w:r w:rsidR="00547FF8">
        <w:t>There are reports of dermal sensitisation from occupational exposure and reactivity in patch testing in humans (ACGIH, 2018). These data support the recommended DSEN notation. Dermal route of exposure is reported to cause low degree of toxicity (ACGIH, 2018). However, systemic effects have been observed in repeat dermal dose studies with rabbits (NICNAS,</w:t>
      </w:r>
      <w:r w:rsidR="00E63B3A">
        <w:t> </w:t>
      </w:r>
      <w:r w:rsidR="00547FF8">
        <w:t xml:space="preserve">2016). </w:t>
      </w:r>
    </w:p>
    <w:p w14:paraId="43EBB4EF" w14:textId="77777777" w:rsidR="0034744C" w:rsidRPr="004C23F4" w:rsidRDefault="005E6979" w:rsidP="005E6979">
      <w:pPr>
        <w:pStyle w:val="Heading1"/>
        <w:rPr>
          <w:rFonts w:ascii="Arial" w:hAnsi="Arial" w:cs="Arial"/>
        </w:rPr>
      </w:pPr>
      <w:r w:rsidRPr="004C23F4">
        <w:rPr>
          <w:rFonts w:ascii="Arial" w:hAnsi="Arial" w:cs="Arial"/>
        </w:rPr>
        <w:lastRenderedPageBreak/>
        <w:t>Appendix</w:t>
      </w:r>
    </w:p>
    <w:p w14:paraId="448914F5" w14:textId="77777777"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14:paraId="4735512A" w14:textId="77777777" w:rsidTr="00DE26E8">
        <w:trPr>
          <w:gridAfter w:val="1"/>
          <w:wAfter w:w="8" w:type="pct"/>
          <w:cantSplit/>
          <w:trHeight w:val="393"/>
          <w:tblHeader/>
        </w:trPr>
        <w:tc>
          <w:tcPr>
            <w:tcW w:w="4992" w:type="pct"/>
            <w:shd w:val="clear" w:color="auto" w:fill="BFBFBF" w:themeFill="background1" w:themeFillShade="BF"/>
            <w:vAlign w:val="center"/>
          </w:tcPr>
          <w:p w14:paraId="59F5D691" w14:textId="77777777"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14:paraId="0026587D" w14:textId="77777777" w:rsidTr="00DE26E8">
        <w:trPr>
          <w:cantSplit/>
        </w:trPr>
        <w:tc>
          <w:tcPr>
            <w:tcW w:w="5000" w:type="pct"/>
            <w:gridSpan w:val="2"/>
            <w:shd w:val="clear" w:color="auto" w:fill="F2F2F2" w:themeFill="background1" w:themeFillShade="F2"/>
          </w:tcPr>
          <w:p w14:paraId="6377A5F3" w14:textId="77777777"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DC521C">
                  <w:t>1991</w:t>
                </w:r>
              </w:sdtContent>
            </w:sdt>
            <w:r w:rsidRPr="003365A5">
              <w:tab/>
            </w:r>
            <w:r>
              <w:tab/>
            </w:r>
            <w:sdt>
              <w:sdtPr>
                <w:alias w:val="SWA WES"/>
                <w:tag w:val="SWA WES"/>
                <w:id w:val="857077202"/>
                <w:placeholder>
                  <w:docPart w:val="81CFEC2FDBC5451289F394E66D92D1A0"/>
                </w:placeholder>
              </w:sdtPr>
              <w:sdtEndPr/>
              <w:sdtContent>
                <w:r w:rsidR="00DC521C">
                  <w:t>TWA: 0.5 mg/m</w:t>
                </w:r>
                <w:r w:rsidR="00DC521C" w:rsidRPr="00DC521C">
                  <w:rPr>
                    <w:vertAlign w:val="superscript"/>
                  </w:rPr>
                  <w:t>3</w:t>
                </w:r>
              </w:sdtContent>
            </w:sdt>
          </w:p>
        </w:tc>
      </w:tr>
      <w:tr w:rsidR="00C978F0" w:rsidRPr="00DA352E" w14:paraId="3240A3D3" w14:textId="77777777" w:rsidTr="00280D04">
        <w:trPr>
          <w:gridAfter w:val="1"/>
          <w:wAfter w:w="8" w:type="pct"/>
        </w:trPr>
        <w:tc>
          <w:tcPr>
            <w:tcW w:w="4992" w:type="pct"/>
          </w:tcPr>
          <w:p w14:paraId="5A1D5487" w14:textId="77777777" w:rsidR="00C978F0" w:rsidRPr="00DA352E" w:rsidRDefault="00C978F0" w:rsidP="003365A5">
            <w:pPr>
              <w:pStyle w:val="Tabletextprimarysource"/>
            </w:pPr>
          </w:p>
        </w:tc>
      </w:tr>
      <w:tr w:rsidR="00C978F0" w:rsidRPr="00DA352E" w14:paraId="5C59BB86" w14:textId="77777777" w:rsidTr="00DE26E8">
        <w:trPr>
          <w:gridAfter w:val="1"/>
          <w:wAfter w:w="8" w:type="pct"/>
          <w:cantSplit/>
        </w:trPr>
        <w:tc>
          <w:tcPr>
            <w:tcW w:w="4992" w:type="pct"/>
            <w:shd w:val="clear" w:color="auto" w:fill="F2F2F2" w:themeFill="background1" w:themeFillShade="F2"/>
          </w:tcPr>
          <w:p w14:paraId="74D9A346" w14:textId="77777777" w:rsidR="00C978F0" w:rsidRPr="00DA352E" w:rsidRDefault="00DA352E" w:rsidP="0051509C">
            <w:pPr>
              <w:pStyle w:val="Tablerowheadingitalic"/>
              <w:tabs>
                <w:tab w:val="clear" w:pos="2268"/>
                <w:tab w:val="clear" w:pos="5670"/>
                <w:tab w:val="left" w:pos="1418"/>
                <w:tab w:val="left" w:pos="2552"/>
              </w:tabs>
            </w:pPr>
            <w:r w:rsidRPr="00DA352E">
              <w:t>ACGIH</w:t>
            </w:r>
            <w:r w:rsidR="00916EC0">
              <w:t xml:space="preserve"> </w:t>
            </w:r>
            <w:r w:rsidR="00916EC0" w:rsidRPr="003365A5">
              <w:tab/>
            </w:r>
            <w:sdt>
              <w:sdtPr>
                <w:id w:val="444816450"/>
                <w:placeholder>
                  <w:docPart w:val="C8FBF9621EB94FE084F687C8955AF85F"/>
                </w:placeholder>
                <w:text/>
              </w:sdtPr>
              <w:sdtEndPr/>
              <w:sdtContent>
                <w:r w:rsidR="005B008D">
                  <w:t>2014</w:t>
                </w:r>
              </w:sdtContent>
            </w:sdt>
            <w:r w:rsidR="00916EC0" w:rsidRPr="003365A5">
              <w:tab/>
            </w:r>
            <w:r w:rsidR="0051509C">
              <w:tab/>
            </w:r>
            <w:sdt>
              <w:sdtPr>
                <w:alias w:val="ACGIH WES equivalent"/>
                <w:tag w:val="ACGIH WES equivalent"/>
                <w:id w:val="-1676410403"/>
                <w:placeholder>
                  <w:docPart w:val="522022AAE76B4622AC0DF750489702EB"/>
                </w:placeholder>
              </w:sdtPr>
              <w:sdtEndPr/>
              <w:sdtContent>
                <w:r w:rsidR="005B008D">
                  <w:t>TLV-TWA: 5 mg/m</w:t>
                </w:r>
                <w:r w:rsidR="005B008D" w:rsidRPr="005B008D">
                  <w:rPr>
                    <w:vertAlign w:val="superscript"/>
                  </w:rPr>
                  <w:t>3</w:t>
                </w:r>
                <w:r w:rsidR="005B008D">
                  <w:t xml:space="preserve"> (inhalable particulate matter)</w:t>
                </w:r>
              </w:sdtContent>
            </w:sdt>
          </w:p>
        </w:tc>
      </w:tr>
      <w:tr w:rsidR="00C978F0" w:rsidRPr="00DA352E" w14:paraId="2E05D123" w14:textId="77777777" w:rsidTr="00280D04">
        <w:trPr>
          <w:gridAfter w:val="1"/>
          <w:wAfter w:w="8" w:type="pct"/>
        </w:trPr>
        <w:tc>
          <w:tcPr>
            <w:tcW w:w="4992" w:type="pct"/>
          </w:tcPr>
          <w:p w14:paraId="5A7CDD6F" w14:textId="1F4CC863" w:rsidR="008E5173" w:rsidRDefault="001C0C18" w:rsidP="003365A5">
            <w:pPr>
              <w:pStyle w:val="Tabletextprimarysource"/>
            </w:pPr>
            <w:r>
              <w:t>TLV-TWA is based on the inhalable particulate fraction due to its low toxic</w:t>
            </w:r>
            <w:r w:rsidR="008E5173">
              <w:t>ity</w:t>
            </w:r>
            <w:r>
              <w:t xml:space="preserve">. </w:t>
            </w:r>
          </w:p>
          <w:p w14:paraId="797BF0B2" w14:textId="0631A48B" w:rsidR="00C978F0" w:rsidRDefault="001C0C18" w:rsidP="003365A5">
            <w:pPr>
              <w:pStyle w:val="Tabletextprimarysource"/>
            </w:pPr>
            <w:r>
              <w:t xml:space="preserve">TLV-TWA considered to protect against irritation and potential biological effects. </w:t>
            </w:r>
          </w:p>
          <w:p w14:paraId="22CDE7E2" w14:textId="62E718E0" w:rsidR="0090134A" w:rsidRDefault="0090134A" w:rsidP="003365A5">
            <w:pPr>
              <w:pStyle w:val="Tabletextprimarysource"/>
            </w:pPr>
            <w:r>
              <w:t>Summary of data:</w:t>
            </w:r>
          </w:p>
          <w:p w14:paraId="50458F75" w14:textId="77777777" w:rsidR="00FA2A3E" w:rsidRDefault="0090134A" w:rsidP="0063495C">
            <w:pPr>
              <w:pStyle w:val="Tabletextprimarysource"/>
            </w:pPr>
            <w:r>
              <w:t>Human data:</w:t>
            </w:r>
          </w:p>
          <w:p w14:paraId="5BC4DC79" w14:textId="72ECC781" w:rsidR="00A659EE" w:rsidRDefault="00A659EE" w:rsidP="003D414C">
            <w:pPr>
              <w:pStyle w:val="Tabletextprimarysource"/>
              <w:numPr>
                <w:ilvl w:val="0"/>
                <w:numId w:val="3"/>
              </w:numPr>
              <w:ind w:left="357" w:hanging="357"/>
              <w:contextualSpacing/>
            </w:pPr>
            <w:proofErr w:type="spellStart"/>
            <w:r>
              <w:t>Urticaria</w:t>
            </w:r>
            <w:proofErr w:type="spellEnd"/>
            <w:r>
              <w:t>, eczema and positive patch test results reported in treatment and worker studies (concentrations generally not specified)</w:t>
            </w:r>
            <w:r w:rsidR="00E63B3A">
              <w:t>.</w:t>
            </w:r>
          </w:p>
          <w:p w14:paraId="4925999F" w14:textId="77777777" w:rsidR="004C4809" w:rsidRDefault="004C4809" w:rsidP="003365A5">
            <w:pPr>
              <w:pStyle w:val="Tabletextprimarysource"/>
            </w:pPr>
          </w:p>
          <w:p w14:paraId="42834A2B" w14:textId="77777777" w:rsidR="0090134A" w:rsidRDefault="0090134A" w:rsidP="003365A5">
            <w:pPr>
              <w:pStyle w:val="Tabletextprimarysource"/>
            </w:pPr>
            <w:r>
              <w:t>Animal data:</w:t>
            </w:r>
          </w:p>
          <w:p w14:paraId="41C1328E" w14:textId="46960B4C" w:rsidR="003558B7" w:rsidRPr="003558B7" w:rsidRDefault="00332ADC" w:rsidP="003D414C">
            <w:pPr>
              <w:pStyle w:val="ListBullet"/>
              <w:tabs>
                <w:tab w:val="clear" w:pos="360"/>
                <w:tab w:val="num" w:pos="731"/>
              </w:tabs>
              <w:ind w:left="731" w:hanging="425"/>
            </w:pPr>
            <w:r>
              <w:t>LC</w:t>
            </w:r>
            <w:r>
              <w:rPr>
                <w:vertAlign w:val="subscript"/>
              </w:rPr>
              <w:t>50</w:t>
            </w:r>
            <w:r w:rsidR="007B2FA9">
              <w:t>:</w:t>
            </w:r>
            <w:r>
              <w:t xml:space="preserve"> &gt;5</w:t>
            </w:r>
            <w:r w:rsidR="003E2648">
              <w:t>,</w:t>
            </w:r>
            <w:r>
              <w:t>700 mg/m</w:t>
            </w:r>
            <w:r>
              <w:rPr>
                <w:vertAlign w:val="superscript"/>
              </w:rPr>
              <w:t>3</w:t>
            </w:r>
            <w:r>
              <w:t xml:space="preserve"> (rats, 2 h), 4</w:t>
            </w:r>
            <w:r w:rsidR="003E2648">
              <w:t>,</w:t>
            </w:r>
            <w:r>
              <w:t>500 mg/m</w:t>
            </w:r>
            <w:r>
              <w:rPr>
                <w:vertAlign w:val="superscript"/>
              </w:rPr>
              <w:t>3</w:t>
            </w:r>
            <w:r>
              <w:t xml:space="preserve"> (male mice, 2 h), 5</w:t>
            </w:r>
            <w:r w:rsidR="003E2648">
              <w:t>,</w:t>
            </w:r>
            <w:r>
              <w:t>000 mg/m</w:t>
            </w:r>
            <w:r>
              <w:rPr>
                <w:vertAlign w:val="superscript"/>
              </w:rPr>
              <w:t>3</w:t>
            </w:r>
            <w:r>
              <w:t xml:space="preserve"> (female mice)</w:t>
            </w:r>
          </w:p>
          <w:p w14:paraId="18CF7D17" w14:textId="21FC4A04" w:rsidR="00332ADC" w:rsidRDefault="00332ADC" w:rsidP="003D414C">
            <w:pPr>
              <w:pStyle w:val="ListBullet"/>
              <w:tabs>
                <w:tab w:val="clear" w:pos="360"/>
                <w:tab w:val="num" w:pos="731"/>
              </w:tabs>
              <w:ind w:left="731" w:hanging="425"/>
            </w:pPr>
            <w:r>
              <w:t>LD</w:t>
            </w:r>
            <w:r>
              <w:rPr>
                <w:vertAlign w:val="subscript"/>
              </w:rPr>
              <w:t>50</w:t>
            </w:r>
            <w:r>
              <w:t>: 518 mg/kg (male mice</w:t>
            </w:r>
            <w:r w:rsidR="007B2FA9">
              <w:t xml:space="preserve">, </w:t>
            </w:r>
            <w:proofErr w:type="spellStart"/>
            <w:r w:rsidR="003E2648">
              <w:t>ip</w:t>
            </w:r>
            <w:proofErr w:type="spellEnd"/>
            <w:r>
              <w:t>), 462 mg/kg (female mice</w:t>
            </w:r>
            <w:r w:rsidR="007B2FA9">
              <w:t xml:space="preserve">, </w:t>
            </w:r>
            <w:proofErr w:type="spellStart"/>
            <w:r w:rsidR="003E2648">
              <w:t>ip</w:t>
            </w:r>
            <w:proofErr w:type="spellEnd"/>
            <w:r w:rsidR="003E2648">
              <w:t>)</w:t>
            </w:r>
          </w:p>
          <w:p w14:paraId="2F8724BB" w14:textId="77777777" w:rsidR="008E5173" w:rsidRDefault="003558B7" w:rsidP="003D414C">
            <w:pPr>
              <w:pStyle w:val="ListBullet"/>
              <w:tabs>
                <w:tab w:val="clear" w:pos="360"/>
                <w:tab w:val="num" w:pos="731"/>
              </w:tabs>
              <w:ind w:left="731" w:hanging="425"/>
            </w:pPr>
            <w:proofErr w:type="spellStart"/>
            <w:r>
              <w:t>Ovines</w:t>
            </w:r>
            <w:proofErr w:type="spellEnd"/>
            <w:r>
              <w:t xml:space="preserve"> and bovines more susceptible than rats and mice</w:t>
            </w:r>
          </w:p>
          <w:p w14:paraId="31F378F6" w14:textId="57715684" w:rsidR="003558B7" w:rsidRDefault="008E5173" w:rsidP="003D414C">
            <w:pPr>
              <w:pStyle w:val="ListBullet"/>
              <w:numPr>
                <w:ilvl w:val="0"/>
                <w:numId w:val="5"/>
              </w:numPr>
              <w:spacing w:before="0" w:after="80"/>
              <w:contextualSpacing w:val="0"/>
            </w:pPr>
            <w:r>
              <w:t>l</w:t>
            </w:r>
            <w:r w:rsidR="003558B7">
              <w:t xml:space="preserve">ethal dose in </w:t>
            </w:r>
            <w:r w:rsidR="009C3D82">
              <w:t>sheep 250</w:t>
            </w:r>
            <w:r w:rsidR="003558B7">
              <w:t xml:space="preserve"> mg/kg</w:t>
            </w:r>
          </w:p>
          <w:p w14:paraId="64744324" w14:textId="4A083F66" w:rsidR="003558B7" w:rsidRDefault="003558B7" w:rsidP="003D414C">
            <w:pPr>
              <w:pStyle w:val="ListBullet"/>
              <w:tabs>
                <w:tab w:val="clear" w:pos="360"/>
                <w:tab w:val="num" w:pos="731"/>
              </w:tabs>
              <w:ind w:left="731" w:hanging="425"/>
            </w:pPr>
            <w:r>
              <w:t xml:space="preserve">NOAEL: 100 mg/kg/d for </w:t>
            </w:r>
            <w:r w:rsidR="006B6ED1" w:rsidRPr="006B6ED1">
              <w:t>increase</w:t>
            </w:r>
            <w:r w:rsidR="006B6ED1">
              <w:t>d</w:t>
            </w:r>
            <w:r w:rsidR="006B6ED1" w:rsidRPr="006B6ED1">
              <w:t xml:space="preserve"> liver/kidney weight </w:t>
            </w:r>
            <w:r>
              <w:t xml:space="preserve">in feeding study (dogs, 48 </w:t>
            </w:r>
            <w:proofErr w:type="spellStart"/>
            <w:r>
              <w:t>wk</w:t>
            </w:r>
            <w:proofErr w:type="spellEnd"/>
            <w:r>
              <w:t xml:space="preserve"> following 18 </w:t>
            </w:r>
            <w:proofErr w:type="spellStart"/>
            <w:r>
              <w:t>wk</w:t>
            </w:r>
            <w:proofErr w:type="spellEnd"/>
            <w:r>
              <w:t xml:space="preserve"> at unspecified lower dosage)</w:t>
            </w:r>
          </w:p>
          <w:p w14:paraId="5B40AABF" w14:textId="5A336B11" w:rsidR="000766D6" w:rsidRDefault="000766D6" w:rsidP="003D414C">
            <w:pPr>
              <w:pStyle w:val="ListBullet"/>
              <w:tabs>
                <w:tab w:val="clear" w:pos="360"/>
                <w:tab w:val="num" w:pos="731"/>
              </w:tabs>
              <w:ind w:left="731" w:hanging="425"/>
            </w:pPr>
            <w:r>
              <w:t xml:space="preserve">No carcinogenic effects at or near MTD in several long-term </w:t>
            </w:r>
            <w:r w:rsidR="00597370">
              <w:t>feeding studies</w:t>
            </w:r>
            <w:r w:rsidR="007539F6">
              <w:t xml:space="preserve"> (</w:t>
            </w:r>
            <w:r>
              <w:t xml:space="preserve">rats and mice, </w:t>
            </w:r>
            <w:r w:rsidR="007539F6">
              <w:t xml:space="preserve">up to 80 </w:t>
            </w:r>
            <w:proofErr w:type="spellStart"/>
            <w:r w:rsidR="007539F6">
              <w:t>wk</w:t>
            </w:r>
            <w:proofErr w:type="spellEnd"/>
            <w:r w:rsidR="007539F6">
              <w:t>)</w:t>
            </w:r>
            <w:r>
              <w:t xml:space="preserve"> except in one strain of mice:</w:t>
            </w:r>
          </w:p>
          <w:p w14:paraId="5C04BEFD" w14:textId="7621A72E" w:rsidR="00597370" w:rsidRDefault="006B6ED1" w:rsidP="003D414C">
            <w:pPr>
              <w:pStyle w:val="ListBullet"/>
              <w:numPr>
                <w:ilvl w:val="0"/>
                <w:numId w:val="5"/>
              </w:numPr>
              <w:spacing w:before="0" w:after="80"/>
              <w:contextualSpacing w:val="0"/>
            </w:pPr>
            <w:r>
              <w:t>d</w:t>
            </w:r>
            <w:r w:rsidR="000766D6">
              <w:t>ose-related carcinogenicity only in B6C3F1 mice at 8</w:t>
            </w:r>
            <w:r w:rsidR="003E2648">
              <w:t>,</w:t>
            </w:r>
            <w:r w:rsidR="000766D6">
              <w:t>000</w:t>
            </w:r>
            <w:r w:rsidR="00910E4E">
              <w:t>–</w:t>
            </w:r>
            <w:r w:rsidR="000766D6">
              <w:t>16,000 ppm in diet</w:t>
            </w:r>
            <w:r w:rsidR="00E76C61">
              <w:t xml:space="preserve"> </w:t>
            </w:r>
          </w:p>
          <w:p w14:paraId="3D1FD98F" w14:textId="0682AAB9" w:rsidR="007539F6" w:rsidRDefault="007539F6" w:rsidP="003D414C">
            <w:pPr>
              <w:pStyle w:val="ListBullet"/>
              <w:tabs>
                <w:tab w:val="clear" w:pos="360"/>
                <w:tab w:val="num" w:pos="731"/>
              </w:tabs>
              <w:ind w:left="731" w:hanging="425"/>
            </w:pPr>
            <w:r>
              <w:t>Some cited studies suggest impurities may contribute to isolated reports of carcinogenicity in animals</w:t>
            </w:r>
            <w:r w:rsidR="00E969B3">
              <w:t xml:space="preserve"> </w:t>
            </w:r>
          </w:p>
          <w:p w14:paraId="7B0624D1" w14:textId="77777777" w:rsidR="008E5173" w:rsidRDefault="00210352" w:rsidP="003D414C">
            <w:pPr>
              <w:pStyle w:val="ListBullet"/>
              <w:tabs>
                <w:tab w:val="clear" w:pos="360"/>
                <w:tab w:val="num" w:pos="731"/>
              </w:tabs>
              <w:ind w:hanging="54"/>
            </w:pPr>
            <w:r>
              <w:t xml:space="preserve">No carcinogenic or co-carcinogenic effects observed in topical exposure study (mice, 1 </w:t>
            </w:r>
            <w:proofErr w:type="spellStart"/>
            <w:r>
              <w:t>yr</w:t>
            </w:r>
            <w:proofErr w:type="spellEnd"/>
            <w:r>
              <w:t>)</w:t>
            </w:r>
          </w:p>
          <w:p w14:paraId="6AD69940" w14:textId="5132CBBE" w:rsidR="008E5173" w:rsidRDefault="00837CDA" w:rsidP="003D414C">
            <w:pPr>
              <w:pStyle w:val="ListBullet"/>
              <w:tabs>
                <w:tab w:val="clear" w:pos="360"/>
                <w:tab w:val="num" w:pos="731"/>
              </w:tabs>
              <w:ind w:hanging="54"/>
            </w:pPr>
            <w:r w:rsidDel="00837CDA">
              <w:t xml:space="preserve"> </w:t>
            </w:r>
            <w:r w:rsidR="00A059B1">
              <w:t xml:space="preserve">Little or no </w:t>
            </w:r>
            <w:proofErr w:type="spellStart"/>
            <w:r w:rsidR="00A059B1">
              <w:t>embryotoxic</w:t>
            </w:r>
            <w:proofErr w:type="spellEnd"/>
            <w:r w:rsidR="00A059B1">
              <w:t xml:space="preserve"> or teratogenic effects in </w:t>
            </w:r>
            <w:r w:rsidR="00FA2A3E">
              <w:t>multiple animal models</w:t>
            </w:r>
          </w:p>
          <w:p w14:paraId="5E904722" w14:textId="512B7C4F" w:rsidR="00E41951" w:rsidRDefault="00FA2A3E" w:rsidP="003D414C">
            <w:pPr>
              <w:pStyle w:val="ListBullet"/>
              <w:numPr>
                <w:ilvl w:val="0"/>
                <w:numId w:val="5"/>
              </w:numPr>
              <w:spacing w:before="0" w:after="80"/>
              <w:contextualSpacing w:val="0"/>
            </w:pPr>
            <w:r>
              <w:t>decreased fertility noted in male mice given 50</w:t>
            </w:r>
            <w:r w:rsidR="00910E4E">
              <w:t>–</w:t>
            </w:r>
            <w:r>
              <w:t>100 mg/kg/d for 5 d</w:t>
            </w:r>
          </w:p>
          <w:p w14:paraId="6005C761" w14:textId="77777777" w:rsidR="0090134A" w:rsidRDefault="00FA2A3E" w:rsidP="003D414C">
            <w:pPr>
              <w:pStyle w:val="ListBullet"/>
              <w:tabs>
                <w:tab w:val="clear" w:pos="360"/>
                <w:tab w:val="num" w:pos="731"/>
              </w:tabs>
              <w:ind w:hanging="54"/>
            </w:pPr>
            <w:r>
              <w:t xml:space="preserve">Mutagenic </w:t>
            </w:r>
            <w:r>
              <w:rPr>
                <w:i/>
              </w:rPr>
              <w:t>in vitro</w:t>
            </w:r>
            <w:r w:rsidR="00D95423">
              <w:t>,</w:t>
            </w:r>
            <w:r>
              <w:rPr>
                <w:i/>
              </w:rPr>
              <w:t xml:space="preserve"> </w:t>
            </w:r>
            <w:r>
              <w:t xml:space="preserve">but </w:t>
            </w:r>
            <w:r w:rsidR="00D95423">
              <w:t>is</w:t>
            </w:r>
            <w:r>
              <w:t xml:space="preserve"> readily detoxified and non-mutagenic </w:t>
            </w:r>
            <w:r>
              <w:rPr>
                <w:i/>
              </w:rPr>
              <w:t>in vivo</w:t>
            </w:r>
          </w:p>
          <w:p w14:paraId="58BEC0E2" w14:textId="77777777" w:rsidR="00D95423" w:rsidRDefault="00E41951" w:rsidP="003D414C">
            <w:pPr>
              <w:pStyle w:val="ListBullet"/>
              <w:tabs>
                <w:tab w:val="clear" w:pos="360"/>
                <w:tab w:val="num" w:pos="731"/>
              </w:tabs>
              <w:ind w:hanging="54"/>
            </w:pPr>
            <w:proofErr w:type="spellStart"/>
            <w:r>
              <w:t>Hepatorenal</w:t>
            </w:r>
            <w:proofErr w:type="spellEnd"/>
            <w:r>
              <w:t xml:space="preserve">, </w:t>
            </w:r>
            <w:proofErr w:type="spellStart"/>
            <w:r>
              <w:t>cytocellular</w:t>
            </w:r>
            <w:proofErr w:type="spellEnd"/>
            <w:r>
              <w:t xml:space="preserve">, and </w:t>
            </w:r>
            <w:proofErr w:type="spellStart"/>
            <w:r>
              <w:t>genotoxicity</w:t>
            </w:r>
            <w:proofErr w:type="spellEnd"/>
            <w:r w:rsidR="00B666FD">
              <w:t xml:space="preserve"> may increase</w:t>
            </w:r>
            <w:r>
              <w:t xml:space="preserve"> if diet is protein deficient</w:t>
            </w:r>
            <w:r w:rsidR="00D41DA6">
              <w:t>.</w:t>
            </w:r>
          </w:p>
          <w:p w14:paraId="28FA867A" w14:textId="77777777" w:rsidR="004C4809" w:rsidRPr="0090134A" w:rsidRDefault="004C4809" w:rsidP="00F055BC">
            <w:pPr>
              <w:pStyle w:val="ListBullet"/>
              <w:numPr>
                <w:ilvl w:val="0"/>
                <w:numId w:val="0"/>
              </w:numPr>
            </w:pPr>
          </w:p>
        </w:tc>
      </w:tr>
      <w:tr w:rsidR="00C978F0" w:rsidRPr="00DA352E" w14:paraId="783DA2A4" w14:textId="77777777" w:rsidTr="00DE26E8">
        <w:trPr>
          <w:gridAfter w:val="1"/>
          <w:wAfter w:w="8" w:type="pct"/>
          <w:cantSplit/>
        </w:trPr>
        <w:tc>
          <w:tcPr>
            <w:tcW w:w="4992" w:type="pct"/>
            <w:shd w:val="clear" w:color="auto" w:fill="F2F2F2" w:themeFill="background1" w:themeFillShade="F2"/>
          </w:tcPr>
          <w:p w14:paraId="3034E4E3" w14:textId="77777777" w:rsidR="00C978F0" w:rsidRPr="00DA352E" w:rsidRDefault="00DA352E" w:rsidP="0051509C">
            <w:pPr>
              <w:pStyle w:val="Tablerowheadingitalic"/>
              <w:tabs>
                <w:tab w:val="clear" w:pos="2268"/>
                <w:tab w:val="clear" w:pos="5670"/>
                <w:tab w:val="left" w:pos="1418"/>
                <w:tab w:val="left" w:pos="2552"/>
              </w:tabs>
            </w:pPr>
            <w:r w:rsidRPr="00DA352E">
              <w:t>DFG</w:t>
            </w:r>
            <w:r w:rsidR="00916EC0" w:rsidRPr="003365A5">
              <w:t xml:space="preserve"> </w:t>
            </w:r>
            <w:r w:rsidR="00916EC0" w:rsidRPr="003365A5">
              <w:tab/>
            </w:r>
            <w:sdt>
              <w:sdtPr>
                <w:id w:val="272751712"/>
                <w:placeholder>
                  <w:docPart w:val="6918C77959FE4E2CB3B6BD78ABC69E19"/>
                </w:placeholder>
                <w:text/>
              </w:sdtPr>
              <w:sdtEndPr/>
              <w:sdtContent>
                <w:r w:rsidR="00F701A2">
                  <w:t>NA</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proofErr w:type="spellStart"/>
                <w:r w:rsidR="00F701A2">
                  <w:t>NA</w:t>
                </w:r>
                <w:proofErr w:type="spellEnd"/>
              </w:sdtContent>
            </w:sdt>
          </w:p>
        </w:tc>
      </w:tr>
      <w:tr w:rsidR="00C978F0" w:rsidRPr="00DA352E" w14:paraId="519EAF0B" w14:textId="77777777" w:rsidTr="00DE26E8">
        <w:trPr>
          <w:gridAfter w:val="1"/>
          <w:wAfter w:w="8" w:type="pct"/>
          <w:cantSplit/>
        </w:trPr>
        <w:tc>
          <w:tcPr>
            <w:tcW w:w="4992" w:type="pct"/>
          </w:tcPr>
          <w:p w14:paraId="6F956709" w14:textId="7DCFAA28" w:rsidR="00C978F0" w:rsidRPr="00DA352E" w:rsidRDefault="00F701A2" w:rsidP="003365A5">
            <w:pPr>
              <w:pStyle w:val="Tabletextprimarysource"/>
            </w:pPr>
            <w:r>
              <w:t>No report</w:t>
            </w:r>
            <w:r w:rsidR="008E5173">
              <w:t>.</w:t>
            </w:r>
          </w:p>
        </w:tc>
      </w:tr>
      <w:tr w:rsidR="00C978F0" w:rsidRPr="00DA352E" w14:paraId="6329B804" w14:textId="77777777" w:rsidTr="00DE26E8">
        <w:trPr>
          <w:gridAfter w:val="1"/>
          <w:wAfter w:w="8" w:type="pct"/>
          <w:cantSplit/>
        </w:trPr>
        <w:tc>
          <w:tcPr>
            <w:tcW w:w="4992" w:type="pct"/>
            <w:shd w:val="clear" w:color="auto" w:fill="F2F2F2" w:themeFill="background1" w:themeFillShade="F2"/>
          </w:tcPr>
          <w:p w14:paraId="4FAE0CB1" w14:textId="77777777" w:rsidR="00C978F0" w:rsidRPr="00DA352E" w:rsidRDefault="00DA352E" w:rsidP="0051509C">
            <w:pPr>
              <w:pStyle w:val="Tablerowheadingitalic"/>
              <w:tabs>
                <w:tab w:val="clear" w:pos="2268"/>
                <w:tab w:val="clear" w:pos="5670"/>
                <w:tab w:val="left" w:pos="1418"/>
                <w:tab w:val="left" w:pos="2552"/>
              </w:tabs>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B401A8">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proofErr w:type="spellStart"/>
                <w:r w:rsidR="00B401A8">
                  <w:t>NA</w:t>
                </w:r>
                <w:proofErr w:type="spellEnd"/>
              </w:sdtContent>
            </w:sdt>
          </w:p>
        </w:tc>
      </w:tr>
      <w:tr w:rsidR="00C978F0" w:rsidRPr="00DA352E" w14:paraId="633B1927" w14:textId="77777777" w:rsidTr="00DE26E8">
        <w:trPr>
          <w:gridAfter w:val="1"/>
          <w:wAfter w:w="8" w:type="pct"/>
          <w:cantSplit/>
        </w:trPr>
        <w:tc>
          <w:tcPr>
            <w:tcW w:w="4992" w:type="pct"/>
          </w:tcPr>
          <w:p w14:paraId="528569DD" w14:textId="4E93A2BB" w:rsidR="00C978F0" w:rsidRPr="00DA352E" w:rsidRDefault="00B401A8" w:rsidP="003365A5">
            <w:pPr>
              <w:pStyle w:val="Tabletextprimarysource"/>
            </w:pPr>
            <w:r>
              <w:t>No repor</w:t>
            </w:r>
            <w:r w:rsidR="008E5173">
              <w:t>t.</w:t>
            </w:r>
          </w:p>
        </w:tc>
      </w:tr>
      <w:tr w:rsidR="00DA352E" w:rsidRPr="00DA352E" w14:paraId="6A0B1ECB" w14:textId="77777777" w:rsidTr="00DE26E8">
        <w:trPr>
          <w:gridAfter w:val="1"/>
          <w:wAfter w:w="8" w:type="pct"/>
          <w:cantSplit/>
        </w:trPr>
        <w:tc>
          <w:tcPr>
            <w:tcW w:w="4992" w:type="pct"/>
            <w:shd w:val="clear" w:color="auto" w:fill="F2F2F2" w:themeFill="background1" w:themeFillShade="F2"/>
          </w:tcPr>
          <w:p w14:paraId="6D40CD26" w14:textId="77777777"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B401A8">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proofErr w:type="spellStart"/>
                <w:r w:rsidR="00B401A8">
                  <w:t>NA</w:t>
                </w:r>
                <w:proofErr w:type="spellEnd"/>
              </w:sdtContent>
            </w:sdt>
          </w:p>
        </w:tc>
      </w:tr>
      <w:tr w:rsidR="00DA352E" w:rsidRPr="00DA352E" w14:paraId="41025F44" w14:textId="77777777" w:rsidTr="00DE26E8">
        <w:trPr>
          <w:gridAfter w:val="1"/>
          <w:wAfter w:w="8" w:type="pct"/>
          <w:cantSplit/>
        </w:trPr>
        <w:tc>
          <w:tcPr>
            <w:tcW w:w="4992" w:type="pct"/>
          </w:tcPr>
          <w:p w14:paraId="47A9327A" w14:textId="4D793995" w:rsidR="00DA352E" w:rsidRPr="00DA352E" w:rsidRDefault="00B401A8" w:rsidP="003365A5">
            <w:pPr>
              <w:pStyle w:val="Tabletextprimarysource"/>
            </w:pPr>
            <w:r>
              <w:t>No report</w:t>
            </w:r>
            <w:r w:rsidR="008E5173">
              <w:t>.</w:t>
            </w:r>
          </w:p>
        </w:tc>
      </w:tr>
      <w:tr w:rsidR="00DA352E" w:rsidRPr="00DA352E" w14:paraId="0A971830" w14:textId="77777777" w:rsidTr="00DE26E8">
        <w:trPr>
          <w:gridAfter w:val="1"/>
          <w:wAfter w:w="8" w:type="pct"/>
          <w:cantSplit/>
        </w:trPr>
        <w:tc>
          <w:tcPr>
            <w:tcW w:w="4992" w:type="pct"/>
            <w:shd w:val="clear" w:color="auto" w:fill="F2F2F2" w:themeFill="background1" w:themeFillShade="F2"/>
          </w:tcPr>
          <w:p w14:paraId="130D9197" w14:textId="77777777"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B401A8">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proofErr w:type="spellStart"/>
                <w:r w:rsidR="00B401A8">
                  <w:t>NA</w:t>
                </w:r>
                <w:proofErr w:type="spellEnd"/>
              </w:sdtContent>
            </w:sdt>
          </w:p>
        </w:tc>
      </w:tr>
      <w:tr w:rsidR="00DA352E" w:rsidRPr="00DA352E" w14:paraId="2BAF8244" w14:textId="77777777" w:rsidTr="00DE26E8">
        <w:trPr>
          <w:gridAfter w:val="1"/>
          <w:wAfter w:w="8" w:type="pct"/>
          <w:cantSplit/>
        </w:trPr>
        <w:tc>
          <w:tcPr>
            <w:tcW w:w="4992" w:type="pct"/>
          </w:tcPr>
          <w:p w14:paraId="6187A41B" w14:textId="04A9993D" w:rsidR="00DA352E" w:rsidRPr="00DA352E" w:rsidRDefault="00B401A8" w:rsidP="003365A5">
            <w:pPr>
              <w:pStyle w:val="Tabletextprimarysource"/>
            </w:pPr>
            <w:r>
              <w:t>No report</w:t>
            </w:r>
            <w:r w:rsidR="008E5173">
              <w:t>.</w:t>
            </w:r>
          </w:p>
        </w:tc>
      </w:tr>
    </w:tbl>
    <w:p w14:paraId="0725381C" w14:textId="77777777"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94"/>
        <w:gridCol w:w="422"/>
        <w:gridCol w:w="661"/>
        <w:gridCol w:w="6449"/>
      </w:tblGrid>
      <w:tr w:rsidR="004966BF" w:rsidRPr="00263255" w14:paraId="485D1B4B" w14:textId="77777777" w:rsidTr="00B36376">
        <w:trPr>
          <w:cantSplit/>
          <w:trHeight w:val="393"/>
          <w:tblHeader/>
        </w:trPr>
        <w:tc>
          <w:tcPr>
            <w:tcW w:w="1494" w:type="dxa"/>
            <w:shd w:val="clear" w:color="auto" w:fill="BFBFBF" w:themeFill="background1" w:themeFillShade="BF"/>
            <w:vAlign w:val="center"/>
          </w:tcPr>
          <w:p w14:paraId="39E62FA3" w14:textId="77777777" w:rsidR="004966BF" w:rsidRPr="00263255" w:rsidRDefault="004966BF" w:rsidP="00263255">
            <w:pPr>
              <w:pStyle w:val="Tableheader"/>
            </w:pPr>
            <w:r w:rsidRPr="00263255">
              <w:t>Source</w:t>
            </w:r>
          </w:p>
        </w:tc>
        <w:tc>
          <w:tcPr>
            <w:tcW w:w="422" w:type="dxa"/>
            <w:shd w:val="clear" w:color="auto" w:fill="BFBFBF" w:themeFill="background1" w:themeFillShade="BF"/>
            <w:vAlign w:val="center"/>
          </w:tcPr>
          <w:p w14:paraId="4EBE5329" w14:textId="77777777" w:rsidR="004966BF" w:rsidRPr="00263255" w:rsidRDefault="004966BF" w:rsidP="00263255">
            <w:pPr>
              <w:pStyle w:val="Tableheader"/>
            </w:pPr>
          </w:p>
        </w:tc>
        <w:tc>
          <w:tcPr>
            <w:tcW w:w="661" w:type="dxa"/>
            <w:shd w:val="clear" w:color="auto" w:fill="BFBFBF" w:themeFill="background1" w:themeFillShade="BF"/>
            <w:vAlign w:val="center"/>
          </w:tcPr>
          <w:p w14:paraId="768928A7" w14:textId="77777777" w:rsidR="004966BF" w:rsidRPr="00263255" w:rsidRDefault="004966BF" w:rsidP="00263255">
            <w:pPr>
              <w:pStyle w:val="Tableheader"/>
            </w:pPr>
            <w:r>
              <w:t>Year</w:t>
            </w:r>
          </w:p>
        </w:tc>
        <w:tc>
          <w:tcPr>
            <w:tcW w:w="6449" w:type="dxa"/>
            <w:shd w:val="clear" w:color="auto" w:fill="BFBFBF" w:themeFill="background1" w:themeFillShade="BF"/>
            <w:vAlign w:val="center"/>
          </w:tcPr>
          <w:p w14:paraId="06E989EE" w14:textId="77777777" w:rsidR="004966BF" w:rsidRPr="00263255" w:rsidRDefault="004966BF" w:rsidP="00263255">
            <w:pPr>
              <w:pStyle w:val="Tableheader"/>
            </w:pPr>
            <w:r>
              <w:t>Additional information</w:t>
            </w:r>
          </w:p>
        </w:tc>
      </w:tr>
      <w:tr w:rsidR="004966BF" w:rsidRPr="004C23F4" w14:paraId="57B51B19" w14:textId="77777777" w:rsidTr="00280D04">
        <w:tc>
          <w:tcPr>
            <w:tcW w:w="1494" w:type="dxa"/>
          </w:tcPr>
          <w:p w14:paraId="36ECF00D" w14:textId="77777777" w:rsidR="004966BF" w:rsidRPr="004C23F4" w:rsidRDefault="004966BF" w:rsidP="00224EE2">
            <w:pPr>
              <w:pStyle w:val="Tablefont"/>
            </w:pPr>
            <w:r w:rsidRPr="00223C77">
              <w:t>NICNAS</w:t>
            </w:r>
          </w:p>
        </w:tc>
        <w:tc>
          <w:tcPr>
            <w:tcW w:w="422" w:type="dxa"/>
          </w:tcPr>
          <w:p w14:paraId="3AC1FA77" w14:textId="77777777" w:rsidR="004966BF" w:rsidRPr="00CE617F" w:rsidRDefault="00617968"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D41DA6">
                  <w:rPr>
                    <w:rStyle w:val="checkbox"/>
                  </w:rPr>
                  <w:t></w:t>
                </w:r>
              </w:sdtContent>
            </w:sdt>
          </w:p>
        </w:tc>
        <w:tc>
          <w:tcPr>
            <w:tcW w:w="661" w:type="dxa"/>
          </w:tcPr>
          <w:p w14:paraId="3EB2759B" w14:textId="77777777" w:rsidR="004966BF" w:rsidRPr="004C23F4" w:rsidRDefault="00D41DA6" w:rsidP="00717D45">
            <w:pPr>
              <w:pStyle w:val="Tablefont"/>
              <w:rPr>
                <w:rStyle w:val="checkbox"/>
                <w:rFonts w:ascii="Arial" w:hAnsi="Arial" w:cs="Arial"/>
              </w:rPr>
            </w:pPr>
            <w:r>
              <w:rPr>
                <w:rStyle w:val="checkbox"/>
                <w:rFonts w:ascii="Arial" w:hAnsi="Arial" w:cs="Arial"/>
              </w:rPr>
              <w:t>2016</w:t>
            </w:r>
          </w:p>
        </w:tc>
        <w:tc>
          <w:tcPr>
            <w:tcW w:w="6449" w:type="dxa"/>
          </w:tcPr>
          <w:p w14:paraId="5F5694FF" w14:textId="77777777" w:rsidR="00D41DA6" w:rsidRPr="0081763A" w:rsidRDefault="00D41DA6" w:rsidP="00D41DA6">
            <w:pPr>
              <w:pStyle w:val="Tablefont"/>
              <w:rPr>
                <w:rFonts w:cs="Arial"/>
              </w:rPr>
            </w:pPr>
            <w:r w:rsidRPr="0081763A">
              <w:rPr>
                <w:rFonts w:cs="Arial"/>
              </w:rPr>
              <w:t>Human data:</w:t>
            </w:r>
          </w:p>
          <w:p w14:paraId="179EE4BD" w14:textId="041773BF" w:rsidR="000A3086" w:rsidRPr="0081763A" w:rsidRDefault="000A3086" w:rsidP="003D414C">
            <w:pPr>
              <w:pStyle w:val="Tablefont"/>
              <w:numPr>
                <w:ilvl w:val="0"/>
                <w:numId w:val="2"/>
              </w:numPr>
              <w:ind w:left="357" w:hanging="357"/>
              <w:contextualSpacing/>
              <w:rPr>
                <w:rStyle w:val="checkbox"/>
                <w:rFonts w:ascii="Arial" w:hAnsi="Arial" w:cs="Arial"/>
              </w:rPr>
            </w:pPr>
            <w:r w:rsidRPr="0081763A">
              <w:rPr>
                <w:rFonts w:cs="Arial"/>
              </w:rPr>
              <w:t>Death reported following oral exposure to 1</w:t>
            </w:r>
            <w:r w:rsidR="003E2648" w:rsidRPr="0081763A">
              <w:rPr>
                <w:rFonts w:cs="Arial"/>
              </w:rPr>
              <w:t>,</w:t>
            </w:r>
            <w:r w:rsidRPr="0081763A">
              <w:rPr>
                <w:rFonts w:cs="Arial"/>
              </w:rPr>
              <w:t xml:space="preserve">071 mg/kg </w:t>
            </w:r>
            <w:r w:rsidR="00464002" w:rsidRPr="0081763A">
              <w:rPr>
                <w:rFonts w:cs="Arial"/>
              </w:rPr>
              <w:t>(n</w:t>
            </w:r>
            <w:r w:rsidRPr="0081763A">
              <w:rPr>
                <w:rFonts w:cs="Arial"/>
              </w:rPr>
              <w:t xml:space="preserve">o further </w:t>
            </w:r>
            <w:r w:rsidR="00464002" w:rsidRPr="0081763A">
              <w:rPr>
                <w:rFonts w:cs="Arial"/>
              </w:rPr>
              <w:t>information provided)</w:t>
            </w:r>
          </w:p>
          <w:p w14:paraId="45B9E1EE" w14:textId="504AA6A7" w:rsidR="00464002" w:rsidRPr="0081763A" w:rsidRDefault="00464002" w:rsidP="003D414C">
            <w:pPr>
              <w:pStyle w:val="Tablefont"/>
              <w:numPr>
                <w:ilvl w:val="0"/>
                <w:numId w:val="2"/>
              </w:numPr>
              <w:ind w:left="357" w:hanging="357"/>
              <w:rPr>
                <w:rFonts w:cs="Arial"/>
              </w:rPr>
            </w:pPr>
            <w:r w:rsidRPr="0081763A">
              <w:rPr>
                <w:rFonts w:cs="Arial"/>
              </w:rPr>
              <w:t>Dermal sensitisation with 0.5% (amount and solvent unspecified) in exposed farmers (n=122, 9%) and unexposed workers (n=63</w:t>
            </w:r>
            <w:r w:rsidR="003E2648" w:rsidRPr="0081763A">
              <w:rPr>
                <w:rFonts w:cs="Arial"/>
              </w:rPr>
              <w:t>, </w:t>
            </w:r>
            <w:r w:rsidRPr="0081763A">
              <w:rPr>
                <w:rFonts w:cs="Arial"/>
              </w:rPr>
              <w:t>8%)</w:t>
            </w:r>
          </w:p>
          <w:p w14:paraId="071D34F1" w14:textId="77777777" w:rsidR="000A3086" w:rsidRPr="0081763A" w:rsidRDefault="00D41DA6" w:rsidP="00464002">
            <w:pPr>
              <w:pStyle w:val="Tablefont"/>
              <w:rPr>
                <w:rFonts w:cs="Arial"/>
              </w:rPr>
            </w:pPr>
            <w:r w:rsidRPr="0081763A">
              <w:rPr>
                <w:rFonts w:cs="Arial"/>
              </w:rPr>
              <w:t>Animal data:</w:t>
            </w:r>
          </w:p>
          <w:p w14:paraId="4828105C" w14:textId="016F2A57" w:rsidR="0081763A" w:rsidRDefault="0081763A" w:rsidP="0081763A">
            <w:pPr>
              <w:pStyle w:val="Tablefont"/>
              <w:numPr>
                <w:ilvl w:val="0"/>
                <w:numId w:val="2"/>
              </w:numPr>
              <w:contextualSpacing/>
              <w:rPr>
                <w:rStyle w:val="checkbox"/>
                <w:rFonts w:ascii="Arial" w:hAnsi="Arial" w:cs="Arial"/>
              </w:rPr>
            </w:pPr>
            <w:r>
              <w:rPr>
                <w:rStyle w:val="checkbox"/>
                <w:rFonts w:ascii="Arial" w:hAnsi="Arial" w:cs="Arial"/>
              </w:rPr>
              <w:t>Repeat dose inhalation study (</w:t>
            </w:r>
            <w:r w:rsidRPr="007E42E3">
              <w:rPr>
                <w:rStyle w:val="checkbox"/>
                <w:rFonts w:ascii="Arial" w:hAnsi="Arial" w:cs="Arial"/>
              </w:rPr>
              <w:t>rats, nose-only, 0</w:t>
            </w:r>
            <w:r w:rsidR="00D50325" w:rsidRPr="007E42E3">
              <w:rPr>
                <w:rStyle w:val="checkbox"/>
                <w:rFonts w:ascii="Arial" w:hAnsi="Arial" w:cs="Arial"/>
              </w:rPr>
              <w:t>,</w:t>
            </w:r>
            <w:r w:rsidRPr="007E42E3">
              <w:rPr>
                <w:rStyle w:val="checkbox"/>
                <w:rFonts w:ascii="Arial" w:hAnsi="Arial" w:cs="Arial"/>
              </w:rPr>
              <w:t xml:space="preserve"> 0.13</w:t>
            </w:r>
            <w:r w:rsidR="00D50325" w:rsidRPr="007E42E3">
              <w:rPr>
                <w:rStyle w:val="checkbox"/>
                <w:rFonts w:ascii="Arial" w:hAnsi="Arial" w:cs="Arial"/>
              </w:rPr>
              <w:t>,</w:t>
            </w:r>
            <w:r w:rsidRPr="007E42E3">
              <w:rPr>
                <w:rStyle w:val="checkbox"/>
                <w:rFonts w:ascii="Arial" w:hAnsi="Arial" w:cs="Arial"/>
              </w:rPr>
              <w:t xml:space="preserve"> 0.60</w:t>
            </w:r>
            <w:r w:rsidR="00D50325" w:rsidRPr="007E42E3">
              <w:rPr>
                <w:rStyle w:val="checkbox"/>
                <w:rFonts w:ascii="Arial" w:hAnsi="Arial" w:cs="Arial"/>
              </w:rPr>
              <w:t>,</w:t>
            </w:r>
            <w:r w:rsidRPr="007E42E3">
              <w:rPr>
                <w:rStyle w:val="checkbox"/>
                <w:rFonts w:ascii="Arial" w:hAnsi="Arial" w:cs="Arial"/>
              </w:rPr>
              <w:t xml:space="preserve"> 5.06</w:t>
            </w:r>
            <w:r w:rsidR="00D50325" w:rsidRPr="007E42E3">
              <w:rPr>
                <w:rStyle w:val="checkbox"/>
                <w:rFonts w:ascii="Arial" w:hAnsi="Arial" w:cs="Arial"/>
              </w:rPr>
              <w:t>,</w:t>
            </w:r>
            <w:r w:rsidRPr="007E42E3">
              <w:rPr>
                <w:rStyle w:val="checkbox"/>
                <w:rFonts w:ascii="Arial" w:hAnsi="Arial" w:cs="Arial"/>
              </w:rPr>
              <w:t xml:space="preserve"> and 12.98 mg/m</w:t>
            </w:r>
            <w:r w:rsidRPr="004F396A">
              <w:rPr>
                <w:rStyle w:val="checkbox"/>
                <w:rFonts w:ascii="Arial" w:hAnsi="Arial" w:cs="Arial"/>
                <w:vertAlign w:val="superscript"/>
              </w:rPr>
              <w:t>3</w:t>
            </w:r>
            <w:r w:rsidRPr="007E42E3">
              <w:rPr>
                <w:rStyle w:val="checkbox"/>
                <w:rFonts w:ascii="Arial" w:hAnsi="Arial" w:cs="Arial"/>
              </w:rPr>
              <w:t xml:space="preserve">, </w:t>
            </w:r>
            <w:r w:rsidRPr="007E42E3">
              <w:rPr>
                <w:rStyle w:val="checkbox"/>
                <w:rFonts w:ascii="Arial" w:hAnsi="Arial"/>
              </w:rPr>
              <w:t>6 h/d, 5 d/wk,</w:t>
            </w:r>
            <w:r w:rsidRPr="007E42E3">
              <w:rPr>
                <w:rStyle w:val="checkbox"/>
                <w:rFonts w:ascii="Arial" w:hAnsi="Arial" w:cs="Arial"/>
              </w:rPr>
              <w:t xml:space="preserve">13 </w:t>
            </w:r>
            <w:proofErr w:type="spellStart"/>
            <w:r w:rsidRPr="007E42E3">
              <w:rPr>
                <w:rStyle w:val="checkbox"/>
                <w:rFonts w:ascii="Arial" w:hAnsi="Arial" w:cs="Arial"/>
              </w:rPr>
              <w:t>wk</w:t>
            </w:r>
            <w:proofErr w:type="spellEnd"/>
            <w:r>
              <w:rPr>
                <w:rStyle w:val="checkbox"/>
                <w:rFonts w:ascii="Arial" w:hAnsi="Arial" w:cs="Arial"/>
              </w:rPr>
              <w:t>):</w:t>
            </w:r>
          </w:p>
          <w:p w14:paraId="0684ADFD" w14:textId="6F3A19FD" w:rsidR="00B10EF7" w:rsidRDefault="00B10EF7" w:rsidP="001E4FF8">
            <w:pPr>
              <w:pStyle w:val="ListBullet"/>
              <w:numPr>
                <w:ilvl w:val="0"/>
                <w:numId w:val="4"/>
              </w:numPr>
              <w:spacing w:after="0"/>
              <w:ind w:hanging="357"/>
              <w:contextualSpacing w:val="0"/>
              <w:rPr>
                <w:rStyle w:val="checkbox"/>
                <w:rFonts w:ascii="Arial" w:hAnsi="Arial" w:cs="Arial"/>
              </w:rPr>
            </w:pPr>
            <w:r>
              <w:rPr>
                <w:rStyle w:val="checkbox"/>
                <w:rFonts w:ascii="Arial" w:hAnsi="Arial" w:cs="Arial"/>
              </w:rPr>
              <w:t>NOAEL: 0.6 mg/m</w:t>
            </w:r>
            <w:r>
              <w:rPr>
                <w:rStyle w:val="checkbox"/>
                <w:rFonts w:ascii="Arial" w:hAnsi="Arial" w:cs="Arial"/>
                <w:vertAlign w:val="superscript"/>
              </w:rPr>
              <w:t>3</w:t>
            </w:r>
            <w:r>
              <w:rPr>
                <w:rStyle w:val="checkbox"/>
                <w:rFonts w:ascii="Arial" w:hAnsi="Arial" w:cs="Arial"/>
              </w:rPr>
              <w:t xml:space="preserve"> </w:t>
            </w:r>
            <w:r w:rsidR="00AD1605">
              <w:rPr>
                <w:rStyle w:val="checkbox"/>
                <w:rFonts w:ascii="Arial" w:hAnsi="Arial" w:cs="Arial"/>
              </w:rPr>
              <w:t xml:space="preserve">for signs of toxicity </w:t>
            </w:r>
          </w:p>
          <w:p w14:paraId="74A1D9C7" w14:textId="4546087E" w:rsidR="008E5173" w:rsidRPr="00280D04" w:rsidRDefault="00E8465F" w:rsidP="001E4FF8">
            <w:pPr>
              <w:pStyle w:val="ListBullet"/>
              <w:numPr>
                <w:ilvl w:val="0"/>
                <w:numId w:val="4"/>
              </w:numPr>
              <w:spacing w:before="0" w:after="0"/>
              <w:ind w:hanging="357"/>
              <w:contextualSpacing w:val="0"/>
              <w:rPr>
                <w:rFonts w:cs="Arial"/>
              </w:rPr>
            </w:pPr>
            <w:r>
              <w:rPr>
                <w:rStyle w:val="checkbox"/>
                <w:rFonts w:ascii="Arial" w:hAnsi="Arial" w:cs="Arial"/>
              </w:rPr>
              <w:t>r</w:t>
            </w:r>
            <w:r w:rsidR="00274C1F">
              <w:rPr>
                <w:rStyle w:val="checkbox"/>
                <w:rFonts w:ascii="Arial" w:hAnsi="Arial" w:cs="Arial"/>
              </w:rPr>
              <w:t xml:space="preserve">ales and adverse changes to lung, trachea, larynx and nasal passages </w:t>
            </w:r>
            <w:r w:rsidR="00274C1F">
              <w:rPr>
                <w:rFonts w:cs="Arial"/>
                <w:color w:val="262626"/>
              </w:rPr>
              <w:t xml:space="preserve">reported </w:t>
            </w:r>
            <w:r w:rsidR="00274C1F">
              <w:rPr>
                <w:rStyle w:val="checkbox"/>
                <w:rFonts w:ascii="Arial" w:hAnsi="Arial" w:cs="Arial"/>
              </w:rPr>
              <w:t xml:space="preserve">in </w:t>
            </w:r>
            <w:r w:rsidR="00274C1F">
              <w:rPr>
                <w:rFonts w:cs="Arial"/>
                <w:color w:val="262626"/>
              </w:rPr>
              <w:t>male r</w:t>
            </w:r>
            <w:r w:rsidR="00274C1F">
              <w:rPr>
                <w:color w:val="262626"/>
              </w:rPr>
              <w:t>ats</w:t>
            </w:r>
            <w:r w:rsidR="00274C1F">
              <w:rPr>
                <w:rFonts w:cs="Arial"/>
                <w:color w:val="262626"/>
              </w:rPr>
              <w:t xml:space="preserve"> after </w:t>
            </w:r>
            <w:proofErr w:type="spellStart"/>
            <w:r w:rsidR="00274C1F">
              <w:rPr>
                <w:rFonts w:cs="Arial"/>
                <w:color w:val="262626"/>
              </w:rPr>
              <w:t>wk</w:t>
            </w:r>
            <w:proofErr w:type="spellEnd"/>
            <w:r w:rsidR="00274C1F">
              <w:rPr>
                <w:rFonts w:cs="Arial"/>
                <w:color w:val="262626"/>
              </w:rPr>
              <w:t xml:space="preserve"> 1 </w:t>
            </w:r>
            <w:r w:rsidR="00274C1F">
              <w:rPr>
                <w:rStyle w:val="checkbox"/>
                <w:rFonts w:ascii="Arial" w:hAnsi="Arial" w:cs="Arial"/>
              </w:rPr>
              <w:t xml:space="preserve">at </w:t>
            </w:r>
            <w:r w:rsidR="00274C1F">
              <w:rPr>
                <w:rFonts w:cs="Arial"/>
                <w:color w:val="262626"/>
              </w:rPr>
              <w:t>15 mg/m</w:t>
            </w:r>
            <w:r w:rsidR="00274C1F">
              <w:rPr>
                <w:rFonts w:cs="Arial"/>
                <w:color w:val="262626"/>
                <w:vertAlign w:val="superscript"/>
              </w:rPr>
              <w:t>3</w:t>
            </w:r>
            <w:r w:rsidR="00274C1F">
              <w:rPr>
                <w:color w:val="262626"/>
              </w:rPr>
              <w:t xml:space="preserve"> </w:t>
            </w:r>
          </w:p>
          <w:p w14:paraId="629823CF" w14:textId="2AC0A856" w:rsidR="008E5173" w:rsidRPr="00280D04" w:rsidRDefault="00A51A07" w:rsidP="001E4FF8">
            <w:pPr>
              <w:pStyle w:val="ListBullet"/>
              <w:numPr>
                <w:ilvl w:val="0"/>
                <w:numId w:val="4"/>
              </w:numPr>
              <w:spacing w:before="0" w:after="0"/>
              <w:ind w:hanging="357"/>
              <w:contextualSpacing w:val="0"/>
            </w:pPr>
            <w:r w:rsidRPr="00280D04">
              <w:t xml:space="preserve">4 </w:t>
            </w:r>
            <w:r w:rsidRPr="001E4FF8">
              <w:rPr>
                <w:rStyle w:val="checkbox"/>
                <w:rFonts w:ascii="Arial" w:hAnsi="Arial" w:cs="Arial"/>
              </w:rPr>
              <w:t>males</w:t>
            </w:r>
            <w:r w:rsidRPr="00280D04">
              <w:t xml:space="preserve"> </w:t>
            </w:r>
            <w:r w:rsidR="00764511" w:rsidRPr="00280D04">
              <w:t>die</w:t>
            </w:r>
            <w:r w:rsidR="00764511">
              <w:t>d</w:t>
            </w:r>
            <w:r w:rsidR="00764511" w:rsidRPr="00280D04">
              <w:t xml:space="preserve"> </w:t>
            </w:r>
            <w:r w:rsidRPr="00280D04">
              <w:t xml:space="preserve">in </w:t>
            </w:r>
            <w:proofErr w:type="spellStart"/>
            <w:r w:rsidRPr="00280D04">
              <w:t>wk</w:t>
            </w:r>
            <w:proofErr w:type="spellEnd"/>
            <w:r w:rsidRPr="00280D04">
              <w:t xml:space="preserve"> 5 and 13</w:t>
            </w:r>
            <w:r w:rsidR="00E8465F">
              <w:t xml:space="preserve"> at </w:t>
            </w:r>
            <w:r w:rsidR="00764511">
              <w:rPr>
                <w:rFonts w:cs="Arial"/>
                <w:color w:val="262626"/>
              </w:rPr>
              <w:t>15 mg/m</w:t>
            </w:r>
            <w:r w:rsidR="00764511">
              <w:rPr>
                <w:rFonts w:cs="Arial"/>
                <w:color w:val="262626"/>
                <w:vertAlign w:val="superscript"/>
              </w:rPr>
              <w:t>3</w:t>
            </w:r>
            <w:r w:rsidR="00764511">
              <w:t xml:space="preserve"> (</w:t>
            </w:r>
            <w:r w:rsidR="00E8465F">
              <w:t xml:space="preserve">12.98 </w:t>
            </w:r>
            <w:r w:rsidR="00E8465F">
              <w:rPr>
                <w:rFonts w:cs="Arial"/>
              </w:rPr>
              <w:t>µ</w:t>
            </w:r>
            <w:r w:rsidR="00E8465F">
              <w:t>g/L</w:t>
            </w:r>
            <w:r w:rsidR="00764511">
              <w:t>)</w:t>
            </w:r>
          </w:p>
          <w:p w14:paraId="2B136B5F" w14:textId="0C9C7C52" w:rsidR="00D41DA6" w:rsidRPr="00280D04" w:rsidRDefault="00A51A07" w:rsidP="001E4FF8">
            <w:pPr>
              <w:pStyle w:val="ListBullet"/>
              <w:numPr>
                <w:ilvl w:val="0"/>
                <w:numId w:val="4"/>
              </w:numPr>
              <w:spacing w:before="0" w:after="0"/>
              <w:ind w:hanging="357"/>
              <w:contextualSpacing w:val="0"/>
            </w:pPr>
            <w:r w:rsidRPr="00280D04">
              <w:rPr>
                <w:rStyle w:val="checkbox"/>
                <w:rFonts w:ascii="Arial" w:hAnsi="Arial" w:cs="Arial"/>
              </w:rPr>
              <w:t>effects</w:t>
            </w:r>
            <w:r w:rsidRPr="00280D04">
              <w:t xml:space="preserve"> observed in</w:t>
            </w:r>
            <w:r w:rsidR="00194E8B" w:rsidRPr="00280D04">
              <w:t xml:space="preserve"> lung</w:t>
            </w:r>
            <w:r w:rsidRPr="00280D04">
              <w:t>s and</w:t>
            </w:r>
            <w:r w:rsidR="00194E8B" w:rsidRPr="00280D04">
              <w:t xml:space="preserve"> nasal passage</w:t>
            </w:r>
            <w:r w:rsidRPr="00280D04">
              <w:t>s</w:t>
            </w:r>
            <w:r w:rsidR="00194E8B" w:rsidRPr="00280D04">
              <w:t xml:space="preserve"> were reversible</w:t>
            </w:r>
            <w:r w:rsidRPr="00280D04">
              <w:t xml:space="preserve"> after 4 </w:t>
            </w:r>
            <w:proofErr w:type="spellStart"/>
            <w:r w:rsidRPr="00280D04">
              <w:t>wk</w:t>
            </w:r>
            <w:proofErr w:type="spellEnd"/>
            <w:r w:rsidR="00D41DA6" w:rsidRPr="00280D04">
              <w:t xml:space="preserve"> </w:t>
            </w:r>
          </w:p>
          <w:p w14:paraId="64D5739D" w14:textId="6A5A0C8F" w:rsidR="008E5173" w:rsidRPr="0081763A" w:rsidRDefault="00D41DA6" w:rsidP="003D414C">
            <w:pPr>
              <w:pStyle w:val="Tablefont"/>
              <w:numPr>
                <w:ilvl w:val="0"/>
                <w:numId w:val="2"/>
              </w:numPr>
              <w:ind w:left="357" w:hanging="357"/>
              <w:contextualSpacing/>
              <w:rPr>
                <w:rStyle w:val="checkbox"/>
                <w:rFonts w:ascii="Arial" w:hAnsi="Arial" w:cs="Arial"/>
              </w:rPr>
            </w:pPr>
            <w:r w:rsidRPr="0081763A">
              <w:t>NOAEL</w:t>
            </w:r>
            <w:r w:rsidRPr="0081763A">
              <w:rPr>
                <w:rStyle w:val="checkbox"/>
                <w:rFonts w:ascii="Arial" w:hAnsi="Arial" w:cs="Arial"/>
              </w:rPr>
              <w:t>: 110 mg/kg/d for systemic toxicity in repeat dermal study (rabbits, 6 h/d, 21 d)</w:t>
            </w:r>
          </w:p>
          <w:p w14:paraId="230AF8A6" w14:textId="60DD9CEB" w:rsidR="000A3086" w:rsidRPr="0081763A" w:rsidRDefault="00D41DA6" w:rsidP="001E4FF8">
            <w:pPr>
              <w:pStyle w:val="ListBullet"/>
              <w:numPr>
                <w:ilvl w:val="0"/>
                <w:numId w:val="4"/>
              </w:numPr>
              <w:spacing w:after="0"/>
              <w:ind w:hanging="357"/>
              <w:contextualSpacing w:val="0"/>
              <w:rPr>
                <w:rStyle w:val="checkbox"/>
                <w:rFonts w:ascii="Arial" w:hAnsi="Arial" w:cs="Arial"/>
              </w:rPr>
            </w:pPr>
            <w:r w:rsidRPr="0081763A">
              <w:rPr>
                <w:rStyle w:val="checkbox"/>
                <w:rFonts w:ascii="Arial" w:hAnsi="Arial" w:cs="Arial"/>
              </w:rPr>
              <w:t>NOAEL of 12.5 mg/m</w:t>
            </w:r>
            <w:r w:rsidRPr="0081763A">
              <w:rPr>
                <w:rStyle w:val="checkbox"/>
                <w:rFonts w:ascii="Arial" w:hAnsi="Arial" w:cs="Arial"/>
                <w:vertAlign w:val="superscript"/>
              </w:rPr>
              <w:t>3</w:t>
            </w:r>
            <w:r w:rsidRPr="0081763A">
              <w:rPr>
                <w:rStyle w:val="checkbox"/>
                <w:rFonts w:ascii="Arial" w:hAnsi="Arial" w:cs="Arial"/>
              </w:rPr>
              <w:t xml:space="preserve"> for </w:t>
            </w:r>
            <w:r w:rsidRPr="0081763A">
              <w:t>local</w:t>
            </w:r>
            <w:r w:rsidRPr="0081763A">
              <w:rPr>
                <w:rStyle w:val="checkbox"/>
                <w:rFonts w:ascii="Arial" w:hAnsi="Arial" w:cs="Arial"/>
              </w:rPr>
              <w:t xml:space="preserve"> skin effects</w:t>
            </w:r>
            <w:r w:rsidR="001E4FF8">
              <w:rPr>
                <w:rStyle w:val="checkbox"/>
                <w:rFonts w:ascii="Arial" w:hAnsi="Arial" w:cs="Arial"/>
              </w:rPr>
              <w:t>.</w:t>
            </w:r>
          </w:p>
          <w:p w14:paraId="76F1C9AC" w14:textId="77777777" w:rsidR="00D41DA6" w:rsidRPr="0081763A" w:rsidRDefault="00D41DA6" w:rsidP="00D41DA6">
            <w:pPr>
              <w:pStyle w:val="Tablefont"/>
              <w:rPr>
                <w:rStyle w:val="checkbox"/>
                <w:rFonts w:ascii="Arial" w:hAnsi="Arial" w:cs="Arial"/>
              </w:rPr>
            </w:pPr>
            <w:r w:rsidRPr="0081763A">
              <w:rPr>
                <w:rStyle w:val="checkbox"/>
                <w:rFonts w:ascii="Arial" w:hAnsi="Arial" w:cs="Arial"/>
              </w:rPr>
              <w:t>Carcinogenicity:</w:t>
            </w:r>
          </w:p>
          <w:p w14:paraId="3C48A207" w14:textId="77777777" w:rsidR="008E5173" w:rsidRPr="0081763A" w:rsidRDefault="000A096F" w:rsidP="003D414C">
            <w:pPr>
              <w:pStyle w:val="Tablefont"/>
              <w:numPr>
                <w:ilvl w:val="0"/>
                <w:numId w:val="2"/>
              </w:numPr>
              <w:ind w:left="357" w:hanging="357"/>
              <w:contextualSpacing/>
              <w:rPr>
                <w:rStyle w:val="checkbox"/>
                <w:rFonts w:ascii="Arial" w:hAnsi="Arial" w:cs="Arial"/>
              </w:rPr>
            </w:pPr>
            <w:r w:rsidRPr="0081763A">
              <w:t>Carcinogenic</w:t>
            </w:r>
            <w:r w:rsidRPr="0081763A">
              <w:rPr>
                <w:rStyle w:val="checkbox"/>
                <w:rFonts w:ascii="Arial" w:hAnsi="Arial" w:cs="Arial"/>
              </w:rPr>
              <w:t xml:space="preserve"> mechanism of action not fully understood</w:t>
            </w:r>
          </w:p>
          <w:p w14:paraId="34D2D5BA" w14:textId="255652DA" w:rsidR="000A096F" w:rsidRPr="0081763A" w:rsidRDefault="000A096F" w:rsidP="003D414C">
            <w:pPr>
              <w:pStyle w:val="ListBullet"/>
              <w:numPr>
                <w:ilvl w:val="0"/>
                <w:numId w:val="4"/>
              </w:numPr>
              <w:spacing w:before="0" w:after="0"/>
              <w:ind w:hanging="357"/>
              <w:contextualSpacing w:val="0"/>
              <w:rPr>
                <w:rStyle w:val="checkbox"/>
                <w:rFonts w:ascii="Arial" w:hAnsi="Arial" w:cs="Arial"/>
              </w:rPr>
            </w:pPr>
            <w:r w:rsidRPr="0081763A">
              <w:rPr>
                <w:rStyle w:val="checkbox"/>
                <w:rFonts w:ascii="Arial" w:hAnsi="Arial" w:cs="Arial"/>
              </w:rPr>
              <w:t xml:space="preserve">toxic metabolite, </w:t>
            </w:r>
            <w:proofErr w:type="spellStart"/>
            <w:r w:rsidRPr="0081763A">
              <w:rPr>
                <w:rStyle w:val="checkbox"/>
                <w:rFonts w:ascii="Arial" w:hAnsi="Arial" w:cs="Arial"/>
              </w:rPr>
              <w:t>thiophosgene</w:t>
            </w:r>
            <w:proofErr w:type="spellEnd"/>
            <w:r w:rsidRPr="0081763A">
              <w:rPr>
                <w:rStyle w:val="checkbox"/>
                <w:rFonts w:ascii="Arial" w:hAnsi="Arial" w:cs="Arial"/>
              </w:rPr>
              <w:t>, implicated from chronic intestinal irritation reported in mouse dietary studies</w:t>
            </w:r>
          </w:p>
          <w:p w14:paraId="175E1F5B" w14:textId="437081C5" w:rsidR="004966BF" w:rsidRPr="0081763A" w:rsidRDefault="00A51A07" w:rsidP="003D414C">
            <w:pPr>
              <w:pStyle w:val="Tablefont"/>
              <w:numPr>
                <w:ilvl w:val="0"/>
                <w:numId w:val="2"/>
              </w:numPr>
              <w:ind w:left="357" w:hanging="357"/>
              <w:contextualSpacing/>
              <w:rPr>
                <w:rStyle w:val="checkbox"/>
                <w:rFonts w:ascii="Arial" w:hAnsi="Arial" w:cs="Arial"/>
              </w:rPr>
            </w:pPr>
            <w:r w:rsidRPr="0081763A">
              <w:rPr>
                <w:rStyle w:val="checkbox"/>
                <w:rFonts w:ascii="Arial" w:hAnsi="Arial" w:cs="Arial"/>
              </w:rPr>
              <w:t>Dose-related increase in thyroid adenomas in repeat feeding study</w:t>
            </w:r>
            <w:r w:rsidR="007F0344" w:rsidRPr="0081763A">
              <w:rPr>
                <w:rStyle w:val="checkbox"/>
                <w:rFonts w:ascii="Arial" w:hAnsi="Arial" w:cs="Arial"/>
              </w:rPr>
              <w:t xml:space="preserve"> </w:t>
            </w:r>
            <w:r w:rsidRPr="0081763A">
              <w:rPr>
                <w:rStyle w:val="checkbox"/>
                <w:rFonts w:ascii="Arial" w:hAnsi="Arial" w:cs="Arial"/>
              </w:rPr>
              <w:t xml:space="preserve">(rats, </w:t>
            </w:r>
            <w:r w:rsidR="00B666FD" w:rsidRPr="0081763A">
              <w:rPr>
                <w:rStyle w:val="checkbox"/>
                <w:rFonts w:ascii="Arial" w:hAnsi="Arial" w:cs="Arial"/>
              </w:rPr>
              <w:t>n=50/sex/dose</w:t>
            </w:r>
            <w:r w:rsidRPr="0081763A">
              <w:rPr>
                <w:rStyle w:val="checkbox"/>
                <w:rFonts w:ascii="Arial" w:hAnsi="Arial" w:cs="Arial"/>
              </w:rPr>
              <w:t xml:space="preserve">, 62 </w:t>
            </w:r>
            <w:proofErr w:type="spellStart"/>
            <w:r w:rsidRPr="0081763A">
              <w:rPr>
                <w:rStyle w:val="checkbox"/>
                <w:rFonts w:ascii="Arial" w:hAnsi="Arial" w:cs="Arial"/>
              </w:rPr>
              <w:t>wk</w:t>
            </w:r>
            <w:proofErr w:type="spellEnd"/>
            <w:r w:rsidR="007F0344" w:rsidRPr="0081763A">
              <w:rPr>
                <w:rStyle w:val="checkbox"/>
                <w:rFonts w:ascii="Arial" w:hAnsi="Arial" w:cs="Arial"/>
              </w:rPr>
              <w:t>)</w:t>
            </w:r>
          </w:p>
          <w:p w14:paraId="10E5B749" w14:textId="4E2F2A0C" w:rsidR="000A3086" w:rsidRPr="00D41DA6" w:rsidRDefault="007F0344" w:rsidP="003D414C">
            <w:pPr>
              <w:pStyle w:val="Tablefont"/>
              <w:numPr>
                <w:ilvl w:val="0"/>
                <w:numId w:val="2"/>
              </w:numPr>
              <w:ind w:left="357" w:hanging="357"/>
              <w:contextualSpacing/>
              <w:rPr>
                <w:rStyle w:val="checkbox"/>
                <w:rFonts w:ascii="Arial" w:hAnsi="Arial" w:cs="Arial"/>
              </w:rPr>
            </w:pPr>
            <w:r w:rsidRPr="0081763A">
              <w:t>Mutagenic</w:t>
            </w:r>
            <w:r w:rsidRPr="0081763A">
              <w:rPr>
                <w:rStyle w:val="checkbox"/>
                <w:rFonts w:ascii="Arial" w:hAnsi="Arial" w:cs="Arial"/>
              </w:rPr>
              <w:t xml:space="preserve"> in Chinese hamster V79 lung cells and human lymphocytes</w:t>
            </w:r>
            <w:r w:rsidR="00D41DA6" w:rsidRPr="0081763A">
              <w:rPr>
                <w:rStyle w:val="checkbox"/>
                <w:rFonts w:ascii="Arial" w:hAnsi="Arial" w:cs="Arial"/>
              </w:rPr>
              <w:t>.</w:t>
            </w:r>
          </w:p>
        </w:tc>
      </w:tr>
      <w:tr w:rsidR="004966BF" w:rsidRPr="004C23F4" w14:paraId="1DE2BD50" w14:textId="77777777" w:rsidTr="00B36376">
        <w:trPr>
          <w:cantSplit/>
        </w:trPr>
        <w:tc>
          <w:tcPr>
            <w:tcW w:w="1494" w:type="dxa"/>
          </w:tcPr>
          <w:p w14:paraId="59DD7508" w14:textId="77777777" w:rsidR="004966BF" w:rsidRPr="004C23F4" w:rsidRDefault="004966BF" w:rsidP="00224EE2">
            <w:pPr>
              <w:pStyle w:val="Tablefont"/>
            </w:pPr>
            <w:r>
              <w:t>IARC</w:t>
            </w:r>
          </w:p>
        </w:tc>
        <w:tc>
          <w:tcPr>
            <w:tcW w:w="422" w:type="dxa"/>
          </w:tcPr>
          <w:p w14:paraId="1FDFA3C7" w14:textId="77777777" w:rsidR="004966BF" w:rsidRPr="00CE617F" w:rsidRDefault="00617968" w:rsidP="00AB43C4">
            <w:pPr>
              <w:spacing w:before="40"/>
              <w:jc w:val="center"/>
              <w:rPr>
                <w:rStyle w:val="checkbox"/>
              </w:rPr>
            </w:pPr>
            <w:sdt>
              <w:sdtPr>
                <w:rPr>
                  <w:rStyle w:val="checkbox"/>
                </w:rPr>
                <w:id w:val="1592279139"/>
                <w:placeholder>
                  <w:docPart w:val="20BC8D26515A4C11AC6304FB75A7CBAD"/>
                </w:placeholder>
                <w:dropDownList>
                  <w:listItem w:displayText="" w:value=""/>
                  <w:listItem w:displayText="" w:value=""/>
                  <w:listItem w:displayText="" w:value=""/>
                </w:dropDownList>
              </w:sdtPr>
              <w:sdtEndPr>
                <w:rPr>
                  <w:rStyle w:val="checkbox"/>
                </w:rPr>
              </w:sdtEndPr>
              <w:sdtContent>
                <w:r w:rsidR="00041928">
                  <w:rPr>
                    <w:rStyle w:val="checkbox"/>
                  </w:rPr>
                  <w:t></w:t>
                </w:r>
              </w:sdtContent>
            </w:sdt>
          </w:p>
        </w:tc>
        <w:tc>
          <w:tcPr>
            <w:tcW w:w="661" w:type="dxa"/>
          </w:tcPr>
          <w:p w14:paraId="619AC409" w14:textId="77777777" w:rsidR="004966BF" w:rsidRPr="004C23F4" w:rsidRDefault="00057122" w:rsidP="00717D45">
            <w:pPr>
              <w:pStyle w:val="Tablefont"/>
              <w:rPr>
                <w:rStyle w:val="checkbox"/>
                <w:rFonts w:ascii="Arial" w:hAnsi="Arial" w:cs="Arial"/>
              </w:rPr>
            </w:pPr>
            <w:r>
              <w:rPr>
                <w:rStyle w:val="checkbox"/>
                <w:rFonts w:ascii="Arial" w:hAnsi="Arial" w:cs="Arial"/>
              </w:rPr>
              <w:t>1983</w:t>
            </w:r>
          </w:p>
        </w:tc>
        <w:tc>
          <w:tcPr>
            <w:tcW w:w="6449" w:type="dxa"/>
          </w:tcPr>
          <w:p w14:paraId="095F76B3" w14:textId="77777777" w:rsidR="00D41DA6" w:rsidRPr="0081763A" w:rsidRDefault="00D41DA6" w:rsidP="003D414C">
            <w:pPr>
              <w:pStyle w:val="Tablefont"/>
              <w:numPr>
                <w:ilvl w:val="0"/>
                <w:numId w:val="2"/>
              </w:numPr>
              <w:ind w:left="357" w:hanging="357"/>
              <w:contextualSpacing/>
              <w:rPr>
                <w:rFonts w:cs="Arial"/>
              </w:rPr>
            </w:pPr>
            <w:r w:rsidRPr="0081763A">
              <w:rPr>
                <w:rFonts w:cs="Arial"/>
              </w:rPr>
              <w:t xml:space="preserve">No case reports and epidemiological studies of carcinogenicity in humans available </w:t>
            </w:r>
          </w:p>
          <w:p w14:paraId="2E5953F2" w14:textId="77777777" w:rsidR="00D41DA6" w:rsidRPr="0081763A" w:rsidRDefault="00D41DA6" w:rsidP="003D414C">
            <w:pPr>
              <w:pStyle w:val="Tablefont"/>
              <w:numPr>
                <w:ilvl w:val="0"/>
                <w:numId w:val="2"/>
              </w:numPr>
              <w:ind w:left="357" w:hanging="357"/>
              <w:contextualSpacing/>
              <w:rPr>
                <w:rFonts w:cs="Arial"/>
              </w:rPr>
            </w:pPr>
            <w:r w:rsidRPr="0081763A">
              <w:rPr>
                <w:rFonts w:cs="Arial"/>
              </w:rPr>
              <w:t>E</w:t>
            </w:r>
            <w:r w:rsidR="00041928" w:rsidRPr="0081763A">
              <w:rPr>
                <w:rFonts w:cs="Arial"/>
              </w:rPr>
              <w:t xml:space="preserve">xperiments in mice provide </w:t>
            </w:r>
            <w:r w:rsidRPr="0081763A">
              <w:rPr>
                <w:rFonts w:cs="Arial"/>
              </w:rPr>
              <w:t>limited evidence for carcinogenicity</w:t>
            </w:r>
          </w:p>
          <w:p w14:paraId="33F6371E" w14:textId="77777777" w:rsidR="004966BF" w:rsidRPr="0081763A" w:rsidRDefault="00D41DA6" w:rsidP="003D414C">
            <w:pPr>
              <w:pStyle w:val="Tablefont"/>
              <w:numPr>
                <w:ilvl w:val="0"/>
                <w:numId w:val="2"/>
              </w:numPr>
              <w:ind w:left="357" w:hanging="357"/>
              <w:contextualSpacing/>
              <w:rPr>
                <w:rFonts w:cs="Arial"/>
              </w:rPr>
            </w:pPr>
            <w:r w:rsidRPr="0081763A">
              <w:rPr>
                <w:rFonts w:cs="Arial"/>
              </w:rPr>
              <w:t>Available data</w:t>
            </w:r>
            <w:r w:rsidR="00041928" w:rsidRPr="0081763A">
              <w:rPr>
                <w:rFonts w:cs="Arial"/>
              </w:rPr>
              <w:t xml:space="preserve"> insufficient to evaluate the carcinogenicity </w:t>
            </w:r>
            <w:r w:rsidRPr="0081763A">
              <w:rPr>
                <w:rFonts w:cs="Arial"/>
              </w:rPr>
              <w:t>in humans</w:t>
            </w:r>
          </w:p>
          <w:p w14:paraId="07AD4954" w14:textId="026CF324" w:rsidR="00057122" w:rsidRPr="0081763A" w:rsidRDefault="00D41DA6" w:rsidP="003D414C">
            <w:pPr>
              <w:pStyle w:val="Tablefont"/>
              <w:numPr>
                <w:ilvl w:val="0"/>
                <w:numId w:val="2"/>
              </w:numPr>
              <w:ind w:left="357" w:hanging="357"/>
              <w:contextualSpacing/>
              <w:rPr>
                <w:rStyle w:val="checkbox"/>
                <w:rFonts w:ascii="Arial" w:hAnsi="Arial" w:cs="Arial"/>
              </w:rPr>
            </w:pPr>
            <w:r w:rsidRPr="0081763A">
              <w:rPr>
                <w:rFonts w:cs="Arial"/>
              </w:rPr>
              <w:t>Low</w:t>
            </w:r>
            <w:r w:rsidR="00057122" w:rsidRPr="0081763A">
              <w:rPr>
                <w:rFonts w:cs="Arial"/>
              </w:rPr>
              <w:t xml:space="preserve"> </w:t>
            </w:r>
            <w:proofErr w:type="spellStart"/>
            <w:r w:rsidR="00057122" w:rsidRPr="0081763A">
              <w:rPr>
                <w:rFonts w:cs="Arial"/>
              </w:rPr>
              <w:t>embryotoxic</w:t>
            </w:r>
            <w:proofErr w:type="spellEnd"/>
            <w:r w:rsidR="00057122" w:rsidRPr="0081763A">
              <w:rPr>
                <w:rFonts w:cs="Arial"/>
              </w:rPr>
              <w:t xml:space="preserve"> or teratogenic potential in mice </w:t>
            </w:r>
            <w:r w:rsidR="00912A2A" w:rsidRPr="0081763A">
              <w:rPr>
                <w:rFonts w:cs="Arial"/>
              </w:rPr>
              <w:t>and</w:t>
            </w:r>
            <w:r w:rsidR="00057122" w:rsidRPr="0081763A">
              <w:rPr>
                <w:rFonts w:cs="Arial"/>
              </w:rPr>
              <w:t xml:space="preserve"> rats at maternally tolerated doses. </w:t>
            </w:r>
          </w:p>
        </w:tc>
      </w:tr>
      <w:tr w:rsidR="004966BF" w:rsidRPr="004C23F4" w14:paraId="115B123C" w14:textId="77777777" w:rsidTr="00280D04">
        <w:tc>
          <w:tcPr>
            <w:tcW w:w="1494" w:type="dxa"/>
          </w:tcPr>
          <w:p w14:paraId="1E855678" w14:textId="4D3F230C" w:rsidR="004966BF" w:rsidRPr="004C23F4" w:rsidRDefault="004966BF" w:rsidP="00224EE2">
            <w:pPr>
              <w:pStyle w:val="Tablefont"/>
            </w:pPr>
            <w:r>
              <w:t>US EPA</w:t>
            </w:r>
          </w:p>
        </w:tc>
        <w:tc>
          <w:tcPr>
            <w:tcW w:w="422" w:type="dxa"/>
          </w:tcPr>
          <w:p w14:paraId="7C52FA1B" w14:textId="77777777" w:rsidR="004966BF" w:rsidRPr="00CE617F" w:rsidRDefault="00617968" w:rsidP="00AB43C4">
            <w:pPr>
              <w:spacing w:before="40"/>
              <w:jc w:val="center"/>
              <w:rPr>
                <w:rStyle w:val="checkbox"/>
              </w:rPr>
            </w:pPr>
            <w:sdt>
              <w:sdtPr>
                <w:rPr>
                  <w:rStyle w:val="checkbox"/>
                </w:rPr>
                <w:id w:val="1015498594"/>
                <w:placeholder>
                  <w:docPart w:val="CFFDE270CB50461B826B0194984892C5"/>
                </w:placeholder>
                <w:dropDownList>
                  <w:listItem w:displayText="" w:value=""/>
                  <w:listItem w:displayText="" w:value=""/>
                  <w:listItem w:displayText="" w:value=""/>
                </w:dropDownList>
              </w:sdtPr>
              <w:sdtEndPr>
                <w:rPr>
                  <w:rStyle w:val="checkbox"/>
                </w:rPr>
              </w:sdtEndPr>
              <w:sdtContent>
                <w:r w:rsidR="00BB195B">
                  <w:rPr>
                    <w:rStyle w:val="checkbox"/>
                  </w:rPr>
                  <w:t></w:t>
                </w:r>
              </w:sdtContent>
            </w:sdt>
          </w:p>
        </w:tc>
        <w:tc>
          <w:tcPr>
            <w:tcW w:w="661" w:type="dxa"/>
          </w:tcPr>
          <w:p w14:paraId="1651C6B6" w14:textId="77777777" w:rsidR="004966BF" w:rsidRPr="004C23F4" w:rsidRDefault="004966BF" w:rsidP="00717D45">
            <w:pPr>
              <w:pStyle w:val="Tablefont"/>
              <w:rPr>
                <w:rStyle w:val="checkbox"/>
                <w:rFonts w:ascii="Arial" w:hAnsi="Arial" w:cs="Arial"/>
              </w:rPr>
            </w:pPr>
          </w:p>
        </w:tc>
        <w:tc>
          <w:tcPr>
            <w:tcW w:w="6449" w:type="dxa"/>
          </w:tcPr>
          <w:p w14:paraId="5A40F2FB" w14:textId="1F447135" w:rsidR="00D41DA6" w:rsidRPr="0081763A" w:rsidRDefault="006C0B7B" w:rsidP="0012243B">
            <w:pPr>
              <w:pStyle w:val="Tablefont"/>
              <w:rPr>
                <w:rStyle w:val="checkbox"/>
                <w:rFonts w:ascii="Arial" w:hAnsi="Arial" w:cs="Arial"/>
              </w:rPr>
            </w:pPr>
            <w:r w:rsidRPr="0081763A">
              <w:rPr>
                <w:rStyle w:val="checkbox"/>
                <w:rFonts w:ascii="Arial" w:hAnsi="Arial" w:cs="Arial"/>
              </w:rPr>
              <w:t>Results of s</w:t>
            </w:r>
            <w:r w:rsidR="00D41DA6" w:rsidRPr="0081763A">
              <w:rPr>
                <w:rStyle w:val="checkbox"/>
                <w:rFonts w:ascii="Arial" w:hAnsi="Arial" w:cs="Arial"/>
              </w:rPr>
              <w:t xml:space="preserve">tudies assessed to derive </w:t>
            </w:r>
            <w:proofErr w:type="spellStart"/>
            <w:r w:rsidRPr="0081763A">
              <w:rPr>
                <w:rStyle w:val="checkbox"/>
                <w:rFonts w:ascii="Arial" w:hAnsi="Arial" w:cs="Arial"/>
              </w:rPr>
              <w:t>RfD</w:t>
            </w:r>
            <w:proofErr w:type="spellEnd"/>
            <w:r w:rsidR="00D41DA6" w:rsidRPr="0081763A">
              <w:rPr>
                <w:rStyle w:val="checkbox"/>
                <w:rFonts w:ascii="Arial" w:hAnsi="Arial" w:cs="Arial"/>
              </w:rPr>
              <w:t>:</w:t>
            </w:r>
          </w:p>
          <w:p w14:paraId="7AD03BD9" w14:textId="51F7EA06" w:rsidR="00912A2A" w:rsidRPr="0081763A" w:rsidRDefault="006C0B7B" w:rsidP="003D414C">
            <w:pPr>
              <w:pStyle w:val="Tablefont"/>
              <w:numPr>
                <w:ilvl w:val="0"/>
                <w:numId w:val="2"/>
              </w:numPr>
              <w:ind w:left="357" w:hanging="357"/>
              <w:contextualSpacing/>
              <w:rPr>
                <w:rFonts w:cs="Arial"/>
              </w:rPr>
            </w:pPr>
            <w:r w:rsidRPr="0081763A">
              <w:rPr>
                <w:rFonts w:cs="Arial"/>
              </w:rPr>
              <w:t xml:space="preserve">NOAEL: 25 mg/kg/d </w:t>
            </w:r>
            <w:r w:rsidR="00837CDA" w:rsidRPr="0081763A">
              <w:rPr>
                <w:rFonts w:cs="Arial"/>
              </w:rPr>
              <w:t xml:space="preserve">(highest exposure group) </w:t>
            </w:r>
            <w:r w:rsidRPr="0081763A">
              <w:rPr>
                <w:rFonts w:cs="Arial"/>
              </w:rPr>
              <w:t xml:space="preserve">for </w:t>
            </w:r>
            <w:r w:rsidRPr="0081763A">
              <w:t xml:space="preserve">signs of toxicity, changes in general </w:t>
            </w:r>
            <w:r w:rsidR="00AD1605" w:rsidRPr="0081763A">
              <w:t>behaviour</w:t>
            </w:r>
            <w:r w:rsidRPr="0081763A">
              <w:t xml:space="preserve">, appearance and survival (in parents and pups </w:t>
            </w:r>
            <w:r w:rsidRPr="0081763A">
              <w:rPr>
                <w:rFonts w:cs="Arial"/>
              </w:rPr>
              <w:t>(</w:t>
            </w:r>
            <w:r w:rsidR="008B6C6F" w:rsidRPr="0081763A">
              <w:rPr>
                <w:rFonts w:cs="Arial"/>
              </w:rPr>
              <w:t>rats, 102 d)</w:t>
            </w:r>
          </w:p>
          <w:p w14:paraId="436EDF11" w14:textId="1472DFB9" w:rsidR="00912A2A" w:rsidRPr="0081763A" w:rsidRDefault="008B6C6F" w:rsidP="003D414C">
            <w:pPr>
              <w:pStyle w:val="Tablefont"/>
              <w:numPr>
                <w:ilvl w:val="0"/>
                <w:numId w:val="2"/>
              </w:numPr>
              <w:ind w:left="357" w:hanging="357"/>
              <w:contextualSpacing/>
              <w:rPr>
                <w:rFonts w:cs="Arial"/>
              </w:rPr>
            </w:pPr>
            <w:r w:rsidRPr="0081763A">
              <w:rPr>
                <w:rFonts w:cs="Arial"/>
              </w:rPr>
              <w:t xml:space="preserve">Dose-related </w:t>
            </w:r>
            <w:r w:rsidR="00912A2A" w:rsidRPr="0081763A">
              <w:rPr>
                <w:rFonts w:cs="Arial"/>
              </w:rPr>
              <w:t>b</w:t>
            </w:r>
            <w:r w:rsidR="007D1D5E" w:rsidRPr="0081763A">
              <w:rPr>
                <w:rFonts w:cs="Arial"/>
              </w:rPr>
              <w:t xml:space="preserve">ody </w:t>
            </w:r>
            <w:r w:rsidR="00912A2A" w:rsidRPr="0081763A">
              <w:rPr>
                <w:rFonts w:cs="Arial"/>
              </w:rPr>
              <w:t>w</w:t>
            </w:r>
            <w:r w:rsidR="007D1D5E" w:rsidRPr="0081763A">
              <w:rPr>
                <w:rFonts w:cs="Arial"/>
              </w:rPr>
              <w:t>eight</w:t>
            </w:r>
            <w:r w:rsidRPr="0081763A">
              <w:rPr>
                <w:rFonts w:cs="Arial"/>
              </w:rPr>
              <w:t xml:space="preserve"> and food consumption reduction in 3</w:t>
            </w:r>
            <w:r w:rsidRPr="0081763A">
              <w:rPr>
                <w:rFonts w:cs="Arial"/>
              </w:rPr>
              <w:noBreakHyphen/>
              <w:t>gen</w:t>
            </w:r>
            <w:r w:rsidR="007D1D5E" w:rsidRPr="0081763A">
              <w:rPr>
                <w:rFonts w:cs="Arial"/>
              </w:rPr>
              <w:t>nerational</w:t>
            </w:r>
            <w:r w:rsidRPr="0081763A">
              <w:rPr>
                <w:rFonts w:cs="Arial"/>
              </w:rPr>
              <w:t xml:space="preserve"> feeding study, treatment range: 0</w:t>
            </w:r>
            <w:r w:rsidR="00910E4E" w:rsidRPr="0081763A">
              <w:rPr>
                <w:rFonts w:cs="Arial"/>
              </w:rPr>
              <w:t>–</w:t>
            </w:r>
            <w:r w:rsidRPr="0081763A">
              <w:rPr>
                <w:rFonts w:cs="Arial"/>
              </w:rPr>
              <w:t>500 mg/kg/d (rats)</w:t>
            </w:r>
          </w:p>
          <w:p w14:paraId="59FC7A99" w14:textId="5E4B51D1" w:rsidR="008B6C6F" w:rsidRPr="0081763A" w:rsidRDefault="008B6C6F" w:rsidP="003D414C">
            <w:pPr>
              <w:pStyle w:val="ListBullet"/>
              <w:numPr>
                <w:ilvl w:val="0"/>
                <w:numId w:val="4"/>
              </w:numPr>
              <w:spacing w:before="0" w:after="0"/>
              <w:ind w:hanging="357"/>
              <w:contextualSpacing w:val="0"/>
              <w:rPr>
                <w:rFonts w:cs="Arial"/>
              </w:rPr>
            </w:pPr>
            <w:r w:rsidRPr="0081763A">
              <w:rPr>
                <w:rStyle w:val="checkbox"/>
                <w:rFonts w:ascii="Arial" w:hAnsi="Arial"/>
              </w:rPr>
              <w:t>no</w:t>
            </w:r>
            <w:r w:rsidRPr="0081763A">
              <w:rPr>
                <w:rFonts w:cs="Arial"/>
              </w:rPr>
              <w:t xml:space="preserve"> other measured parameters affected by treatment</w:t>
            </w:r>
          </w:p>
          <w:p w14:paraId="45F82064" w14:textId="6698D6EA" w:rsidR="0012243B" w:rsidRPr="0081763A" w:rsidRDefault="00D41DA6" w:rsidP="003D414C">
            <w:pPr>
              <w:pStyle w:val="Tablefont"/>
              <w:numPr>
                <w:ilvl w:val="0"/>
                <w:numId w:val="2"/>
              </w:numPr>
              <w:ind w:left="357" w:hanging="357"/>
              <w:contextualSpacing/>
              <w:rPr>
                <w:rStyle w:val="checkbox"/>
                <w:rFonts w:ascii="Arial" w:hAnsi="Arial" w:cs="Arial"/>
              </w:rPr>
            </w:pPr>
            <w:r w:rsidRPr="0081763A">
              <w:t>NO</w:t>
            </w:r>
            <w:r w:rsidR="00BB195B" w:rsidRPr="0081763A">
              <w:t>A</w:t>
            </w:r>
            <w:r w:rsidRPr="0081763A">
              <w:t>EL</w:t>
            </w:r>
            <w:r w:rsidRPr="0081763A">
              <w:rPr>
                <w:rStyle w:val="checkbox"/>
                <w:rFonts w:ascii="Arial" w:hAnsi="Arial" w:cs="Arial"/>
              </w:rPr>
              <w:t xml:space="preserve">: 100 mg/kg/d for </w:t>
            </w:r>
            <w:r w:rsidR="007D1D5E" w:rsidRPr="0081763A">
              <w:rPr>
                <w:rStyle w:val="checkbox"/>
                <w:rFonts w:ascii="Arial" w:hAnsi="Arial" w:cs="Arial"/>
              </w:rPr>
              <w:t xml:space="preserve">non-carcinogenic, </w:t>
            </w:r>
            <w:r w:rsidRPr="0081763A">
              <w:rPr>
                <w:rStyle w:val="checkbox"/>
                <w:rFonts w:ascii="Arial" w:hAnsi="Arial" w:cs="Arial"/>
              </w:rPr>
              <w:t xml:space="preserve">systemic effects in oncogenic </w:t>
            </w:r>
            <w:r w:rsidR="00BB195B" w:rsidRPr="0081763A">
              <w:rPr>
                <w:rStyle w:val="checkbox"/>
                <w:rFonts w:ascii="Arial" w:hAnsi="Arial" w:cs="Arial"/>
              </w:rPr>
              <w:t>feeding</w:t>
            </w:r>
            <w:r w:rsidRPr="0081763A">
              <w:rPr>
                <w:rStyle w:val="checkbox"/>
                <w:rFonts w:ascii="Arial" w:hAnsi="Arial" w:cs="Arial"/>
              </w:rPr>
              <w:t xml:space="preserve"> study (rats, 2 </w:t>
            </w:r>
            <w:proofErr w:type="spellStart"/>
            <w:r w:rsidRPr="0081763A">
              <w:rPr>
                <w:rStyle w:val="checkbox"/>
                <w:rFonts w:ascii="Arial" w:hAnsi="Arial" w:cs="Arial"/>
              </w:rPr>
              <w:t>y</w:t>
            </w:r>
            <w:r w:rsidR="00BB195B" w:rsidRPr="0081763A">
              <w:rPr>
                <w:rStyle w:val="checkbox"/>
                <w:rFonts w:ascii="Arial" w:hAnsi="Arial" w:cs="Arial"/>
              </w:rPr>
              <w:t>r</w:t>
            </w:r>
            <w:proofErr w:type="spellEnd"/>
            <w:r w:rsidRPr="0081763A">
              <w:rPr>
                <w:rStyle w:val="checkbox"/>
                <w:rFonts w:ascii="Arial" w:hAnsi="Arial" w:cs="Arial"/>
              </w:rPr>
              <w:t>)</w:t>
            </w:r>
          </w:p>
          <w:p w14:paraId="4F7CADE3" w14:textId="1D227662" w:rsidR="00912A2A" w:rsidRPr="0081763A" w:rsidRDefault="00BB195B" w:rsidP="003D414C">
            <w:pPr>
              <w:pStyle w:val="Tablefont"/>
              <w:numPr>
                <w:ilvl w:val="0"/>
                <w:numId w:val="2"/>
              </w:numPr>
              <w:ind w:left="357" w:hanging="357"/>
              <w:contextualSpacing/>
              <w:rPr>
                <w:rStyle w:val="checkbox"/>
                <w:rFonts w:ascii="Arial" w:hAnsi="Arial" w:cs="Arial"/>
              </w:rPr>
            </w:pPr>
            <w:r w:rsidRPr="0081763A">
              <w:t>NOAEL</w:t>
            </w:r>
            <w:r w:rsidRPr="0081763A">
              <w:rPr>
                <w:rStyle w:val="checkbox"/>
                <w:rFonts w:ascii="Arial" w:hAnsi="Arial" w:cs="Arial"/>
              </w:rPr>
              <w:t xml:space="preserve">: 60 mg/kg/d in feeding study (dogs, 1 </w:t>
            </w:r>
            <w:proofErr w:type="spellStart"/>
            <w:r w:rsidRPr="0081763A">
              <w:rPr>
                <w:rStyle w:val="checkbox"/>
                <w:rFonts w:ascii="Arial" w:hAnsi="Arial" w:cs="Arial"/>
              </w:rPr>
              <w:t>yr</w:t>
            </w:r>
            <w:proofErr w:type="spellEnd"/>
            <w:r w:rsidRPr="0081763A">
              <w:rPr>
                <w:rStyle w:val="checkbox"/>
                <w:rFonts w:ascii="Arial" w:hAnsi="Arial" w:cs="Arial"/>
              </w:rPr>
              <w:t>)</w:t>
            </w:r>
          </w:p>
          <w:p w14:paraId="5AFF69E1" w14:textId="4E245921" w:rsidR="0012243B" w:rsidRPr="0081763A" w:rsidRDefault="00BB195B" w:rsidP="003D414C">
            <w:pPr>
              <w:pStyle w:val="ListBullet"/>
              <w:numPr>
                <w:ilvl w:val="0"/>
                <w:numId w:val="4"/>
              </w:numPr>
              <w:spacing w:before="0" w:after="0"/>
              <w:ind w:hanging="357"/>
              <w:contextualSpacing w:val="0"/>
              <w:rPr>
                <w:rStyle w:val="checkbox"/>
                <w:rFonts w:ascii="Arial" w:hAnsi="Arial" w:cs="Arial"/>
              </w:rPr>
            </w:pPr>
            <w:r w:rsidRPr="0081763A">
              <w:rPr>
                <w:rStyle w:val="checkbox"/>
                <w:rFonts w:ascii="Arial" w:hAnsi="Arial" w:cs="Arial"/>
              </w:rPr>
              <w:t>LOAEL of 300</w:t>
            </w:r>
            <w:r w:rsidR="00910E4E" w:rsidRPr="0081763A">
              <w:rPr>
                <w:rStyle w:val="checkbox"/>
                <w:rFonts w:ascii="Arial" w:hAnsi="Arial" w:cs="Arial"/>
              </w:rPr>
              <w:t xml:space="preserve"> </w:t>
            </w:r>
            <w:r w:rsidRPr="0081763A">
              <w:rPr>
                <w:rStyle w:val="checkbox"/>
                <w:rFonts w:ascii="Arial" w:hAnsi="Arial" w:cs="Arial"/>
              </w:rPr>
              <w:t xml:space="preserve">mg/kg/d for </w:t>
            </w:r>
            <w:r w:rsidRPr="0081763A">
              <w:t>emesis</w:t>
            </w:r>
            <w:r w:rsidRPr="0081763A">
              <w:rPr>
                <w:rStyle w:val="checkbox"/>
                <w:rFonts w:ascii="Arial" w:hAnsi="Arial" w:cs="Arial"/>
              </w:rPr>
              <w:t xml:space="preserve"> and soft stools</w:t>
            </w:r>
          </w:p>
          <w:p w14:paraId="0EC1DF62" w14:textId="74BD106A" w:rsidR="00912A2A" w:rsidRPr="0081763A" w:rsidRDefault="00BB195B" w:rsidP="003D414C">
            <w:pPr>
              <w:pStyle w:val="Tablefont"/>
              <w:numPr>
                <w:ilvl w:val="0"/>
                <w:numId w:val="2"/>
              </w:numPr>
              <w:ind w:left="357" w:hanging="357"/>
              <w:contextualSpacing/>
              <w:rPr>
                <w:rStyle w:val="checkbox"/>
                <w:rFonts w:ascii="Arial" w:hAnsi="Arial" w:cs="Arial"/>
              </w:rPr>
            </w:pPr>
            <w:r w:rsidRPr="0081763A">
              <w:t>Maternal</w:t>
            </w:r>
            <w:r w:rsidRPr="0081763A">
              <w:rPr>
                <w:rStyle w:val="checkbox"/>
                <w:rFonts w:ascii="Arial" w:hAnsi="Arial" w:cs="Arial"/>
              </w:rPr>
              <w:t xml:space="preserve"> NOAEL: 25 mg/kg/d for teratogenic effects</w:t>
            </w:r>
            <w:r w:rsidR="00912A2A" w:rsidRPr="0081763A">
              <w:rPr>
                <w:rStyle w:val="checkbox"/>
                <w:rFonts w:ascii="Arial" w:hAnsi="Arial" w:cs="Arial"/>
              </w:rPr>
              <w:t xml:space="preserve"> (rabbits)</w:t>
            </w:r>
          </w:p>
          <w:p w14:paraId="731346A8" w14:textId="2C8E307B" w:rsidR="00912A2A" w:rsidRPr="0081763A" w:rsidRDefault="00BB195B" w:rsidP="003D414C">
            <w:pPr>
              <w:pStyle w:val="ListBullet"/>
              <w:numPr>
                <w:ilvl w:val="0"/>
                <w:numId w:val="4"/>
              </w:numPr>
              <w:spacing w:before="0" w:after="0"/>
              <w:ind w:hanging="357"/>
              <w:contextualSpacing w:val="0"/>
              <w:rPr>
                <w:rStyle w:val="checkbox"/>
                <w:rFonts w:ascii="Arial" w:hAnsi="Arial" w:cs="Arial"/>
              </w:rPr>
            </w:pPr>
            <w:r w:rsidRPr="0081763A">
              <w:rPr>
                <w:rStyle w:val="checkbox"/>
                <w:rFonts w:ascii="Arial" w:hAnsi="Arial" w:cs="Arial"/>
              </w:rPr>
              <w:t xml:space="preserve">foetal NOAEL: 60 mg/kg/d </w:t>
            </w:r>
          </w:p>
          <w:p w14:paraId="57451C49" w14:textId="5E4A8979" w:rsidR="004966BF" w:rsidRPr="0081763A" w:rsidRDefault="00BB195B" w:rsidP="003D414C">
            <w:pPr>
              <w:pStyle w:val="ListBullet"/>
              <w:numPr>
                <w:ilvl w:val="0"/>
                <w:numId w:val="4"/>
              </w:numPr>
              <w:spacing w:before="0" w:after="0"/>
              <w:ind w:hanging="357"/>
              <w:contextualSpacing w:val="0"/>
              <w:rPr>
                <w:rStyle w:val="checkbox"/>
                <w:rFonts w:ascii="Arial" w:hAnsi="Arial" w:cs="Arial"/>
              </w:rPr>
            </w:pPr>
            <w:r w:rsidRPr="0081763A">
              <w:rPr>
                <w:rStyle w:val="checkbox"/>
                <w:rFonts w:ascii="Arial" w:hAnsi="Arial" w:cs="Arial"/>
              </w:rPr>
              <w:t>maternal LOAEL</w:t>
            </w:r>
            <w:r w:rsidR="00912A2A" w:rsidRPr="0081763A">
              <w:rPr>
                <w:rStyle w:val="checkbox"/>
                <w:rFonts w:ascii="Arial" w:hAnsi="Arial" w:cs="Arial"/>
              </w:rPr>
              <w:t>:</w:t>
            </w:r>
            <w:r w:rsidRPr="0081763A">
              <w:rPr>
                <w:rStyle w:val="checkbox"/>
                <w:rFonts w:ascii="Arial" w:hAnsi="Arial" w:cs="Arial"/>
              </w:rPr>
              <w:t xml:space="preserve"> 60 mg/kg/d for weight loss </w:t>
            </w:r>
          </w:p>
        </w:tc>
      </w:tr>
    </w:tbl>
    <w:bookmarkEnd w:id="0"/>
    <w:p w14:paraId="7717C66F" w14:textId="77777777" w:rsidR="007E2A4B" w:rsidRDefault="007E2A4B" w:rsidP="007E2A4B">
      <w:pPr>
        <w:pStyle w:val="Heading3"/>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2E0D61" w14:paraId="2CE81B23" w14:textId="77777777" w:rsidTr="001C0C18">
        <w:trPr>
          <w:trHeight w:val="454"/>
          <w:tblHeader/>
        </w:trPr>
        <w:tc>
          <w:tcPr>
            <w:tcW w:w="6597" w:type="dxa"/>
            <w:vAlign w:val="center"/>
          </w:tcPr>
          <w:p w14:paraId="662476E6" w14:textId="77777777" w:rsidR="002E0D61" w:rsidRDefault="00B1422A" w:rsidP="00C3091E">
            <w:pPr>
              <w:pStyle w:val="Tablefont"/>
              <w:keepNext/>
              <w:keepLines/>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9" w:type="dxa"/>
                <w:vAlign w:val="center"/>
              </w:tcPr>
              <w:p w14:paraId="1FF24905" w14:textId="77777777" w:rsidR="002E0D61" w:rsidRDefault="00057122" w:rsidP="00C3091E">
                <w:pPr>
                  <w:pStyle w:val="Tablefont"/>
                  <w:keepNext/>
                  <w:keepLines/>
                  <w:spacing w:before="40" w:after="40"/>
                </w:pPr>
                <w:r>
                  <w:t>Yes</w:t>
                </w:r>
              </w:p>
            </w:tc>
          </w:sdtContent>
        </w:sdt>
      </w:tr>
      <w:tr w:rsidR="008A36CF" w14:paraId="181E5B5B" w14:textId="77777777" w:rsidTr="001C0C18">
        <w:trPr>
          <w:trHeight w:val="454"/>
        </w:trPr>
        <w:tc>
          <w:tcPr>
            <w:tcW w:w="6597" w:type="dxa"/>
            <w:vAlign w:val="center"/>
          </w:tcPr>
          <w:p w14:paraId="5F65CAC8" w14:textId="77777777" w:rsidR="008A36CF" w:rsidRDefault="008A36CF" w:rsidP="008A36CF">
            <w:pPr>
              <w:pStyle w:val="Tablefont"/>
              <w:keepNext/>
              <w:keepLines/>
              <w:spacing w:before="40" w:after="40"/>
            </w:pPr>
            <w:r>
              <w:t>Is the chemical carcinogenic with a mutagenic mechanism of action?</w:t>
            </w:r>
          </w:p>
        </w:tc>
        <w:sdt>
          <w:sdtPr>
            <w:id w:val="-1035572737"/>
            <w:placeholder>
              <w:docPart w:val="5CBFEC560F894890BBD09B93174FFAE0"/>
            </w:placeholder>
            <w:comboBox>
              <w:listItem w:value="Choose an item."/>
              <w:listItem w:displayText="Yes" w:value="Yes"/>
              <w:listItem w:displayText="No" w:value="No"/>
              <w:listItem w:displayText="Insufficient data" w:value="Insufficient data"/>
              <w:listItem w:displayText="NA" w:value="NA"/>
            </w:comboBox>
          </w:sdtPr>
          <w:sdtEndPr/>
          <w:sdtContent>
            <w:tc>
              <w:tcPr>
                <w:tcW w:w="2429" w:type="dxa"/>
                <w:vAlign w:val="center"/>
              </w:tcPr>
              <w:p w14:paraId="5F2135EB" w14:textId="60A80C31" w:rsidR="008A36CF" w:rsidRDefault="009352C1" w:rsidP="008A36CF">
                <w:pPr>
                  <w:pStyle w:val="Tablefont"/>
                  <w:keepNext/>
                  <w:keepLines/>
                  <w:spacing w:before="40" w:after="40"/>
                </w:pPr>
                <w:r>
                  <w:t>No</w:t>
                </w:r>
              </w:p>
            </w:tc>
          </w:sdtContent>
        </w:sdt>
      </w:tr>
      <w:tr w:rsidR="00912A2A" w14:paraId="5BDF3F64" w14:textId="77777777" w:rsidTr="005615A0">
        <w:trPr>
          <w:trHeight w:val="454"/>
        </w:trPr>
        <w:sdt>
          <w:sdtPr>
            <w:rPr>
              <w:b/>
            </w:rPr>
            <w:id w:val="1830936485"/>
            <w:placeholder>
              <w:docPart w:val="209CCD2E3F664890A451E2FC562C839F"/>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9026" w:type="dxa"/>
                <w:gridSpan w:val="2"/>
                <w:vAlign w:val="center"/>
              </w:tcPr>
              <w:p w14:paraId="1A2D6DF0" w14:textId="554D1D95" w:rsidR="00912A2A" w:rsidRDefault="00912A2A" w:rsidP="008A36CF">
                <w:pPr>
                  <w:pStyle w:val="Tablefont"/>
                  <w:keepNext/>
                  <w:keepLines/>
                  <w:spacing w:before="40" w:after="40"/>
                </w:pPr>
                <w:r>
                  <w:rPr>
                    <w:b/>
                  </w:rPr>
                  <w:t>The chemical is not a non-threshold based genotoxic carcinogen.</w:t>
                </w:r>
              </w:p>
            </w:tc>
          </w:sdtContent>
        </w:sdt>
      </w:tr>
    </w:tbl>
    <w:bookmarkEnd w:id="1"/>
    <w:p w14:paraId="1E8FC9CE" w14:textId="77777777" w:rsidR="00687890" w:rsidRPr="004C23F4" w:rsidRDefault="00B479A9" w:rsidP="00474E33">
      <w:pPr>
        <w:pStyle w:val="Heading2"/>
      </w:pPr>
      <w:r w:rsidRPr="004C23F4">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14:paraId="3643FE74" w14:textId="77777777" w:rsidTr="00812887">
        <w:trPr>
          <w:cantSplit/>
          <w:tblHeader/>
        </w:trPr>
        <w:tc>
          <w:tcPr>
            <w:tcW w:w="3227" w:type="dxa"/>
            <w:shd w:val="clear" w:color="auto" w:fill="BFBFBF" w:themeFill="background1" w:themeFillShade="BF"/>
            <w:vAlign w:val="center"/>
          </w:tcPr>
          <w:p w14:paraId="0D3D9B96" w14:textId="77777777" w:rsidR="00687890" w:rsidRPr="004C23F4" w:rsidRDefault="00687890" w:rsidP="00263255">
            <w:pPr>
              <w:pStyle w:val="Tableheader"/>
            </w:pPr>
            <w:bookmarkStart w:id="2" w:name="Notations"/>
            <w:r w:rsidRPr="004C23F4">
              <w:t>Source</w:t>
            </w:r>
          </w:p>
        </w:tc>
        <w:tc>
          <w:tcPr>
            <w:tcW w:w="6015" w:type="dxa"/>
            <w:shd w:val="clear" w:color="auto" w:fill="BFBFBF" w:themeFill="background1" w:themeFillShade="BF"/>
            <w:vAlign w:val="center"/>
          </w:tcPr>
          <w:p w14:paraId="0F86825E" w14:textId="77777777" w:rsidR="00687890" w:rsidRPr="004C23F4" w:rsidRDefault="00687890" w:rsidP="00F4402E">
            <w:pPr>
              <w:pStyle w:val="Tableheader"/>
              <w:tabs>
                <w:tab w:val="right" w:pos="5272"/>
              </w:tabs>
            </w:pPr>
            <w:r w:rsidRPr="004C23F4">
              <w:t>Notations</w:t>
            </w:r>
            <w:r w:rsidR="003A2B94">
              <w:tab/>
            </w:r>
          </w:p>
        </w:tc>
      </w:tr>
      <w:tr w:rsidR="00687890" w:rsidRPr="004C23F4" w14:paraId="21A4AFBD" w14:textId="77777777" w:rsidTr="00812887">
        <w:trPr>
          <w:cantSplit/>
        </w:trPr>
        <w:tc>
          <w:tcPr>
            <w:tcW w:w="3227" w:type="dxa"/>
          </w:tcPr>
          <w:p w14:paraId="69858BB8" w14:textId="77777777" w:rsidR="004079B4" w:rsidRPr="004C23F4" w:rsidRDefault="00084513" w:rsidP="00F4402E">
            <w:pPr>
              <w:pStyle w:val="Tablefont"/>
            </w:pPr>
            <w:r w:rsidRPr="004C23F4">
              <w:t>SWA</w:t>
            </w:r>
          </w:p>
        </w:tc>
        <w:tc>
          <w:tcPr>
            <w:tcW w:w="6015" w:type="dxa"/>
          </w:tcPr>
          <w:p w14:paraId="434DFB0B" w14:textId="77777777" w:rsidR="00687890" w:rsidRPr="00DD2F9B" w:rsidRDefault="00041928" w:rsidP="00DD2F9B">
            <w:pPr>
              <w:pStyle w:val="Tablefont"/>
            </w:pPr>
            <w:proofErr w:type="spellStart"/>
            <w:r w:rsidRPr="006716CC">
              <w:t>Carc</w:t>
            </w:r>
            <w:proofErr w:type="spellEnd"/>
            <w:r w:rsidRPr="006716CC">
              <w:t>.</w:t>
            </w:r>
            <w:r w:rsidR="006716CC">
              <w:t xml:space="preserve"> </w:t>
            </w:r>
            <w:r w:rsidRPr="006716CC">
              <w:t xml:space="preserve">2, </w:t>
            </w:r>
            <w:proofErr w:type="spellStart"/>
            <w:r w:rsidR="006716CC">
              <w:t>Sk:Sen</w:t>
            </w:r>
            <w:proofErr w:type="spellEnd"/>
          </w:p>
        </w:tc>
      </w:tr>
      <w:tr w:rsidR="007925F0" w:rsidRPr="004C23F4" w14:paraId="70F19836" w14:textId="77777777" w:rsidTr="00812887">
        <w:trPr>
          <w:cantSplit/>
        </w:trPr>
        <w:tc>
          <w:tcPr>
            <w:tcW w:w="3227" w:type="dxa"/>
          </w:tcPr>
          <w:p w14:paraId="45F697DD" w14:textId="77777777" w:rsidR="004079B4" w:rsidRPr="004C23F4" w:rsidRDefault="007925F0" w:rsidP="00F4402E">
            <w:pPr>
              <w:pStyle w:val="Tablefont"/>
            </w:pPr>
            <w:r>
              <w:t>HCIS</w:t>
            </w:r>
          </w:p>
        </w:tc>
        <w:tc>
          <w:tcPr>
            <w:tcW w:w="6015" w:type="dxa"/>
          </w:tcPr>
          <w:p w14:paraId="202CC796" w14:textId="77777777" w:rsidR="007925F0" w:rsidRPr="00DD2F9B" w:rsidRDefault="00CE7A8A" w:rsidP="00DD2F9B">
            <w:pPr>
              <w:pStyle w:val="Tablefont"/>
            </w:pPr>
            <w:r>
              <w:t>Carcinogenicity – category 2, Skin sensitisation – category 1</w:t>
            </w:r>
          </w:p>
        </w:tc>
      </w:tr>
      <w:tr w:rsidR="00AF483F" w:rsidRPr="004C23F4" w14:paraId="651FDCF1" w14:textId="77777777" w:rsidTr="00812887">
        <w:trPr>
          <w:cantSplit/>
        </w:trPr>
        <w:tc>
          <w:tcPr>
            <w:tcW w:w="3227" w:type="dxa"/>
          </w:tcPr>
          <w:p w14:paraId="7F693DD5" w14:textId="77777777" w:rsidR="00AF483F" w:rsidRPr="004C23F4" w:rsidRDefault="00AF483F" w:rsidP="00F4402E">
            <w:pPr>
              <w:pStyle w:val="Tablefont"/>
            </w:pPr>
            <w:r>
              <w:t>NICNAS</w:t>
            </w:r>
          </w:p>
        </w:tc>
        <w:tc>
          <w:tcPr>
            <w:tcW w:w="6015" w:type="dxa"/>
          </w:tcPr>
          <w:p w14:paraId="03761C14" w14:textId="77777777" w:rsidR="00AF483F" w:rsidRPr="00DD2F9B" w:rsidRDefault="00041928" w:rsidP="00DD2F9B">
            <w:pPr>
              <w:pStyle w:val="Tablefont"/>
            </w:pPr>
            <w:r>
              <w:t>Carcinogenicity – category 2, Skin sensitisation – category 1</w:t>
            </w:r>
          </w:p>
        </w:tc>
      </w:tr>
      <w:tr w:rsidR="00687890" w:rsidRPr="004C23F4" w14:paraId="65438071" w14:textId="77777777" w:rsidTr="00812887">
        <w:trPr>
          <w:cantSplit/>
        </w:trPr>
        <w:tc>
          <w:tcPr>
            <w:tcW w:w="3227" w:type="dxa"/>
          </w:tcPr>
          <w:p w14:paraId="126BF3CD" w14:textId="77777777" w:rsidR="004079B4" w:rsidRPr="004C23F4" w:rsidRDefault="00687890" w:rsidP="00F4402E">
            <w:pPr>
              <w:pStyle w:val="Tablefont"/>
            </w:pPr>
            <w:r w:rsidRPr="004C23F4">
              <w:t>EU Annex</w:t>
            </w:r>
          </w:p>
        </w:tc>
        <w:tc>
          <w:tcPr>
            <w:tcW w:w="6015" w:type="dxa"/>
          </w:tcPr>
          <w:p w14:paraId="5274C8AD" w14:textId="77777777" w:rsidR="00687890" w:rsidRPr="00DD2F9B" w:rsidRDefault="00A82C2F" w:rsidP="00DD2F9B">
            <w:pPr>
              <w:pStyle w:val="Tablefont"/>
            </w:pPr>
            <w:r>
              <w:t xml:space="preserve">Carcinogenicity – category 2, </w:t>
            </w:r>
            <w:r w:rsidR="00647DC0">
              <w:t>Skin sensitisation – category 1</w:t>
            </w:r>
          </w:p>
        </w:tc>
      </w:tr>
      <w:tr w:rsidR="00E41A26" w:rsidRPr="004C23F4" w14:paraId="07AE2519" w14:textId="77777777" w:rsidTr="00812887">
        <w:trPr>
          <w:cantSplit/>
        </w:trPr>
        <w:tc>
          <w:tcPr>
            <w:tcW w:w="3227" w:type="dxa"/>
          </w:tcPr>
          <w:p w14:paraId="69A368F5" w14:textId="77777777" w:rsidR="00E41A26" w:rsidRDefault="00E41A26" w:rsidP="00F4402E">
            <w:pPr>
              <w:pStyle w:val="Tablefont"/>
            </w:pPr>
            <w:r>
              <w:t>ECHA</w:t>
            </w:r>
          </w:p>
        </w:tc>
        <w:tc>
          <w:tcPr>
            <w:tcW w:w="6015" w:type="dxa"/>
          </w:tcPr>
          <w:p w14:paraId="3CFE6D26" w14:textId="77777777" w:rsidR="00E41A26" w:rsidRPr="00DD2F9B" w:rsidRDefault="00F2363E" w:rsidP="00DD2F9B">
            <w:pPr>
              <w:pStyle w:val="Tablefont"/>
            </w:pPr>
            <w:r>
              <w:t>NA</w:t>
            </w:r>
          </w:p>
        </w:tc>
      </w:tr>
      <w:tr w:rsidR="002E0D61" w:rsidRPr="004C23F4" w14:paraId="0CFDBC0B" w14:textId="77777777" w:rsidTr="00812887">
        <w:trPr>
          <w:cantSplit/>
        </w:trPr>
        <w:tc>
          <w:tcPr>
            <w:tcW w:w="3227" w:type="dxa"/>
          </w:tcPr>
          <w:p w14:paraId="3ED1DED6" w14:textId="77777777" w:rsidR="004079B4" w:rsidRPr="004C23F4" w:rsidRDefault="002E0D61" w:rsidP="00F4402E">
            <w:pPr>
              <w:pStyle w:val="Tablefont"/>
            </w:pPr>
            <w:r>
              <w:t>ACGIH</w:t>
            </w:r>
          </w:p>
        </w:tc>
        <w:tc>
          <w:tcPr>
            <w:tcW w:w="6015" w:type="dxa"/>
          </w:tcPr>
          <w:p w14:paraId="145E9EC6" w14:textId="77777777" w:rsidR="002E0D61" w:rsidRPr="00DD2F9B" w:rsidRDefault="002D3F1A" w:rsidP="00DD2F9B">
            <w:pPr>
              <w:pStyle w:val="Tablefont"/>
            </w:pPr>
            <w:r>
              <w:t xml:space="preserve">Carcinogenicity – A3, </w:t>
            </w:r>
            <w:r w:rsidR="008C6739">
              <w:t>DSEN</w:t>
            </w:r>
          </w:p>
        </w:tc>
      </w:tr>
      <w:tr w:rsidR="002E0D61" w:rsidRPr="004C23F4" w14:paraId="51D02D49" w14:textId="77777777" w:rsidTr="00812887">
        <w:trPr>
          <w:cantSplit/>
        </w:trPr>
        <w:tc>
          <w:tcPr>
            <w:tcW w:w="3227" w:type="dxa"/>
          </w:tcPr>
          <w:p w14:paraId="7D23A89E" w14:textId="77777777" w:rsidR="004079B4" w:rsidRPr="004C23F4" w:rsidRDefault="002E0D61" w:rsidP="00F4402E">
            <w:pPr>
              <w:pStyle w:val="Tablefont"/>
            </w:pPr>
            <w:r>
              <w:t>DFG</w:t>
            </w:r>
          </w:p>
        </w:tc>
        <w:tc>
          <w:tcPr>
            <w:tcW w:w="6015" w:type="dxa"/>
          </w:tcPr>
          <w:p w14:paraId="5C089F32" w14:textId="77777777" w:rsidR="002E0D61" w:rsidRPr="00DD2F9B" w:rsidRDefault="00C07E3B" w:rsidP="00DD2F9B">
            <w:pPr>
              <w:pStyle w:val="Tablefont"/>
            </w:pPr>
            <w:r>
              <w:t>NA</w:t>
            </w:r>
          </w:p>
        </w:tc>
      </w:tr>
      <w:tr w:rsidR="002E0D61" w:rsidRPr="004C23F4" w14:paraId="76E5FC17" w14:textId="77777777" w:rsidTr="00812887">
        <w:trPr>
          <w:cantSplit/>
        </w:trPr>
        <w:tc>
          <w:tcPr>
            <w:tcW w:w="3227" w:type="dxa"/>
          </w:tcPr>
          <w:p w14:paraId="3A66277B" w14:textId="77777777" w:rsidR="004079B4" w:rsidRPr="004C23F4" w:rsidRDefault="002E0D61" w:rsidP="00F4402E">
            <w:pPr>
              <w:pStyle w:val="Tablefont"/>
            </w:pPr>
            <w:r>
              <w:t>SCOEL</w:t>
            </w:r>
          </w:p>
        </w:tc>
        <w:tc>
          <w:tcPr>
            <w:tcW w:w="6015" w:type="dxa"/>
          </w:tcPr>
          <w:p w14:paraId="7C056AFA" w14:textId="77777777" w:rsidR="002E0D61" w:rsidRPr="00DD2F9B" w:rsidRDefault="00C07E3B" w:rsidP="00DD2F9B">
            <w:pPr>
              <w:pStyle w:val="Tablefont"/>
            </w:pPr>
            <w:r>
              <w:t>NA</w:t>
            </w:r>
          </w:p>
        </w:tc>
      </w:tr>
      <w:tr w:rsidR="002E0D61" w:rsidRPr="004C23F4" w14:paraId="626580F9" w14:textId="77777777" w:rsidTr="00812887">
        <w:trPr>
          <w:cantSplit/>
        </w:trPr>
        <w:tc>
          <w:tcPr>
            <w:tcW w:w="3227" w:type="dxa"/>
          </w:tcPr>
          <w:p w14:paraId="7005078C" w14:textId="77777777" w:rsidR="004079B4" w:rsidRDefault="002E0D61" w:rsidP="00F4402E">
            <w:pPr>
              <w:pStyle w:val="Tablefont"/>
            </w:pPr>
            <w:r>
              <w:t>HCOTN</w:t>
            </w:r>
          </w:p>
        </w:tc>
        <w:tc>
          <w:tcPr>
            <w:tcW w:w="6015" w:type="dxa"/>
          </w:tcPr>
          <w:p w14:paraId="0BFF762E" w14:textId="77777777" w:rsidR="002E0D61" w:rsidRPr="00DD2F9B" w:rsidRDefault="00C07E3B" w:rsidP="00DD2F9B">
            <w:pPr>
              <w:pStyle w:val="Tablefont"/>
            </w:pPr>
            <w:r>
              <w:t>NA</w:t>
            </w:r>
          </w:p>
        </w:tc>
      </w:tr>
      <w:tr w:rsidR="00386093" w:rsidRPr="004C23F4" w14:paraId="0AFB27D1" w14:textId="77777777" w:rsidTr="00812887">
        <w:trPr>
          <w:cantSplit/>
        </w:trPr>
        <w:tc>
          <w:tcPr>
            <w:tcW w:w="3227" w:type="dxa"/>
          </w:tcPr>
          <w:p w14:paraId="6B11CE7C" w14:textId="77777777" w:rsidR="004079B4" w:rsidRDefault="00386093" w:rsidP="00F4402E">
            <w:pPr>
              <w:pStyle w:val="Tablefont"/>
            </w:pPr>
            <w:r>
              <w:t>IARC</w:t>
            </w:r>
          </w:p>
        </w:tc>
        <w:tc>
          <w:tcPr>
            <w:tcW w:w="6015" w:type="dxa"/>
          </w:tcPr>
          <w:p w14:paraId="252B58D2" w14:textId="77777777" w:rsidR="00386093" w:rsidRPr="00DD2F9B" w:rsidRDefault="00057122" w:rsidP="00DD2F9B">
            <w:pPr>
              <w:pStyle w:val="Tablefont"/>
            </w:pPr>
            <w:r>
              <w:t>—</w:t>
            </w:r>
          </w:p>
        </w:tc>
      </w:tr>
      <w:tr w:rsidR="00386093" w:rsidRPr="004C23F4" w14:paraId="1DAAF961" w14:textId="77777777" w:rsidTr="00812887">
        <w:trPr>
          <w:cantSplit/>
        </w:trPr>
        <w:tc>
          <w:tcPr>
            <w:tcW w:w="3227" w:type="dxa"/>
          </w:tcPr>
          <w:p w14:paraId="603320E4" w14:textId="77777777" w:rsidR="004079B4" w:rsidRDefault="00386093" w:rsidP="00F4402E">
            <w:pPr>
              <w:pStyle w:val="Tablefont"/>
              <w:keepNext/>
            </w:pPr>
            <w:r>
              <w:t>US NIOSH</w:t>
            </w:r>
          </w:p>
        </w:tc>
        <w:tc>
          <w:tcPr>
            <w:tcW w:w="6015" w:type="dxa"/>
          </w:tcPr>
          <w:p w14:paraId="2481ABDD" w14:textId="77777777" w:rsidR="00386093" w:rsidRPr="00DD2F9B" w:rsidRDefault="005645DF" w:rsidP="00D87570">
            <w:pPr>
              <w:pStyle w:val="Tablefont"/>
              <w:keepNext/>
            </w:pPr>
            <w:r>
              <w:t>NA</w:t>
            </w:r>
          </w:p>
        </w:tc>
      </w:tr>
    </w:tbl>
    <w:bookmarkEnd w:id="2"/>
    <w:p w14:paraId="432DCBA4" w14:textId="77777777"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14:paraId="4EEA1E68" w14:textId="77777777"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14:paraId="5BE21255" w14:textId="77777777" w:rsidTr="00EA6243">
        <w:trPr>
          <w:cantSplit/>
          <w:tblHeader/>
        </w:trPr>
        <w:tc>
          <w:tcPr>
            <w:tcW w:w="5000" w:type="pct"/>
            <w:shd w:val="clear" w:color="auto" w:fill="BFBFBF" w:themeFill="background1" w:themeFillShade="BF"/>
            <w:vAlign w:val="center"/>
          </w:tcPr>
          <w:p w14:paraId="069D4EBB" w14:textId="77777777" w:rsidR="00932DCE" w:rsidRPr="004C23F4" w:rsidRDefault="00932DCE" w:rsidP="00F4402E">
            <w:pPr>
              <w:pStyle w:val="Tableheader"/>
              <w:keepNext/>
              <w:tabs>
                <w:tab w:val="right" w:pos="8800"/>
              </w:tabs>
            </w:pPr>
            <w:bookmarkStart w:id="3" w:name="SkinNot"/>
            <w:r>
              <w:t>Calculation</w:t>
            </w:r>
            <w:r w:rsidR="00177CA1">
              <w:tab/>
            </w:r>
          </w:p>
        </w:tc>
      </w:tr>
      <w:tr w:rsidR="00932DCE" w:rsidRPr="004C23F4" w14:paraId="47A4AB67" w14:textId="77777777" w:rsidTr="00EA6243">
        <w:trPr>
          <w:cantSplit/>
          <w:tblHeader/>
        </w:trPr>
        <w:tc>
          <w:tcPr>
            <w:tcW w:w="5000" w:type="pct"/>
            <w:vAlign w:val="center"/>
          </w:tcPr>
          <w:tbl>
            <w:tblPr>
              <w:tblW w:w="8924" w:type="dxa"/>
              <w:tblLook w:val="04A0" w:firstRow="1" w:lastRow="0" w:firstColumn="1" w:lastColumn="0" w:noHBand="0" w:noVBand="1"/>
            </w:tblPr>
            <w:tblGrid>
              <w:gridCol w:w="3924"/>
              <w:gridCol w:w="640"/>
              <w:gridCol w:w="689"/>
              <w:gridCol w:w="3557"/>
            </w:tblGrid>
            <w:tr w:rsidR="00E82A38" w:rsidRPr="00E82A38" w14:paraId="1AE78691" w14:textId="77777777" w:rsidTr="00B36376">
              <w:trPr>
                <w:trHeight w:val="367"/>
              </w:trPr>
              <w:tc>
                <w:tcPr>
                  <w:tcW w:w="3977" w:type="dxa"/>
                  <w:tcBorders>
                    <w:top w:val="nil"/>
                    <w:left w:val="nil"/>
                    <w:bottom w:val="nil"/>
                    <w:right w:val="nil"/>
                  </w:tcBorders>
                  <w:shd w:val="clear" w:color="000000" w:fill="C5D9F1"/>
                  <w:noWrap/>
                  <w:vAlign w:val="center"/>
                  <w:hideMark/>
                </w:tcPr>
                <w:p w14:paraId="0AE61BC7" w14:textId="77777777" w:rsidR="00E82A38" w:rsidRPr="00E82A38" w:rsidRDefault="00E82A38" w:rsidP="00E82A38">
                  <w:pPr>
                    <w:spacing w:after="0" w:line="240" w:lineRule="auto"/>
                    <w:jc w:val="right"/>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Adverse effects in human case study:</w:t>
                  </w:r>
                </w:p>
              </w:tc>
              <w:tc>
                <w:tcPr>
                  <w:tcW w:w="646" w:type="dxa"/>
                  <w:tcBorders>
                    <w:top w:val="nil"/>
                    <w:left w:val="nil"/>
                    <w:bottom w:val="nil"/>
                    <w:right w:val="nil"/>
                  </w:tcBorders>
                  <w:shd w:val="clear" w:color="000000" w:fill="C5D9F1"/>
                  <w:noWrap/>
                  <w:vAlign w:val="center"/>
                  <w:hideMark/>
                </w:tcPr>
                <w:p w14:paraId="38C44D0D" w14:textId="77777777" w:rsidR="00E82A38" w:rsidRPr="00E82A38" w:rsidRDefault="00E82A38" w:rsidP="00E82A38">
                  <w:pPr>
                    <w:spacing w:after="0" w:line="240" w:lineRule="auto"/>
                    <w:jc w:val="center"/>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no</w:t>
                  </w:r>
                </w:p>
              </w:tc>
              <w:tc>
                <w:tcPr>
                  <w:tcW w:w="696" w:type="dxa"/>
                  <w:tcBorders>
                    <w:top w:val="nil"/>
                    <w:left w:val="nil"/>
                    <w:bottom w:val="nil"/>
                    <w:right w:val="nil"/>
                  </w:tcBorders>
                  <w:shd w:val="clear" w:color="000000" w:fill="C5D9F1"/>
                  <w:noWrap/>
                  <w:vAlign w:val="center"/>
                  <w:hideMark/>
                </w:tcPr>
                <w:p w14:paraId="5DCCC88F" w14:textId="77777777" w:rsidR="00E82A38" w:rsidRPr="00E82A38" w:rsidRDefault="00E82A38" w:rsidP="00E82A38">
                  <w:pPr>
                    <w:spacing w:after="0" w:line="240" w:lineRule="auto"/>
                    <w:rPr>
                      <w:rFonts w:ascii="Segoe UI" w:eastAsia="Times New Roman" w:hAnsi="Segoe UI" w:cs="Segoe UI"/>
                      <w:color w:val="C5D9F1"/>
                      <w:sz w:val="18"/>
                      <w:szCs w:val="18"/>
                      <w:lang w:eastAsia="en-AU"/>
                    </w:rPr>
                  </w:pPr>
                  <w:r w:rsidRPr="00E82A38">
                    <w:rPr>
                      <w:rFonts w:ascii="Segoe UI" w:eastAsia="Times New Roman" w:hAnsi="Segoe UI" w:cs="Segoe UI"/>
                      <w:color w:val="C5D9F1"/>
                      <w:sz w:val="18"/>
                      <w:szCs w:val="18"/>
                      <w:lang w:eastAsia="en-AU"/>
                    </w:rPr>
                    <w:t> </w:t>
                  </w:r>
                </w:p>
              </w:tc>
              <w:tc>
                <w:tcPr>
                  <w:tcW w:w="3605" w:type="dxa"/>
                  <w:tcBorders>
                    <w:top w:val="nil"/>
                    <w:left w:val="nil"/>
                    <w:bottom w:val="nil"/>
                    <w:right w:val="nil"/>
                  </w:tcBorders>
                  <w:shd w:val="clear" w:color="000000" w:fill="C5D9F1"/>
                  <w:noWrap/>
                  <w:vAlign w:val="center"/>
                  <w:hideMark/>
                </w:tcPr>
                <w:p w14:paraId="1436F1D0" w14:textId="77777777" w:rsidR="00E82A38" w:rsidRPr="00E82A38" w:rsidRDefault="00E82A38" w:rsidP="00E82A38">
                  <w:pPr>
                    <w:spacing w:after="0" w:line="240" w:lineRule="auto"/>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 </w:t>
                  </w:r>
                </w:p>
              </w:tc>
            </w:tr>
            <w:tr w:rsidR="00E82A38" w:rsidRPr="00E82A38" w14:paraId="4F26D724" w14:textId="77777777" w:rsidTr="00B36376">
              <w:trPr>
                <w:trHeight w:val="367"/>
              </w:trPr>
              <w:tc>
                <w:tcPr>
                  <w:tcW w:w="3977" w:type="dxa"/>
                  <w:tcBorders>
                    <w:top w:val="nil"/>
                    <w:left w:val="nil"/>
                    <w:bottom w:val="nil"/>
                    <w:right w:val="nil"/>
                  </w:tcBorders>
                  <w:shd w:val="clear" w:color="000000" w:fill="C5D9F1"/>
                  <w:noWrap/>
                  <w:vAlign w:val="center"/>
                  <w:hideMark/>
                </w:tcPr>
                <w:p w14:paraId="3F221F86" w14:textId="77777777" w:rsidR="00E82A38" w:rsidRPr="00E82A38" w:rsidRDefault="00E82A38" w:rsidP="00E82A38">
                  <w:pPr>
                    <w:spacing w:after="0" w:line="240" w:lineRule="auto"/>
                    <w:jc w:val="right"/>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Dermal LD</w:t>
                  </w:r>
                  <w:r w:rsidRPr="00E82A38">
                    <w:rPr>
                      <w:rFonts w:ascii="Segoe UI" w:eastAsia="Times New Roman" w:hAnsi="Segoe UI" w:cs="Segoe UI"/>
                      <w:color w:val="000000"/>
                      <w:sz w:val="18"/>
                      <w:szCs w:val="18"/>
                      <w:vertAlign w:val="subscript"/>
                      <w:lang w:eastAsia="en-AU"/>
                    </w:rPr>
                    <w:t>50</w:t>
                  </w:r>
                  <w:r w:rsidRPr="00E82A38">
                    <w:rPr>
                      <w:rFonts w:ascii="Segoe UI" w:eastAsia="Times New Roman" w:hAnsi="Segoe UI" w:cs="Segoe UI"/>
                      <w:color w:val="000000"/>
                      <w:sz w:val="18"/>
                      <w:szCs w:val="18"/>
                      <w:lang w:eastAsia="en-AU"/>
                    </w:rPr>
                    <w:t xml:space="preserve"> ≤1000 mg/kg:</w:t>
                  </w:r>
                </w:p>
              </w:tc>
              <w:tc>
                <w:tcPr>
                  <w:tcW w:w="646" w:type="dxa"/>
                  <w:tcBorders>
                    <w:top w:val="nil"/>
                    <w:left w:val="nil"/>
                    <w:bottom w:val="nil"/>
                    <w:right w:val="nil"/>
                  </w:tcBorders>
                  <w:shd w:val="clear" w:color="000000" w:fill="C5D9F1"/>
                  <w:noWrap/>
                  <w:vAlign w:val="center"/>
                  <w:hideMark/>
                </w:tcPr>
                <w:p w14:paraId="1B203006" w14:textId="77777777" w:rsidR="00E82A38" w:rsidRPr="00E82A38" w:rsidRDefault="00E82A38" w:rsidP="00E82A38">
                  <w:pPr>
                    <w:spacing w:after="0" w:line="240" w:lineRule="auto"/>
                    <w:jc w:val="center"/>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 </w:t>
                  </w:r>
                </w:p>
              </w:tc>
              <w:tc>
                <w:tcPr>
                  <w:tcW w:w="696" w:type="dxa"/>
                  <w:tcBorders>
                    <w:top w:val="nil"/>
                    <w:left w:val="nil"/>
                    <w:bottom w:val="nil"/>
                    <w:right w:val="nil"/>
                  </w:tcBorders>
                  <w:shd w:val="clear" w:color="000000" w:fill="C5D9F1"/>
                  <w:noWrap/>
                  <w:vAlign w:val="center"/>
                  <w:hideMark/>
                </w:tcPr>
                <w:p w14:paraId="3CDF0F93" w14:textId="77777777" w:rsidR="00E82A38" w:rsidRPr="00E82A38" w:rsidRDefault="00E82A38" w:rsidP="00E82A38">
                  <w:pPr>
                    <w:spacing w:after="0" w:line="240" w:lineRule="auto"/>
                    <w:rPr>
                      <w:rFonts w:ascii="Segoe UI" w:eastAsia="Times New Roman" w:hAnsi="Segoe UI" w:cs="Segoe UI"/>
                      <w:color w:val="C5D9F1"/>
                      <w:sz w:val="18"/>
                      <w:szCs w:val="18"/>
                      <w:lang w:eastAsia="en-AU"/>
                    </w:rPr>
                  </w:pPr>
                  <w:r w:rsidRPr="00E82A38">
                    <w:rPr>
                      <w:rFonts w:ascii="Segoe UI" w:eastAsia="Times New Roman" w:hAnsi="Segoe UI" w:cs="Segoe UI"/>
                      <w:color w:val="C5D9F1"/>
                      <w:sz w:val="18"/>
                      <w:szCs w:val="18"/>
                      <w:lang w:eastAsia="en-AU"/>
                    </w:rPr>
                    <w:t> </w:t>
                  </w:r>
                </w:p>
              </w:tc>
              <w:tc>
                <w:tcPr>
                  <w:tcW w:w="3605" w:type="dxa"/>
                  <w:tcBorders>
                    <w:top w:val="nil"/>
                    <w:left w:val="nil"/>
                    <w:bottom w:val="nil"/>
                    <w:right w:val="nil"/>
                  </w:tcBorders>
                  <w:shd w:val="clear" w:color="000000" w:fill="C5D9F1"/>
                  <w:noWrap/>
                  <w:vAlign w:val="center"/>
                  <w:hideMark/>
                </w:tcPr>
                <w:p w14:paraId="5465597C" w14:textId="77777777" w:rsidR="00E82A38" w:rsidRPr="00E82A38" w:rsidRDefault="00E82A38" w:rsidP="00E82A38">
                  <w:pPr>
                    <w:spacing w:after="0" w:line="240" w:lineRule="auto"/>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 </w:t>
                  </w:r>
                </w:p>
              </w:tc>
            </w:tr>
            <w:tr w:rsidR="00E82A38" w:rsidRPr="00E82A38" w14:paraId="120D2D1E" w14:textId="77777777" w:rsidTr="00B36376">
              <w:trPr>
                <w:trHeight w:val="367"/>
              </w:trPr>
              <w:tc>
                <w:tcPr>
                  <w:tcW w:w="3977" w:type="dxa"/>
                  <w:tcBorders>
                    <w:top w:val="nil"/>
                    <w:left w:val="nil"/>
                    <w:bottom w:val="nil"/>
                    <w:right w:val="nil"/>
                  </w:tcBorders>
                  <w:shd w:val="clear" w:color="000000" w:fill="C5D9F1"/>
                  <w:noWrap/>
                  <w:vAlign w:val="center"/>
                  <w:hideMark/>
                </w:tcPr>
                <w:p w14:paraId="20186BE7" w14:textId="77777777" w:rsidR="00E82A38" w:rsidRPr="00E82A38" w:rsidRDefault="00E82A38" w:rsidP="00E82A38">
                  <w:pPr>
                    <w:spacing w:after="0" w:line="240" w:lineRule="auto"/>
                    <w:jc w:val="right"/>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Dermal repeat-dose NOAEL ≤200 mg/kg:</w:t>
                  </w:r>
                </w:p>
              </w:tc>
              <w:tc>
                <w:tcPr>
                  <w:tcW w:w="646" w:type="dxa"/>
                  <w:tcBorders>
                    <w:top w:val="nil"/>
                    <w:left w:val="nil"/>
                    <w:bottom w:val="nil"/>
                    <w:right w:val="nil"/>
                  </w:tcBorders>
                  <w:shd w:val="clear" w:color="000000" w:fill="FFEB9C"/>
                  <w:noWrap/>
                  <w:vAlign w:val="center"/>
                  <w:hideMark/>
                </w:tcPr>
                <w:p w14:paraId="63F03F01" w14:textId="77777777" w:rsidR="00E82A38" w:rsidRPr="00E82A38" w:rsidRDefault="00E82A38" w:rsidP="00E82A38">
                  <w:pPr>
                    <w:spacing w:after="0" w:line="240" w:lineRule="auto"/>
                    <w:jc w:val="center"/>
                    <w:rPr>
                      <w:rFonts w:ascii="Segoe UI" w:eastAsia="Times New Roman" w:hAnsi="Segoe UI" w:cs="Segoe UI"/>
                      <w:color w:val="9C6500"/>
                      <w:sz w:val="18"/>
                      <w:szCs w:val="18"/>
                      <w:lang w:eastAsia="en-AU"/>
                    </w:rPr>
                  </w:pPr>
                  <w:r w:rsidRPr="00E82A38">
                    <w:rPr>
                      <w:rFonts w:ascii="Segoe UI" w:eastAsia="Times New Roman" w:hAnsi="Segoe UI" w:cs="Segoe UI"/>
                      <w:color w:val="9C6500"/>
                      <w:sz w:val="18"/>
                      <w:szCs w:val="18"/>
                      <w:lang w:eastAsia="en-AU"/>
                    </w:rPr>
                    <w:t>yes</w:t>
                  </w:r>
                </w:p>
              </w:tc>
              <w:tc>
                <w:tcPr>
                  <w:tcW w:w="696" w:type="dxa"/>
                  <w:tcBorders>
                    <w:top w:val="nil"/>
                    <w:left w:val="nil"/>
                    <w:bottom w:val="nil"/>
                    <w:right w:val="nil"/>
                  </w:tcBorders>
                  <w:shd w:val="clear" w:color="000000" w:fill="C5D9F1"/>
                  <w:noWrap/>
                  <w:vAlign w:val="center"/>
                  <w:hideMark/>
                </w:tcPr>
                <w:p w14:paraId="12ADEB26" w14:textId="77777777" w:rsidR="00E82A38" w:rsidRPr="00E82A38" w:rsidRDefault="00E82A38" w:rsidP="00E82A38">
                  <w:pPr>
                    <w:spacing w:after="0" w:line="240" w:lineRule="auto"/>
                    <w:jc w:val="right"/>
                    <w:rPr>
                      <w:rFonts w:ascii="Segoe UI" w:eastAsia="Times New Roman" w:hAnsi="Segoe UI" w:cs="Segoe UI"/>
                      <w:color w:val="C5D9F1"/>
                      <w:sz w:val="18"/>
                      <w:szCs w:val="18"/>
                      <w:lang w:eastAsia="en-AU"/>
                    </w:rPr>
                  </w:pPr>
                  <w:r w:rsidRPr="00E82A38">
                    <w:rPr>
                      <w:rFonts w:ascii="Segoe UI" w:eastAsia="Times New Roman" w:hAnsi="Segoe UI" w:cs="Segoe UI"/>
                      <w:color w:val="C5D9F1"/>
                      <w:sz w:val="18"/>
                      <w:szCs w:val="18"/>
                      <w:lang w:eastAsia="en-AU"/>
                    </w:rPr>
                    <w:t>3.00</w:t>
                  </w:r>
                </w:p>
              </w:tc>
              <w:tc>
                <w:tcPr>
                  <w:tcW w:w="3605" w:type="dxa"/>
                  <w:tcBorders>
                    <w:top w:val="nil"/>
                    <w:left w:val="nil"/>
                    <w:bottom w:val="nil"/>
                    <w:right w:val="nil"/>
                  </w:tcBorders>
                  <w:shd w:val="clear" w:color="000000" w:fill="C5D9F1"/>
                  <w:noWrap/>
                  <w:vAlign w:val="center"/>
                  <w:hideMark/>
                </w:tcPr>
                <w:p w14:paraId="3522C5DB" w14:textId="77777777" w:rsidR="00E82A38" w:rsidRPr="00E82A38" w:rsidRDefault="00E82A38" w:rsidP="00E82A38">
                  <w:pPr>
                    <w:spacing w:after="0" w:line="240" w:lineRule="auto"/>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 </w:t>
                  </w:r>
                </w:p>
              </w:tc>
            </w:tr>
            <w:tr w:rsidR="00E82A38" w:rsidRPr="00E82A38" w14:paraId="0DCE7699" w14:textId="77777777" w:rsidTr="00B36376">
              <w:trPr>
                <w:trHeight w:val="367"/>
              </w:trPr>
              <w:tc>
                <w:tcPr>
                  <w:tcW w:w="3977" w:type="dxa"/>
                  <w:tcBorders>
                    <w:top w:val="nil"/>
                    <w:left w:val="nil"/>
                    <w:bottom w:val="nil"/>
                    <w:right w:val="nil"/>
                  </w:tcBorders>
                  <w:shd w:val="clear" w:color="000000" w:fill="C5D9F1"/>
                  <w:noWrap/>
                  <w:vAlign w:val="center"/>
                  <w:hideMark/>
                </w:tcPr>
                <w:p w14:paraId="1E88811D" w14:textId="77777777" w:rsidR="00E82A38" w:rsidRPr="00E82A38" w:rsidRDefault="00E82A38" w:rsidP="00E82A38">
                  <w:pPr>
                    <w:spacing w:after="0" w:line="240" w:lineRule="auto"/>
                    <w:jc w:val="right"/>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Dermal LD</w:t>
                  </w:r>
                  <w:r w:rsidRPr="00E82A38">
                    <w:rPr>
                      <w:rFonts w:ascii="Segoe UI" w:eastAsia="Times New Roman" w:hAnsi="Segoe UI" w:cs="Segoe UI"/>
                      <w:color w:val="000000"/>
                      <w:sz w:val="18"/>
                      <w:szCs w:val="18"/>
                      <w:vertAlign w:val="subscript"/>
                      <w:lang w:eastAsia="en-AU"/>
                    </w:rPr>
                    <w:t>50</w:t>
                  </w:r>
                  <w:r w:rsidRPr="00E82A38">
                    <w:rPr>
                      <w:rFonts w:ascii="Segoe UI" w:eastAsia="Times New Roman" w:hAnsi="Segoe UI" w:cs="Segoe UI"/>
                      <w:color w:val="000000"/>
                      <w:sz w:val="18"/>
                      <w:szCs w:val="18"/>
                      <w:lang w:eastAsia="en-AU"/>
                    </w:rPr>
                    <w:t>/Inhalation LD</w:t>
                  </w:r>
                  <w:r w:rsidRPr="00E82A38">
                    <w:rPr>
                      <w:rFonts w:ascii="Segoe UI" w:eastAsia="Times New Roman" w:hAnsi="Segoe UI" w:cs="Segoe UI"/>
                      <w:color w:val="000000"/>
                      <w:sz w:val="18"/>
                      <w:szCs w:val="18"/>
                      <w:vertAlign w:val="subscript"/>
                      <w:lang w:eastAsia="en-AU"/>
                    </w:rPr>
                    <w:t>50</w:t>
                  </w:r>
                  <w:r w:rsidRPr="00E82A38">
                    <w:rPr>
                      <w:rFonts w:ascii="Segoe UI" w:eastAsia="Times New Roman" w:hAnsi="Segoe UI" w:cs="Segoe UI"/>
                      <w:color w:val="000000"/>
                      <w:sz w:val="18"/>
                      <w:szCs w:val="18"/>
                      <w:lang w:eastAsia="en-AU"/>
                    </w:rPr>
                    <w:t xml:space="preserve"> &lt;10:</w:t>
                  </w:r>
                </w:p>
              </w:tc>
              <w:tc>
                <w:tcPr>
                  <w:tcW w:w="646" w:type="dxa"/>
                  <w:tcBorders>
                    <w:top w:val="nil"/>
                    <w:left w:val="nil"/>
                    <w:bottom w:val="nil"/>
                    <w:right w:val="nil"/>
                  </w:tcBorders>
                  <w:shd w:val="clear" w:color="000000" w:fill="C5D9F1"/>
                  <w:noWrap/>
                  <w:vAlign w:val="center"/>
                  <w:hideMark/>
                </w:tcPr>
                <w:p w14:paraId="75CDE543" w14:textId="77777777" w:rsidR="00E82A38" w:rsidRPr="00E82A38" w:rsidRDefault="00E82A38" w:rsidP="00E82A38">
                  <w:pPr>
                    <w:spacing w:after="0" w:line="240" w:lineRule="auto"/>
                    <w:jc w:val="center"/>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 </w:t>
                  </w:r>
                </w:p>
              </w:tc>
              <w:tc>
                <w:tcPr>
                  <w:tcW w:w="696" w:type="dxa"/>
                  <w:tcBorders>
                    <w:top w:val="nil"/>
                    <w:left w:val="nil"/>
                    <w:bottom w:val="nil"/>
                    <w:right w:val="nil"/>
                  </w:tcBorders>
                  <w:shd w:val="clear" w:color="000000" w:fill="C5D9F1"/>
                  <w:noWrap/>
                  <w:vAlign w:val="center"/>
                  <w:hideMark/>
                </w:tcPr>
                <w:p w14:paraId="76E1303A" w14:textId="77777777" w:rsidR="00E82A38" w:rsidRPr="00E82A38" w:rsidRDefault="00E82A38" w:rsidP="00E82A38">
                  <w:pPr>
                    <w:spacing w:after="0" w:line="240" w:lineRule="auto"/>
                    <w:rPr>
                      <w:rFonts w:ascii="Segoe UI" w:eastAsia="Times New Roman" w:hAnsi="Segoe UI" w:cs="Segoe UI"/>
                      <w:color w:val="C5D9F1"/>
                      <w:sz w:val="18"/>
                      <w:szCs w:val="18"/>
                      <w:lang w:eastAsia="en-AU"/>
                    </w:rPr>
                  </w:pPr>
                  <w:r w:rsidRPr="00E82A38">
                    <w:rPr>
                      <w:rFonts w:ascii="Segoe UI" w:eastAsia="Times New Roman" w:hAnsi="Segoe UI" w:cs="Segoe UI"/>
                      <w:color w:val="C5D9F1"/>
                      <w:sz w:val="18"/>
                      <w:szCs w:val="18"/>
                      <w:lang w:eastAsia="en-AU"/>
                    </w:rPr>
                    <w:t> </w:t>
                  </w:r>
                </w:p>
              </w:tc>
              <w:tc>
                <w:tcPr>
                  <w:tcW w:w="3605" w:type="dxa"/>
                  <w:tcBorders>
                    <w:top w:val="nil"/>
                    <w:left w:val="nil"/>
                    <w:bottom w:val="nil"/>
                    <w:right w:val="nil"/>
                  </w:tcBorders>
                  <w:shd w:val="clear" w:color="000000" w:fill="C5D9F1"/>
                  <w:noWrap/>
                  <w:vAlign w:val="center"/>
                  <w:hideMark/>
                </w:tcPr>
                <w:p w14:paraId="380408B2" w14:textId="77777777" w:rsidR="00E82A38" w:rsidRPr="00E82A38" w:rsidRDefault="00E82A38" w:rsidP="00E82A38">
                  <w:pPr>
                    <w:spacing w:after="0" w:line="240" w:lineRule="auto"/>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 </w:t>
                  </w:r>
                </w:p>
              </w:tc>
            </w:tr>
            <w:tr w:rsidR="00E82A38" w:rsidRPr="00E82A38" w14:paraId="26713854" w14:textId="77777777" w:rsidTr="00B36376">
              <w:trPr>
                <w:trHeight w:val="367"/>
              </w:trPr>
              <w:tc>
                <w:tcPr>
                  <w:tcW w:w="3977" w:type="dxa"/>
                  <w:tcBorders>
                    <w:top w:val="nil"/>
                    <w:left w:val="nil"/>
                    <w:bottom w:val="nil"/>
                    <w:right w:val="nil"/>
                  </w:tcBorders>
                  <w:shd w:val="clear" w:color="000000" w:fill="C5D9F1"/>
                  <w:noWrap/>
                  <w:vAlign w:val="center"/>
                  <w:hideMark/>
                </w:tcPr>
                <w:p w14:paraId="44A88E91" w14:textId="77777777" w:rsidR="00E82A38" w:rsidRPr="00E82A38" w:rsidRDefault="00E82A38" w:rsidP="00E82A38">
                  <w:pPr>
                    <w:spacing w:after="0" w:line="240" w:lineRule="auto"/>
                    <w:jc w:val="right"/>
                    <w:rPr>
                      <w:rFonts w:ascii="Segoe UI" w:eastAsia="Times New Roman" w:hAnsi="Segoe UI" w:cs="Segoe UI"/>
                      <w:i/>
                      <w:iCs/>
                      <w:color w:val="000000"/>
                      <w:sz w:val="18"/>
                      <w:szCs w:val="18"/>
                      <w:lang w:eastAsia="en-AU"/>
                    </w:rPr>
                  </w:pPr>
                  <w:r w:rsidRPr="00E82A38">
                    <w:rPr>
                      <w:rFonts w:ascii="Segoe UI" w:eastAsia="Times New Roman" w:hAnsi="Segoe UI" w:cs="Segoe UI"/>
                      <w:i/>
                      <w:iCs/>
                      <w:color w:val="000000"/>
                      <w:sz w:val="18"/>
                      <w:szCs w:val="18"/>
                      <w:lang w:eastAsia="en-AU"/>
                    </w:rPr>
                    <w:t>In vivo</w:t>
                  </w:r>
                  <w:r w:rsidRPr="00E82A38">
                    <w:rPr>
                      <w:rFonts w:ascii="Segoe UI" w:eastAsia="Times New Roman" w:hAnsi="Segoe UI" w:cs="Segoe UI"/>
                      <w:color w:val="000000"/>
                      <w:sz w:val="18"/>
                      <w:szCs w:val="18"/>
                      <w:lang w:eastAsia="en-AU"/>
                    </w:rPr>
                    <w:t xml:space="preserve"> dermal absorption rate &gt;10%:</w:t>
                  </w:r>
                </w:p>
              </w:tc>
              <w:tc>
                <w:tcPr>
                  <w:tcW w:w="646" w:type="dxa"/>
                  <w:tcBorders>
                    <w:top w:val="nil"/>
                    <w:left w:val="nil"/>
                    <w:bottom w:val="nil"/>
                    <w:right w:val="nil"/>
                  </w:tcBorders>
                  <w:shd w:val="clear" w:color="000000" w:fill="C5D9F1"/>
                  <w:noWrap/>
                  <w:vAlign w:val="center"/>
                  <w:hideMark/>
                </w:tcPr>
                <w:p w14:paraId="1172395B" w14:textId="77777777" w:rsidR="00E82A38" w:rsidRPr="00E82A38" w:rsidRDefault="00E82A38" w:rsidP="00E82A38">
                  <w:pPr>
                    <w:spacing w:after="0" w:line="240" w:lineRule="auto"/>
                    <w:jc w:val="center"/>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 </w:t>
                  </w:r>
                </w:p>
              </w:tc>
              <w:tc>
                <w:tcPr>
                  <w:tcW w:w="696" w:type="dxa"/>
                  <w:tcBorders>
                    <w:top w:val="nil"/>
                    <w:left w:val="nil"/>
                    <w:bottom w:val="nil"/>
                    <w:right w:val="nil"/>
                  </w:tcBorders>
                  <w:shd w:val="clear" w:color="000000" w:fill="C5D9F1"/>
                  <w:noWrap/>
                  <w:vAlign w:val="center"/>
                  <w:hideMark/>
                </w:tcPr>
                <w:p w14:paraId="660F0204" w14:textId="77777777" w:rsidR="00E82A38" w:rsidRPr="00E82A38" w:rsidRDefault="00E82A38" w:rsidP="00E82A38">
                  <w:pPr>
                    <w:spacing w:after="0" w:line="240" w:lineRule="auto"/>
                    <w:rPr>
                      <w:rFonts w:ascii="Segoe UI" w:eastAsia="Times New Roman" w:hAnsi="Segoe UI" w:cs="Segoe UI"/>
                      <w:color w:val="C5D9F1"/>
                      <w:sz w:val="18"/>
                      <w:szCs w:val="18"/>
                      <w:lang w:eastAsia="en-AU"/>
                    </w:rPr>
                  </w:pPr>
                  <w:r w:rsidRPr="00E82A38">
                    <w:rPr>
                      <w:rFonts w:ascii="Segoe UI" w:eastAsia="Times New Roman" w:hAnsi="Segoe UI" w:cs="Segoe UI"/>
                      <w:color w:val="C5D9F1"/>
                      <w:sz w:val="18"/>
                      <w:szCs w:val="18"/>
                      <w:lang w:eastAsia="en-AU"/>
                    </w:rPr>
                    <w:t> </w:t>
                  </w:r>
                </w:p>
              </w:tc>
              <w:tc>
                <w:tcPr>
                  <w:tcW w:w="3605" w:type="dxa"/>
                  <w:tcBorders>
                    <w:top w:val="nil"/>
                    <w:left w:val="nil"/>
                    <w:bottom w:val="nil"/>
                    <w:right w:val="nil"/>
                  </w:tcBorders>
                  <w:shd w:val="clear" w:color="000000" w:fill="C5D9F1"/>
                  <w:noWrap/>
                  <w:vAlign w:val="center"/>
                  <w:hideMark/>
                </w:tcPr>
                <w:p w14:paraId="68CD48DD" w14:textId="77777777" w:rsidR="00E82A38" w:rsidRPr="00E82A38" w:rsidRDefault="00E82A38" w:rsidP="00E82A38">
                  <w:pPr>
                    <w:spacing w:after="0" w:line="240" w:lineRule="auto"/>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 </w:t>
                  </w:r>
                </w:p>
              </w:tc>
            </w:tr>
            <w:tr w:rsidR="00E82A38" w:rsidRPr="00E82A38" w14:paraId="56749D69" w14:textId="77777777" w:rsidTr="00B36376">
              <w:trPr>
                <w:trHeight w:val="367"/>
              </w:trPr>
              <w:tc>
                <w:tcPr>
                  <w:tcW w:w="3977" w:type="dxa"/>
                  <w:tcBorders>
                    <w:top w:val="nil"/>
                    <w:left w:val="nil"/>
                    <w:bottom w:val="nil"/>
                    <w:right w:val="nil"/>
                  </w:tcBorders>
                  <w:shd w:val="clear" w:color="000000" w:fill="C5D9F1"/>
                  <w:noWrap/>
                  <w:vAlign w:val="center"/>
                  <w:hideMark/>
                </w:tcPr>
                <w:p w14:paraId="608AB386" w14:textId="77777777" w:rsidR="00E82A38" w:rsidRPr="00E82A38" w:rsidRDefault="00E82A38" w:rsidP="00E82A38">
                  <w:pPr>
                    <w:spacing w:after="0" w:line="240" w:lineRule="auto"/>
                    <w:jc w:val="right"/>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Estimated dermal exposure at WES &gt;10%:</w:t>
                  </w:r>
                </w:p>
              </w:tc>
              <w:tc>
                <w:tcPr>
                  <w:tcW w:w="646" w:type="dxa"/>
                  <w:tcBorders>
                    <w:top w:val="nil"/>
                    <w:left w:val="nil"/>
                    <w:bottom w:val="nil"/>
                    <w:right w:val="nil"/>
                  </w:tcBorders>
                  <w:shd w:val="clear" w:color="000000" w:fill="C5D9F1"/>
                  <w:noWrap/>
                  <w:vAlign w:val="center"/>
                  <w:hideMark/>
                </w:tcPr>
                <w:p w14:paraId="441600AF" w14:textId="77777777" w:rsidR="00E82A38" w:rsidRPr="00E82A38" w:rsidRDefault="00E82A38" w:rsidP="00E82A38">
                  <w:pPr>
                    <w:spacing w:after="0" w:line="240" w:lineRule="auto"/>
                    <w:jc w:val="center"/>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 </w:t>
                  </w:r>
                </w:p>
              </w:tc>
              <w:tc>
                <w:tcPr>
                  <w:tcW w:w="696" w:type="dxa"/>
                  <w:tcBorders>
                    <w:top w:val="nil"/>
                    <w:left w:val="nil"/>
                    <w:bottom w:val="nil"/>
                    <w:right w:val="nil"/>
                  </w:tcBorders>
                  <w:shd w:val="clear" w:color="000000" w:fill="C5D9F1"/>
                  <w:noWrap/>
                  <w:vAlign w:val="center"/>
                  <w:hideMark/>
                </w:tcPr>
                <w:p w14:paraId="1B250DB9" w14:textId="77777777" w:rsidR="00E82A38" w:rsidRPr="00E82A38" w:rsidRDefault="00E82A38" w:rsidP="00E82A38">
                  <w:pPr>
                    <w:spacing w:after="0" w:line="240" w:lineRule="auto"/>
                    <w:rPr>
                      <w:rFonts w:ascii="Segoe UI" w:eastAsia="Times New Roman" w:hAnsi="Segoe UI" w:cs="Segoe UI"/>
                      <w:color w:val="C5D9F1"/>
                      <w:sz w:val="18"/>
                      <w:szCs w:val="18"/>
                      <w:lang w:eastAsia="en-AU"/>
                    </w:rPr>
                  </w:pPr>
                  <w:r w:rsidRPr="00E82A38">
                    <w:rPr>
                      <w:rFonts w:ascii="Segoe UI" w:eastAsia="Times New Roman" w:hAnsi="Segoe UI" w:cs="Segoe UI"/>
                      <w:color w:val="C5D9F1"/>
                      <w:sz w:val="18"/>
                      <w:szCs w:val="18"/>
                      <w:lang w:eastAsia="en-AU"/>
                    </w:rPr>
                    <w:t> </w:t>
                  </w:r>
                </w:p>
              </w:tc>
              <w:tc>
                <w:tcPr>
                  <w:tcW w:w="3605" w:type="dxa"/>
                  <w:tcBorders>
                    <w:top w:val="nil"/>
                    <w:left w:val="nil"/>
                    <w:bottom w:val="nil"/>
                    <w:right w:val="nil"/>
                  </w:tcBorders>
                  <w:shd w:val="clear" w:color="000000" w:fill="C5D9F1"/>
                  <w:noWrap/>
                  <w:vAlign w:val="center"/>
                  <w:hideMark/>
                </w:tcPr>
                <w:p w14:paraId="778C2501" w14:textId="77777777" w:rsidR="00E82A38" w:rsidRPr="00E82A38" w:rsidRDefault="00E82A38" w:rsidP="00E82A38">
                  <w:pPr>
                    <w:spacing w:after="0" w:line="240" w:lineRule="auto"/>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 </w:t>
                  </w:r>
                </w:p>
              </w:tc>
            </w:tr>
            <w:tr w:rsidR="00E82A38" w:rsidRPr="00E82A38" w14:paraId="71F1FC50" w14:textId="77777777" w:rsidTr="00B36376">
              <w:trPr>
                <w:trHeight w:val="367"/>
              </w:trPr>
              <w:tc>
                <w:tcPr>
                  <w:tcW w:w="3977" w:type="dxa"/>
                  <w:tcBorders>
                    <w:top w:val="nil"/>
                    <w:left w:val="nil"/>
                    <w:bottom w:val="nil"/>
                    <w:right w:val="nil"/>
                  </w:tcBorders>
                  <w:shd w:val="clear" w:color="000000" w:fill="C5D9F1"/>
                  <w:noWrap/>
                  <w:vAlign w:val="center"/>
                  <w:hideMark/>
                </w:tcPr>
                <w:p w14:paraId="52C79D56" w14:textId="77777777" w:rsidR="00E82A38" w:rsidRPr="00E82A38" w:rsidRDefault="00E82A38" w:rsidP="00E82A38">
                  <w:pPr>
                    <w:spacing w:after="0" w:line="240" w:lineRule="auto"/>
                    <w:jc w:val="right"/>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 </w:t>
                  </w:r>
                </w:p>
              </w:tc>
              <w:tc>
                <w:tcPr>
                  <w:tcW w:w="646" w:type="dxa"/>
                  <w:tcBorders>
                    <w:top w:val="nil"/>
                    <w:left w:val="nil"/>
                    <w:bottom w:val="nil"/>
                    <w:right w:val="nil"/>
                  </w:tcBorders>
                  <w:shd w:val="clear" w:color="000000" w:fill="C5D9F1"/>
                  <w:noWrap/>
                  <w:vAlign w:val="center"/>
                  <w:hideMark/>
                </w:tcPr>
                <w:p w14:paraId="4EEBBE10" w14:textId="77777777" w:rsidR="00E82A38" w:rsidRPr="00E82A38" w:rsidRDefault="00E82A38" w:rsidP="00E82A38">
                  <w:pPr>
                    <w:spacing w:after="0" w:line="240" w:lineRule="auto"/>
                    <w:jc w:val="center"/>
                    <w:rPr>
                      <w:rFonts w:ascii="Segoe UI" w:eastAsia="Times New Roman" w:hAnsi="Segoe UI" w:cs="Segoe UI"/>
                      <w:color w:val="000000"/>
                      <w:sz w:val="18"/>
                      <w:szCs w:val="18"/>
                      <w:lang w:eastAsia="en-AU"/>
                    </w:rPr>
                  </w:pPr>
                  <w:r w:rsidRPr="00E82A38">
                    <w:rPr>
                      <w:rFonts w:ascii="Segoe UI" w:eastAsia="Times New Roman" w:hAnsi="Segoe UI" w:cs="Segoe UI"/>
                      <w:color w:val="000000"/>
                      <w:sz w:val="18"/>
                      <w:szCs w:val="18"/>
                      <w:lang w:eastAsia="en-AU"/>
                    </w:rPr>
                    <w:t> </w:t>
                  </w:r>
                </w:p>
              </w:tc>
              <w:tc>
                <w:tcPr>
                  <w:tcW w:w="696" w:type="dxa"/>
                  <w:tcBorders>
                    <w:top w:val="nil"/>
                    <w:left w:val="nil"/>
                    <w:bottom w:val="nil"/>
                    <w:right w:val="nil"/>
                  </w:tcBorders>
                  <w:shd w:val="clear" w:color="000000" w:fill="C5D9F1"/>
                  <w:noWrap/>
                  <w:vAlign w:val="center"/>
                  <w:hideMark/>
                </w:tcPr>
                <w:p w14:paraId="44E75323" w14:textId="77777777" w:rsidR="00E82A38" w:rsidRPr="00E82A38" w:rsidRDefault="00E82A38" w:rsidP="00E82A38">
                  <w:pPr>
                    <w:spacing w:after="0" w:line="240" w:lineRule="auto"/>
                    <w:jc w:val="right"/>
                    <w:rPr>
                      <w:rFonts w:ascii="Segoe UI" w:eastAsia="Times New Roman" w:hAnsi="Segoe UI" w:cs="Segoe UI"/>
                      <w:color w:val="C5D9F1"/>
                      <w:sz w:val="18"/>
                      <w:szCs w:val="18"/>
                      <w:lang w:eastAsia="en-AU"/>
                    </w:rPr>
                  </w:pPr>
                  <w:r w:rsidRPr="00E82A38">
                    <w:rPr>
                      <w:rFonts w:ascii="Segoe UI" w:eastAsia="Times New Roman" w:hAnsi="Segoe UI" w:cs="Segoe UI"/>
                      <w:color w:val="C5D9F1"/>
                      <w:sz w:val="18"/>
                      <w:szCs w:val="18"/>
                      <w:lang w:eastAsia="en-AU"/>
                    </w:rPr>
                    <w:t>3</w:t>
                  </w:r>
                </w:p>
              </w:tc>
              <w:tc>
                <w:tcPr>
                  <w:tcW w:w="3605" w:type="dxa"/>
                  <w:tcBorders>
                    <w:top w:val="nil"/>
                    <w:left w:val="nil"/>
                    <w:bottom w:val="nil"/>
                    <w:right w:val="nil"/>
                  </w:tcBorders>
                  <w:shd w:val="clear" w:color="000000" w:fill="C5D9F1"/>
                  <w:noWrap/>
                  <w:vAlign w:val="center"/>
                  <w:hideMark/>
                </w:tcPr>
                <w:p w14:paraId="796D520F" w14:textId="77777777" w:rsidR="00E82A38" w:rsidRPr="00E82A38" w:rsidRDefault="00E82A38" w:rsidP="00E82A38">
                  <w:pPr>
                    <w:spacing w:after="0" w:line="240" w:lineRule="auto"/>
                    <w:rPr>
                      <w:rFonts w:ascii="Segoe UI" w:eastAsia="Times New Roman" w:hAnsi="Segoe UI" w:cs="Segoe UI"/>
                      <w:b/>
                      <w:bCs/>
                      <w:color w:val="000000"/>
                      <w:sz w:val="18"/>
                      <w:szCs w:val="18"/>
                      <w:lang w:eastAsia="en-AU"/>
                    </w:rPr>
                  </w:pPr>
                  <w:r w:rsidRPr="00E82A38">
                    <w:rPr>
                      <w:rFonts w:ascii="Segoe UI" w:eastAsia="Times New Roman" w:hAnsi="Segoe UI" w:cs="Segoe UI"/>
                      <w:b/>
                      <w:bCs/>
                      <w:color w:val="000000"/>
                      <w:sz w:val="18"/>
                      <w:szCs w:val="18"/>
                      <w:lang w:eastAsia="en-AU"/>
                    </w:rPr>
                    <w:t>consider assigning a skin notation</w:t>
                  </w:r>
                </w:p>
              </w:tc>
            </w:tr>
          </w:tbl>
          <w:p w14:paraId="6B69746F" w14:textId="77777777" w:rsidR="00932DCE" w:rsidRPr="004C23F4" w:rsidRDefault="00932DCE" w:rsidP="00F9496B">
            <w:pPr>
              <w:pStyle w:val="Tablefont"/>
            </w:pPr>
          </w:p>
        </w:tc>
      </w:tr>
    </w:tbl>
    <w:bookmarkEnd w:id="3"/>
    <w:p w14:paraId="1350699C" w14:textId="77777777"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9"/>
        <w:gridCol w:w="4757"/>
      </w:tblGrid>
      <w:tr w:rsidR="00EB3D1B" w14:paraId="49F6788A" w14:textId="77777777" w:rsidTr="00610F2E">
        <w:trPr>
          <w:trHeight w:val="454"/>
          <w:tblHeader/>
        </w:trPr>
        <w:tc>
          <w:tcPr>
            <w:tcW w:w="4361" w:type="dxa"/>
            <w:vAlign w:val="center"/>
          </w:tcPr>
          <w:p w14:paraId="0EF03B53" w14:textId="77777777"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14:paraId="312094BA" w14:textId="77777777" w:rsidR="00EB3D1B" w:rsidRDefault="00B51C0D" w:rsidP="00EB3D1B">
                <w:pPr>
                  <w:pStyle w:val="Tablefont"/>
                </w:pPr>
                <w:r>
                  <w:t>No</w:t>
                </w:r>
              </w:p>
            </w:tc>
          </w:sdtContent>
        </w:sdt>
      </w:tr>
    </w:tbl>
    <w:p w14:paraId="0F7B1F3A" w14:textId="77777777" w:rsidR="00687890" w:rsidRPr="004C23F4" w:rsidRDefault="00B479A9" w:rsidP="00474E33">
      <w:pPr>
        <w:pStyle w:val="Heading2"/>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5"/>
        <w:gridCol w:w="5031"/>
      </w:tblGrid>
      <w:tr w:rsidR="001B79E5" w:rsidRPr="004C23F4" w14:paraId="39CF4170" w14:textId="77777777" w:rsidTr="00EA6243">
        <w:trPr>
          <w:cantSplit/>
          <w:tblHeader/>
        </w:trPr>
        <w:tc>
          <w:tcPr>
            <w:tcW w:w="4077" w:type="dxa"/>
            <w:vAlign w:val="center"/>
          </w:tcPr>
          <w:p w14:paraId="0169A66D" w14:textId="77777777" w:rsidR="001B79E5" w:rsidRDefault="001B79E5" w:rsidP="00A31D99">
            <w:pPr>
              <w:pStyle w:val="Tablefont"/>
            </w:pPr>
            <w:r>
              <w:t>Molecular weight:</w:t>
            </w:r>
          </w:p>
        </w:tc>
        <w:sdt>
          <w:sdtPr>
            <w:id w:val="2058126578"/>
            <w:placeholder>
              <w:docPart w:val="0DAD3FB9ACEF4778B961F088737E2361"/>
            </w:placeholder>
          </w:sdtPr>
          <w:sdtEndPr/>
          <w:sdtContent>
            <w:tc>
              <w:tcPr>
                <w:tcW w:w="5165" w:type="dxa"/>
                <w:vAlign w:val="center"/>
              </w:tcPr>
              <w:p w14:paraId="4D225978" w14:textId="77777777" w:rsidR="001B79E5" w:rsidRDefault="007A2AB3" w:rsidP="001B79E5">
                <w:pPr>
                  <w:pStyle w:val="Tablefont"/>
                </w:pPr>
                <w:r>
                  <w:t>300.6</w:t>
                </w:r>
              </w:p>
            </w:tc>
          </w:sdtContent>
        </w:sdt>
      </w:tr>
      <w:tr w:rsidR="00A31D99" w:rsidRPr="004C23F4" w14:paraId="5A763F4A" w14:textId="77777777" w:rsidTr="00EA6243">
        <w:trPr>
          <w:cantSplit/>
          <w:tblHeader/>
        </w:trPr>
        <w:tc>
          <w:tcPr>
            <w:tcW w:w="4077" w:type="dxa"/>
            <w:vAlign w:val="center"/>
          </w:tcPr>
          <w:p w14:paraId="5F0E39C1" w14:textId="77777777" w:rsidR="00A31D99" w:rsidRPr="00263255" w:rsidRDefault="00A31D99" w:rsidP="00A31D99">
            <w:pPr>
              <w:pStyle w:val="Tablefont"/>
            </w:pPr>
            <w:r>
              <w:t>Conversion factors at 25</w:t>
            </w:r>
            <w:r>
              <w:rPr>
                <w:rFonts w:cs="Arial"/>
              </w:rPr>
              <w:t>°</w:t>
            </w:r>
            <w:r>
              <w:t xml:space="preserve">C and 101.3 </w:t>
            </w:r>
            <w:proofErr w:type="spellStart"/>
            <w:r>
              <w:t>kPa</w:t>
            </w:r>
            <w:proofErr w:type="spellEnd"/>
            <w:r>
              <w:t xml:space="preserve">: </w:t>
            </w:r>
          </w:p>
        </w:tc>
        <w:tc>
          <w:tcPr>
            <w:tcW w:w="5165" w:type="dxa"/>
            <w:vAlign w:val="center"/>
          </w:tcPr>
          <w:p w14:paraId="3FCA99AC" w14:textId="77777777" w:rsidR="00A31D99" w:rsidRDefault="00A0643F" w:rsidP="00A174CC">
            <w:pPr>
              <w:pStyle w:val="Tablefont"/>
            </w:pPr>
            <w:r>
              <w:t xml:space="preserve">1 ppm = </w:t>
            </w:r>
            <w:sdt>
              <w:sdtPr>
                <w:id w:val="-371151491"/>
                <w:placeholder>
                  <w:docPart w:val="A7231FB73EFF4B2B92EB3BD21C0CEA01"/>
                </w:placeholder>
                <w:showingPlcHdr/>
              </w:sdtPr>
              <w:sdtEndPr/>
              <w:sdtContent>
                <w:r w:rsidR="00A174CC">
                  <w:rPr>
                    <w:rStyle w:val="PlaceholderText"/>
                  </w:rPr>
                  <w:t>Number</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174CC" w:rsidRPr="00A174CC">
                  <w:rPr>
                    <w:color w:val="808080"/>
                  </w:rPr>
                  <w:t>Number</w:t>
                </w:r>
              </w:sdtContent>
            </w:sdt>
            <w:r>
              <w:t xml:space="preserve"> ppm</w:t>
            </w:r>
          </w:p>
        </w:tc>
      </w:tr>
      <w:tr w:rsidR="00687890" w:rsidRPr="004C23F4" w14:paraId="0233C931" w14:textId="77777777" w:rsidTr="00EA6243">
        <w:trPr>
          <w:cantSplit/>
          <w:tblHeader/>
        </w:trPr>
        <w:tc>
          <w:tcPr>
            <w:tcW w:w="4077" w:type="dxa"/>
            <w:vAlign w:val="center"/>
          </w:tcPr>
          <w:p w14:paraId="0566D1A1" w14:textId="77777777" w:rsidR="00687890" w:rsidRPr="00263255" w:rsidRDefault="00687890" w:rsidP="00263255">
            <w:pPr>
              <w:pStyle w:val="Tablefont"/>
            </w:pPr>
            <w:r w:rsidRPr="00263255">
              <w:t>This chemical is used as a pesticide:</w:t>
            </w:r>
          </w:p>
        </w:tc>
        <w:sdt>
          <w:sdtPr>
            <w:id w:val="1704441067"/>
            <w14:checkbox>
              <w14:checked w14:val="1"/>
              <w14:checkedState w14:val="00FC" w14:font="Wingdings"/>
              <w14:uncheckedState w14:val="2610" w14:font="MS Gothic"/>
            </w14:checkbox>
          </w:sdtPr>
          <w:sdtEndPr/>
          <w:sdtContent>
            <w:tc>
              <w:tcPr>
                <w:tcW w:w="5165" w:type="dxa"/>
                <w:vAlign w:val="center"/>
              </w:tcPr>
              <w:p w14:paraId="5484B580" w14:textId="77777777" w:rsidR="00687890" w:rsidRPr="004C23F4" w:rsidRDefault="005645DF" w:rsidP="00717D45">
                <w:pPr>
                  <w:pStyle w:val="Tablefont"/>
                </w:pPr>
                <w:r>
                  <w:sym w:font="Wingdings" w:char="F0FC"/>
                </w:r>
              </w:p>
            </w:tc>
          </w:sdtContent>
        </w:sdt>
      </w:tr>
      <w:tr w:rsidR="00687890" w:rsidRPr="004C23F4" w14:paraId="569898E5" w14:textId="77777777" w:rsidTr="00EA6243">
        <w:trPr>
          <w:cantSplit/>
        </w:trPr>
        <w:tc>
          <w:tcPr>
            <w:tcW w:w="4077" w:type="dxa"/>
            <w:vAlign w:val="center"/>
          </w:tcPr>
          <w:p w14:paraId="17BA208A" w14:textId="77777777" w:rsidR="00687890" w:rsidRPr="00263255" w:rsidRDefault="00687890" w:rsidP="00263255">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14:paraId="5A7F0967" w14:textId="77777777" w:rsidR="00687890" w:rsidRPr="004C23F4" w:rsidRDefault="006716CC" w:rsidP="00717D45">
                <w:pPr>
                  <w:pStyle w:val="Tablefont"/>
                </w:pPr>
                <w:r>
                  <w:rPr>
                    <w:rFonts w:ascii="MS Gothic" w:eastAsia="MS Gothic" w:hAnsi="MS Gothic" w:hint="eastAsia"/>
                  </w:rPr>
                  <w:t>☐</w:t>
                </w:r>
              </w:p>
            </w:tc>
          </w:sdtContent>
        </w:sdt>
      </w:tr>
      <w:tr w:rsidR="00687890" w:rsidRPr="004C23F4" w14:paraId="63060FAE" w14:textId="77777777" w:rsidTr="00EA6243">
        <w:trPr>
          <w:cantSplit/>
        </w:trPr>
        <w:tc>
          <w:tcPr>
            <w:tcW w:w="4077" w:type="dxa"/>
            <w:vAlign w:val="center"/>
          </w:tcPr>
          <w:p w14:paraId="372E7949" w14:textId="77777777" w:rsidR="00687890" w:rsidRPr="00263255" w:rsidRDefault="00687890" w:rsidP="00263255">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14:paraId="0CEFB52C" w14:textId="77777777" w:rsidR="00687890" w:rsidRPr="004C23F4" w:rsidRDefault="00687890" w:rsidP="00717D45">
                <w:pPr>
                  <w:pStyle w:val="Tablefont"/>
                </w:pPr>
                <w:r w:rsidRPr="004C23F4">
                  <w:rPr>
                    <w:rFonts w:ascii="MS Gothic" w:eastAsia="MS Gothic" w:hAnsi="MS Gothic" w:cs="MS Gothic" w:hint="eastAsia"/>
                  </w:rPr>
                  <w:t>☐</w:t>
                </w:r>
              </w:p>
            </w:tc>
          </w:sdtContent>
        </w:sdt>
      </w:tr>
      <w:tr w:rsidR="00E06F40" w:rsidRPr="004C23F4" w14:paraId="5A1B229F" w14:textId="77777777" w:rsidTr="00EA6243">
        <w:trPr>
          <w:cantSplit/>
        </w:trPr>
        <w:tc>
          <w:tcPr>
            <w:tcW w:w="4077" w:type="dxa"/>
            <w:vAlign w:val="center"/>
          </w:tcPr>
          <w:p w14:paraId="7A9476FA" w14:textId="77777777" w:rsidR="00E06F40" w:rsidRPr="00263255" w:rsidRDefault="00E06F40" w:rsidP="00084513">
            <w:pPr>
              <w:pStyle w:val="Tablefont"/>
            </w:pPr>
            <w:r w:rsidRPr="00263255">
              <w:t xml:space="preserve">A biological exposure index has been recommended by </w:t>
            </w:r>
            <w:r w:rsidR="00084513">
              <w:t>these agencies</w:t>
            </w:r>
            <w:r w:rsidRPr="00263255">
              <w:t>:</w:t>
            </w:r>
          </w:p>
        </w:tc>
        <w:tc>
          <w:tcPr>
            <w:tcW w:w="5165" w:type="dxa"/>
            <w:vAlign w:val="center"/>
          </w:tcPr>
          <w:p w14:paraId="2CA53CD3" w14:textId="77777777" w:rsidR="00E06F40" w:rsidRPr="00A006A0" w:rsidRDefault="00617968" w:rsidP="00B40C60">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14:paraId="5E0C21E6" w14:textId="77777777" w:rsidR="007F1005" w:rsidRPr="004C23F4" w:rsidRDefault="007F1005" w:rsidP="00EB3D1B">
      <w:pPr>
        <w:pStyle w:val="Heading2"/>
        <w:keepLines/>
      </w:pPr>
      <w:r w:rsidRPr="004C23F4">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14:paraId="13E9A8C8" w14:textId="77777777" w:rsidTr="00F053FA">
        <w:trPr>
          <w:tblHeader/>
        </w:trPr>
        <w:tc>
          <w:tcPr>
            <w:tcW w:w="4077" w:type="dxa"/>
            <w:shd w:val="clear" w:color="auto" w:fill="BFBFBF" w:themeFill="background1" w:themeFillShade="BF"/>
            <w:vAlign w:val="center"/>
          </w:tcPr>
          <w:p w14:paraId="127D633A" w14:textId="77777777" w:rsidR="00224EE2" w:rsidRPr="004C23F4" w:rsidRDefault="00224EE2" w:rsidP="00EB3D1B">
            <w:pPr>
              <w:pStyle w:val="Tableheader"/>
              <w:keepNext/>
              <w:keepLines/>
            </w:pPr>
            <w:bookmarkStart w:id="4" w:name="History" w:colFirst="0" w:colLast="1"/>
            <w:r>
              <w:t>Year</w:t>
            </w:r>
          </w:p>
        </w:tc>
        <w:tc>
          <w:tcPr>
            <w:tcW w:w="5165" w:type="dxa"/>
            <w:shd w:val="clear" w:color="auto" w:fill="BFBFBF" w:themeFill="background1" w:themeFillShade="BF"/>
            <w:vAlign w:val="center"/>
          </w:tcPr>
          <w:p w14:paraId="6F546668" w14:textId="77777777" w:rsidR="00224EE2" w:rsidRPr="004C23F4" w:rsidRDefault="00224EE2" w:rsidP="00EB3D1B">
            <w:pPr>
              <w:pStyle w:val="Tableheader"/>
              <w:keepNext/>
              <w:keepLines/>
            </w:pPr>
            <w:r>
              <w:t>Standard</w:t>
            </w:r>
          </w:p>
        </w:tc>
      </w:tr>
      <w:tr w:rsidR="007F1005" w:rsidRPr="004C23F4" w14:paraId="7BE8C663" w14:textId="77777777" w:rsidTr="00F053FA">
        <w:trPr>
          <w:tblHeader/>
        </w:trPr>
        <w:sdt>
          <w:sdtPr>
            <w:id w:val="-25557549"/>
            <w:placeholder>
              <w:docPart w:val="2BF891C0AB704CDAB9BC6E80D556473F"/>
            </w:placeholder>
            <w:showingPlcHdr/>
            <w:text/>
          </w:sdtPr>
          <w:sdtEndPr/>
          <w:sdtContent>
            <w:tc>
              <w:tcPr>
                <w:tcW w:w="4077" w:type="dxa"/>
                <w:vAlign w:val="center"/>
              </w:tcPr>
              <w:p w14:paraId="05FCC405" w14:textId="77777777"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14:paraId="4CF8B29B" w14:textId="77777777" w:rsidR="007F1005" w:rsidRPr="004C23F4" w:rsidRDefault="007F1005" w:rsidP="00EB3D1B">
            <w:pPr>
              <w:pStyle w:val="Tablefont"/>
              <w:keepLines/>
            </w:pPr>
          </w:p>
        </w:tc>
      </w:tr>
    </w:tbl>
    <w:bookmarkEnd w:id="4"/>
    <w:p w14:paraId="2C0FBB41" w14:textId="77777777" w:rsidR="00F87D92" w:rsidRDefault="00F87D92" w:rsidP="00EF7F78">
      <w:pPr>
        <w:pStyle w:val="Heading2"/>
        <w:tabs>
          <w:tab w:val="right" w:pos="8505"/>
        </w:tabs>
      </w:pPr>
      <w:r>
        <w:t>References</w:t>
      </w:r>
      <w:r w:rsidR="00EF7F78">
        <w:tab/>
      </w:r>
    </w:p>
    <w:p w14:paraId="728F66AE" w14:textId="77777777"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14:paraId="026318A7" w14:textId="77777777" w:rsidR="00B36376" w:rsidRDefault="00B36376" w:rsidP="00B36376">
      <w:r w:rsidRPr="002022B6">
        <w:t>International Agency for Research on Cancer</w:t>
      </w:r>
      <w:r>
        <w:t xml:space="preserve"> (IARC) (1983) </w:t>
      </w:r>
      <w:proofErr w:type="gramStart"/>
      <w:r>
        <w:t>Miscellaneous</w:t>
      </w:r>
      <w:proofErr w:type="gramEnd"/>
      <w:r>
        <w:t xml:space="preserve"> pesticides. IARC Monographs on the evaluation of the carcinogenic risk to humans, volume 30.</w:t>
      </w:r>
    </w:p>
    <w:p w14:paraId="2EB56076" w14:textId="77777777" w:rsidR="00C82940" w:rsidRPr="00C82940" w:rsidRDefault="00C82940" w:rsidP="00084859">
      <w:pPr>
        <w:rPr>
          <w:b/>
        </w:rPr>
      </w:pPr>
      <w:r w:rsidRPr="002022B6">
        <w:t>National Industrial Chemicals Notification and Assessment Scheme (NICNAS)</w:t>
      </w:r>
      <w:r>
        <w:t xml:space="preserve"> (2016) </w:t>
      </w:r>
      <w:r w:rsidRPr="00C82940">
        <w:t>1H-Isoindole-1</w:t>
      </w:r>
      <w:proofErr w:type="gramStart"/>
      <w:r w:rsidRPr="00C82940">
        <w:t>,3</w:t>
      </w:r>
      <w:proofErr w:type="gramEnd"/>
      <w:r w:rsidRPr="00C82940">
        <w:t>(2H)-</w:t>
      </w:r>
      <w:proofErr w:type="spellStart"/>
      <w:r w:rsidRPr="00C82940">
        <w:t>dione</w:t>
      </w:r>
      <w:proofErr w:type="spellEnd"/>
      <w:r w:rsidRPr="00C82940">
        <w:t>, 3a,4,7,7a-tetrahydro-2-[(</w:t>
      </w:r>
      <w:proofErr w:type="spellStart"/>
      <w:r w:rsidRPr="00C82940">
        <w:t>trichloromethyl</w:t>
      </w:r>
      <w:proofErr w:type="spellEnd"/>
      <w:r w:rsidRPr="00C82940">
        <w:t>)</w:t>
      </w:r>
      <w:proofErr w:type="spellStart"/>
      <w:r w:rsidRPr="00C82940">
        <w:t>thio</w:t>
      </w:r>
      <w:proofErr w:type="spellEnd"/>
      <w:r w:rsidRPr="00C82940">
        <w:t>]-</w:t>
      </w:r>
      <w:r w:rsidRPr="0071660C">
        <w:t xml:space="preserve">: Human health </w:t>
      </w:r>
      <w:sdt>
        <w:sdtPr>
          <w:id w:val="-1295753243"/>
          <w:placeholder>
            <w:docPart w:val="00EB29290CEB492AB014E321E1B11918"/>
          </w:placeholder>
          <w:temporary/>
          <w:showingPlcHdr/>
        </w:sdtPr>
        <w:sdtEndPr/>
        <w:sdtContent>
          <w:r w:rsidRPr="00B36376">
            <w:t>tier II</w:t>
          </w:r>
        </w:sdtContent>
      </w:sdt>
      <w:r>
        <w:t xml:space="preserve"> </w:t>
      </w:r>
      <w:r w:rsidRPr="0071660C">
        <w:t>assessment</w:t>
      </w:r>
      <w:r>
        <w:t xml:space="preserve"> – IMAP report.</w:t>
      </w:r>
    </w:p>
    <w:p w14:paraId="7F4265A2" w14:textId="77777777" w:rsidR="00B36376" w:rsidRDefault="00B36376" w:rsidP="00B36376">
      <w:pPr>
        <w:rPr>
          <w:color w:val="000000"/>
        </w:rPr>
      </w:pPr>
      <w:r w:rsidRPr="00E461B8">
        <w:rPr>
          <w:color w:val="000000"/>
        </w:rPr>
        <w:t>Tenth Adaptation to Technical Progress Commission Regulation (EU Annex) No 2017/776 amending, for the purposes of its adaptation to technical and scientific progress, Regulation (EC) No 1272/2008 of the European Parliament and of the Council on classification, labelling and packaging of substances and mixtures (the CLP Regulation).</w:t>
      </w:r>
    </w:p>
    <w:p w14:paraId="3141F5BB" w14:textId="77777777" w:rsidR="00C82940" w:rsidRPr="00351FE0" w:rsidRDefault="00C82940" w:rsidP="00084859">
      <w:r w:rsidRPr="00634D5E">
        <w:t>US Environmental</w:t>
      </w:r>
      <w:r>
        <w:t xml:space="preserve"> Protection Agency (US EPA) (1987</w:t>
      </w:r>
      <w:r w:rsidRPr="00634D5E">
        <w:t xml:space="preserve">) </w:t>
      </w:r>
      <w:proofErr w:type="spellStart"/>
      <w:r>
        <w:t>Captan</w:t>
      </w:r>
      <w:proofErr w:type="spellEnd"/>
      <w:r w:rsidRPr="00634D5E">
        <w:t>.</w:t>
      </w:r>
      <w:r>
        <w:t xml:space="preserve"> Integrated Risk Information System (IRIS) Chemical Assessment Summary</w:t>
      </w:r>
    </w:p>
    <w:sectPr w:rsidR="00C82940" w:rsidRPr="00351FE0" w:rsidSect="00B87D4C">
      <w:headerReference w:type="default" r:id="rId18"/>
      <w:pgSz w:w="11906" w:h="16838"/>
      <w:pgMar w:top="1440" w:right="1440"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AFEA8" w16cid:durableId="212C9A28"/>
  <w16cid:commentId w16cid:paraId="2BC73F86" w16cid:durableId="212C9B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EA080" w14:textId="77777777" w:rsidR="00BC76CD" w:rsidRDefault="00BC76CD" w:rsidP="00F43AD5">
      <w:pPr>
        <w:spacing w:after="0" w:line="240" w:lineRule="auto"/>
      </w:pPr>
      <w:r>
        <w:separator/>
      </w:r>
    </w:p>
  </w:endnote>
  <w:endnote w:type="continuationSeparator" w:id="0">
    <w:p w14:paraId="1995F9A3" w14:textId="77777777" w:rsidR="00BC76CD" w:rsidRDefault="00BC76CD"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3A26" w14:textId="77777777" w:rsidR="0086637D" w:rsidRDefault="00866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14:paraId="04DBDB45" w14:textId="77777777" w:rsidR="00AD1605" w:rsidRDefault="00AD1605" w:rsidP="0034744C">
        <w:pPr>
          <w:pStyle w:val="Footer"/>
          <w:rPr>
            <w:sz w:val="18"/>
            <w:szCs w:val="18"/>
          </w:rPr>
        </w:pPr>
        <w:proofErr w:type="spellStart"/>
        <w:r>
          <w:rPr>
            <w:b/>
            <w:sz w:val="18"/>
            <w:szCs w:val="18"/>
          </w:rPr>
          <w:t>Captan</w:t>
        </w:r>
        <w:proofErr w:type="spellEnd"/>
        <w:r>
          <w:rPr>
            <w:b/>
            <w:sz w:val="18"/>
            <w:szCs w:val="18"/>
          </w:rPr>
          <w:t xml:space="preserve"> (133-06-2</w:t>
        </w:r>
        <w:proofErr w:type="gramStart"/>
        <w:r>
          <w:rPr>
            <w:b/>
            <w:sz w:val="18"/>
            <w:szCs w:val="18"/>
          </w:rPr>
          <w:t>)</w:t>
        </w:r>
        <w:proofErr w:type="gramEnd"/>
        <w:r w:rsidRPr="00F43AD5">
          <w:rPr>
            <w:sz w:val="18"/>
            <w:szCs w:val="18"/>
          </w:rPr>
          <w:br/>
          <w:t xml:space="preserve">Safe Work Australia </w:t>
        </w:r>
        <w:r w:rsidRPr="00F43AD5">
          <w:rPr>
            <w:rFonts w:ascii="Courier New" w:hAnsi="Courier New" w:cs="Courier New"/>
            <w:sz w:val="18"/>
            <w:szCs w:val="18"/>
          </w:rPr>
          <w:t>—</w:t>
        </w:r>
        <w:r w:rsidRPr="00F43AD5">
          <w:rPr>
            <w:sz w:val="18"/>
            <w:szCs w:val="18"/>
          </w:rPr>
          <w:t xml:space="preserve"> 201</w:t>
        </w:r>
        <w:r>
          <w:rPr>
            <w:sz w:val="18"/>
            <w:szCs w:val="18"/>
          </w:rPr>
          <w:t>9</w:t>
        </w:r>
      </w:p>
      <w:p w14:paraId="0177ABC1" w14:textId="2E65884D" w:rsidR="00AD1605" w:rsidRPr="00F43AD5" w:rsidRDefault="00AD1605"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617968">
          <w:rPr>
            <w:noProof/>
            <w:sz w:val="18"/>
            <w:szCs w:val="18"/>
          </w:rPr>
          <w:t>3</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3D10F" w14:textId="77777777" w:rsidR="0086637D" w:rsidRDefault="00866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8DB8B" w14:textId="77777777" w:rsidR="00BC76CD" w:rsidRDefault="00BC76CD" w:rsidP="00F43AD5">
      <w:pPr>
        <w:spacing w:after="0" w:line="240" w:lineRule="auto"/>
      </w:pPr>
      <w:r>
        <w:separator/>
      </w:r>
    </w:p>
  </w:footnote>
  <w:footnote w:type="continuationSeparator" w:id="0">
    <w:p w14:paraId="3355CE79" w14:textId="77777777" w:rsidR="00BC76CD" w:rsidRDefault="00BC76CD"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8599" w14:textId="77777777" w:rsidR="0086637D" w:rsidRDefault="00866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5E048" w14:textId="21A52461" w:rsidR="00AD1605" w:rsidRDefault="00617968" w:rsidP="00F43AD5">
    <w:pPr>
      <w:pStyle w:val="Header"/>
      <w:jc w:val="right"/>
    </w:pPr>
    <w:sdt>
      <w:sdtPr>
        <w:id w:val="-1360894583"/>
        <w:docPartObj>
          <w:docPartGallery w:val="Watermarks"/>
          <w:docPartUnique/>
        </w:docPartObj>
      </w:sdtPr>
      <w:sdtContent>
        <w:r>
          <w:rPr>
            <w:noProof/>
            <w:lang w:val="en-US"/>
          </w:rPr>
          <w:pict w14:anchorId="589D2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D1605">
      <w:rPr>
        <w:noProof/>
        <w:lang w:eastAsia="en-AU"/>
      </w:rPr>
      <w:drawing>
        <wp:inline distT="0" distB="0" distL="0" distR="0" wp14:anchorId="2E8DB3BA" wp14:editId="0D34C309">
          <wp:extent cx="2938272" cy="594360"/>
          <wp:effectExtent l="0" t="0" r="0" b="0"/>
          <wp:docPr id="3" name="Picture 3"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3D72" w14:textId="77777777" w:rsidR="0086637D" w:rsidRDefault="008663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85B37" w14:textId="77777777" w:rsidR="00617968" w:rsidRDefault="00617968" w:rsidP="00617968">
    <w:pPr>
      <w:pStyle w:val="Header"/>
      <w:jc w:val="right"/>
    </w:pPr>
    <w:sdt>
      <w:sdtPr>
        <w:id w:val="1621498370"/>
        <w:docPartObj>
          <w:docPartGallery w:val="Watermarks"/>
          <w:docPartUnique/>
        </w:docPartObj>
      </w:sdtPr>
      <w:sdtContent>
        <w:r>
          <w:rPr>
            <w:noProof/>
            <w:lang w:val="en-US"/>
          </w:rPr>
          <w:pict w14:anchorId="4CE961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4"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AU"/>
      </w:rPr>
      <w:drawing>
        <wp:inline distT="0" distB="0" distL="0" distR="0" wp14:anchorId="3EC04BFC" wp14:editId="722FD7E3">
          <wp:extent cx="2938272" cy="594360"/>
          <wp:effectExtent l="0" t="0" r="0" b="0"/>
          <wp:docPr id="1" name="Picture 1" descr="Safe Work Australia logo"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4360"/>
                  </a:xfrm>
                  <a:prstGeom prst="rect">
                    <a:avLst/>
                  </a:prstGeom>
                </pic:spPr>
              </pic:pic>
            </a:graphicData>
          </a:graphic>
        </wp:inline>
      </w:drawing>
    </w:r>
  </w:p>
  <w:p w14:paraId="53C756D7" w14:textId="77777777" w:rsidR="00AD1605" w:rsidRDefault="00AD1605" w:rsidP="00F43AD5">
    <w:pPr>
      <w:pStyle w:val="Header"/>
      <w:jc w:val="right"/>
    </w:pP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BB4CB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CA44AF"/>
    <w:multiLevelType w:val="singleLevel"/>
    <w:tmpl w:val="4BB4CB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4D5CBF"/>
    <w:multiLevelType w:val="hybridMultilevel"/>
    <w:tmpl w:val="6BDEBD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DD5497"/>
    <w:multiLevelType w:val="hybridMultilevel"/>
    <w:tmpl w:val="D0F028DE"/>
    <w:lvl w:ilvl="0" w:tplc="04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58004387"/>
    <w:multiLevelType w:val="hybridMultilevel"/>
    <w:tmpl w:val="098C9436"/>
    <w:lvl w:ilvl="0" w:tplc="6DCCCCA2">
      <w:start w:val="14"/>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7B80"/>
    <w:rsid w:val="00013A22"/>
    <w:rsid w:val="00014C3F"/>
    <w:rsid w:val="00017C82"/>
    <w:rsid w:val="00032B88"/>
    <w:rsid w:val="00041928"/>
    <w:rsid w:val="00043CCA"/>
    <w:rsid w:val="00043E56"/>
    <w:rsid w:val="00046DF5"/>
    <w:rsid w:val="00052060"/>
    <w:rsid w:val="0005574A"/>
    <w:rsid w:val="00055FE1"/>
    <w:rsid w:val="00056EC2"/>
    <w:rsid w:val="00057122"/>
    <w:rsid w:val="00060B48"/>
    <w:rsid w:val="00067F32"/>
    <w:rsid w:val="00071807"/>
    <w:rsid w:val="000766D6"/>
    <w:rsid w:val="000803E1"/>
    <w:rsid w:val="00084513"/>
    <w:rsid w:val="00084859"/>
    <w:rsid w:val="00092D94"/>
    <w:rsid w:val="0009450A"/>
    <w:rsid w:val="0009751D"/>
    <w:rsid w:val="000A096F"/>
    <w:rsid w:val="000A3086"/>
    <w:rsid w:val="000A77CD"/>
    <w:rsid w:val="000B0868"/>
    <w:rsid w:val="000B3E12"/>
    <w:rsid w:val="000B3E78"/>
    <w:rsid w:val="000B7B48"/>
    <w:rsid w:val="000C096D"/>
    <w:rsid w:val="000C139A"/>
    <w:rsid w:val="000C2053"/>
    <w:rsid w:val="000C248C"/>
    <w:rsid w:val="000C7FD2"/>
    <w:rsid w:val="000D291C"/>
    <w:rsid w:val="000E5A54"/>
    <w:rsid w:val="000E63D3"/>
    <w:rsid w:val="000E67CF"/>
    <w:rsid w:val="0010461E"/>
    <w:rsid w:val="00106FAA"/>
    <w:rsid w:val="00113443"/>
    <w:rsid w:val="0012243B"/>
    <w:rsid w:val="001269A7"/>
    <w:rsid w:val="00131092"/>
    <w:rsid w:val="00140E6A"/>
    <w:rsid w:val="00146545"/>
    <w:rsid w:val="00146B75"/>
    <w:rsid w:val="0015266D"/>
    <w:rsid w:val="0015288A"/>
    <w:rsid w:val="00155E91"/>
    <w:rsid w:val="00160F47"/>
    <w:rsid w:val="00176DAF"/>
    <w:rsid w:val="00177CA1"/>
    <w:rsid w:val="00181B4C"/>
    <w:rsid w:val="00183823"/>
    <w:rsid w:val="00183942"/>
    <w:rsid w:val="001863DF"/>
    <w:rsid w:val="00194E8B"/>
    <w:rsid w:val="001A009E"/>
    <w:rsid w:val="001A0FB7"/>
    <w:rsid w:val="001A1287"/>
    <w:rsid w:val="001A3859"/>
    <w:rsid w:val="001A3C9D"/>
    <w:rsid w:val="001A43F8"/>
    <w:rsid w:val="001B145E"/>
    <w:rsid w:val="001B79E5"/>
    <w:rsid w:val="001C0C18"/>
    <w:rsid w:val="001D56F0"/>
    <w:rsid w:val="001D663B"/>
    <w:rsid w:val="001D7B41"/>
    <w:rsid w:val="001E11E5"/>
    <w:rsid w:val="001E46DA"/>
    <w:rsid w:val="001E4FF8"/>
    <w:rsid w:val="001E7D80"/>
    <w:rsid w:val="001F4B6C"/>
    <w:rsid w:val="001F62CB"/>
    <w:rsid w:val="001F6DB6"/>
    <w:rsid w:val="001F6ED0"/>
    <w:rsid w:val="001F72E6"/>
    <w:rsid w:val="001F73C5"/>
    <w:rsid w:val="002046A6"/>
    <w:rsid w:val="00204956"/>
    <w:rsid w:val="00210352"/>
    <w:rsid w:val="00213640"/>
    <w:rsid w:val="00221547"/>
    <w:rsid w:val="002216FC"/>
    <w:rsid w:val="00222533"/>
    <w:rsid w:val="00222F30"/>
    <w:rsid w:val="00223C77"/>
    <w:rsid w:val="00224EE2"/>
    <w:rsid w:val="00227EC7"/>
    <w:rsid w:val="00232AD8"/>
    <w:rsid w:val="0023485C"/>
    <w:rsid w:val="00244AD1"/>
    <w:rsid w:val="002463BC"/>
    <w:rsid w:val="002465CE"/>
    <w:rsid w:val="0025734A"/>
    <w:rsid w:val="00263255"/>
    <w:rsid w:val="00274C1F"/>
    <w:rsid w:val="00276494"/>
    <w:rsid w:val="00277B0C"/>
    <w:rsid w:val="00280D04"/>
    <w:rsid w:val="00283C24"/>
    <w:rsid w:val="002908D8"/>
    <w:rsid w:val="002B129A"/>
    <w:rsid w:val="002B1A2C"/>
    <w:rsid w:val="002B663C"/>
    <w:rsid w:val="002C34F2"/>
    <w:rsid w:val="002C3D5C"/>
    <w:rsid w:val="002C4F87"/>
    <w:rsid w:val="002C58FF"/>
    <w:rsid w:val="002C7607"/>
    <w:rsid w:val="002C7AFE"/>
    <w:rsid w:val="002D05D2"/>
    <w:rsid w:val="002D0CF2"/>
    <w:rsid w:val="002D3F1A"/>
    <w:rsid w:val="002E0D61"/>
    <w:rsid w:val="002E4C7B"/>
    <w:rsid w:val="002F0E50"/>
    <w:rsid w:val="00305246"/>
    <w:rsid w:val="00306911"/>
    <w:rsid w:val="0030740C"/>
    <w:rsid w:val="00315833"/>
    <w:rsid w:val="00315864"/>
    <w:rsid w:val="003215EE"/>
    <w:rsid w:val="003224BF"/>
    <w:rsid w:val="003241A8"/>
    <w:rsid w:val="003253F0"/>
    <w:rsid w:val="00332ADC"/>
    <w:rsid w:val="003337DA"/>
    <w:rsid w:val="00334EFB"/>
    <w:rsid w:val="00335CDE"/>
    <w:rsid w:val="003365A5"/>
    <w:rsid w:val="00347192"/>
    <w:rsid w:val="0034744C"/>
    <w:rsid w:val="00351FE0"/>
    <w:rsid w:val="00352062"/>
    <w:rsid w:val="00352615"/>
    <w:rsid w:val="0035412B"/>
    <w:rsid w:val="003558B7"/>
    <w:rsid w:val="003567A8"/>
    <w:rsid w:val="00362895"/>
    <w:rsid w:val="00370DBF"/>
    <w:rsid w:val="00371F56"/>
    <w:rsid w:val="00374B87"/>
    <w:rsid w:val="00386093"/>
    <w:rsid w:val="003904A4"/>
    <w:rsid w:val="00391841"/>
    <w:rsid w:val="00391B6D"/>
    <w:rsid w:val="00394922"/>
    <w:rsid w:val="003A0E32"/>
    <w:rsid w:val="003A2B94"/>
    <w:rsid w:val="003B387D"/>
    <w:rsid w:val="003C0D58"/>
    <w:rsid w:val="003D414C"/>
    <w:rsid w:val="003D4FA3"/>
    <w:rsid w:val="003E0807"/>
    <w:rsid w:val="003E2648"/>
    <w:rsid w:val="003E51FB"/>
    <w:rsid w:val="003E6B39"/>
    <w:rsid w:val="003F07E1"/>
    <w:rsid w:val="004030BC"/>
    <w:rsid w:val="00403F7D"/>
    <w:rsid w:val="00406785"/>
    <w:rsid w:val="004079B4"/>
    <w:rsid w:val="00417A56"/>
    <w:rsid w:val="00420957"/>
    <w:rsid w:val="00422A10"/>
    <w:rsid w:val="004300FF"/>
    <w:rsid w:val="00430179"/>
    <w:rsid w:val="0043294D"/>
    <w:rsid w:val="004414B5"/>
    <w:rsid w:val="004428EB"/>
    <w:rsid w:val="00444482"/>
    <w:rsid w:val="00444B42"/>
    <w:rsid w:val="00445E44"/>
    <w:rsid w:val="004509E2"/>
    <w:rsid w:val="004515EE"/>
    <w:rsid w:val="004529F0"/>
    <w:rsid w:val="00460A03"/>
    <w:rsid w:val="00464002"/>
    <w:rsid w:val="004652FF"/>
    <w:rsid w:val="00472A11"/>
    <w:rsid w:val="00472AAD"/>
    <w:rsid w:val="00474E33"/>
    <w:rsid w:val="00476803"/>
    <w:rsid w:val="00485BFD"/>
    <w:rsid w:val="004867A2"/>
    <w:rsid w:val="004873F2"/>
    <w:rsid w:val="00490D4C"/>
    <w:rsid w:val="00493A35"/>
    <w:rsid w:val="00494308"/>
    <w:rsid w:val="0049527A"/>
    <w:rsid w:val="004966BF"/>
    <w:rsid w:val="00497984"/>
    <w:rsid w:val="004A5088"/>
    <w:rsid w:val="004C1E3F"/>
    <w:rsid w:val="004C23F4"/>
    <w:rsid w:val="004C3475"/>
    <w:rsid w:val="004C4809"/>
    <w:rsid w:val="004C58B6"/>
    <w:rsid w:val="004D16A3"/>
    <w:rsid w:val="004D4AA1"/>
    <w:rsid w:val="004D6D68"/>
    <w:rsid w:val="004E5EDD"/>
    <w:rsid w:val="004F396A"/>
    <w:rsid w:val="004F448A"/>
    <w:rsid w:val="004F493D"/>
    <w:rsid w:val="004F65E8"/>
    <w:rsid w:val="0050005E"/>
    <w:rsid w:val="00502B88"/>
    <w:rsid w:val="005142C4"/>
    <w:rsid w:val="0051509C"/>
    <w:rsid w:val="005272E2"/>
    <w:rsid w:val="0053108F"/>
    <w:rsid w:val="00532B56"/>
    <w:rsid w:val="00534B10"/>
    <w:rsid w:val="005446A2"/>
    <w:rsid w:val="00544D2F"/>
    <w:rsid w:val="00547FF8"/>
    <w:rsid w:val="00551BD8"/>
    <w:rsid w:val="005645DF"/>
    <w:rsid w:val="00581055"/>
    <w:rsid w:val="00591E38"/>
    <w:rsid w:val="00597370"/>
    <w:rsid w:val="005A19C5"/>
    <w:rsid w:val="005A3034"/>
    <w:rsid w:val="005A462D"/>
    <w:rsid w:val="005B008D"/>
    <w:rsid w:val="005B1D12"/>
    <w:rsid w:val="005B253B"/>
    <w:rsid w:val="005B771D"/>
    <w:rsid w:val="005C5D16"/>
    <w:rsid w:val="005D0A7E"/>
    <w:rsid w:val="005D3193"/>
    <w:rsid w:val="005D4A6E"/>
    <w:rsid w:val="005E6979"/>
    <w:rsid w:val="005E75CB"/>
    <w:rsid w:val="005F5F56"/>
    <w:rsid w:val="006013C1"/>
    <w:rsid w:val="0060669E"/>
    <w:rsid w:val="00610F2E"/>
    <w:rsid w:val="00611399"/>
    <w:rsid w:val="0061344B"/>
    <w:rsid w:val="00617968"/>
    <w:rsid w:val="00624C4E"/>
    <w:rsid w:val="00625200"/>
    <w:rsid w:val="0063234C"/>
    <w:rsid w:val="00633FE0"/>
    <w:rsid w:val="0063495C"/>
    <w:rsid w:val="006363A8"/>
    <w:rsid w:val="00636DB7"/>
    <w:rsid w:val="00637267"/>
    <w:rsid w:val="00647DC0"/>
    <w:rsid w:val="00650905"/>
    <w:rsid w:val="006532ED"/>
    <w:rsid w:val="006549F2"/>
    <w:rsid w:val="006567B7"/>
    <w:rsid w:val="00657BFB"/>
    <w:rsid w:val="0066333C"/>
    <w:rsid w:val="006639B4"/>
    <w:rsid w:val="006650FE"/>
    <w:rsid w:val="006716CC"/>
    <w:rsid w:val="0067305D"/>
    <w:rsid w:val="00677D9B"/>
    <w:rsid w:val="006867F3"/>
    <w:rsid w:val="00687890"/>
    <w:rsid w:val="006901A2"/>
    <w:rsid w:val="00690368"/>
    <w:rsid w:val="0069079C"/>
    <w:rsid w:val="00690B53"/>
    <w:rsid w:val="00695B72"/>
    <w:rsid w:val="006B160A"/>
    <w:rsid w:val="006B4E6C"/>
    <w:rsid w:val="006B50B6"/>
    <w:rsid w:val="006B6ED1"/>
    <w:rsid w:val="006C0B7B"/>
    <w:rsid w:val="006C3EC8"/>
    <w:rsid w:val="006D79EA"/>
    <w:rsid w:val="006E27F9"/>
    <w:rsid w:val="006E5D05"/>
    <w:rsid w:val="006F6CE1"/>
    <w:rsid w:val="00701053"/>
    <w:rsid w:val="00701507"/>
    <w:rsid w:val="00710E9D"/>
    <w:rsid w:val="00714021"/>
    <w:rsid w:val="00716A0F"/>
    <w:rsid w:val="00717D45"/>
    <w:rsid w:val="007208F7"/>
    <w:rsid w:val="007218AF"/>
    <w:rsid w:val="007365D1"/>
    <w:rsid w:val="00740E0E"/>
    <w:rsid w:val="00750212"/>
    <w:rsid w:val="007539F6"/>
    <w:rsid w:val="00754779"/>
    <w:rsid w:val="0075716D"/>
    <w:rsid w:val="00764511"/>
    <w:rsid w:val="00765F14"/>
    <w:rsid w:val="00770E31"/>
    <w:rsid w:val="007770F1"/>
    <w:rsid w:val="00781463"/>
    <w:rsid w:val="00783FB1"/>
    <w:rsid w:val="00785CDD"/>
    <w:rsid w:val="00791847"/>
    <w:rsid w:val="007925F0"/>
    <w:rsid w:val="007939B3"/>
    <w:rsid w:val="0079509C"/>
    <w:rsid w:val="00796708"/>
    <w:rsid w:val="007A2A44"/>
    <w:rsid w:val="007A2AB3"/>
    <w:rsid w:val="007A6275"/>
    <w:rsid w:val="007A6FA2"/>
    <w:rsid w:val="007B1B42"/>
    <w:rsid w:val="007B2FA9"/>
    <w:rsid w:val="007C26E5"/>
    <w:rsid w:val="007C30EB"/>
    <w:rsid w:val="007D1BCA"/>
    <w:rsid w:val="007D1D5E"/>
    <w:rsid w:val="007E063C"/>
    <w:rsid w:val="007E2A4B"/>
    <w:rsid w:val="007E307D"/>
    <w:rsid w:val="007E36C3"/>
    <w:rsid w:val="007E42E3"/>
    <w:rsid w:val="007E6A4E"/>
    <w:rsid w:val="007E6C94"/>
    <w:rsid w:val="007F0344"/>
    <w:rsid w:val="007F1005"/>
    <w:rsid w:val="007F25E0"/>
    <w:rsid w:val="007F5328"/>
    <w:rsid w:val="00804F5A"/>
    <w:rsid w:val="00810C6D"/>
    <w:rsid w:val="00812887"/>
    <w:rsid w:val="00812C04"/>
    <w:rsid w:val="0081763A"/>
    <w:rsid w:val="00826F21"/>
    <w:rsid w:val="008328EC"/>
    <w:rsid w:val="00833164"/>
    <w:rsid w:val="00834C81"/>
    <w:rsid w:val="00834CC8"/>
    <w:rsid w:val="00835E00"/>
    <w:rsid w:val="00837113"/>
    <w:rsid w:val="00837CDA"/>
    <w:rsid w:val="008414E4"/>
    <w:rsid w:val="00843E21"/>
    <w:rsid w:val="0084508E"/>
    <w:rsid w:val="00857A8A"/>
    <w:rsid w:val="008630EE"/>
    <w:rsid w:val="00864D13"/>
    <w:rsid w:val="0086637D"/>
    <w:rsid w:val="00871CD5"/>
    <w:rsid w:val="008745A2"/>
    <w:rsid w:val="008768A8"/>
    <w:rsid w:val="0088798F"/>
    <w:rsid w:val="00887E4B"/>
    <w:rsid w:val="008915C8"/>
    <w:rsid w:val="008A36CF"/>
    <w:rsid w:val="008A3BC4"/>
    <w:rsid w:val="008B403C"/>
    <w:rsid w:val="008B6C6F"/>
    <w:rsid w:val="008B7983"/>
    <w:rsid w:val="008C2511"/>
    <w:rsid w:val="008C6739"/>
    <w:rsid w:val="008D026D"/>
    <w:rsid w:val="008D23AB"/>
    <w:rsid w:val="008D31A1"/>
    <w:rsid w:val="008D4B8B"/>
    <w:rsid w:val="008D5A78"/>
    <w:rsid w:val="008E5173"/>
    <w:rsid w:val="008E7B64"/>
    <w:rsid w:val="008F2471"/>
    <w:rsid w:val="008F5DCD"/>
    <w:rsid w:val="00900951"/>
    <w:rsid w:val="0090134A"/>
    <w:rsid w:val="00910E4E"/>
    <w:rsid w:val="009118A6"/>
    <w:rsid w:val="00912A2A"/>
    <w:rsid w:val="00916909"/>
    <w:rsid w:val="00916EC0"/>
    <w:rsid w:val="00920467"/>
    <w:rsid w:val="00921DE7"/>
    <w:rsid w:val="00924C49"/>
    <w:rsid w:val="00925903"/>
    <w:rsid w:val="00925E1D"/>
    <w:rsid w:val="0093041A"/>
    <w:rsid w:val="00930714"/>
    <w:rsid w:val="00931B03"/>
    <w:rsid w:val="009323B9"/>
    <w:rsid w:val="00932DCE"/>
    <w:rsid w:val="0093327E"/>
    <w:rsid w:val="00934028"/>
    <w:rsid w:val="009342CF"/>
    <w:rsid w:val="009352C1"/>
    <w:rsid w:val="0093760E"/>
    <w:rsid w:val="009404CA"/>
    <w:rsid w:val="00946044"/>
    <w:rsid w:val="0094660B"/>
    <w:rsid w:val="00946A33"/>
    <w:rsid w:val="0095260E"/>
    <w:rsid w:val="00953408"/>
    <w:rsid w:val="009557B7"/>
    <w:rsid w:val="009578DD"/>
    <w:rsid w:val="00961124"/>
    <w:rsid w:val="009621B6"/>
    <w:rsid w:val="00974590"/>
    <w:rsid w:val="00974F2D"/>
    <w:rsid w:val="00977524"/>
    <w:rsid w:val="00977E88"/>
    <w:rsid w:val="00984920"/>
    <w:rsid w:val="0099303A"/>
    <w:rsid w:val="009971C2"/>
    <w:rsid w:val="009A1254"/>
    <w:rsid w:val="009B2FF2"/>
    <w:rsid w:val="009B380C"/>
    <w:rsid w:val="009B4843"/>
    <w:rsid w:val="009B6543"/>
    <w:rsid w:val="009C199D"/>
    <w:rsid w:val="009C25DF"/>
    <w:rsid w:val="009C278F"/>
    <w:rsid w:val="009C2B94"/>
    <w:rsid w:val="009C3D82"/>
    <w:rsid w:val="009C5874"/>
    <w:rsid w:val="009D3B5A"/>
    <w:rsid w:val="009E0C05"/>
    <w:rsid w:val="009E0D1C"/>
    <w:rsid w:val="009E2214"/>
    <w:rsid w:val="009E355A"/>
    <w:rsid w:val="009E3E0B"/>
    <w:rsid w:val="009E63E2"/>
    <w:rsid w:val="009F04D2"/>
    <w:rsid w:val="009F05CF"/>
    <w:rsid w:val="009F0F3A"/>
    <w:rsid w:val="009F1C0C"/>
    <w:rsid w:val="00A01D0C"/>
    <w:rsid w:val="00A059B1"/>
    <w:rsid w:val="00A0643F"/>
    <w:rsid w:val="00A067EE"/>
    <w:rsid w:val="00A10FCE"/>
    <w:rsid w:val="00A16D91"/>
    <w:rsid w:val="00A174CC"/>
    <w:rsid w:val="00A2073D"/>
    <w:rsid w:val="00A20751"/>
    <w:rsid w:val="00A26920"/>
    <w:rsid w:val="00A27E2D"/>
    <w:rsid w:val="00A31D99"/>
    <w:rsid w:val="00A332F7"/>
    <w:rsid w:val="00A334FC"/>
    <w:rsid w:val="00A357BA"/>
    <w:rsid w:val="00A35ADC"/>
    <w:rsid w:val="00A402A3"/>
    <w:rsid w:val="00A41875"/>
    <w:rsid w:val="00A51A07"/>
    <w:rsid w:val="00A52635"/>
    <w:rsid w:val="00A53681"/>
    <w:rsid w:val="00A61297"/>
    <w:rsid w:val="00A633D4"/>
    <w:rsid w:val="00A6461A"/>
    <w:rsid w:val="00A659EE"/>
    <w:rsid w:val="00A73762"/>
    <w:rsid w:val="00A82C2F"/>
    <w:rsid w:val="00A84504"/>
    <w:rsid w:val="00A84A34"/>
    <w:rsid w:val="00A8672F"/>
    <w:rsid w:val="00A93057"/>
    <w:rsid w:val="00A9474E"/>
    <w:rsid w:val="00A968B0"/>
    <w:rsid w:val="00AA33A0"/>
    <w:rsid w:val="00AA4B1F"/>
    <w:rsid w:val="00AB2672"/>
    <w:rsid w:val="00AB2817"/>
    <w:rsid w:val="00AB43C4"/>
    <w:rsid w:val="00AB701D"/>
    <w:rsid w:val="00AC32E7"/>
    <w:rsid w:val="00AC3A9F"/>
    <w:rsid w:val="00AC6D2F"/>
    <w:rsid w:val="00AD1605"/>
    <w:rsid w:val="00AE0970"/>
    <w:rsid w:val="00AE2745"/>
    <w:rsid w:val="00AE2F64"/>
    <w:rsid w:val="00AF2E0E"/>
    <w:rsid w:val="00AF42CB"/>
    <w:rsid w:val="00AF483F"/>
    <w:rsid w:val="00AF5E07"/>
    <w:rsid w:val="00AF5F06"/>
    <w:rsid w:val="00B00A25"/>
    <w:rsid w:val="00B10EF7"/>
    <w:rsid w:val="00B1422A"/>
    <w:rsid w:val="00B1765C"/>
    <w:rsid w:val="00B2025E"/>
    <w:rsid w:val="00B20A7E"/>
    <w:rsid w:val="00B213C4"/>
    <w:rsid w:val="00B36376"/>
    <w:rsid w:val="00B401A8"/>
    <w:rsid w:val="00B40C60"/>
    <w:rsid w:val="00B479A9"/>
    <w:rsid w:val="00B51C0D"/>
    <w:rsid w:val="00B52EDF"/>
    <w:rsid w:val="00B5388E"/>
    <w:rsid w:val="00B666FD"/>
    <w:rsid w:val="00B71188"/>
    <w:rsid w:val="00B732E5"/>
    <w:rsid w:val="00B76A41"/>
    <w:rsid w:val="00B87D4C"/>
    <w:rsid w:val="00B93646"/>
    <w:rsid w:val="00BA0B38"/>
    <w:rsid w:val="00BA1DBB"/>
    <w:rsid w:val="00BA4510"/>
    <w:rsid w:val="00BA529A"/>
    <w:rsid w:val="00BB195B"/>
    <w:rsid w:val="00BB3330"/>
    <w:rsid w:val="00BB612A"/>
    <w:rsid w:val="00BC1916"/>
    <w:rsid w:val="00BC76CD"/>
    <w:rsid w:val="00BD499F"/>
    <w:rsid w:val="00BD56DE"/>
    <w:rsid w:val="00BE3C16"/>
    <w:rsid w:val="00BF2406"/>
    <w:rsid w:val="00C06E43"/>
    <w:rsid w:val="00C07E3B"/>
    <w:rsid w:val="00C16315"/>
    <w:rsid w:val="00C249E5"/>
    <w:rsid w:val="00C3091E"/>
    <w:rsid w:val="00C32E2D"/>
    <w:rsid w:val="00C40FF1"/>
    <w:rsid w:val="00C419E2"/>
    <w:rsid w:val="00C5020E"/>
    <w:rsid w:val="00C57452"/>
    <w:rsid w:val="00C5776B"/>
    <w:rsid w:val="00C57E6A"/>
    <w:rsid w:val="00C61EDF"/>
    <w:rsid w:val="00C6239D"/>
    <w:rsid w:val="00C6594B"/>
    <w:rsid w:val="00C67FFB"/>
    <w:rsid w:val="00C7155E"/>
    <w:rsid w:val="00C71D1E"/>
    <w:rsid w:val="00C71D7D"/>
    <w:rsid w:val="00C74833"/>
    <w:rsid w:val="00C75C4A"/>
    <w:rsid w:val="00C82940"/>
    <w:rsid w:val="00C83814"/>
    <w:rsid w:val="00C850A0"/>
    <w:rsid w:val="00C85A86"/>
    <w:rsid w:val="00C94F62"/>
    <w:rsid w:val="00C978F0"/>
    <w:rsid w:val="00CA58FE"/>
    <w:rsid w:val="00CA61D2"/>
    <w:rsid w:val="00CB1CB1"/>
    <w:rsid w:val="00CB4771"/>
    <w:rsid w:val="00CB6BC1"/>
    <w:rsid w:val="00CB6CB8"/>
    <w:rsid w:val="00CC1A68"/>
    <w:rsid w:val="00CC2123"/>
    <w:rsid w:val="00CD2BFD"/>
    <w:rsid w:val="00CE5AD6"/>
    <w:rsid w:val="00CE617F"/>
    <w:rsid w:val="00CE78EF"/>
    <w:rsid w:val="00CE7A8A"/>
    <w:rsid w:val="00CF1A47"/>
    <w:rsid w:val="00CF3C47"/>
    <w:rsid w:val="00CF64C8"/>
    <w:rsid w:val="00CF722C"/>
    <w:rsid w:val="00D048F7"/>
    <w:rsid w:val="00D0517E"/>
    <w:rsid w:val="00D140FC"/>
    <w:rsid w:val="00D21D8C"/>
    <w:rsid w:val="00D31357"/>
    <w:rsid w:val="00D33220"/>
    <w:rsid w:val="00D334D1"/>
    <w:rsid w:val="00D36942"/>
    <w:rsid w:val="00D41DA6"/>
    <w:rsid w:val="00D44C89"/>
    <w:rsid w:val="00D50325"/>
    <w:rsid w:val="00D516CD"/>
    <w:rsid w:val="00D52851"/>
    <w:rsid w:val="00D668E6"/>
    <w:rsid w:val="00D70670"/>
    <w:rsid w:val="00D74D80"/>
    <w:rsid w:val="00D76624"/>
    <w:rsid w:val="00D87570"/>
    <w:rsid w:val="00D91CB9"/>
    <w:rsid w:val="00D95423"/>
    <w:rsid w:val="00D97989"/>
    <w:rsid w:val="00D97D8D"/>
    <w:rsid w:val="00DA352E"/>
    <w:rsid w:val="00DA3E11"/>
    <w:rsid w:val="00DB7B15"/>
    <w:rsid w:val="00DC521C"/>
    <w:rsid w:val="00DC7694"/>
    <w:rsid w:val="00DD1BF6"/>
    <w:rsid w:val="00DD2F9B"/>
    <w:rsid w:val="00DD5D05"/>
    <w:rsid w:val="00DE2513"/>
    <w:rsid w:val="00DE26E8"/>
    <w:rsid w:val="00DF6F36"/>
    <w:rsid w:val="00E0084C"/>
    <w:rsid w:val="00E025AB"/>
    <w:rsid w:val="00E02B23"/>
    <w:rsid w:val="00E06F40"/>
    <w:rsid w:val="00E07CE8"/>
    <w:rsid w:val="00E26A07"/>
    <w:rsid w:val="00E32595"/>
    <w:rsid w:val="00E33A2B"/>
    <w:rsid w:val="00E37CFD"/>
    <w:rsid w:val="00E41951"/>
    <w:rsid w:val="00E41A26"/>
    <w:rsid w:val="00E46BCB"/>
    <w:rsid w:val="00E51CAF"/>
    <w:rsid w:val="00E60F04"/>
    <w:rsid w:val="00E61737"/>
    <w:rsid w:val="00E62AAC"/>
    <w:rsid w:val="00E63B3A"/>
    <w:rsid w:val="00E661CB"/>
    <w:rsid w:val="00E67C2F"/>
    <w:rsid w:val="00E67EF5"/>
    <w:rsid w:val="00E70B72"/>
    <w:rsid w:val="00E76C61"/>
    <w:rsid w:val="00E804EA"/>
    <w:rsid w:val="00E80A71"/>
    <w:rsid w:val="00E82337"/>
    <w:rsid w:val="00E82A38"/>
    <w:rsid w:val="00E8465F"/>
    <w:rsid w:val="00E90212"/>
    <w:rsid w:val="00E92499"/>
    <w:rsid w:val="00E949AF"/>
    <w:rsid w:val="00E96077"/>
    <w:rsid w:val="00E969B3"/>
    <w:rsid w:val="00EA0A06"/>
    <w:rsid w:val="00EA6243"/>
    <w:rsid w:val="00EA74AB"/>
    <w:rsid w:val="00EB3D1B"/>
    <w:rsid w:val="00ED1D89"/>
    <w:rsid w:val="00ED66BC"/>
    <w:rsid w:val="00EF233A"/>
    <w:rsid w:val="00EF303E"/>
    <w:rsid w:val="00EF367D"/>
    <w:rsid w:val="00EF3A40"/>
    <w:rsid w:val="00EF7F78"/>
    <w:rsid w:val="00F01B08"/>
    <w:rsid w:val="00F01C4D"/>
    <w:rsid w:val="00F053FA"/>
    <w:rsid w:val="00F055BC"/>
    <w:rsid w:val="00F10C97"/>
    <w:rsid w:val="00F11C71"/>
    <w:rsid w:val="00F13A19"/>
    <w:rsid w:val="00F16019"/>
    <w:rsid w:val="00F201E2"/>
    <w:rsid w:val="00F20E68"/>
    <w:rsid w:val="00F22093"/>
    <w:rsid w:val="00F2363E"/>
    <w:rsid w:val="00F236DF"/>
    <w:rsid w:val="00F25503"/>
    <w:rsid w:val="00F264D3"/>
    <w:rsid w:val="00F27EB6"/>
    <w:rsid w:val="00F43AD5"/>
    <w:rsid w:val="00F4402E"/>
    <w:rsid w:val="00F56DD0"/>
    <w:rsid w:val="00F6491C"/>
    <w:rsid w:val="00F67BBB"/>
    <w:rsid w:val="00F701A2"/>
    <w:rsid w:val="00F8089E"/>
    <w:rsid w:val="00F876F5"/>
    <w:rsid w:val="00F87D92"/>
    <w:rsid w:val="00F90AA7"/>
    <w:rsid w:val="00F92498"/>
    <w:rsid w:val="00F93364"/>
    <w:rsid w:val="00F9496B"/>
    <w:rsid w:val="00F96EF6"/>
    <w:rsid w:val="00F970C9"/>
    <w:rsid w:val="00FA06A8"/>
    <w:rsid w:val="00FA23C6"/>
    <w:rsid w:val="00FA2A3E"/>
    <w:rsid w:val="00FA3DF5"/>
    <w:rsid w:val="00FA741F"/>
    <w:rsid w:val="00FB4E07"/>
    <w:rsid w:val="00FB755A"/>
    <w:rsid w:val="00FC60A2"/>
    <w:rsid w:val="00FD1871"/>
    <w:rsid w:val="00FD3110"/>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5544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character" w:styleId="CommentReference">
    <w:name w:val="annotation reference"/>
    <w:basedOn w:val="DefaultParagraphFont"/>
    <w:uiPriority w:val="99"/>
    <w:semiHidden/>
    <w:unhideWhenUsed/>
    <w:rsid w:val="009342CF"/>
    <w:rPr>
      <w:sz w:val="16"/>
      <w:szCs w:val="16"/>
    </w:rPr>
  </w:style>
  <w:style w:type="paragraph" w:styleId="CommentText">
    <w:name w:val="annotation text"/>
    <w:basedOn w:val="Normal"/>
    <w:link w:val="CommentTextChar"/>
    <w:uiPriority w:val="99"/>
    <w:semiHidden/>
    <w:unhideWhenUsed/>
    <w:rsid w:val="009342CF"/>
    <w:pPr>
      <w:spacing w:line="240" w:lineRule="auto"/>
    </w:pPr>
    <w:rPr>
      <w:szCs w:val="20"/>
    </w:rPr>
  </w:style>
  <w:style w:type="character" w:customStyle="1" w:styleId="CommentTextChar">
    <w:name w:val="Comment Text Char"/>
    <w:basedOn w:val="DefaultParagraphFont"/>
    <w:link w:val="CommentText"/>
    <w:uiPriority w:val="99"/>
    <w:semiHidden/>
    <w:rsid w:val="009342CF"/>
    <w:rPr>
      <w:szCs w:val="20"/>
    </w:rPr>
  </w:style>
  <w:style w:type="paragraph" w:styleId="CommentSubject">
    <w:name w:val="annotation subject"/>
    <w:basedOn w:val="CommentText"/>
    <w:next w:val="CommentText"/>
    <w:link w:val="CommentSubjectChar"/>
    <w:uiPriority w:val="99"/>
    <w:semiHidden/>
    <w:unhideWhenUsed/>
    <w:rsid w:val="009342CF"/>
    <w:rPr>
      <w:b/>
      <w:bCs/>
    </w:rPr>
  </w:style>
  <w:style w:type="character" w:customStyle="1" w:styleId="CommentSubjectChar">
    <w:name w:val="Comment Subject Char"/>
    <w:basedOn w:val="CommentTextChar"/>
    <w:link w:val="CommentSubject"/>
    <w:uiPriority w:val="99"/>
    <w:semiHidden/>
    <w:rsid w:val="009342CF"/>
    <w:rPr>
      <w:b/>
      <w:bCs/>
      <w:szCs w:val="20"/>
    </w:rPr>
  </w:style>
  <w:style w:type="paragraph" w:styleId="ListBullet">
    <w:name w:val="List Bullet"/>
    <w:basedOn w:val="Normal"/>
    <w:uiPriority w:val="99"/>
    <w:unhideWhenUsed/>
    <w:rsid w:val="00FA2A3E"/>
    <w:pPr>
      <w:numPr>
        <w:numId w:val="1"/>
      </w:numPr>
      <w:contextualSpacing/>
    </w:pPr>
  </w:style>
  <w:style w:type="table" w:styleId="LightShading-Accent2">
    <w:name w:val="Light Shading Accent 2"/>
    <w:aliases w:val="SWA Table Style"/>
    <w:basedOn w:val="TableNormal"/>
    <w:uiPriority w:val="60"/>
    <w:rsid w:val="00C82940"/>
    <w:pPr>
      <w:spacing w:before="120" w:after="120" w:line="240" w:lineRule="auto"/>
    </w:pPr>
    <w:rPr>
      <w:sz w:val="22"/>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909316">
      <w:bodyDiv w:val="1"/>
      <w:marLeft w:val="0"/>
      <w:marRight w:val="0"/>
      <w:marTop w:val="0"/>
      <w:marBottom w:val="0"/>
      <w:divBdr>
        <w:top w:val="none" w:sz="0" w:space="0" w:color="auto"/>
        <w:left w:val="none" w:sz="0" w:space="0" w:color="auto"/>
        <w:bottom w:val="none" w:sz="0" w:space="0" w:color="auto"/>
        <w:right w:val="none" w:sz="0" w:space="0" w:color="auto"/>
      </w:divBdr>
    </w:div>
    <w:div w:id="2041396112">
      <w:bodyDiv w:val="1"/>
      <w:marLeft w:val="0"/>
      <w:marRight w:val="0"/>
      <w:marTop w:val="0"/>
      <w:marBottom w:val="0"/>
      <w:divBdr>
        <w:top w:val="none" w:sz="0" w:space="0" w:color="auto"/>
        <w:left w:val="none" w:sz="0" w:space="0" w:color="auto"/>
        <w:bottom w:val="none" w:sz="0" w:space="0" w:color="auto"/>
        <w:right w:val="none" w:sz="0" w:space="0" w:color="auto"/>
      </w:divBdr>
    </w:div>
    <w:div w:id="2053922704">
      <w:bodyDiv w:val="1"/>
      <w:marLeft w:val="0"/>
      <w:marRight w:val="0"/>
      <w:marTop w:val="0"/>
      <w:marBottom w:val="0"/>
      <w:divBdr>
        <w:top w:val="none" w:sz="0" w:space="0" w:color="auto"/>
        <w:left w:val="none" w:sz="0" w:space="0" w:color="auto"/>
        <w:bottom w:val="none" w:sz="0" w:space="0" w:color="auto"/>
        <w:right w:val="none" w:sz="0" w:space="0" w:color="auto"/>
      </w:divBdr>
    </w:div>
    <w:div w:id="20967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20BC8D26515A4C11AC6304FB75A7CBAD"/>
        <w:category>
          <w:name w:val="General"/>
          <w:gallery w:val="placeholder"/>
        </w:category>
        <w:types>
          <w:type w:val="bbPlcHdr"/>
        </w:types>
        <w:behaviors>
          <w:behavior w:val="content"/>
        </w:behaviors>
        <w:guid w:val="{95AF72BE-1073-48D1-A613-18F5D94AD94A}"/>
      </w:docPartPr>
      <w:docPartBody>
        <w:p w:rsidR="00D21A9F" w:rsidRDefault="00D21A9F">
          <w:pPr>
            <w:pStyle w:val="20BC8D26515A4C11AC6304FB75A7CBAD"/>
          </w:pPr>
          <w:r w:rsidRPr="00724F1C">
            <w:rPr>
              <w:rStyle w:val="PlaceholderText"/>
            </w:rPr>
            <w:t>Choose an item.</w:t>
          </w:r>
        </w:p>
      </w:docPartBody>
    </w:docPart>
    <w:docPart>
      <w:docPartPr>
        <w:name w:val="CFFDE270CB50461B826B0194984892C5"/>
        <w:category>
          <w:name w:val="General"/>
          <w:gallery w:val="placeholder"/>
        </w:category>
        <w:types>
          <w:type w:val="bbPlcHdr"/>
        </w:types>
        <w:behaviors>
          <w:behavior w:val="content"/>
        </w:behaviors>
        <w:guid w:val="{FD5D30F8-F751-45C7-BEFB-A7D3397CEB99}"/>
      </w:docPartPr>
      <w:docPartBody>
        <w:p w:rsidR="00D21A9F" w:rsidRDefault="00D21A9F">
          <w:pPr>
            <w:pStyle w:val="CFFDE270CB50461B826B0194984892C5"/>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5CBFEC560F894890BBD09B93174FFAE0"/>
        <w:category>
          <w:name w:val="General"/>
          <w:gallery w:val="placeholder"/>
        </w:category>
        <w:types>
          <w:type w:val="bbPlcHdr"/>
        </w:types>
        <w:behaviors>
          <w:behavior w:val="content"/>
        </w:behaviors>
        <w:guid w:val="{7DD8AA47-26C1-43F2-BE0B-3C03EF3669BD}"/>
      </w:docPartPr>
      <w:docPartBody>
        <w:p w:rsidR="00D21A9F" w:rsidRDefault="00D21A9F">
          <w:pPr>
            <w:pStyle w:val="5CBFEC560F894890BBD09B93174FFAE0"/>
          </w:pPr>
          <w:r w:rsidRPr="00F4402E">
            <w:rPr>
              <w:rStyle w:val="PlaceholderText"/>
              <w:color w:val="FFFFFF" w:themeColor="background1"/>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00EB29290CEB492AB014E321E1B11918"/>
        <w:category>
          <w:name w:val="General"/>
          <w:gallery w:val="placeholder"/>
        </w:category>
        <w:types>
          <w:type w:val="bbPlcHdr"/>
        </w:types>
        <w:behaviors>
          <w:behavior w:val="content"/>
        </w:behaviors>
        <w:guid w:val="{FAD9AC8E-0BAD-484E-A84C-029F9F0CDE5C}"/>
      </w:docPartPr>
      <w:docPartBody>
        <w:p w:rsidR="009B3F10" w:rsidRDefault="00C570A4" w:rsidP="00C570A4">
          <w:pPr>
            <w:pStyle w:val="00EB29290CEB492AB014E321E1B11918"/>
          </w:pPr>
          <w:r>
            <w:rPr>
              <w:color w:val="00B050"/>
            </w:rPr>
            <w:t>tier </w:t>
          </w:r>
          <w:r w:rsidRPr="0071660C">
            <w:rPr>
              <w:color w:val="00B050"/>
            </w:rPr>
            <w:t>II</w:t>
          </w:r>
        </w:p>
      </w:docPartBody>
    </w:docPart>
    <w:docPart>
      <w:docPartPr>
        <w:name w:val="209CCD2E3F664890A451E2FC562C839F"/>
        <w:category>
          <w:name w:val="General"/>
          <w:gallery w:val="placeholder"/>
        </w:category>
        <w:types>
          <w:type w:val="bbPlcHdr"/>
        </w:types>
        <w:behaviors>
          <w:behavior w:val="content"/>
        </w:behaviors>
        <w:guid w:val="{4AD845A4-4575-430D-B116-5E023CAB0F3D}"/>
      </w:docPartPr>
      <w:docPartBody>
        <w:p w:rsidR="00526C8A" w:rsidRDefault="002A20D6" w:rsidP="002A20D6">
          <w:pPr>
            <w:pStyle w:val="209CCD2E3F664890A451E2FC562C839F"/>
          </w:pPr>
          <w:r w:rsidRPr="001D56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070DFE"/>
    <w:rsid w:val="00256022"/>
    <w:rsid w:val="002A20D6"/>
    <w:rsid w:val="00432DBE"/>
    <w:rsid w:val="0047096E"/>
    <w:rsid w:val="00526C8A"/>
    <w:rsid w:val="009B3F10"/>
    <w:rsid w:val="00C570A4"/>
    <w:rsid w:val="00D21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0D6"/>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082173B9D7B042E5A2E5BDFCA417AE3B">
    <w:name w:val="082173B9D7B042E5A2E5BDFCA417AE3B"/>
    <w:rsid w:val="00070DFE"/>
    <w:rPr>
      <w:lang w:val="en-US" w:eastAsia="en-US"/>
    </w:rPr>
  </w:style>
  <w:style w:type="paragraph" w:customStyle="1" w:styleId="418BF20DAB604716AF982C90F88B726B">
    <w:name w:val="418BF20DAB604716AF982C90F88B726B"/>
    <w:rsid w:val="00070DFE"/>
    <w:rPr>
      <w:lang w:val="en-US" w:eastAsia="en-US"/>
    </w:rPr>
  </w:style>
  <w:style w:type="paragraph" w:customStyle="1" w:styleId="5C185D6B84094BBF9F74D7F14CE30F44">
    <w:name w:val="5C185D6B84094BBF9F74D7F14CE30F44"/>
    <w:rsid w:val="00C570A4"/>
  </w:style>
  <w:style w:type="paragraph" w:customStyle="1" w:styleId="B574F6596BE44B8B9CF5D10690A73EB2">
    <w:name w:val="B574F6596BE44B8B9CF5D10690A73EB2"/>
    <w:rsid w:val="00C570A4"/>
  </w:style>
  <w:style w:type="paragraph" w:customStyle="1" w:styleId="419DCD1AD18349EDA5FD7D88707D73A4">
    <w:name w:val="419DCD1AD18349EDA5FD7D88707D73A4"/>
    <w:rsid w:val="00C570A4"/>
  </w:style>
  <w:style w:type="paragraph" w:customStyle="1" w:styleId="F4AEADB184AA49C3840E703107DB9E18">
    <w:name w:val="F4AEADB184AA49C3840E703107DB9E18"/>
    <w:rsid w:val="00C570A4"/>
  </w:style>
  <w:style w:type="paragraph" w:customStyle="1" w:styleId="DF52ACD3356A414090BCDF0190C558FC">
    <w:name w:val="DF52ACD3356A414090BCDF0190C558FC"/>
    <w:rsid w:val="00C570A4"/>
  </w:style>
  <w:style w:type="paragraph" w:customStyle="1" w:styleId="228BFEE16D9D4D1CB2B251D48BF08A64">
    <w:name w:val="228BFEE16D9D4D1CB2B251D48BF08A64"/>
    <w:rsid w:val="00C570A4"/>
  </w:style>
  <w:style w:type="paragraph" w:customStyle="1" w:styleId="A5A58AC5FB3D4C86BF455B0B8B4398E7">
    <w:name w:val="A5A58AC5FB3D4C86BF455B0B8B4398E7"/>
    <w:rsid w:val="00C570A4"/>
  </w:style>
  <w:style w:type="paragraph" w:customStyle="1" w:styleId="00EB29290CEB492AB014E321E1B11918">
    <w:name w:val="00EB29290CEB492AB014E321E1B11918"/>
    <w:rsid w:val="00C570A4"/>
  </w:style>
  <w:style w:type="paragraph" w:customStyle="1" w:styleId="209CCD2E3F664890A451E2FC562C839F">
    <w:name w:val="209CCD2E3F664890A451E2FC562C839F"/>
    <w:rsid w:val="002A2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2" ma:contentTypeDescription="Create a new document." ma:contentTypeScope="" ma:versionID="3f0239daee0f58ef4204c8121a58097c">
  <xsd:schema xmlns:xsd="http://www.w3.org/2001/XMLSchema" xmlns:xs="http://www.w3.org/2001/XMLSchema" xmlns:p="http://schemas.microsoft.com/office/2006/metadata/properties" xmlns:ns2="bf54d604-3e62-4e70-ba33-9e9084b96a66" targetNamespace="http://schemas.microsoft.com/office/2006/metadata/properties" ma:root="true" ma:fieldsID="84d0abafb20839a02dba80eb6ea31e1c" ns2:_="">
    <xsd:import namespace="bf54d604-3e62-4e70-ba33-9e9084b9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4AF7D-B3A7-4F48-A7CF-72C880050C83}">
  <ds:schemaRefs>
    <ds:schemaRef ds:uri="http://schemas.microsoft.com/sharepoint/v3/contenttype/forms"/>
  </ds:schemaRefs>
</ds:datastoreItem>
</file>

<file path=customXml/itemProps2.xml><?xml version="1.0" encoding="utf-8"?>
<ds:datastoreItem xmlns:ds="http://schemas.openxmlformats.org/officeDocument/2006/customXml" ds:itemID="{53A4BBA9-8ED3-4CA3-B0B6-491C00503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7564D-FC4E-48A8-9B11-AB01DD051D39}">
  <ds:schemaRefs>
    <ds:schemaRef ds:uri="http://purl.org/dc/elements/1.1/"/>
    <ds:schemaRef ds:uri="http://schemas.microsoft.com/office/2006/metadata/properties"/>
    <ds:schemaRef ds:uri="http://purl.org/dc/terms/"/>
    <ds:schemaRef ds:uri="bf54d604-3e62-4e70-ba33-9e9084b96a66"/>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14D1FF9-536A-4615-AA83-A52267FC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903FA2D1.dotm</Template>
  <TotalTime>0</TotalTime>
  <Pages>6</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2019-08-07T20:05:00Z</dcterms:created>
  <dcterms:modified xsi:type="dcterms:W3CDTF">2019-09-26T00:22:00Z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