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BB74B01" w14:textId="26F1D802" w:rsidR="00BD499F" w:rsidRPr="004C23F4" w:rsidRDefault="0012022C" w:rsidP="00B40C60">
          <w:pPr>
            <w:pStyle w:val="Heading1"/>
            <w:jc w:val="center"/>
            <w:rPr>
              <w:rFonts w:ascii="Arial" w:hAnsi="Arial" w:cs="Arial"/>
            </w:rPr>
          </w:pPr>
          <w:r w:rsidRPr="0012022C">
            <w:rPr>
              <w:rFonts w:ascii="Arial" w:hAnsi="Arial" w:cs="Arial"/>
            </w:rPr>
            <w:t>Carbofuran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8"/>
        <w:gridCol w:w="5058"/>
      </w:tblGrid>
      <w:tr w:rsidR="00F43AD5" w:rsidRPr="004C23F4" w14:paraId="47B95BAF" w14:textId="77777777" w:rsidTr="00B76A41">
        <w:trPr>
          <w:cantSplit/>
          <w:tblHeader/>
        </w:trPr>
        <w:tc>
          <w:tcPr>
            <w:tcW w:w="4077" w:type="dxa"/>
          </w:tcPr>
          <w:p w14:paraId="71C5455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8023509" w14:textId="7A4A7530" w:rsidR="00F43AD5" w:rsidRPr="00717D45" w:rsidRDefault="00E04BA9" w:rsidP="00B76A41">
            <w:pPr>
              <w:pStyle w:val="Tablefont"/>
            </w:pPr>
            <w:r w:rsidRPr="00E04BA9">
              <w:t>1563-66-2</w:t>
            </w:r>
          </w:p>
        </w:tc>
      </w:tr>
      <w:tr w:rsidR="00F43AD5" w:rsidRPr="00912CC7" w14:paraId="6F683E0B" w14:textId="77777777" w:rsidTr="00B76A41">
        <w:trPr>
          <w:cantSplit/>
        </w:trPr>
        <w:tc>
          <w:tcPr>
            <w:tcW w:w="4077" w:type="dxa"/>
          </w:tcPr>
          <w:p w14:paraId="2CFF1201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0628A80" w14:textId="37E184D4" w:rsidR="00F43AD5" w:rsidRPr="00F24B33" w:rsidRDefault="00D44EAD" w:rsidP="00B76A41">
            <w:pPr>
              <w:pStyle w:val="Tablefont"/>
              <w:rPr>
                <w:lang w:val="it-IT"/>
              </w:rPr>
            </w:pPr>
            <w:r w:rsidRPr="00F24B33">
              <w:rPr>
                <w:lang w:val="it-IT"/>
              </w:rPr>
              <w:t>7-benzofuranol</w:t>
            </w:r>
            <w:r w:rsidR="007919D6" w:rsidRPr="00F24B33">
              <w:rPr>
                <w:lang w:val="it-IT"/>
              </w:rPr>
              <w:t xml:space="preserve">, </w:t>
            </w:r>
            <w:r w:rsidR="00BA410D" w:rsidRPr="00F24B33">
              <w:rPr>
                <w:lang w:val="it-IT"/>
              </w:rPr>
              <w:br/>
            </w:r>
            <w:r w:rsidR="007919D6" w:rsidRPr="00F24B33">
              <w:rPr>
                <w:lang w:val="it-IT"/>
              </w:rPr>
              <w:t>2,3-dihydro-2,2-dimethylmthylcarbamate</w:t>
            </w:r>
            <w:r w:rsidR="00F0698C" w:rsidRPr="00F24B33">
              <w:rPr>
                <w:lang w:val="it-IT"/>
              </w:rPr>
              <w:t xml:space="preserve">, </w:t>
            </w:r>
            <w:r w:rsidR="00BA410D" w:rsidRPr="00F24B33">
              <w:rPr>
                <w:lang w:val="it-IT"/>
              </w:rPr>
              <w:br/>
            </w:r>
            <w:r w:rsidR="00F0698C" w:rsidRPr="00F24B33">
              <w:rPr>
                <w:lang w:val="it-IT"/>
              </w:rPr>
              <w:t>carbamic acid</w:t>
            </w:r>
            <w:r w:rsidR="004138D4" w:rsidRPr="00F24B33">
              <w:rPr>
                <w:lang w:val="it-IT"/>
              </w:rPr>
              <w:t>, furadan</w:t>
            </w:r>
          </w:p>
        </w:tc>
      </w:tr>
      <w:tr w:rsidR="00F43AD5" w:rsidRPr="004C23F4" w14:paraId="41684C7F" w14:textId="77777777" w:rsidTr="00B76A41">
        <w:trPr>
          <w:cantSplit/>
        </w:trPr>
        <w:tc>
          <w:tcPr>
            <w:tcW w:w="4077" w:type="dxa"/>
          </w:tcPr>
          <w:p w14:paraId="0D211B4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A1FCF80" w14:textId="1EF2622E" w:rsidR="00F43AD5" w:rsidRPr="00717D45" w:rsidRDefault="00157116" w:rsidP="00B76A41">
            <w:pPr>
              <w:pStyle w:val="Tablefont"/>
            </w:pPr>
            <w:r>
              <w:t>C</w:t>
            </w:r>
            <w:r w:rsidRPr="00157116">
              <w:rPr>
                <w:vertAlign w:val="subscript"/>
              </w:rPr>
              <w:t>12</w:t>
            </w:r>
            <w:r>
              <w:t>H</w:t>
            </w:r>
            <w:r w:rsidRPr="00157116">
              <w:rPr>
                <w:vertAlign w:val="subscript"/>
              </w:rPr>
              <w:t>15</w:t>
            </w:r>
            <w:r>
              <w:t>NO</w:t>
            </w:r>
            <w:r w:rsidRPr="00157116">
              <w:rPr>
                <w:vertAlign w:val="subscript"/>
              </w:rPr>
              <w:t>3</w:t>
            </w:r>
          </w:p>
        </w:tc>
      </w:tr>
      <w:tr w:rsidR="00F43AD5" w:rsidRPr="004C23F4" w14:paraId="7B8B1ABB" w14:textId="77777777" w:rsidTr="00B76A41">
        <w:trPr>
          <w:cantSplit/>
        </w:trPr>
        <w:tc>
          <w:tcPr>
            <w:tcW w:w="4077" w:type="dxa"/>
          </w:tcPr>
          <w:p w14:paraId="594B8CA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2601825" w14:textId="7E6B4335" w:rsidR="00F43AD5" w:rsidRPr="00B40C60" w:rsidRDefault="00513777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228D693A" w14:textId="5813354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E12B5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215293EF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260AA22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00FA671E" w14:textId="49BABD53" w:rsidR="002C7AFE" w:rsidRPr="00EB3D1B" w:rsidRDefault="0012022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0.1 mg/m</w:t>
            </w:r>
            <w:r w:rsidRPr="0012022C">
              <w:rPr>
                <w:b/>
                <w:vertAlign w:val="superscript"/>
              </w:rPr>
              <w:t>3</w:t>
            </w:r>
          </w:p>
        </w:tc>
      </w:tr>
      <w:tr w:rsidR="002C7AFE" w:rsidRPr="004C23F4" w14:paraId="20071131" w14:textId="77777777" w:rsidTr="00921DE7">
        <w:trPr>
          <w:cantSplit/>
        </w:trPr>
        <w:tc>
          <w:tcPr>
            <w:tcW w:w="4077" w:type="dxa"/>
            <w:vAlign w:val="center"/>
          </w:tcPr>
          <w:p w14:paraId="78020DD7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01D9EA88" w14:textId="77777777" w:rsidR="002C7AFE" w:rsidRPr="00EB3D1B" w:rsidRDefault="008215F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D41E6E6" w14:textId="77777777" w:rsidTr="00921DE7">
        <w:trPr>
          <w:cantSplit/>
        </w:trPr>
        <w:tc>
          <w:tcPr>
            <w:tcW w:w="4077" w:type="dxa"/>
            <w:vAlign w:val="center"/>
          </w:tcPr>
          <w:p w14:paraId="4A2B379B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770105A1" w14:textId="77777777" w:rsidR="002C7AFE" w:rsidRPr="00EB3D1B" w:rsidRDefault="008215F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188689E" w14:textId="77777777" w:rsidTr="00A2073D">
        <w:trPr>
          <w:cantSplit/>
        </w:trPr>
        <w:tc>
          <w:tcPr>
            <w:tcW w:w="4077" w:type="dxa"/>
          </w:tcPr>
          <w:p w14:paraId="6443F7AB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1E814D8A" w14:textId="77777777" w:rsidR="002C7AFE" w:rsidRPr="00EB3D1B" w:rsidRDefault="008215F1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BF37691" w14:textId="77777777" w:rsidTr="00921DE7">
        <w:trPr>
          <w:cantSplit/>
        </w:trPr>
        <w:tc>
          <w:tcPr>
            <w:tcW w:w="4077" w:type="dxa"/>
            <w:vAlign w:val="center"/>
          </w:tcPr>
          <w:p w14:paraId="49226C29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489C36E9" w14:textId="10C8EF5E" w:rsidR="002C7AFE" w:rsidRPr="00EB3D1B" w:rsidRDefault="00B24D1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F04D2" w:rsidRPr="004C23F4" w14:paraId="46F6FE5D" w14:textId="77777777" w:rsidTr="00921DE7">
        <w:trPr>
          <w:cantSplit/>
        </w:trPr>
        <w:tc>
          <w:tcPr>
            <w:tcW w:w="4077" w:type="dxa"/>
            <w:vAlign w:val="center"/>
          </w:tcPr>
          <w:p w14:paraId="36185E0F" w14:textId="77777777" w:rsidR="009F04D2" w:rsidRDefault="009F04D2" w:rsidP="00FC65F8">
            <w:pPr>
              <w:pStyle w:val="Tablerowright"/>
              <w:jc w:val="left"/>
            </w:pPr>
            <w:r>
              <w:t>Sampling and analysis:</w:t>
            </w:r>
          </w:p>
        </w:tc>
        <w:tc>
          <w:tcPr>
            <w:tcW w:w="5165" w:type="dxa"/>
          </w:tcPr>
          <w:p w14:paraId="5FDD46EE" w14:textId="41788ABF" w:rsidR="009F04D2" w:rsidRPr="00EB3D1B" w:rsidRDefault="009F04D2" w:rsidP="00017C82">
            <w:pPr>
              <w:pStyle w:val="Tablefont"/>
              <w:rPr>
                <w:b/>
              </w:rPr>
            </w:pPr>
          </w:p>
        </w:tc>
      </w:tr>
    </w:tbl>
    <w:p w14:paraId="0C8910D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1573CBB" w14:textId="06DBBD10" w:rsidR="006639B4" w:rsidRPr="004C23F4" w:rsidRDefault="008127DB" w:rsidP="000C139A">
      <w:pPr>
        <w:rPr>
          <w:rFonts w:cs="Arial"/>
        </w:rPr>
      </w:pPr>
      <w:r w:rsidRPr="007B14D6">
        <w:rPr>
          <w:rFonts w:cs="Arial"/>
        </w:rPr>
        <w:t xml:space="preserve">A TWA of </w:t>
      </w:r>
      <w:r>
        <w:rPr>
          <w:rFonts w:cs="Arial"/>
        </w:rPr>
        <w:t xml:space="preserve">0.1 </w:t>
      </w:r>
      <w:r w:rsidRPr="007B14D6">
        <w:rPr>
          <w:rFonts w:cs="Arial"/>
        </w:rPr>
        <w:t>mg/m</w:t>
      </w:r>
      <w:r w:rsidRPr="005B4063">
        <w:rPr>
          <w:rFonts w:cs="Arial"/>
          <w:vertAlign w:val="superscript"/>
        </w:rPr>
        <w:t>3</w:t>
      </w:r>
      <w:r w:rsidRPr="007B14D6">
        <w:rPr>
          <w:rFonts w:cs="Arial"/>
        </w:rPr>
        <w:t xml:space="preserve"> is </w:t>
      </w:r>
      <w:r w:rsidR="00BA410D">
        <w:rPr>
          <w:rFonts w:cs="Arial"/>
        </w:rPr>
        <w:t>recommended</w:t>
      </w:r>
      <w:r w:rsidR="00BA410D" w:rsidRPr="007B14D6">
        <w:rPr>
          <w:rFonts w:cs="Arial"/>
        </w:rPr>
        <w:t xml:space="preserve"> </w:t>
      </w:r>
      <w:r w:rsidRPr="007B14D6">
        <w:rPr>
          <w:rFonts w:cs="Arial"/>
        </w:rPr>
        <w:t xml:space="preserve">to protect </w:t>
      </w:r>
      <w:r w:rsidRPr="00F37E07">
        <w:rPr>
          <w:rFonts w:cs="Arial"/>
        </w:rPr>
        <w:t xml:space="preserve">for cholinesterase inhibition in </w:t>
      </w:r>
      <w:r w:rsidR="00625291">
        <w:rPr>
          <w:rFonts w:cs="Arial"/>
        </w:rPr>
        <w:t xml:space="preserve">exposed </w:t>
      </w:r>
      <w:r w:rsidRPr="00F37E07">
        <w:rPr>
          <w:rFonts w:cs="Arial"/>
        </w:rPr>
        <w:t>workers</w:t>
      </w:r>
      <w:r w:rsidR="00625291">
        <w:rPr>
          <w:rFonts w:cs="Arial"/>
        </w:rPr>
        <w:t>.</w:t>
      </w:r>
    </w:p>
    <w:p w14:paraId="0AC18FC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B7F792B" w14:textId="77777777" w:rsidR="001F539C" w:rsidRDefault="008127DB" w:rsidP="008127DB">
      <w:pPr>
        <w:rPr>
          <w:rFonts w:cs="Arial"/>
        </w:rPr>
      </w:pPr>
      <w:proofErr w:type="spellStart"/>
      <w:r>
        <w:rPr>
          <w:rFonts w:eastAsia="Calibri" w:cs="Times New Roman"/>
        </w:rPr>
        <w:t>Carbofuran</w:t>
      </w:r>
      <w:proofErr w:type="spellEnd"/>
      <w:r w:rsidRPr="005B4063">
        <w:rPr>
          <w:rFonts w:eastAsia="Calibri" w:cs="Times New Roman"/>
        </w:rPr>
        <w:t xml:space="preserve"> </w:t>
      </w:r>
      <w:r w:rsidRPr="00F37E07">
        <w:rPr>
          <w:rFonts w:cs="Arial"/>
        </w:rPr>
        <w:t xml:space="preserve">is used primarily as an </w:t>
      </w:r>
      <w:r>
        <w:rPr>
          <w:rFonts w:cs="Arial"/>
        </w:rPr>
        <w:t xml:space="preserve">insecticide, </w:t>
      </w:r>
      <w:proofErr w:type="spellStart"/>
      <w:r>
        <w:rPr>
          <w:rFonts w:cs="Arial"/>
        </w:rPr>
        <w:t>acaricide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nematicide</w:t>
      </w:r>
      <w:proofErr w:type="spellEnd"/>
      <w:r w:rsidRPr="00F37E07">
        <w:rPr>
          <w:rFonts w:cs="Arial"/>
        </w:rPr>
        <w:t xml:space="preserve">. </w:t>
      </w:r>
    </w:p>
    <w:p w14:paraId="405EB127" w14:textId="34F70CC1" w:rsidR="001460BB" w:rsidRDefault="008127DB" w:rsidP="008127DB">
      <w:r w:rsidRPr="00F37E07">
        <w:t>It act</w:t>
      </w:r>
      <w:r w:rsidR="00912CC7">
        <w:t>s</w:t>
      </w:r>
      <w:r w:rsidRPr="00F37E07">
        <w:t xml:space="preserve"> as a cholinesterase inhibitor</w:t>
      </w:r>
      <w:r w:rsidR="0046357A">
        <w:t xml:space="preserve"> producing effects in workers including blurred vision, nausea, excessive perspiration and a general sense of weakness</w:t>
      </w:r>
      <w:r w:rsidR="00EF3351">
        <w:t>.</w:t>
      </w:r>
    </w:p>
    <w:p w14:paraId="742C8D8D" w14:textId="4BB0826A" w:rsidR="008127DB" w:rsidRDefault="001F539C" w:rsidP="008127DB">
      <w:r>
        <w:t xml:space="preserve">Data in humans </w:t>
      </w:r>
      <w:r w:rsidR="00912CC7">
        <w:t xml:space="preserve">are </w:t>
      </w:r>
      <w:r>
        <w:t xml:space="preserve">inconsistent. </w:t>
      </w:r>
      <w:r w:rsidR="00EF3351">
        <w:t xml:space="preserve">A controlled oral dose study in </w:t>
      </w:r>
      <w:r w:rsidR="001460BB">
        <w:t>humans</w:t>
      </w:r>
      <w:r w:rsidR="00EF3351">
        <w:t xml:space="preserve"> </w:t>
      </w:r>
      <w:r>
        <w:t xml:space="preserve">reported </w:t>
      </w:r>
      <w:r w:rsidR="00EF3351">
        <w:t>a NOAEL of 0.05</w:t>
      </w:r>
      <w:r w:rsidR="00912CC7">
        <w:t> </w:t>
      </w:r>
      <w:r w:rsidR="00EF3351">
        <w:t>mg/kg</w:t>
      </w:r>
      <w:r w:rsidR="00E00429">
        <w:t xml:space="preserve"> for cholinesterase inhibition. This</w:t>
      </w:r>
      <w:r w:rsidR="00611D81">
        <w:t xml:space="preserve"> </w:t>
      </w:r>
      <w:r w:rsidR="00725590">
        <w:t>e</w:t>
      </w:r>
      <w:r w:rsidR="00611D81">
        <w:t>quates</w:t>
      </w:r>
      <w:r w:rsidR="00EF3351">
        <w:t xml:space="preserve"> to</w:t>
      </w:r>
      <w:r w:rsidR="00F544AA">
        <w:t xml:space="preserve"> an</w:t>
      </w:r>
      <w:r w:rsidR="00EF3351">
        <w:t xml:space="preserve"> inhalation</w:t>
      </w:r>
      <w:r w:rsidR="001460BB">
        <w:t>al</w:t>
      </w:r>
      <w:r w:rsidR="00EF3351">
        <w:t xml:space="preserve"> concentration of 0.35 mg/m</w:t>
      </w:r>
      <w:r w:rsidR="00EF3351">
        <w:rPr>
          <w:vertAlign w:val="superscript"/>
        </w:rPr>
        <w:t>3</w:t>
      </w:r>
      <w:r w:rsidR="00E00429">
        <w:t xml:space="preserve"> over an eight hour work day. </w:t>
      </w:r>
      <w:r w:rsidR="00725590">
        <w:t xml:space="preserve">An observational study </w:t>
      </w:r>
      <w:r w:rsidR="0023201E">
        <w:t xml:space="preserve">in </w:t>
      </w:r>
      <w:r w:rsidR="00E00429">
        <w:t xml:space="preserve">pesticide formulation plant </w:t>
      </w:r>
      <w:r w:rsidR="0023201E">
        <w:t xml:space="preserve">workers </w:t>
      </w:r>
      <w:r w:rsidR="00F15E18">
        <w:t>associated</w:t>
      </w:r>
      <w:r w:rsidR="0023201E">
        <w:t xml:space="preserve"> significant cholinesterase inhibition with </w:t>
      </w:r>
      <w:r w:rsidR="001460BB">
        <w:t>exposure to</w:t>
      </w:r>
      <w:r w:rsidR="00F15E18">
        <w:t xml:space="preserve"> mean airborne concentrations of</w:t>
      </w:r>
      <w:r w:rsidR="0023201E">
        <w:t xml:space="preserve"> 0.025 to 1.1</w:t>
      </w:r>
      <w:r w:rsidR="005F432A">
        <w:t> </w:t>
      </w:r>
      <w:r w:rsidR="0023201E">
        <w:t>mg/m</w:t>
      </w:r>
      <w:r w:rsidR="0023201E">
        <w:rPr>
          <w:vertAlign w:val="superscript"/>
        </w:rPr>
        <w:t>3</w:t>
      </w:r>
      <w:r w:rsidR="00725590">
        <w:t xml:space="preserve">. </w:t>
      </w:r>
      <w:r>
        <w:t xml:space="preserve">Comparatively, no adverse effects in </w:t>
      </w:r>
      <w:r w:rsidR="00611D81">
        <w:t xml:space="preserve">workers exposed to mean concentrations ranging between 0.018 to 0.067 </w:t>
      </w:r>
      <w:proofErr w:type="gramStart"/>
      <w:r w:rsidR="00611D81">
        <w:t>mg/m</w:t>
      </w:r>
      <w:r w:rsidR="00611D81">
        <w:rPr>
          <w:vertAlign w:val="superscript"/>
        </w:rPr>
        <w:t>3</w:t>
      </w:r>
      <w:proofErr w:type="gramEnd"/>
      <w:r w:rsidR="00611D81">
        <w:t xml:space="preserve"> </w:t>
      </w:r>
      <w:r w:rsidR="00912CC7">
        <w:t xml:space="preserve">were reported in the same study </w:t>
      </w:r>
      <w:r w:rsidR="0046357A">
        <w:t>(ACGIH, 2018)</w:t>
      </w:r>
      <w:r w:rsidR="00611D81">
        <w:t>.</w:t>
      </w:r>
    </w:p>
    <w:p w14:paraId="264AB296" w14:textId="7C86B275" w:rsidR="001F539C" w:rsidRDefault="001F539C" w:rsidP="008127DB">
      <w:r>
        <w:t>In animals, a</w:t>
      </w:r>
      <w:r w:rsidR="0023201E">
        <w:t xml:space="preserve"> NOAEL of 0.22 mg/kg/day </w:t>
      </w:r>
      <w:r w:rsidR="00725590">
        <w:t xml:space="preserve">is </w:t>
      </w:r>
      <w:r w:rsidR="001460BB">
        <w:t xml:space="preserve">reported </w:t>
      </w:r>
      <w:r w:rsidR="0023201E">
        <w:t xml:space="preserve">in a </w:t>
      </w:r>
      <w:r w:rsidR="00850E24">
        <w:t>four-week</w:t>
      </w:r>
      <w:r w:rsidR="0023201E">
        <w:t xml:space="preserve"> </w:t>
      </w:r>
      <w:r w:rsidR="00725590">
        <w:t>feeding</w:t>
      </w:r>
      <w:r w:rsidR="0023201E">
        <w:t xml:space="preserve"> </w:t>
      </w:r>
      <w:r w:rsidR="00611D81">
        <w:t xml:space="preserve">study of </w:t>
      </w:r>
      <w:r w:rsidR="0023201E">
        <w:t>dogs</w:t>
      </w:r>
      <w:r w:rsidR="00850E24">
        <w:t xml:space="preserve"> (ACGIH, 2018)</w:t>
      </w:r>
      <w:r w:rsidR="00247E24">
        <w:t>. This corresponds to</w:t>
      </w:r>
      <w:r w:rsidR="0023201E">
        <w:t xml:space="preserve"> an </w:t>
      </w:r>
      <w:r w:rsidR="00F06BE8">
        <w:t>eight</w:t>
      </w:r>
      <w:r w:rsidR="001460BB">
        <w:t xml:space="preserve"> </w:t>
      </w:r>
      <w:r w:rsidR="0023201E">
        <w:t xml:space="preserve">hour </w:t>
      </w:r>
      <w:r w:rsidR="00247E24">
        <w:t xml:space="preserve">inhalational </w:t>
      </w:r>
      <w:r w:rsidR="0023201E">
        <w:t>exposure</w:t>
      </w:r>
      <w:r w:rsidR="00247E24">
        <w:t xml:space="preserve"> in workers </w:t>
      </w:r>
      <w:r w:rsidR="001460BB">
        <w:t>of</w:t>
      </w:r>
      <w:r w:rsidR="0023201E">
        <w:t xml:space="preserve"> 1.5 mg/m</w:t>
      </w:r>
      <w:r w:rsidR="0023201E">
        <w:rPr>
          <w:vertAlign w:val="superscript"/>
        </w:rPr>
        <w:t>3</w:t>
      </w:r>
      <w:r w:rsidR="00F544AA">
        <w:t>.</w:t>
      </w:r>
      <w:r w:rsidR="00D342A2">
        <w:t xml:space="preserve"> </w:t>
      </w:r>
      <w:r w:rsidR="00DE65FC">
        <w:t>A</w:t>
      </w:r>
      <w:r w:rsidR="00D342A2">
        <w:t xml:space="preserve">n inhalation study in monkeys </w:t>
      </w:r>
      <w:r w:rsidR="00DE65FC">
        <w:t>reports</w:t>
      </w:r>
      <w:r w:rsidR="00D342A2">
        <w:t xml:space="preserve"> a NOAEL of </w:t>
      </w:r>
      <w:r w:rsidR="005F5114">
        <w:t>0.</w:t>
      </w:r>
      <w:r w:rsidR="00D342A2">
        <w:t>56 mg/m</w:t>
      </w:r>
      <w:r w:rsidR="00D342A2">
        <w:rPr>
          <w:vertAlign w:val="superscript"/>
        </w:rPr>
        <w:t>3</w:t>
      </w:r>
      <w:r w:rsidR="00D342A2">
        <w:t xml:space="preserve"> (</w:t>
      </w:r>
      <w:r w:rsidR="005F5114">
        <w:t>0.</w:t>
      </w:r>
      <w:r w:rsidR="00D342A2">
        <w:t>42 mg/m</w:t>
      </w:r>
      <w:r w:rsidR="00D342A2" w:rsidRPr="00205BA7">
        <w:rPr>
          <w:vertAlign w:val="superscript"/>
        </w:rPr>
        <w:t>3</w:t>
      </w:r>
      <w:r w:rsidR="00D342A2">
        <w:t xml:space="preserve"> as </w:t>
      </w:r>
      <w:proofErr w:type="spellStart"/>
      <w:r w:rsidR="00D342A2">
        <w:t>carbofuran</w:t>
      </w:r>
      <w:proofErr w:type="spellEnd"/>
      <w:r w:rsidR="00AA7C15">
        <w:t>)</w:t>
      </w:r>
      <w:r w:rsidR="00DE65FC">
        <w:t xml:space="preserve"> following a six hour exposure</w:t>
      </w:r>
      <w:r w:rsidR="00AA7C15">
        <w:t xml:space="preserve"> to 75% wettable powder</w:t>
      </w:r>
      <w:r w:rsidR="00D342A2">
        <w:t xml:space="preserve">. </w:t>
      </w:r>
    </w:p>
    <w:p w14:paraId="53D36C7C" w14:textId="667755BE" w:rsidR="008127DB" w:rsidRPr="00F06BE8" w:rsidRDefault="00DE65FC" w:rsidP="008127DB">
      <w:pPr>
        <w:rPr>
          <w:vertAlign w:val="superscript"/>
        </w:rPr>
      </w:pPr>
      <w:r>
        <w:t>The recommended TWA is derived from</w:t>
      </w:r>
      <w:r w:rsidR="001F539C">
        <w:t xml:space="preserve"> the inhalational</w:t>
      </w:r>
      <w:r>
        <w:t xml:space="preserve"> study</w:t>
      </w:r>
      <w:r w:rsidR="00247E24">
        <w:t xml:space="preserve"> </w:t>
      </w:r>
      <w:r w:rsidR="00284756">
        <w:t xml:space="preserve">in monkeys, </w:t>
      </w:r>
      <w:r w:rsidR="00247E24">
        <w:t>with</w:t>
      </w:r>
      <w:r w:rsidR="00B445F3">
        <w:t xml:space="preserve"> the application of </w:t>
      </w:r>
      <w:r w:rsidR="001F539C">
        <w:t xml:space="preserve">generic </w:t>
      </w:r>
      <w:r w:rsidR="00B445F3">
        <w:t>conversion factor</w:t>
      </w:r>
      <w:r w:rsidR="004A50F7">
        <w:t xml:space="preserve"> of four</w:t>
      </w:r>
      <w:r w:rsidR="00247E24">
        <w:t xml:space="preserve"> </w:t>
      </w:r>
      <w:r w:rsidR="00AA7C15">
        <w:t>to</w:t>
      </w:r>
      <w:r w:rsidR="00B445F3">
        <w:t xml:space="preserve"> </w:t>
      </w:r>
      <w:r w:rsidR="00247E24">
        <w:t xml:space="preserve">account for </w:t>
      </w:r>
      <w:r w:rsidR="004B7A5F">
        <w:t>interspecies differences</w:t>
      </w:r>
      <w:r w:rsidR="00247E24">
        <w:t>. T</w:t>
      </w:r>
      <w:r w:rsidR="00B445F3">
        <w:t xml:space="preserve">he recommended TWA </w:t>
      </w:r>
      <w:r w:rsidR="00AA7C15">
        <w:t>of 0.1 mg/m</w:t>
      </w:r>
      <w:r w:rsidR="00AA7C15">
        <w:rPr>
          <w:vertAlign w:val="superscript"/>
        </w:rPr>
        <w:t>3</w:t>
      </w:r>
      <w:r w:rsidR="000C275F">
        <w:t xml:space="preserve"> is </w:t>
      </w:r>
      <w:r w:rsidR="008127DB" w:rsidRPr="00CB13C1">
        <w:t xml:space="preserve">considered </w:t>
      </w:r>
      <w:r w:rsidR="00B445F3">
        <w:t xml:space="preserve">sufficient </w:t>
      </w:r>
      <w:r w:rsidR="000C275F">
        <w:t xml:space="preserve">to protect </w:t>
      </w:r>
      <w:r w:rsidR="008127DB" w:rsidRPr="00CB13C1">
        <w:t xml:space="preserve">for </w:t>
      </w:r>
      <w:r w:rsidR="008127DB" w:rsidRPr="00CB13C1">
        <w:rPr>
          <w:rFonts w:cs="Arial"/>
        </w:rPr>
        <w:t>cholinesterase inhibition</w:t>
      </w:r>
      <w:r w:rsidR="00FC65F8">
        <w:rPr>
          <w:rFonts w:cs="Arial"/>
        </w:rPr>
        <w:t xml:space="preserve"> </w:t>
      </w:r>
      <w:r w:rsidR="000C275F">
        <w:rPr>
          <w:rFonts w:cs="Arial"/>
        </w:rPr>
        <w:t>in exposed workers</w:t>
      </w:r>
      <w:r w:rsidR="00AA7C15">
        <w:rPr>
          <w:rFonts w:cs="Arial"/>
        </w:rPr>
        <w:t>.</w:t>
      </w:r>
    </w:p>
    <w:p w14:paraId="2F90F1BB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669656D1" w14:textId="22EDFD93" w:rsidR="00FE25E1" w:rsidRPr="00E04BA9" w:rsidRDefault="00FE25E1" w:rsidP="00FE25E1">
      <w:pPr>
        <w:rPr>
          <w:rFonts w:cs="Arial"/>
        </w:rPr>
      </w:pPr>
      <w:r w:rsidRPr="00E04BA9">
        <w:rPr>
          <w:rFonts w:cs="Arial"/>
        </w:rPr>
        <w:t>Not classified as a carcinogen according to the Globally Harmonized System of Classification and Labelling o</w:t>
      </w:r>
      <w:r w:rsidR="00B445F3">
        <w:rPr>
          <w:rFonts w:cs="Arial"/>
        </w:rPr>
        <w:t>f</w:t>
      </w:r>
      <w:r w:rsidRPr="00E04BA9">
        <w:rPr>
          <w:rFonts w:cs="Arial"/>
        </w:rPr>
        <w:t xml:space="preserve"> Chemicals (GHS). </w:t>
      </w:r>
    </w:p>
    <w:p w14:paraId="308D7F7F" w14:textId="6E3F2FCF" w:rsidR="00FE25E1" w:rsidRPr="00E04BA9" w:rsidRDefault="00FE25E1" w:rsidP="00FE25E1">
      <w:pPr>
        <w:rPr>
          <w:rFonts w:cs="Arial"/>
        </w:rPr>
      </w:pPr>
      <w:r w:rsidRPr="00E04BA9">
        <w:rPr>
          <w:rFonts w:cs="Arial"/>
        </w:rPr>
        <w:t xml:space="preserve">Not classified as a skin </w:t>
      </w:r>
      <w:r w:rsidR="000C275F">
        <w:rPr>
          <w:rFonts w:cs="Arial"/>
        </w:rPr>
        <w:t xml:space="preserve">sensitiser </w:t>
      </w:r>
      <w:r w:rsidRPr="00E04BA9">
        <w:rPr>
          <w:rFonts w:cs="Arial"/>
        </w:rPr>
        <w:t>or respiratory sensitiser according to the GHS.</w:t>
      </w:r>
    </w:p>
    <w:p w14:paraId="3F60F05F" w14:textId="7D34CA1B" w:rsidR="005E6979" w:rsidRPr="004C23F4" w:rsidRDefault="00C50C5D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>A skin notation is not recommended based on evidence in animals and humans</w:t>
      </w:r>
      <w:r w:rsidR="00FE25E1" w:rsidRPr="00E04BA9">
        <w:rPr>
          <w:rFonts w:cs="Arial"/>
        </w:rPr>
        <w:t>.</w:t>
      </w:r>
    </w:p>
    <w:p w14:paraId="04F24010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C90473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5029A5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6097CB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6EF3A2F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FE7492D" w14:textId="07FF7E23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01FB3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2022C">
                  <w:t xml:space="preserve">TWA: </w:t>
                </w:r>
                <w:r w:rsidR="0012022C" w:rsidRPr="0012022C">
                  <w:t>0.1 mg/m</w:t>
                </w:r>
                <w:r w:rsidR="0012022C" w:rsidRPr="0012022C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B60FB3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297FA0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16F06C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2938C02" w14:textId="75D00EF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E3380">
                  <w:t>200</w:t>
                </w:r>
                <w:r w:rsidR="0012022C">
                  <w:t>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2022C">
                  <w:t xml:space="preserve">TLV-TWA: </w:t>
                </w:r>
                <w:r w:rsidR="0012022C" w:rsidRPr="0012022C">
                  <w:t>0.1 mg/m</w:t>
                </w:r>
                <w:r w:rsidR="0012022C" w:rsidRPr="0012022C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978C79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9FAB30A" w14:textId="6249DCC2" w:rsidR="0012022C" w:rsidRDefault="0012022C" w:rsidP="0012022C">
            <w:pPr>
              <w:pStyle w:val="Tabletextprimarysource"/>
            </w:pPr>
            <w:r>
              <w:t xml:space="preserve">TLV-TWA recommended to minimise the risk of </w:t>
            </w:r>
            <w:r w:rsidRPr="00D93EE6">
              <w:t>cholinesterase</w:t>
            </w:r>
            <w:r>
              <w:t xml:space="preserve"> inhibition</w:t>
            </w:r>
            <w:r w:rsidR="008F0CC0">
              <w:t xml:space="preserve"> and other biological effects</w:t>
            </w:r>
            <w:r>
              <w:t xml:space="preserve"> in exposed workers.</w:t>
            </w:r>
          </w:p>
          <w:p w14:paraId="31B35948" w14:textId="77777777" w:rsidR="0012022C" w:rsidRDefault="0012022C" w:rsidP="0012022C">
            <w:pPr>
              <w:pStyle w:val="Tabletextprimarysource"/>
            </w:pPr>
            <w:r>
              <w:t>Summary of data:</w:t>
            </w:r>
          </w:p>
          <w:p w14:paraId="4874E00B" w14:textId="75F32710" w:rsidR="0012022C" w:rsidRDefault="0012022C" w:rsidP="0012022C">
            <w:pPr>
              <w:pStyle w:val="Tabletextprimarysource"/>
              <w:rPr>
                <w:rFonts w:cs="Arial"/>
              </w:rPr>
            </w:pPr>
            <w:r w:rsidRPr="008F50A2">
              <w:rPr>
                <w:rFonts w:cs="Arial"/>
              </w:rPr>
              <w:t xml:space="preserve">Used </w:t>
            </w:r>
            <w:r>
              <w:rPr>
                <w:rFonts w:cs="Arial"/>
              </w:rPr>
              <w:t xml:space="preserve">primarily as an insecticide, </w:t>
            </w:r>
            <w:proofErr w:type="spellStart"/>
            <w:r>
              <w:rPr>
                <w:rFonts w:cs="Arial"/>
              </w:rPr>
              <w:t>acaricide</w:t>
            </w:r>
            <w:proofErr w:type="spellEnd"/>
            <w:r>
              <w:rPr>
                <w:rFonts w:cs="Arial"/>
              </w:rPr>
              <w:t xml:space="preserve"> and </w:t>
            </w:r>
            <w:proofErr w:type="spellStart"/>
            <w:r>
              <w:rPr>
                <w:rFonts w:cs="Arial"/>
              </w:rPr>
              <w:t>nematicide</w:t>
            </w:r>
            <w:proofErr w:type="spellEnd"/>
            <w:r>
              <w:rPr>
                <w:rFonts w:cs="Arial"/>
              </w:rPr>
              <w:t>.</w:t>
            </w:r>
          </w:p>
          <w:p w14:paraId="2BC89CA4" w14:textId="186385EA" w:rsidR="008F0CC0" w:rsidRPr="008F50A2" w:rsidRDefault="008F0CC0" w:rsidP="0012022C">
            <w:pPr>
              <w:pStyle w:val="Tabletextprimarysource"/>
            </w:pPr>
            <w:r>
              <w:rPr>
                <w:rFonts w:cs="Arial"/>
              </w:rPr>
              <w:t xml:space="preserve">TLV derived from animal-based NOAEL, corresponding to human dose that does not impact on worker’s red blood cell </w:t>
            </w:r>
            <w:r w:rsidRPr="00D93EE6">
              <w:t>cholinesterase</w:t>
            </w:r>
            <w:r>
              <w:t xml:space="preserve"> activity. </w:t>
            </w:r>
          </w:p>
          <w:p w14:paraId="0C324193" w14:textId="52492173" w:rsidR="00DA4F0E" w:rsidRDefault="0012022C" w:rsidP="001F539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5603C4F3" w14:textId="60DFFE79" w:rsidR="00C50C5D" w:rsidRDefault="00C50C5D" w:rsidP="001F539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adequate human dose-response data</w:t>
            </w:r>
          </w:p>
          <w:p w14:paraId="3FD672E0" w14:textId="77777777" w:rsidR="001F539C" w:rsidRDefault="00C50C5D" w:rsidP="001F539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Controlled oral dose study in healthy males identified a NOAEL of 0.05 mg/kg</w:t>
            </w:r>
          </w:p>
          <w:p w14:paraId="561584F2" w14:textId="3E553E7B" w:rsidR="00C50C5D" w:rsidRDefault="00C50C5D" w:rsidP="001F539C">
            <w:pPr>
              <w:pStyle w:val="ListBullet"/>
              <w:numPr>
                <w:ilvl w:val="0"/>
                <w:numId w:val="3"/>
              </w:numPr>
              <w:ind w:left="1156"/>
            </w:pPr>
            <w:r>
              <w:t>equates to</w:t>
            </w:r>
            <w:r w:rsidRPr="001F539C">
              <w:t xml:space="preserve"> inhalation</w:t>
            </w:r>
            <w:r>
              <w:t xml:space="preserve"> concentration of 0.35 mg/m</w:t>
            </w:r>
            <w:r>
              <w:rPr>
                <w:vertAlign w:val="superscript"/>
              </w:rPr>
              <w:t>3</w:t>
            </w:r>
            <w:r>
              <w:t xml:space="preserve"> based on 70 kg worker inhaling </w:t>
            </w:r>
            <w:r w:rsidR="001F539C">
              <w:t>10 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 xml:space="preserve"> per 8</w:t>
            </w:r>
            <w:r w:rsidR="00247E24">
              <w:t xml:space="preserve"> </w:t>
            </w:r>
            <w:r>
              <w:t>h shift</w:t>
            </w:r>
          </w:p>
          <w:p w14:paraId="48E4FB2F" w14:textId="75834301" w:rsidR="00BA410D" w:rsidRDefault="0012022C" w:rsidP="001F539C">
            <w:pPr>
              <w:pStyle w:val="ListBullet"/>
              <w:spacing w:before="60" w:after="60"/>
              <w:ind w:left="714" w:hanging="357"/>
              <w:contextualSpacing w:val="0"/>
            </w:pPr>
            <w:r w:rsidRPr="009A1514">
              <w:t xml:space="preserve">No adverse effects (cholinesterase inhibition) in </w:t>
            </w:r>
            <w:r>
              <w:t>workers exposed to 0.018</w:t>
            </w:r>
            <w:r w:rsidR="009B4D0E">
              <w:t>–</w:t>
            </w:r>
            <w:r w:rsidR="00625291">
              <w:t>0</w:t>
            </w:r>
            <w:r>
              <w:t>.067</w:t>
            </w:r>
            <w:r w:rsidR="005447F9">
              <w:t xml:space="preserve"> mg/m</w:t>
            </w:r>
            <w:r w:rsidR="005447F9" w:rsidRPr="005447F9">
              <w:rPr>
                <w:vertAlign w:val="superscript"/>
              </w:rPr>
              <w:t>3</w:t>
            </w:r>
          </w:p>
          <w:p w14:paraId="63742A50" w14:textId="0944BA1D" w:rsidR="00BA410D" w:rsidRDefault="005447F9" w:rsidP="00F1214C">
            <w:pPr>
              <w:pStyle w:val="ListBullet"/>
              <w:numPr>
                <w:ilvl w:val="0"/>
                <w:numId w:val="3"/>
              </w:numPr>
              <w:ind w:left="1156"/>
            </w:pPr>
            <w:proofErr w:type="gramStart"/>
            <w:r>
              <w:t>significant</w:t>
            </w:r>
            <w:proofErr w:type="gramEnd"/>
            <w:r>
              <w:t xml:space="preserve"> </w:t>
            </w:r>
            <w:r w:rsidRPr="009A1514">
              <w:t>cholinesterase inhibition</w:t>
            </w:r>
            <w:r>
              <w:t xml:space="preserve"> associated with</w:t>
            </w:r>
            <w:r w:rsidR="0012022C">
              <w:t xml:space="preserve"> </w:t>
            </w:r>
            <w:r>
              <w:t>exposed to 0.025</w:t>
            </w:r>
            <w:r w:rsidR="009B4D0E">
              <w:t>–</w:t>
            </w:r>
            <w:r>
              <w:t>1.1 mg/m</w:t>
            </w:r>
            <w:r w:rsidRPr="005447F9">
              <w:rPr>
                <w:vertAlign w:val="superscript"/>
              </w:rPr>
              <w:t>3</w:t>
            </w:r>
            <w:r w:rsidR="00247E24">
              <w:t>.</w:t>
            </w:r>
          </w:p>
          <w:p w14:paraId="2DF0C31D" w14:textId="77777777" w:rsidR="00F03760" w:rsidRDefault="00F03760" w:rsidP="001F539C">
            <w:pPr>
              <w:pStyle w:val="ListBullet"/>
              <w:numPr>
                <w:ilvl w:val="0"/>
                <w:numId w:val="0"/>
              </w:numPr>
            </w:pPr>
          </w:p>
          <w:p w14:paraId="6D74E0A8" w14:textId="69A3682B" w:rsidR="00C978F0" w:rsidRDefault="005447F9" w:rsidP="003365A5">
            <w:pPr>
              <w:pStyle w:val="Tabletextprimarysource"/>
            </w:pPr>
            <w:r>
              <w:t>Animal Data:</w:t>
            </w:r>
          </w:p>
          <w:p w14:paraId="4A2434C4" w14:textId="09AE0692" w:rsidR="00273D5A" w:rsidRDefault="00D5238C" w:rsidP="005F511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NOAEL: 0.22 mg/kg/d</w:t>
            </w:r>
            <w:r w:rsidR="00FC65F8">
              <w:t xml:space="preserve"> (dogs, oral, 4 wk); determined </w:t>
            </w:r>
            <w:r w:rsidR="00FC65F8">
              <w:rPr>
                <w:rFonts w:cs="Arial"/>
              </w:rPr>
              <w:t>≡</w:t>
            </w:r>
            <w:r w:rsidR="00FC65F8">
              <w:t>1.5</w:t>
            </w:r>
            <w:r w:rsidR="000C275F">
              <w:t xml:space="preserve"> </w:t>
            </w:r>
            <w:r w:rsidR="00FC65F8">
              <w:t>mg/m</w:t>
            </w:r>
            <w:r w:rsidR="00FC65F8" w:rsidRPr="00FC65F8">
              <w:rPr>
                <w:vertAlign w:val="superscript"/>
              </w:rPr>
              <w:t>3</w:t>
            </w:r>
            <w:r w:rsidR="00FC65F8">
              <w:t xml:space="preserve"> 8 h worker exposure</w:t>
            </w:r>
          </w:p>
          <w:p w14:paraId="50707553" w14:textId="030C6E61" w:rsidR="005447F9" w:rsidRDefault="001F539C" w:rsidP="001F539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increase in tumours or other carcinogenic effects reported in </w:t>
            </w:r>
            <w:r w:rsidR="00273D5A">
              <w:t xml:space="preserve">2 yr carcinogenicity studies on rats and mice, oral dose </w:t>
            </w:r>
            <w:r>
              <w:t xml:space="preserve"> up to </w:t>
            </w:r>
            <w:r w:rsidR="00273D5A">
              <w:t xml:space="preserve">500 ppm </w:t>
            </w:r>
          </w:p>
          <w:p w14:paraId="36370882" w14:textId="193C2596" w:rsidR="00DD08B6" w:rsidRDefault="00DD08B6" w:rsidP="001F539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to 50% wettable powder</w:t>
            </w:r>
            <w:r w:rsidR="00E82408">
              <w:t>:</w:t>
            </w:r>
          </w:p>
          <w:p w14:paraId="25880D4A" w14:textId="52005EDA" w:rsidR="00DD08B6" w:rsidRDefault="00DD08B6" w:rsidP="001F539C">
            <w:pPr>
              <w:pStyle w:val="ListBullet"/>
              <w:numPr>
                <w:ilvl w:val="0"/>
                <w:numId w:val="3"/>
              </w:numPr>
              <w:ind w:left="1156"/>
            </w:pPr>
            <w:r w:rsidRPr="004E1ABD">
              <w:t>L</w:t>
            </w:r>
            <w:r>
              <w:t>C</w:t>
            </w:r>
            <w:r w:rsidRPr="004E1ABD">
              <w:rPr>
                <w:vertAlign w:val="subscript"/>
              </w:rPr>
              <w:t>50</w:t>
            </w:r>
            <w:r>
              <w:rPr>
                <w:vertAlign w:val="subscript"/>
              </w:rPr>
              <w:t xml:space="preserve">: </w:t>
            </w:r>
            <w:r w:rsidRPr="00205BA7">
              <w:t>108</w:t>
            </w:r>
            <w:r>
              <w:t xml:space="preserve"> mg/m</w:t>
            </w:r>
            <w:r>
              <w:rPr>
                <w:vertAlign w:val="superscript"/>
              </w:rPr>
              <w:t>3</w:t>
            </w:r>
            <w:r>
              <w:t xml:space="preserve"> (male rats, no duration noted)</w:t>
            </w:r>
          </w:p>
          <w:p w14:paraId="39020F17" w14:textId="0EF3399C" w:rsidR="00DD08B6" w:rsidRDefault="00DD08B6" w:rsidP="001F539C">
            <w:pPr>
              <w:pStyle w:val="ListBullet"/>
              <w:numPr>
                <w:ilvl w:val="0"/>
                <w:numId w:val="3"/>
              </w:numPr>
              <w:ind w:left="1156"/>
            </w:pPr>
            <w:r w:rsidRPr="004E1ABD">
              <w:t>L</w:t>
            </w:r>
            <w:r>
              <w:t>C</w:t>
            </w:r>
            <w:r w:rsidRPr="004E1ABD">
              <w:rPr>
                <w:vertAlign w:val="subscript"/>
              </w:rPr>
              <w:t>50</w:t>
            </w:r>
            <w:r>
              <w:rPr>
                <w:vertAlign w:val="subscript"/>
              </w:rPr>
              <w:t xml:space="preserve">: </w:t>
            </w:r>
            <w:r>
              <w:t>133 mg/m</w:t>
            </w:r>
            <w:r w:rsidRPr="00205BA7">
              <w:rPr>
                <w:vertAlign w:val="superscript"/>
              </w:rPr>
              <w:t>3</w:t>
            </w:r>
            <w:r>
              <w:t xml:space="preserve"> (rats, no duration noted)</w:t>
            </w:r>
          </w:p>
          <w:p w14:paraId="4E8C6C08" w14:textId="610C836C" w:rsidR="00DD08B6" w:rsidRDefault="00DD08B6" w:rsidP="001F539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to 75% wettable powder</w:t>
            </w:r>
            <w:r w:rsidR="00E82408">
              <w:t>:</w:t>
            </w:r>
          </w:p>
          <w:p w14:paraId="5F826FFE" w14:textId="371F9338" w:rsidR="00E82408" w:rsidRDefault="005447F9" w:rsidP="001F539C">
            <w:pPr>
              <w:pStyle w:val="ListBullet"/>
              <w:numPr>
                <w:ilvl w:val="0"/>
                <w:numId w:val="3"/>
              </w:numPr>
              <w:ind w:left="1156"/>
            </w:pPr>
            <w:r>
              <w:t xml:space="preserve">NOAEL: </w:t>
            </w:r>
            <w:r w:rsidR="00702B88">
              <w:t>0.</w:t>
            </w:r>
            <w:r w:rsidR="00DD08B6">
              <w:t>56</w:t>
            </w:r>
            <w:r>
              <w:t xml:space="preserve"> mg/m</w:t>
            </w:r>
            <w:r w:rsidRPr="00DD08B6">
              <w:rPr>
                <w:vertAlign w:val="superscript"/>
              </w:rPr>
              <w:t>3</w:t>
            </w:r>
            <w:r w:rsidR="00DD08B6">
              <w:t xml:space="preserve">; LOAEL </w:t>
            </w:r>
            <w:r w:rsidR="00702B88">
              <w:t>0.</w:t>
            </w:r>
            <w:r w:rsidR="00DD08B6">
              <w:t>86 mg/m</w:t>
            </w:r>
            <w:r w:rsidR="00DD08B6" w:rsidRPr="00DD08B6">
              <w:rPr>
                <w:vertAlign w:val="superscript"/>
              </w:rPr>
              <w:t>3</w:t>
            </w:r>
            <w:r>
              <w:t xml:space="preserve"> </w:t>
            </w:r>
            <w:r w:rsidR="00DD08B6">
              <w:t xml:space="preserve">for cholinesterase depression </w:t>
            </w:r>
            <w:r w:rsidR="004A50F7">
              <w:t>(monkeys, 6 </w:t>
            </w:r>
            <w:r>
              <w:t>h</w:t>
            </w:r>
            <w:r w:rsidR="00DD08B6">
              <w:t xml:space="preserve">) </w:t>
            </w:r>
          </w:p>
          <w:p w14:paraId="23E84468" w14:textId="77777777" w:rsidR="00E82408" w:rsidRDefault="00DD08B6" w:rsidP="001F539C">
            <w:pPr>
              <w:pStyle w:val="ListBullet"/>
              <w:numPr>
                <w:ilvl w:val="0"/>
                <w:numId w:val="3"/>
              </w:numPr>
              <w:ind w:left="1156"/>
            </w:pPr>
            <w:r>
              <w:t>LC</w:t>
            </w:r>
            <w:r w:rsidRPr="004E1ABD">
              <w:rPr>
                <w:vertAlign w:val="subscript"/>
              </w:rPr>
              <w:t>50</w:t>
            </w:r>
            <w:r w:rsidRPr="004E1ABD">
              <w:t>:</w:t>
            </w:r>
            <w:r>
              <w:t xml:space="preserve"> </w:t>
            </w:r>
            <w:r w:rsidR="00273D5A">
              <w:t>45 mg/m</w:t>
            </w:r>
            <w:r w:rsidR="00273D5A">
              <w:rPr>
                <w:vertAlign w:val="superscript"/>
              </w:rPr>
              <w:t>3</w:t>
            </w:r>
            <w:r w:rsidR="00273D5A">
              <w:t xml:space="preserve"> (female guinea pigs, 4 h)</w:t>
            </w:r>
          </w:p>
          <w:p w14:paraId="70219514" w14:textId="6FD43D4D" w:rsidR="00DD08B6" w:rsidRPr="00850E24" w:rsidRDefault="00E82408" w:rsidP="001F539C">
            <w:pPr>
              <w:pStyle w:val="ListBullet"/>
              <w:numPr>
                <w:ilvl w:val="0"/>
                <w:numId w:val="3"/>
              </w:numPr>
              <w:ind w:left="1156"/>
              <w:rPr>
                <w:lang w:val="it-IT"/>
              </w:rPr>
            </w:pPr>
            <w:r w:rsidRPr="00850E24">
              <w:t>LC</w:t>
            </w:r>
            <w:r w:rsidRPr="00850E24">
              <w:rPr>
                <w:vertAlign w:val="subscript"/>
              </w:rPr>
              <w:t>50</w:t>
            </w:r>
            <w:r w:rsidRPr="00850E24">
              <w:t>: 53 mg/m3 (male guinea pigs</w:t>
            </w:r>
            <w:r w:rsidRPr="00850E24">
              <w:rPr>
                <w:lang w:val="it-IT"/>
              </w:rPr>
              <w:t>, 4 h)</w:t>
            </w:r>
          </w:p>
          <w:p w14:paraId="3852DCCC" w14:textId="01680755" w:rsidR="00205BA7" w:rsidRDefault="00205BA7" w:rsidP="001F539C">
            <w:pPr>
              <w:pStyle w:val="ListBullet"/>
              <w:numPr>
                <w:ilvl w:val="0"/>
                <w:numId w:val="3"/>
              </w:numPr>
              <w:ind w:left="1156"/>
            </w:pPr>
            <w:r w:rsidRPr="004E1ABD">
              <w:t>LD</w:t>
            </w:r>
            <w:r w:rsidRPr="004E1ABD">
              <w:rPr>
                <w:vertAlign w:val="subscript"/>
              </w:rPr>
              <w:t>50</w:t>
            </w:r>
            <w:r w:rsidRPr="004E1ABD">
              <w:t xml:space="preserve">: </w:t>
            </w:r>
            <w:r>
              <w:t>3</w:t>
            </w:r>
            <w:r w:rsidR="00F66B30">
              <w:t>,</w:t>
            </w:r>
            <w:r>
              <w:t>400</w:t>
            </w:r>
            <w:r w:rsidRPr="004E1ABD">
              <w:t xml:space="preserve"> mg/kg (rabbits, dermal)</w:t>
            </w:r>
            <w:r w:rsidR="00E82408">
              <w:t>.</w:t>
            </w:r>
            <w:r w:rsidRPr="004E1ABD">
              <w:t xml:space="preserve"> </w:t>
            </w:r>
          </w:p>
          <w:p w14:paraId="73D0411D" w14:textId="3547EB58" w:rsidR="000C275F" w:rsidRDefault="000E12B5" w:rsidP="001F539C">
            <w:pPr>
              <w:pStyle w:val="Tabletextprimarysource"/>
            </w:pPr>
            <w:r w:rsidRPr="00C919E2">
              <w:t>Most genotoxicity assays returned negative results</w:t>
            </w:r>
            <w:r w:rsidR="00C919E2" w:rsidRPr="00C919E2">
              <w:t>. P</w:t>
            </w:r>
            <w:r w:rsidRPr="00C919E2">
              <w:t>ositive results were at near lethal doses</w:t>
            </w:r>
            <w:r w:rsidR="00C919E2" w:rsidRPr="00C919E2">
              <w:t xml:space="preserve"> and considered to have</w:t>
            </w:r>
            <w:r w:rsidRPr="00C919E2">
              <w:t xml:space="preserve"> weak genotoxic potential</w:t>
            </w:r>
            <w:r w:rsidR="00C919E2" w:rsidRPr="00C919E2">
              <w:t xml:space="preserve"> at best.</w:t>
            </w:r>
          </w:p>
          <w:p w14:paraId="1D757E0F" w14:textId="5852994F" w:rsidR="000E12B5" w:rsidRDefault="0012022C" w:rsidP="001F539C">
            <w:pPr>
              <w:pStyle w:val="Tabletextprimarysource"/>
            </w:pPr>
            <w:r>
              <w:t xml:space="preserve">Assigned an A4, </w:t>
            </w:r>
            <w:r w:rsidR="009B4D0E">
              <w:t xml:space="preserve">not </w:t>
            </w:r>
            <w:r>
              <w:t>classified as human carcinogen.</w:t>
            </w:r>
          </w:p>
          <w:p w14:paraId="6198F436" w14:textId="6686C322" w:rsidR="00625291" w:rsidRDefault="00625291" w:rsidP="001F539C">
            <w:pPr>
              <w:pStyle w:val="Tabletextprimarysource"/>
            </w:pPr>
            <w:r>
              <w:t>Insufficient data available to assign a sensitiser or skin notation.</w:t>
            </w:r>
          </w:p>
          <w:p w14:paraId="1B633F1C" w14:textId="7186F604" w:rsidR="000C275F" w:rsidRPr="00DA352E" w:rsidRDefault="000C275F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1D8616D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98E274A" w14:textId="38FD610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1156145469"/>
                <w:placeholder>
                  <w:docPart w:val="17D4D5FB4B064DC1B6C4736BE0F3A504"/>
                </w:placeholder>
                <w:text/>
              </w:sdtPr>
              <w:sdtEndPr/>
              <w:sdtContent>
                <w:r w:rsidR="0012022C">
                  <w:t>NA</w:t>
                </w:r>
              </w:sdtContent>
            </w:sdt>
            <w:r w:rsidR="0012022C" w:rsidRPr="003365A5">
              <w:tab/>
            </w:r>
            <w:r w:rsidR="0012022C">
              <w:tab/>
            </w:r>
            <w:sdt>
              <w:sdtPr>
                <w:alias w:val="SCOEL WES equivalent"/>
                <w:tag w:val="SCOEL WES equivalent"/>
                <w:id w:val="212855943"/>
                <w:placeholder>
                  <w:docPart w:val="50400D177EFB4C01BA793DB6CB70CF25"/>
                </w:placeholder>
              </w:sdtPr>
              <w:sdtEndPr/>
              <w:sdtContent>
                <w:proofErr w:type="spellStart"/>
                <w:r w:rsidR="0012022C">
                  <w:t>NA</w:t>
                </w:r>
                <w:proofErr w:type="spellEnd"/>
              </w:sdtContent>
            </w:sdt>
          </w:p>
        </w:tc>
      </w:tr>
      <w:tr w:rsidR="00C978F0" w:rsidRPr="00DA352E" w14:paraId="52BE033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C278249" w14:textId="05856FB5" w:rsidR="00C978F0" w:rsidRPr="00DA352E" w:rsidRDefault="0012022C" w:rsidP="003365A5">
            <w:pPr>
              <w:pStyle w:val="Tabletextprimarysource"/>
            </w:pPr>
            <w:r>
              <w:t>No report</w:t>
            </w:r>
            <w:r w:rsidR="00BA410D">
              <w:t>.</w:t>
            </w:r>
          </w:p>
        </w:tc>
      </w:tr>
      <w:tr w:rsidR="00C978F0" w:rsidRPr="00DA352E" w14:paraId="2CC1B0C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E8EF10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95B7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695B74">
                  <w:t>NA</w:t>
                </w:r>
                <w:proofErr w:type="spellEnd"/>
              </w:sdtContent>
            </w:sdt>
          </w:p>
        </w:tc>
      </w:tr>
      <w:tr w:rsidR="00C978F0" w:rsidRPr="00DA352E" w14:paraId="174A434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DA67E5C" w14:textId="013CC1F4" w:rsidR="00C978F0" w:rsidRPr="00DA352E" w:rsidRDefault="00695B74" w:rsidP="003365A5">
            <w:pPr>
              <w:pStyle w:val="Tabletextprimarysource"/>
            </w:pPr>
            <w:r>
              <w:t>No report</w:t>
            </w:r>
            <w:r w:rsidR="00BA410D">
              <w:t>.</w:t>
            </w:r>
          </w:p>
        </w:tc>
      </w:tr>
      <w:tr w:rsidR="00DA352E" w:rsidRPr="00DA352E" w14:paraId="0180F2E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703A295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027D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3027DC">
                  <w:t>NA</w:t>
                </w:r>
                <w:proofErr w:type="spellEnd"/>
              </w:sdtContent>
            </w:sdt>
          </w:p>
        </w:tc>
      </w:tr>
      <w:tr w:rsidR="00DA352E" w:rsidRPr="00DA352E" w14:paraId="05C3AB5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AF3CB1B" w14:textId="29CF9D5C" w:rsidR="00DA352E" w:rsidRPr="00DA352E" w:rsidRDefault="003027DC" w:rsidP="003365A5">
            <w:pPr>
              <w:pStyle w:val="Tabletextprimarysource"/>
            </w:pPr>
            <w:r>
              <w:t>No report</w:t>
            </w:r>
            <w:r w:rsidR="00BA410D">
              <w:t>.</w:t>
            </w:r>
          </w:p>
        </w:tc>
      </w:tr>
      <w:tr w:rsidR="00DA352E" w:rsidRPr="00DA352E" w14:paraId="3B0BFDB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E9025EE" w14:textId="6866200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1153984025"/>
                <w:placeholder>
                  <w:docPart w:val="D8CA79D667664E7CA16BC599C98E0DEC"/>
                </w:placeholder>
                <w:text/>
              </w:sdtPr>
              <w:sdtEndPr/>
              <w:sdtContent>
                <w:r w:rsidR="0012022C">
                  <w:t>NA</w:t>
                </w:r>
              </w:sdtContent>
            </w:sdt>
            <w:r w:rsidR="0012022C" w:rsidRPr="003365A5">
              <w:tab/>
            </w:r>
            <w:r w:rsidR="0012022C">
              <w:tab/>
            </w:r>
            <w:sdt>
              <w:sdtPr>
                <w:alias w:val="SCOEL WES equivalent"/>
                <w:tag w:val="SCOEL WES equivalent"/>
                <w:id w:val="-1893719918"/>
                <w:placeholder>
                  <w:docPart w:val="BFC83BB543B14E06A86FE0D1F476B871"/>
                </w:placeholder>
              </w:sdtPr>
              <w:sdtEndPr/>
              <w:sdtContent>
                <w:proofErr w:type="spellStart"/>
                <w:r w:rsidR="0012022C">
                  <w:t>NA</w:t>
                </w:r>
                <w:proofErr w:type="spellEnd"/>
              </w:sdtContent>
            </w:sdt>
          </w:p>
        </w:tc>
      </w:tr>
      <w:tr w:rsidR="00DA352E" w:rsidRPr="00DA352E" w14:paraId="4A93531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6104E29" w14:textId="09BF3DB1" w:rsidR="00DA352E" w:rsidRPr="00DA352E" w:rsidRDefault="000E12B5" w:rsidP="003365A5">
            <w:pPr>
              <w:pStyle w:val="Tabletextprimarysource"/>
            </w:pPr>
            <w:r>
              <w:t>No report</w:t>
            </w:r>
            <w:r w:rsidR="00BA410D">
              <w:t>.</w:t>
            </w:r>
          </w:p>
        </w:tc>
      </w:tr>
    </w:tbl>
    <w:p w14:paraId="10E744D1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3"/>
        <w:gridCol w:w="661"/>
        <w:gridCol w:w="6448"/>
      </w:tblGrid>
      <w:tr w:rsidR="006B09E9" w:rsidRPr="00263255" w14:paraId="0E407C07" w14:textId="77777777" w:rsidTr="00C42352">
        <w:trPr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53A680F9" w14:textId="77777777" w:rsidR="006B09E9" w:rsidRPr="00263255" w:rsidRDefault="006B09E9" w:rsidP="00C42352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5AEA341" w14:textId="77777777" w:rsidR="006B09E9" w:rsidRPr="00263255" w:rsidRDefault="006B09E9" w:rsidP="00C42352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7B9C371" w14:textId="77777777" w:rsidR="006B09E9" w:rsidRPr="00263255" w:rsidRDefault="006B09E9" w:rsidP="00C42352">
            <w:pPr>
              <w:pStyle w:val="Tableheader"/>
            </w:pPr>
            <w:r>
              <w:t>Year</w:t>
            </w:r>
          </w:p>
        </w:tc>
        <w:tc>
          <w:tcPr>
            <w:tcW w:w="6448" w:type="dxa"/>
            <w:shd w:val="clear" w:color="auto" w:fill="BFBFBF" w:themeFill="background1" w:themeFillShade="BF"/>
            <w:vAlign w:val="center"/>
          </w:tcPr>
          <w:p w14:paraId="7C8B7CD2" w14:textId="77777777" w:rsidR="006B09E9" w:rsidRPr="00263255" w:rsidRDefault="006B09E9" w:rsidP="00C42352">
            <w:pPr>
              <w:pStyle w:val="Tableheader"/>
            </w:pPr>
            <w:r>
              <w:t>Additional information</w:t>
            </w:r>
          </w:p>
        </w:tc>
      </w:tr>
      <w:tr w:rsidR="006B09E9" w:rsidRPr="004C23F4" w14:paraId="72D506CF" w14:textId="77777777" w:rsidTr="00C42352">
        <w:trPr>
          <w:cantSplit/>
        </w:trPr>
        <w:tc>
          <w:tcPr>
            <w:tcW w:w="1494" w:type="dxa"/>
          </w:tcPr>
          <w:p w14:paraId="703A7004" w14:textId="77777777" w:rsidR="006B09E9" w:rsidRDefault="006B09E9" w:rsidP="00C4235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0CE836ED" w14:textId="77777777" w:rsidR="006B09E9" w:rsidRDefault="00B52B07" w:rsidP="00C42352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500494759"/>
                <w:placeholder>
                  <w:docPart w:val="53E522BFADD742EE97CC0BCA840A2D1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B09E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38FE41C" w14:textId="6146A163" w:rsidR="006B09E9" w:rsidRDefault="006B09E9" w:rsidP="00C42352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48" w:type="dxa"/>
          </w:tcPr>
          <w:p w14:paraId="5B7A0314" w14:textId="05F55BFE" w:rsidR="006B09E9" w:rsidRDefault="006B09E9" w:rsidP="001F539C">
            <w:pPr>
              <w:pStyle w:val="ListBullet"/>
              <w:ind w:left="720" w:hanging="357"/>
              <w:rPr>
                <w:rFonts w:cs="Arial"/>
                <w:color w:val="262626"/>
              </w:rPr>
            </w:pPr>
            <w:r>
              <w:rPr>
                <w:rFonts w:cs="Arial"/>
                <w:color w:val="262626"/>
              </w:rPr>
              <w:t xml:space="preserve">NOAEL of 0.5 mg/kg/d (dogs, oral); </w:t>
            </w:r>
            <w:r>
              <w:t>RBC and plasma cholinesterase inhibition and testicular and uterine effects</w:t>
            </w:r>
            <w:r w:rsidR="00273D5A">
              <w:t>.</w:t>
            </w:r>
          </w:p>
        </w:tc>
      </w:tr>
    </w:tbl>
    <w:bookmarkEnd w:id="0"/>
    <w:p w14:paraId="0FFD3E76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74EF0CC" w14:textId="77777777" w:rsidTr="008127DB">
        <w:trPr>
          <w:trHeight w:val="454"/>
          <w:tblHeader/>
        </w:trPr>
        <w:tc>
          <w:tcPr>
            <w:tcW w:w="6603" w:type="dxa"/>
            <w:vAlign w:val="center"/>
          </w:tcPr>
          <w:p w14:paraId="0151EA85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E9EA5E4" w14:textId="6DA23C6D" w:rsidR="002E0D61" w:rsidRDefault="008127D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4D42897" w14:textId="77777777" w:rsidTr="008127DB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947EC58" w14:textId="769E7F15" w:rsidR="008A36CF" w:rsidRPr="006901A2" w:rsidRDefault="008127DB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742B2D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5441D7A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8483E54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12BBAC0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5A7FAA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EC4281D" w14:textId="77777777" w:rsidTr="00812887">
        <w:trPr>
          <w:cantSplit/>
        </w:trPr>
        <w:tc>
          <w:tcPr>
            <w:tcW w:w="3227" w:type="dxa"/>
          </w:tcPr>
          <w:p w14:paraId="268BD11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CE09515" w14:textId="082EBA8F" w:rsidR="00687890" w:rsidRPr="00DD2F9B" w:rsidRDefault="00686818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CAF92A1" w14:textId="77777777" w:rsidTr="00812887">
        <w:trPr>
          <w:cantSplit/>
        </w:trPr>
        <w:tc>
          <w:tcPr>
            <w:tcW w:w="3227" w:type="dxa"/>
          </w:tcPr>
          <w:p w14:paraId="3643A013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B60D3F0" w14:textId="247860AE" w:rsidR="007925F0" w:rsidRPr="00DD2F9B" w:rsidRDefault="00190D7C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1FF843B9" w14:textId="77777777" w:rsidTr="00812887">
        <w:trPr>
          <w:cantSplit/>
        </w:trPr>
        <w:tc>
          <w:tcPr>
            <w:tcW w:w="3227" w:type="dxa"/>
          </w:tcPr>
          <w:p w14:paraId="6698E84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314CC8F" w14:textId="622DF4EF" w:rsidR="00AF483F" w:rsidRPr="00DD2F9B" w:rsidRDefault="00640A0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7E4E7C3" w14:textId="77777777" w:rsidTr="00812887">
        <w:trPr>
          <w:cantSplit/>
        </w:trPr>
        <w:tc>
          <w:tcPr>
            <w:tcW w:w="3227" w:type="dxa"/>
          </w:tcPr>
          <w:p w14:paraId="124AC56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983FF45" w14:textId="1AB13609" w:rsidR="00687890" w:rsidRPr="00DD2F9B" w:rsidRDefault="00640A0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569A4DE" w14:textId="77777777" w:rsidTr="00812887">
        <w:trPr>
          <w:cantSplit/>
        </w:trPr>
        <w:tc>
          <w:tcPr>
            <w:tcW w:w="3227" w:type="dxa"/>
          </w:tcPr>
          <w:p w14:paraId="639BFAA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1ECD30E" w14:textId="4B07B5EF" w:rsidR="00E41A26" w:rsidRPr="00DD2F9B" w:rsidRDefault="00CA0A2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BA18CB9" w14:textId="77777777" w:rsidTr="00812887">
        <w:trPr>
          <w:cantSplit/>
        </w:trPr>
        <w:tc>
          <w:tcPr>
            <w:tcW w:w="3227" w:type="dxa"/>
          </w:tcPr>
          <w:p w14:paraId="60E697F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960A4DE" w14:textId="6B18C12E" w:rsidR="002E0D61" w:rsidRPr="00DD2F9B" w:rsidRDefault="00166F8B" w:rsidP="00DD2F9B">
            <w:pPr>
              <w:pStyle w:val="Tablefont"/>
            </w:pPr>
            <w:r w:rsidRPr="00166F8B">
              <w:t>Carcinogenicity – A4</w:t>
            </w:r>
          </w:p>
        </w:tc>
      </w:tr>
      <w:tr w:rsidR="002E0D61" w:rsidRPr="004C23F4" w14:paraId="6E9079D8" w14:textId="77777777" w:rsidTr="00812887">
        <w:trPr>
          <w:cantSplit/>
        </w:trPr>
        <w:tc>
          <w:tcPr>
            <w:tcW w:w="3227" w:type="dxa"/>
          </w:tcPr>
          <w:p w14:paraId="5FA07843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A328120" w14:textId="75526C7A" w:rsidR="002E0D61" w:rsidRPr="00DD2F9B" w:rsidRDefault="0021094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5BC987B" w14:textId="77777777" w:rsidTr="00812887">
        <w:trPr>
          <w:cantSplit/>
        </w:trPr>
        <w:tc>
          <w:tcPr>
            <w:tcW w:w="3227" w:type="dxa"/>
          </w:tcPr>
          <w:p w14:paraId="379F4FC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5C445F4" w14:textId="1A625C5B" w:rsidR="002E0D61" w:rsidRPr="00DD2F9B" w:rsidRDefault="009E3D3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69ECF42" w14:textId="77777777" w:rsidTr="00812887">
        <w:trPr>
          <w:cantSplit/>
        </w:trPr>
        <w:tc>
          <w:tcPr>
            <w:tcW w:w="3227" w:type="dxa"/>
          </w:tcPr>
          <w:p w14:paraId="2F325D7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A3822E0" w14:textId="6CA8BC16" w:rsidR="002E0D61" w:rsidRPr="00DD2F9B" w:rsidRDefault="00C3203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BA108D9" w14:textId="77777777" w:rsidTr="00812887">
        <w:trPr>
          <w:cantSplit/>
        </w:trPr>
        <w:tc>
          <w:tcPr>
            <w:tcW w:w="3227" w:type="dxa"/>
          </w:tcPr>
          <w:p w14:paraId="6581CF5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FFB6D68" w14:textId="088D2C44" w:rsidR="00386093" w:rsidRPr="00DD2F9B" w:rsidRDefault="00F133C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8008F51" w14:textId="77777777" w:rsidTr="00812887">
        <w:trPr>
          <w:cantSplit/>
        </w:trPr>
        <w:tc>
          <w:tcPr>
            <w:tcW w:w="3227" w:type="dxa"/>
          </w:tcPr>
          <w:p w14:paraId="5BDD2D0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F15F263" w14:textId="1D409C68" w:rsidR="00386093" w:rsidRPr="00DD2F9B" w:rsidRDefault="00D92D4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886D79C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80A7CED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77DFA3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567503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18657BD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05" w:type="dxa"/>
              <w:tblLook w:val="04A0" w:firstRow="1" w:lastRow="0" w:firstColumn="1" w:lastColumn="0" w:noHBand="0" w:noVBand="1"/>
            </w:tblPr>
            <w:tblGrid>
              <w:gridCol w:w="3675"/>
              <w:gridCol w:w="1080"/>
              <w:gridCol w:w="1080"/>
              <w:gridCol w:w="2970"/>
            </w:tblGrid>
            <w:tr w:rsidR="00E04BA9" w:rsidRPr="00E04BA9" w14:paraId="01B813B1" w14:textId="77777777" w:rsidTr="00E04BA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12934A" w14:textId="77777777" w:rsidR="00E04BA9" w:rsidRPr="00E04BA9" w:rsidRDefault="00E04BA9" w:rsidP="00E04B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A972EB" w14:textId="77777777" w:rsidR="00E04BA9" w:rsidRPr="00E04BA9" w:rsidRDefault="00E04BA9" w:rsidP="00E04B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AA96F0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6D2884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04BA9" w:rsidRPr="00E04BA9" w14:paraId="771F9CF8" w14:textId="77777777" w:rsidTr="00E04BA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D82893" w14:textId="77777777" w:rsidR="00E04BA9" w:rsidRPr="00E04BA9" w:rsidRDefault="00E04BA9" w:rsidP="00E04B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993685" w14:textId="77777777" w:rsidR="00E04BA9" w:rsidRPr="00E04BA9" w:rsidRDefault="00E04BA9" w:rsidP="00E04B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CD4FC0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7964E0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04BA9" w:rsidRPr="00E04BA9" w14:paraId="294D3EE2" w14:textId="77777777" w:rsidTr="00E04BA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D5CDC2" w14:textId="77777777" w:rsidR="00E04BA9" w:rsidRPr="00E04BA9" w:rsidRDefault="00E04BA9" w:rsidP="00E04B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43421A" w14:textId="77777777" w:rsidR="00E04BA9" w:rsidRPr="00E04BA9" w:rsidRDefault="00E04BA9" w:rsidP="00E04B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4BA2E2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B47DDC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04BA9" w:rsidRPr="00E04BA9" w14:paraId="5284EF63" w14:textId="77777777" w:rsidTr="00E04BA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723567" w14:textId="77777777" w:rsidR="00E04BA9" w:rsidRPr="00E04BA9" w:rsidRDefault="00E04BA9" w:rsidP="00E04B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7766F8" w14:textId="77777777" w:rsidR="00E04BA9" w:rsidRPr="00E04BA9" w:rsidRDefault="00E04BA9" w:rsidP="00E04B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B5F490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740231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04BA9" w:rsidRPr="00E04BA9" w14:paraId="50E79D27" w14:textId="77777777" w:rsidTr="00E04BA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E07DC8" w14:textId="77777777" w:rsidR="00E04BA9" w:rsidRPr="00E04BA9" w:rsidRDefault="00E04BA9" w:rsidP="00E04B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46532C" w14:textId="77777777" w:rsidR="00E04BA9" w:rsidRPr="00E04BA9" w:rsidRDefault="00E04BA9" w:rsidP="00E04B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F19FF1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91BC09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04BA9" w:rsidRPr="00E04BA9" w14:paraId="2E3BFF69" w14:textId="77777777" w:rsidTr="00E04BA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84D2FB" w14:textId="77777777" w:rsidR="00E04BA9" w:rsidRPr="00E04BA9" w:rsidRDefault="00E04BA9" w:rsidP="00E04B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9EE403" w14:textId="77777777" w:rsidR="00E04BA9" w:rsidRPr="00E04BA9" w:rsidRDefault="00E04BA9" w:rsidP="00E04B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9E3876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E8B386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04BA9" w:rsidRPr="00E04BA9" w14:paraId="2D4C6CC9" w14:textId="77777777" w:rsidTr="00E04BA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C22FEB" w14:textId="77777777" w:rsidR="00E04BA9" w:rsidRPr="00E04BA9" w:rsidRDefault="00E04BA9" w:rsidP="00E04B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B51CDF" w14:textId="77777777" w:rsidR="00E04BA9" w:rsidRPr="00E04BA9" w:rsidRDefault="00E04BA9" w:rsidP="00E04B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2149F6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1F4FFC" w14:textId="77777777" w:rsidR="00E04BA9" w:rsidRPr="00E04BA9" w:rsidRDefault="00E04BA9" w:rsidP="00E04BA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E04BA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46F509D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59E0CC12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6B1C3D7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001A349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9E1EBB3" w14:textId="779712E2" w:rsidR="00EB3D1B" w:rsidRDefault="00C546C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56EFFC8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B3FF94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E5777B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C9996ED" w14:textId="2E89E57A" w:rsidR="001B79E5" w:rsidRDefault="00E04BA9" w:rsidP="001B79E5">
                <w:pPr>
                  <w:pStyle w:val="Tablefont"/>
                </w:pPr>
                <w:r>
                  <w:rPr>
                    <w:rFonts w:cs="Arial"/>
                    <w:color w:val="000000"/>
                    <w:sz w:val="18"/>
                    <w:szCs w:val="18"/>
                  </w:rPr>
                  <w:t>221.26</w:t>
                </w:r>
              </w:p>
            </w:tc>
          </w:sdtContent>
        </w:sdt>
      </w:tr>
      <w:tr w:rsidR="00A31D99" w:rsidRPr="004C23F4" w14:paraId="143140A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04C253D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43D7153" w14:textId="45485FF5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FC65F8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ppm</w:t>
            </w:r>
          </w:p>
        </w:tc>
      </w:tr>
      <w:tr w:rsidR="00687890" w:rsidRPr="004C23F4" w14:paraId="0B9F022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8A867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D561CE3" w14:textId="3C4A971D" w:rsidR="00687890" w:rsidRPr="004C23F4" w:rsidRDefault="00E04BA9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0F213906" w14:textId="77777777" w:rsidTr="00EA6243">
        <w:trPr>
          <w:cantSplit/>
        </w:trPr>
        <w:tc>
          <w:tcPr>
            <w:tcW w:w="4077" w:type="dxa"/>
            <w:vAlign w:val="center"/>
          </w:tcPr>
          <w:p w14:paraId="6E21D21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286240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16A9907" w14:textId="77777777" w:rsidTr="00EA6243">
        <w:trPr>
          <w:cantSplit/>
        </w:trPr>
        <w:tc>
          <w:tcPr>
            <w:tcW w:w="4077" w:type="dxa"/>
            <w:vAlign w:val="center"/>
          </w:tcPr>
          <w:p w14:paraId="0895672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6A34A6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E289CF2" w14:textId="77777777" w:rsidTr="00EA6243">
        <w:trPr>
          <w:cantSplit/>
        </w:trPr>
        <w:tc>
          <w:tcPr>
            <w:tcW w:w="4077" w:type="dxa"/>
            <w:vAlign w:val="center"/>
          </w:tcPr>
          <w:p w14:paraId="117D773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5523785" w14:textId="792C15F5" w:rsidR="00E06F40" w:rsidRPr="00A006A0" w:rsidRDefault="00B52B0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97184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719A92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B3AC2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E7B5B0B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D6083F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4708F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E0B6B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CCFC861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6230538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3026EA3" w14:textId="2D00B2FF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D6937FC" w14:textId="58DFDAA8" w:rsidR="00F06BE8" w:rsidRDefault="00F06BE8" w:rsidP="00F06BE8">
      <w:r>
        <w:t>US Environmental Protection Authority (US EPA) (19</w:t>
      </w:r>
      <w:r w:rsidR="00C31E4A">
        <w:t>84</w:t>
      </w:r>
      <w:r>
        <w:t xml:space="preserve">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</w:t>
      </w:r>
      <w:proofErr w:type="spellStart"/>
      <w:r>
        <w:t>Carbofuran</w:t>
      </w:r>
      <w:proofErr w:type="spellEnd"/>
      <w:r>
        <w:t>.</w:t>
      </w:r>
    </w:p>
    <w:p w14:paraId="658F349A" w14:textId="0486DEBB" w:rsidR="00263773" w:rsidRPr="00351FE0" w:rsidRDefault="00263773" w:rsidP="00084859"/>
    <w:sectPr w:rsidR="00263773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B5837" w16cid:durableId="2135C6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E745" w14:textId="77777777" w:rsidR="00525632" w:rsidRDefault="00525632" w:rsidP="00F43AD5">
      <w:pPr>
        <w:spacing w:after="0" w:line="240" w:lineRule="auto"/>
      </w:pPr>
      <w:r>
        <w:separator/>
      </w:r>
    </w:p>
  </w:endnote>
  <w:endnote w:type="continuationSeparator" w:id="0">
    <w:p w14:paraId="028F513E" w14:textId="77777777" w:rsidR="00525632" w:rsidRDefault="0052563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08D6" w14:textId="77777777" w:rsidR="00B52B07" w:rsidRDefault="00B52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ADCFF6F" w14:textId="3285A83C" w:rsidR="008A36CF" w:rsidRDefault="006B17B3" w:rsidP="0034744C">
        <w:pPr>
          <w:pStyle w:val="Footer"/>
          <w:rPr>
            <w:sz w:val="18"/>
            <w:szCs w:val="18"/>
          </w:rPr>
        </w:pPr>
        <w:proofErr w:type="spellStart"/>
        <w:r w:rsidRPr="006B17B3">
          <w:rPr>
            <w:b/>
            <w:sz w:val="18"/>
            <w:szCs w:val="18"/>
          </w:rPr>
          <w:t>Carbofuran</w:t>
        </w:r>
        <w:proofErr w:type="spellEnd"/>
        <w:r w:rsidRPr="006B17B3">
          <w:rPr>
            <w:b/>
            <w:sz w:val="18"/>
            <w:szCs w:val="18"/>
          </w:rPr>
          <w:t xml:space="preserve"> </w:t>
        </w:r>
        <w:r w:rsidR="008A36CF">
          <w:rPr>
            <w:b/>
            <w:sz w:val="18"/>
            <w:szCs w:val="18"/>
          </w:rPr>
          <w:t>(</w:t>
        </w:r>
        <w:r w:rsidRPr="006B17B3">
          <w:rPr>
            <w:b/>
            <w:sz w:val="18"/>
            <w:szCs w:val="18"/>
          </w:rPr>
          <w:t>1563-66-2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B4012CD" w14:textId="318AA829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52B07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3BD2" w14:textId="77777777" w:rsidR="00B52B07" w:rsidRDefault="00B5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6FB38" w14:textId="77777777" w:rsidR="00525632" w:rsidRDefault="00525632" w:rsidP="00F43AD5">
      <w:pPr>
        <w:spacing w:after="0" w:line="240" w:lineRule="auto"/>
      </w:pPr>
      <w:r>
        <w:separator/>
      </w:r>
    </w:p>
  </w:footnote>
  <w:footnote w:type="continuationSeparator" w:id="0">
    <w:p w14:paraId="6946FD72" w14:textId="77777777" w:rsidR="00525632" w:rsidRDefault="0052563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CEAB" w14:textId="77777777" w:rsidR="00B52B07" w:rsidRDefault="00B52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72F8" w14:textId="26738C2D" w:rsidR="008A36CF" w:rsidRDefault="00B52B07" w:rsidP="00F43AD5">
    <w:pPr>
      <w:pStyle w:val="Header"/>
      <w:jc w:val="right"/>
    </w:pPr>
    <w:sdt>
      <w:sdtPr>
        <w:id w:val="1940557547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293F22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36CF">
      <w:rPr>
        <w:noProof/>
        <w:lang w:eastAsia="en-AU"/>
      </w:rPr>
      <w:drawing>
        <wp:inline distT="0" distB="0" distL="0" distR="0" wp14:anchorId="14C69D10" wp14:editId="228438FE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FE94" w14:textId="77777777" w:rsidR="00B52B07" w:rsidRDefault="00B52B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6A81D" w14:textId="77777777" w:rsidR="00B52B07" w:rsidRDefault="00B52B07" w:rsidP="00B52B07">
    <w:pPr>
      <w:pStyle w:val="Header"/>
      <w:jc w:val="right"/>
    </w:pPr>
    <w:sdt>
      <w:sdtPr>
        <w:id w:val="1155955509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2BB6E4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40C1849" wp14:editId="2F0C6164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22C6E5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902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BD6E88"/>
    <w:multiLevelType w:val="hybridMultilevel"/>
    <w:tmpl w:val="30F231E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A92972"/>
    <w:multiLevelType w:val="hybridMultilevel"/>
    <w:tmpl w:val="66682864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3078"/>
    <w:rsid w:val="00032B88"/>
    <w:rsid w:val="00046DF5"/>
    <w:rsid w:val="0005032C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61EC"/>
    <w:rsid w:val="000A6F76"/>
    <w:rsid w:val="000B0868"/>
    <w:rsid w:val="000B3E12"/>
    <w:rsid w:val="000B3E78"/>
    <w:rsid w:val="000B7B48"/>
    <w:rsid w:val="000C096D"/>
    <w:rsid w:val="000C139A"/>
    <w:rsid w:val="000C2053"/>
    <w:rsid w:val="000C248C"/>
    <w:rsid w:val="000C275F"/>
    <w:rsid w:val="000D291C"/>
    <w:rsid w:val="000E12B5"/>
    <w:rsid w:val="000E5A54"/>
    <w:rsid w:val="000E63D3"/>
    <w:rsid w:val="000E67CF"/>
    <w:rsid w:val="000F4BF7"/>
    <w:rsid w:val="0010461E"/>
    <w:rsid w:val="00106FAA"/>
    <w:rsid w:val="00113443"/>
    <w:rsid w:val="0012022C"/>
    <w:rsid w:val="001269A7"/>
    <w:rsid w:val="00131092"/>
    <w:rsid w:val="00140E6A"/>
    <w:rsid w:val="001460BB"/>
    <w:rsid w:val="00146545"/>
    <w:rsid w:val="00146B75"/>
    <w:rsid w:val="0015266D"/>
    <w:rsid w:val="0015288A"/>
    <w:rsid w:val="00157116"/>
    <w:rsid w:val="00160F47"/>
    <w:rsid w:val="00166F8B"/>
    <w:rsid w:val="00177CA1"/>
    <w:rsid w:val="00180518"/>
    <w:rsid w:val="00183823"/>
    <w:rsid w:val="00183942"/>
    <w:rsid w:val="00190D7C"/>
    <w:rsid w:val="001A009E"/>
    <w:rsid w:val="001A1287"/>
    <w:rsid w:val="001A3859"/>
    <w:rsid w:val="001A3C9D"/>
    <w:rsid w:val="001A43F8"/>
    <w:rsid w:val="001B79E5"/>
    <w:rsid w:val="001C32F0"/>
    <w:rsid w:val="001D56F0"/>
    <w:rsid w:val="001D663B"/>
    <w:rsid w:val="001D7B41"/>
    <w:rsid w:val="001E3380"/>
    <w:rsid w:val="001E46DA"/>
    <w:rsid w:val="001E7D80"/>
    <w:rsid w:val="001F4B6C"/>
    <w:rsid w:val="001F539C"/>
    <w:rsid w:val="001F62CB"/>
    <w:rsid w:val="001F6ED0"/>
    <w:rsid w:val="001F72E6"/>
    <w:rsid w:val="001F73C5"/>
    <w:rsid w:val="00202C1E"/>
    <w:rsid w:val="002046A6"/>
    <w:rsid w:val="00204956"/>
    <w:rsid w:val="00205BA7"/>
    <w:rsid w:val="0021094F"/>
    <w:rsid w:val="00213640"/>
    <w:rsid w:val="00220AA7"/>
    <w:rsid w:val="00221547"/>
    <w:rsid w:val="002216FC"/>
    <w:rsid w:val="00222533"/>
    <w:rsid w:val="00222F30"/>
    <w:rsid w:val="00224EE2"/>
    <w:rsid w:val="00227EC7"/>
    <w:rsid w:val="0023201E"/>
    <w:rsid w:val="00244AD1"/>
    <w:rsid w:val="002463BC"/>
    <w:rsid w:val="002465CE"/>
    <w:rsid w:val="00247E24"/>
    <w:rsid w:val="0025734A"/>
    <w:rsid w:val="00263255"/>
    <w:rsid w:val="00263773"/>
    <w:rsid w:val="00273D5A"/>
    <w:rsid w:val="00276494"/>
    <w:rsid w:val="00277B0C"/>
    <w:rsid w:val="00282868"/>
    <w:rsid w:val="00284756"/>
    <w:rsid w:val="002957C8"/>
    <w:rsid w:val="002B1A2C"/>
    <w:rsid w:val="002C34F2"/>
    <w:rsid w:val="002C58FF"/>
    <w:rsid w:val="002C7AFE"/>
    <w:rsid w:val="002D05D2"/>
    <w:rsid w:val="002D6FF2"/>
    <w:rsid w:val="002E0970"/>
    <w:rsid w:val="002E0D61"/>
    <w:rsid w:val="002E4C7B"/>
    <w:rsid w:val="003027DC"/>
    <w:rsid w:val="0030740C"/>
    <w:rsid w:val="00315833"/>
    <w:rsid w:val="00316393"/>
    <w:rsid w:val="00320BA2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254F"/>
    <w:rsid w:val="00383449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4986"/>
    <w:rsid w:val="004030BC"/>
    <w:rsid w:val="00403F7D"/>
    <w:rsid w:val="00406785"/>
    <w:rsid w:val="004079B4"/>
    <w:rsid w:val="004138D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357A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50F7"/>
    <w:rsid w:val="004B7A5F"/>
    <w:rsid w:val="004C1E3F"/>
    <w:rsid w:val="004C23F4"/>
    <w:rsid w:val="004C3475"/>
    <w:rsid w:val="004C58B6"/>
    <w:rsid w:val="004D16A3"/>
    <w:rsid w:val="004D4AA1"/>
    <w:rsid w:val="004D6D68"/>
    <w:rsid w:val="004E0254"/>
    <w:rsid w:val="004E5EDD"/>
    <w:rsid w:val="004F448A"/>
    <w:rsid w:val="004F493D"/>
    <w:rsid w:val="004F4942"/>
    <w:rsid w:val="004F65E8"/>
    <w:rsid w:val="0050005E"/>
    <w:rsid w:val="00502B88"/>
    <w:rsid w:val="00513777"/>
    <w:rsid w:val="005142C4"/>
    <w:rsid w:val="0051509C"/>
    <w:rsid w:val="00525632"/>
    <w:rsid w:val="005272E2"/>
    <w:rsid w:val="0053108F"/>
    <w:rsid w:val="00532B56"/>
    <w:rsid w:val="00534B10"/>
    <w:rsid w:val="005446A2"/>
    <w:rsid w:val="005447F9"/>
    <w:rsid w:val="00544D2F"/>
    <w:rsid w:val="00551BD8"/>
    <w:rsid w:val="005545FC"/>
    <w:rsid w:val="0055477F"/>
    <w:rsid w:val="00581055"/>
    <w:rsid w:val="00591E38"/>
    <w:rsid w:val="005A19C5"/>
    <w:rsid w:val="005A3034"/>
    <w:rsid w:val="005A462D"/>
    <w:rsid w:val="005A7E30"/>
    <w:rsid w:val="005B253B"/>
    <w:rsid w:val="005B771D"/>
    <w:rsid w:val="005C5D16"/>
    <w:rsid w:val="005D3193"/>
    <w:rsid w:val="005D4A6E"/>
    <w:rsid w:val="005E6979"/>
    <w:rsid w:val="005E75CB"/>
    <w:rsid w:val="005E762B"/>
    <w:rsid w:val="005F432A"/>
    <w:rsid w:val="005F5114"/>
    <w:rsid w:val="005F58E7"/>
    <w:rsid w:val="006013C1"/>
    <w:rsid w:val="0060669E"/>
    <w:rsid w:val="006079E8"/>
    <w:rsid w:val="00610F2E"/>
    <w:rsid w:val="00611399"/>
    <w:rsid w:val="00611D81"/>
    <w:rsid w:val="00624C4E"/>
    <w:rsid w:val="00625200"/>
    <w:rsid w:val="00625291"/>
    <w:rsid w:val="0062530C"/>
    <w:rsid w:val="00631C63"/>
    <w:rsid w:val="006363A8"/>
    <w:rsid w:val="00636DB7"/>
    <w:rsid w:val="00640A08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6818"/>
    <w:rsid w:val="00687890"/>
    <w:rsid w:val="006901A2"/>
    <w:rsid w:val="00690368"/>
    <w:rsid w:val="0069079C"/>
    <w:rsid w:val="00690B53"/>
    <w:rsid w:val="00695B72"/>
    <w:rsid w:val="00695B74"/>
    <w:rsid w:val="00697430"/>
    <w:rsid w:val="006A0C54"/>
    <w:rsid w:val="006B09E9"/>
    <w:rsid w:val="006B160A"/>
    <w:rsid w:val="006B17B3"/>
    <w:rsid w:val="006B4E6C"/>
    <w:rsid w:val="006B50B6"/>
    <w:rsid w:val="006D79EA"/>
    <w:rsid w:val="006E4516"/>
    <w:rsid w:val="006E5D05"/>
    <w:rsid w:val="006F573E"/>
    <w:rsid w:val="00701053"/>
    <w:rsid w:val="00701507"/>
    <w:rsid w:val="00702B88"/>
    <w:rsid w:val="00706E90"/>
    <w:rsid w:val="00714021"/>
    <w:rsid w:val="00716A0F"/>
    <w:rsid w:val="00717D45"/>
    <w:rsid w:val="007208F7"/>
    <w:rsid w:val="007218AF"/>
    <w:rsid w:val="00725590"/>
    <w:rsid w:val="00735929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19D6"/>
    <w:rsid w:val="007925F0"/>
    <w:rsid w:val="007939B3"/>
    <w:rsid w:val="0079509C"/>
    <w:rsid w:val="00796708"/>
    <w:rsid w:val="007B1B42"/>
    <w:rsid w:val="007B3793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7DB"/>
    <w:rsid w:val="00812887"/>
    <w:rsid w:val="00814B4A"/>
    <w:rsid w:val="008215F1"/>
    <w:rsid w:val="00826F21"/>
    <w:rsid w:val="00834CC8"/>
    <w:rsid w:val="00835E00"/>
    <w:rsid w:val="00837113"/>
    <w:rsid w:val="008414E4"/>
    <w:rsid w:val="00843E21"/>
    <w:rsid w:val="0084508E"/>
    <w:rsid w:val="00850E24"/>
    <w:rsid w:val="00857A8A"/>
    <w:rsid w:val="008630EE"/>
    <w:rsid w:val="00864D13"/>
    <w:rsid w:val="008675DF"/>
    <w:rsid w:val="00871CD5"/>
    <w:rsid w:val="008745A2"/>
    <w:rsid w:val="008768A8"/>
    <w:rsid w:val="0088798F"/>
    <w:rsid w:val="00887E4B"/>
    <w:rsid w:val="008915C8"/>
    <w:rsid w:val="00897184"/>
    <w:rsid w:val="008A36CF"/>
    <w:rsid w:val="008A3BC4"/>
    <w:rsid w:val="008B1BDA"/>
    <w:rsid w:val="008B403C"/>
    <w:rsid w:val="008B7553"/>
    <w:rsid w:val="008B7983"/>
    <w:rsid w:val="008C2511"/>
    <w:rsid w:val="008C3A96"/>
    <w:rsid w:val="008D026D"/>
    <w:rsid w:val="008D23AB"/>
    <w:rsid w:val="008D4B8B"/>
    <w:rsid w:val="008D5A78"/>
    <w:rsid w:val="008E7B64"/>
    <w:rsid w:val="008F0CC0"/>
    <w:rsid w:val="008F5DCD"/>
    <w:rsid w:val="00900951"/>
    <w:rsid w:val="009118A6"/>
    <w:rsid w:val="00912CC7"/>
    <w:rsid w:val="00916909"/>
    <w:rsid w:val="00916EC0"/>
    <w:rsid w:val="00920467"/>
    <w:rsid w:val="00921028"/>
    <w:rsid w:val="00921DE7"/>
    <w:rsid w:val="00923EF8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2C33"/>
    <w:rsid w:val="00974BE8"/>
    <w:rsid w:val="00974F2D"/>
    <w:rsid w:val="00977524"/>
    <w:rsid w:val="00977E88"/>
    <w:rsid w:val="00984920"/>
    <w:rsid w:val="0099303A"/>
    <w:rsid w:val="009933AB"/>
    <w:rsid w:val="009971C2"/>
    <w:rsid w:val="009A1254"/>
    <w:rsid w:val="009B05DE"/>
    <w:rsid w:val="009B2FF2"/>
    <w:rsid w:val="009B380C"/>
    <w:rsid w:val="009B4843"/>
    <w:rsid w:val="009B4D0E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3D3F"/>
    <w:rsid w:val="009E63E2"/>
    <w:rsid w:val="009F04D2"/>
    <w:rsid w:val="009F05CF"/>
    <w:rsid w:val="009F0F3A"/>
    <w:rsid w:val="009F6640"/>
    <w:rsid w:val="00A00D42"/>
    <w:rsid w:val="00A01D0C"/>
    <w:rsid w:val="00A0643F"/>
    <w:rsid w:val="00A067EE"/>
    <w:rsid w:val="00A10FCE"/>
    <w:rsid w:val="00A13EB0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6700"/>
    <w:rsid w:val="00A633D4"/>
    <w:rsid w:val="00A6461A"/>
    <w:rsid w:val="00A84504"/>
    <w:rsid w:val="00A8672F"/>
    <w:rsid w:val="00A86D55"/>
    <w:rsid w:val="00A93057"/>
    <w:rsid w:val="00A968B0"/>
    <w:rsid w:val="00AA7C15"/>
    <w:rsid w:val="00AB2672"/>
    <w:rsid w:val="00AB2817"/>
    <w:rsid w:val="00AB43C4"/>
    <w:rsid w:val="00AC32E7"/>
    <w:rsid w:val="00AC3A9F"/>
    <w:rsid w:val="00AC6D2F"/>
    <w:rsid w:val="00AE2745"/>
    <w:rsid w:val="00AE2F64"/>
    <w:rsid w:val="00AE3D2C"/>
    <w:rsid w:val="00AF42CB"/>
    <w:rsid w:val="00AF483F"/>
    <w:rsid w:val="00AF5E07"/>
    <w:rsid w:val="00AF5F06"/>
    <w:rsid w:val="00B00A25"/>
    <w:rsid w:val="00B1422A"/>
    <w:rsid w:val="00B1765C"/>
    <w:rsid w:val="00B213C4"/>
    <w:rsid w:val="00B24D1C"/>
    <w:rsid w:val="00B40C60"/>
    <w:rsid w:val="00B445F3"/>
    <w:rsid w:val="00B479A9"/>
    <w:rsid w:val="00B52B07"/>
    <w:rsid w:val="00B52EDF"/>
    <w:rsid w:val="00B71188"/>
    <w:rsid w:val="00B76A41"/>
    <w:rsid w:val="00B87D4C"/>
    <w:rsid w:val="00B93646"/>
    <w:rsid w:val="00BA0B38"/>
    <w:rsid w:val="00BA1DBB"/>
    <w:rsid w:val="00BA410D"/>
    <w:rsid w:val="00BA4510"/>
    <w:rsid w:val="00BA529A"/>
    <w:rsid w:val="00BA74B4"/>
    <w:rsid w:val="00BB612A"/>
    <w:rsid w:val="00BC3EAA"/>
    <w:rsid w:val="00BD31FD"/>
    <w:rsid w:val="00BD499F"/>
    <w:rsid w:val="00BD56DE"/>
    <w:rsid w:val="00BF2406"/>
    <w:rsid w:val="00C06E43"/>
    <w:rsid w:val="00C07730"/>
    <w:rsid w:val="00C16315"/>
    <w:rsid w:val="00C16D5B"/>
    <w:rsid w:val="00C3091E"/>
    <w:rsid w:val="00C31D7A"/>
    <w:rsid w:val="00C31E4A"/>
    <w:rsid w:val="00C3203B"/>
    <w:rsid w:val="00C32827"/>
    <w:rsid w:val="00C4098F"/>
    <w:rsid w:val="00C40FF1"/>
    <w:rsid w:val="00C419E2"/>
    <w:rsid w:val="00C5020E"/>
    <w:rsid w:val="00C50C5D"/>
    <w:rsid w:val="00C53B98"/>
    <w:rsid w:val="00C546C8"/>
    <w:rsid w:val="00C57452"/>
    <w:rsid w:val="00C60204"/>
    <w:rsid w:val="00C61EDF"/>
    <w:rsid w:val="00C6239D"/>
    <w:rsid w:val="00C6594B"/>
    <w:rsid w:val="00C67FFB"/>
    <w:rsid w:val="00C7155E"/>
    <w:rsid w:val="00C71D1E"/>
    <w:rsid w:val="00C71D7D"/>
    <w:rsid w:val="00C74833"/>
    <w:rsid w:val="00C8354E"/>
    <w:rsid w:val="00C850A0"/>
    <w:rsid w:val="00C85A86"/>
    <w:rsid w:val="00C914AF"/>
    <w:rsid w:val="00C917E4"/>
    <w:rsid w:val="00C919E2"/>
    <w:rsid w:val="00C91BE6"/>
    <w:rsid w:val="00C96F36"/>
    <w:rsid w:val="00C978F0"/>
    <w:rsid w:val="00CA0A2E"/>
    <w:rsid w:val="00CA525E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1897"/>
    <w:rsid w:val="00D048F7"/>
    <w:rsid w:val="00D0517E"/>
    <w:rsid w:val="00D140FC"/>
    <w:rsid w:val="00D21D8C"/>
    <w:rsid w:val="00D31357"/>
    <w:rsid w:val="00D33220"/>
    <w:rsid w:val="00D334D1"/>
    <w:rsid w:val="00D342A2"/>
    <w:rsid w:val="00D44C89"/>
    <w:rsid w:val="00D44EAD"/>
    <w:rsid w:val="00D516CD"/>
    <w:rsid w:val="00D5238C"/>
    <w:rsid w:val="00D65FDB"/>
    <w:rsid w:val="00D668E6"/>
    <w:rsid w:val="00D70670"/>
    <w:rsid w:val="00D74D80"/>
    <w:rsid w:val="00D76624"/>
    <w:rsid w:val="00D87570"/>
    <w:rsid w:val="00D91CB9"/>
    <w:rsid w:val="00D92D4D"/>
    <w:rsid w:val="00D97989"/>
    <w:rsid w:val="00D97D8D"/>
    <w:rsid w:val="00DA352E"/>
    <w:rsid w:val="00DA4F0E"/>
    <w:rsid w:val="00DC3B17"/>
    <w:rsid w:val="00DC3DEE"/>
    <w:rsid w:val="00DC7694"/>
    <w:rsid w:val="00DD08B6"/>
    <w:rsid w:val="00DD1BF6"/>
    <w:rsid w:val="00DD2F9B"/>
    <w:rsid w:val="00DE0F18"/>
    <w:rsid w:val="00DE2513"/>
    <w:rsid w:val="00DE26E8"/>
    <w:rsid w:val="00DE4D86"/>
    <w:rsid w:val="00DE65FC"/>
    <w:rsid w:val="00DF0ECC"/>
    <w:rsid w:val="00DF3069"/>
    <w:rsid w:val="00DF6F36"/>
    <w:rsid w:val="00DF72AF"/>
    <w:rsid w:val="00E00429"/>
    <w:rsid w:val="00E0084C"/>
    <w:rsid w:val="00E01FB3"/>
    <w:rsid w:val="00E025AB"/>
    <w:rsid w:val="00E02B23"/>
    <w:rsid w:val="00E04BA9"/>
    <w:rsid w:val="00E06F40"/>
    <w:rsid w:val="00E07CE8"/>
    <w:rsid w:val="00E152BB"/>
    <w:rsid w:val="00E26A07"/>
    <w:rsid w:val="00E27DB4"/>
    <w:rsid w:val="00E32497"/>
    <w:rsid w:val="00E32595"/>
    <w:rsid w:val="00E37CFD"/>
    <w:rsid w:val="00E41A26"/>
    <w:rsid w:val="00E46BCB"/>
    <w:rsid w:val="00E51CAF"/>
    <w:rsid w:val="00E60F04"/>
    <w:rsid w:val="00E62AAC"/>
    <w:rsid w:val="00E64090"/>
    <w:rsid w:val="00E67C2F"/>
    <w:rsid w:val="00E67EF5"/>
    <w:rsid w:val="00E701A1"/>
    <w:rsid w:val="00E804EA"/>
    <w:rsid w:val="00E80A71"/>
    <w:rsid w:val="00E82337"/>
    <w:rsid w:val="00E82408"/>
    <w:rsid w:val="00E92499"/>
    <w:rsid w:val="00E949AF"/>
    <w:rsid w:val="00E96077"/>
    <w:rsid w:val="00EA0A06"/>
    <w:rsid w:val="00EA3848"/>
    <w:rsid w:val="00EA6243"/>
    <w:rsid w:val="00EA74AB"/>
    <w:rsid w:val="00EB3D1B"/>
    <w:rsid w:val="00ED05C5"/>
    <w:rsid w:val="00ED1D89"/>
    <w:rsid w:val="00ED66BC"/>
    <w:rsid w:val="00EE220F"/>
    <w:rsid w:val="00EF233A"/>
    <w:rsid w:val="00EF303E"/>
    <w:rsid w:val="00EF3351"/>
    <w:rsid w:val="00EF3A40"/>
    <w:rsid w:val="00EF7F78"/>
    <w:rsid w:val="00F01B08"/>
    <w:rsid w:val="00F01C4D"/>
    <w:rsid w:val="00F03760"/>
    <w:rsid w:val="00F053FA"/>
    <w:rsid w:val="00F0698C"/>
    <w:rsid w:val="00F06BE8"/>
    <w:rsid w:val="00F10C97"/>
    <w:rsid w:val="00F11C71"/>
    <w:rsid w:val="00F1214C"/>
    <w:rsid w:val="00F1220A"/>
    <w:rsid w:val="00F133C5"/>
    <w:rsid w:val="00F15E18"/>
    <w:rsid w:val="00F16019"/>
    <w:rsid w:val="00F20E68"/>
    <w:rsid w:val="00F22093"/>
    <w:rsid w:val="00F236DF"/>
    <w:rsid w:val="00F24B33"/>
    <w:rsid w:val="00F43AD5"/>
    <w:rsid w:val="00F4402E"/>
    <w:rsid w:val="00F544AA"/>
    <w:rsid w:val="00F56DD0"/>
    <w:rsid w:val="00F604CA"/>
    <w:rsid w:val="00F6491C"/>
    <w:rsid w:val="00F66B30"/>
    <w:rsid w:val="00F6700F"/>
    <w:rsid w:val="00F67BBB"/>
    <w:rsid w:val="00F87D92"/>
    <w:rsid w:val="00F90AA7"/>
    <w:rsid w:val="00F91E98"/>
    <w:rsid w:val="00F92498"/>
    <w:rsid w:val="00F9496B"/>
    <w:rsid w:val="00F970C9"/>
    <w:rsid w:val="00FA06A8"/>
    <w:rsid w:val="00FA3DF5"/>
    <w:rsid w:val="00FA741F"/>
    <w:rsid w:val="00FB4E07"/>
    <w:rsid w:val="00FB755A"/>
    <w:rsid w:val="00FB7A0B"/>
    <w:rsid w:val="00FC60A2"/>
    <w:rsid w:val="00FC65F8"/>
    <w:rsid w:val="00FC7B3C"/>
    <w:rsid w:val="00FD1871"/>
    <w:rsid w:val="00FD3110"/>
    <w:rsid w:val="00FE0204"/>
    <w:rsid w:val="00FE25E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458B3B5E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4E0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25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25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254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12022C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09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7D4D5FB4B064DC1B6C4736BE0F3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A753-3F17-4D0B-B4BC-BDCE5EB3006D}"/>
      </w:docPartPr>
      <w:docPartBody>
        <w:p w:rsidR="00F53FEE" w:rsidRDefault="002D3540" w:rsidP="002D3540">
          <w:pPr>
            <w:pStyle w:val="17D4D5FB4B064DC1B6C4736BE0F3A504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0400D177EFB4C01BA793DB6CB70C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5F02-48DD-4586-A3BE-DD09F31C7E19}"/>
      </w:docPartPr>
      <w:docPartBody>
        <w:p w:rsidR="00F53FEE" w:rsidRDefault="002D3540" w:rsidP="002D3540">
          <w:pPr>
            <w:pStyle w:val="50400D177EFB4C01BA793DB6CB70CF25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D8CA79D667664E7CA16BC599C98E0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EB56-1EE1-4B47-98C1-EB591AD62900}"/>
      </w:docPartPr>
      <w:docPartBody>
        <w:p w:rsidR="00F53FEE" w:rsidRDefault="002D3540" w:rsidP="002D3540">
          <w:pPr>
            <w:pStyle w:val="D8CA79D667664E7CA16BC599C98E0DEC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BFC83BB543B14E06A86FE0D1F476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7F22-12D7-4171-A2B7-B8EEDD23A203}"/>
      </w:docPartPr>
      <w:docPartBody>
        <w:p w:rsidR="00F53FEE" w:rsidRDefault="002D3540" w:rsidP="002D3540">
          <w:pPr>
            <w:pStyle w:val="BFC83BB543B14E06A86FE0D1F476B871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53E522BFADD742EE97CC0BCA840A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6941-38A4-4210-8A9A-0F07EFB0F7AD}"/>
      </w:docPartPr>
      <w:docPartBody>
        <w:p w:rsidR="00424B8D" w:rsidRDefault="00395413" w:rsidP="00395413">
          <w:pPr>
            <w:pStyle w:val="53E522BFADD742EE97CC0BCA840A2D15"/>
          </w:pPr>
          <w:r w:rsidRPr="00724F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D3540"/>
    <w:rsid w:val="002D44EE"/>
    <w:rsid w:val="00395413"/>
    <w:rsid w:val="00424B8D"/>
    <w:rsid w:val="0060247D"/>
    <w:rsid w:val="007368EE"/>
    <w:rsid w:val="00AE7B74"/>
    <w:rsid w:val="00D21A9F"/>
    <w:rsid w:val="00F5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413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3D4FF467E4F44CD877405D6BD4A873A">
    <w:name w:val="63D4FF467E4F44CD877405D6BD4A873A"/>
    <w:rsid w:val="007368EE"/>
    <w:rPr>
      <w:lang w:val="en-US" w:eastAsia="en-US"/>
    </w:rPr>
  </w:style>
  <w:style w:type="paragraph" w:customStyle="1" w:styleId="457913AF9F1846B4981D7A96F06CED88">
    <w:name w:val="457913AF9F1846B4981D7A96F06CED88"/>
    <w:rsid w:val="007368EE"/>
    <w:rPr>
      <w:lang w:val="en-US" w:eastAsia="en-US"/>
    </w:rPr>
  </w:style>
  <w:style w:type="paragraph" w:customStyle="1" w:styleId="17D4D5FB4B064DC1B6C4736BE0F3A504">
    <w:name w:val="17D4D5FB4B064DC1B6C4736BE0F3A504"/>
    <w:rsid w:val="002D3540"/>
    <w:rPr>
      <w:lang w:val="en-US" w:eastAsia="en-US"/>
    </w:rPr>
  </w:style>
  <w:style w:type="paragraph" w:customStyle="1" w:styleId="50400D177EFB4C01BA793DB6CB70CF25">
    <w:name w:val="50400D177EFB4C01BA793DB6CB70CF25"/>
    <w:rsid w:val="002D3540"/>
    <w:rPr>
      <w:lang w:val="en-US" w:eastAsia="en-US"/>
    </w:rPr>
  </w:style>
  <w:style w:type="paragraph" w:customStyle="1" w:styleId="D8CA79D667664E7CA16BC599C98E0DEC">
    <w:name w:val="D8CA79D667664E7CA16BC599C98E0DEC"/>
    <w:rsid w:val="002D3540"/>
    <w:rPr>
      <w:lang w:val="en-US" w:eastAsia="en-US"/>
    </w:rPr>
  </w:style>
  <w:style w:type="paragraph" w:customStyle="1" w:styleId="BFC83BB543B14E06A86FE0D1F476B871">
    <w:name w:val="BFC83BB543B14E06A86FE0D1F476B871"/>
    <w:rsid w:val="002D3540"/>
    <w:rPr>
      <w:lang w:val="en-US" w:eastAsia="en-US"/>
    </w:rPr>
  </w:style>
  <w:style w:type="paragraph" w:customStyle="1" w:styleId="5CF4C4BE1BD04BEDBF4389EC56CC4101">
    <w:name w:val="5CF4C4BE1BD04BEDBF4389EC56CC4101"/>
    <w:rsid w:val="00395413"/>
  </w:style>
  <w:style w:type="paragraph" w:customStyle="1" w:styleId="53E522BFADD742EE97CC0BCA840A2D15">
    <w:name w:val="53E522BFADD742EE97CC0BCA840A2D15"/>
    <w:rsid w:val="00395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9FD1-A154-4CD9-93A1-DA0FD18BC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2395DA-7D4B-4090-9A81-5E6D66EF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A72DDD68.dotm</Template>
  <TotalTime>236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25</cp:revision>
  <cp:lastPrinted>2018-10-22T22:41:00Z</cp:lastPrinted>
  <dcterms:created xsi:type="dcterms:W3CDTF">2019-09-18T08:34:00Z</dcterms:created>
  <dcterms:modified xsi:type="dcterms:W3CDTF">2019-09-27T01:22:00Z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