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02915F37" w14:textId="77777777" w:rsidR="00BD499F" w:rsidRPr="004C23F4" w:rsidRDefault="00883A24" w:rsidP="00B40C60">
          <w:pPr>
            <w:pStyle w:val="Heading1"/>
            <w:jc w:val="center"/>
            <w:rPr>
              <w:rFonts w:ascii="Arial" w:hAnsi="Arial" w:cs="Arial"/>
            </w:rPr>
          </w:pPr>
          <w:r>
            <w:rPr>
              <w:rFonts w:ascii="Arial" w:hAnsi="Arial" w:cs="Arial"/>
            </w:rPr>
            <w:t>Carbon black</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8"/>
        <w:gridCol w:w="5038"/>
      </w:tblGrid>
      <w:tr w:rsidR="00F43AD5" w:rsidRPr="004C23F4" w14:paraId="5B2FDFCD" w14:textId="77777777" w:rsidTr="00B76A41">
        <w:trPr>
          <w:cantSplit/>
          <w:tblHeader/>
        </w:trPr>
        <w:tc>
          <w:tcPr>
            <w:tcW w:w="4077" w:type="dxa"/>
          </w:tcPr>
          <w:p w14:paraId="1DFE725C" w14:textId="77777777" w:rsidR="00F43AD5" w:rsidRPr="00921DE7" w:rsidRDefault="00CB1CB1" w:rsidP="00B76A41">
            <w:pPr>
              <w:pStyle w:val="Tablerowright"/>
            </w:pPr>
            <w:r w:rsidRPr="00921DE7">
              <w:t>CAS number:</w:t>
            </w:r>
          </w:p>
        </w:tc>
        <w:tc>
          <w:tcPr>
            <w:tcW w:w="5165" w:type="dxa"/>
          </w:tcPr>
          <w:p w14:paraId="457601CD" w14:textId="77777777" w:rsidR="00F43AD5" w:rsidRPr="00717D45" w:rsidRDefault="003C7633" w:rsidP="00B76A41">
            <w:pPr>
              <w:pStyle w:val="Tablefont"/>
            </w:pPr>
            <w:r>
              <w:t>1333-86-4</w:t>
            </w:r>
          </w:p>
        </w:tc>
      </w:tr>
      <w:tr w:rsidR="00F43AD5" w:rsidRPr="004C23F4" w14:paraId="654E8E30" w14:textId="77777777" w:rsidTr="00B76A41">
        <w:trPr>
          <w:cantSplit/>
        </w:trPr>
        <w:tc>
          <w:tcPr>
            <w:tcW w:w="4077" w:type="dxa"/>
          </w:tcPr>
          <w:p w14:paraId="56A99C81" w14:textId="77777777" w:rsidR="00F43AD5" w:rsidRPr="00921DE7" w:rsidRDefault="00CB1CB1" w:rsidP="00B76A41">
            <w:pPr>
              <w:pStyle w:val="Tablerowright"/>
            </w:pPr>
            <w:r w:rsidRPr="00921DE7">
              <w:t>Synonyms:</w:t>
            </w:r>
          </w:p>
        </w:tc>
        <w:tc>
          <w:tcPr>
            <w:tcW w:w="5165" w:type="dxa"/>
          </w:tcPr>
          <w:p w14:paraId="43E5E352" w14:textId="77777777" w:rsidR="00F43AD5" w:rsidRPr="00717D45" w:rsidRDefault="00883A24" w:rsidP="00C9626D">
            <w:pPr>
              <w:pStyle w:val="Tablefont"/>
            </w:pPr>
            <w:r>
              <w:t xml:space="preserve">CB, </w:t>
            </w:r>
            <w:r w:rsidR="00C9626D">
              <w:t>acetylene black, channel black, furnace black, lampblack, thermal black</w:t>
            </w:r>
          </w:p>
        </w:tc>
      </w:tr>
      <w:tr w:rsidR="00F43AD5" w:rsidRPr="004C23F4" w14:paraId="14BB0717" w14:textId="77777777" w:rsidTr="00B76A41">
        <w:trPr>
          <w:cantSplit/>
        </w:trPr>
        <w:tc>
          <w:tcPr>
            <w:tcW w:w="4077" w:type="dxa"/>
          </w:tcPr>
          <w:p w14:paraId="11B1B9A2" w14:textId="77777777" w:rsidR="00F43AD5" w:rsidRPr="00921DE7" w:rsidRDefault="00CB1CB1" w:rsidP="00B76A41">
            <w:pPr>
              <w:pStyle w:val="Tablerowright"/>
            </w:pPr>
            <w:r w:rsidRPr="00921DE7">
              <w:t>Chemical formula:</w:t>
            </w:r>
          </w:p>
        </w:tc>
        <w:tc>
          <w:tcPr>
            <w:tcW w:w="5165" w:type="dxa"/>
          </w:tcPr>
          <w:p w14:paraId="6A2B286F" w14:textId="77777777" w:rsidR="00F43AD5" w:rsidRPr="00717D45" w:rsidRDefault="00C9626D" w:rsidP="00B76A41">
            <w:pPr>
              <w:pStyle w:val="Tablefont"/>
            </w:pPr>
            <w:r>
              <w:t>C</w:t>
            </w:r>
          </w:p>
        </w:tc>
      </w:tr>
      <w:tr w:rsidR="00F43AD5" w:rsidRPr="004C23F4" w14:paraId="40535854" w14:textId="77777777" w:rsidTr="00B76A41">
        <w:trPr>
          <w:cantSplit/>
        </w:trPr>
        <w:tc>
          <w:tcPr>
            <w:tcW w:w="4077" w:type="dxa"/>
          </w:tcPr>
          <w:p w14:paraId="660BABE2" w14:textId="77777777" w:rsidR="00F43AD5" w:rsidRPr="00921DE7" w:rsidRDefault="00CB1CB1" w:rsidP="00B76A41">
            <w:pPr>
              <w:pStyle w:val="Tablerowright"/>
            </w:pPr>
            <w:r w:rsidRPr="00921DE7">
              <w:t>Structural formula:</w:t>
            </w:r>
          </w:p>
        </w:tc>
        <w:tc>
          <w:tcPr>
            <w:tcW w:w="5165" w:type="dxa"/>
          </w:tcPr>
          <w:p w14:paraId="68CDF596" w14:textId="77777777" w:rsidR="00F43AD5" w:rsidRPr="00B40C60" w:rsidRDefault="00F43AD5" w:rsidP="00B76A41">
            <w:pPr>
              <w:pStyle w:val="Tablerowheading"/>
              <w:rPr>
                <w:b w:val="0"/>
              </w:rPr>
            </w:pPr>
          </w:p>
        </w:tc>
      </w:tr>
    </w:tbl>
    <w:p w14:paraId="58706A60" w14:textId="55DA354C"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6F51F8">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7"/>
        <w:gridCol w:w="5029"/>
      </w:tblGrid>
      <w:tr w:rsidR="002C7AFE" w:rsidRPr="004C23F4" w14:paraId="01F3D2DB" w14:textId="77777777" w:rsidTr="00610F2E">
        <w:trPr>
          <w:cantSplit/>
          <w:tblHeader/>
        </w:trPr>
        <w:tc>
          <w:tcPr>
            <w:tcW w:w="4077" w:type="dxa"/>
            <w:vAlign w:val="center"/>
          </w:tcPr>
          <w:p w14:paraId="6BADD93C" w14:textId="77777777" w:rsidR="002C7AFE" w:rsidRPr="002C58FF" w:rsidRDefault="00921DE7" w:rsidP="00921DE7">
            <w:pPr>
              <w:pStyle w:val="Tablerowright"/>
            </w:pPr>
            <w:r>
              <w:t>TWA:</w:t>
            </w:r>
          </w:p>
        </w:tc>
        <w:tc>
          <w:tcPr>
            <w:tcW w:w="5165" w:type="dxa"/>
          </w:tcPr>
          <w:p w14:paraId="0773D660" w14:textId="77777777" w:rsidR="002C7AFE" w:rsidRPr="00793BBA" w:rsidRDefault="00793BBA" w:rsidP="00017C82">
            <w:pPr>
              <w:pStyle w:val="Tablefont"/>
              <w:rPr>
                <w:b/>
              </w:rPr>
            </w:pPr>
            <w:r>
              <w:rPr>
                <w:b/>
              </w:rPr>
              <w:t>3 mg/m</w:t>
            </w:r>
            <w:r>
              <w:rPr>
                <w:b/>
                <w:vertAlign w:val="superscript"/>
              </w:rPr>
              <w:t>3</w:t>
            </w:r>
            <w:r>
              <w:rPr>
                <w:b/>
              </w:rPr>
              <w:t xml:space="preserve"> (as inhalable particulate matter)</w:t>
            </w:r>
          </w:p>
        </w:tc>
      </w:tr>
      <w:tr w:rsidR="002C7AFE" w:rsidRPr="004C23F4" w14:paraId="5A0E844D" w14:textId="77777777" w:rsidTr="00921DE7">
        <w:trPr>
          <w:cantSplit/>
        </w:trPr>
        <w:tc>
          <w:tcPr>
            <w:tcW w:w="4077" w:type="dxa"/>
            <w:vAlign w:val="center"/>
          </w:tcPr>
          <w:p w14:paraId="01ECD4F5" w14:textId="77777777" w:rsidR="002C7AFE" w:rsidRPr="002C58FF" w:rsidRDefault="002C7AFE" w:rsidP="00921DE7">
            <w:pPr>
              <w:pStyle w:val="Tablerowright"/>
            </w:pPr>
            <w:r w:rsidRPr="002C58FF">
              <w:t>STEL</w:t>
            </w:r>
            <w:r w:rsidR="00921DE7">
              <w:t>:</w:t>
            </w:r>
          </w:p>
        </w:tc>
        <w:tc>
          <w:tcPr>
            <w:tcW w:w="5165" w:type="dxa"/>
          </w:tcPr>
          <w:p w14:paraId="75B273B9" w14:textId="77777777" w:rsidR="002C7AFE" w:rsidRPr="00EB3D1B" w:rsidRDefault="00793BBA" w:rsidP="00017C82">
            <w:pPr>
              <w:pStyle w:val="Tablefont"/>
              <w:rPr>
                <w:b/>
              </w:rPr>
            </w:pPr>
            <w:r>
              <w:rPr>
                <w:b/>
              </w:rPr>
              <w:t>—</w:t>
            </w:r>
          </w:p>
        </w:tc>
      </w:tr>
      <w:tr w:rsidR="002C7AFE" w:rsidRPr="004C23F4" w14:paraId="4C378138" w14:textId="77777777" w:rsidTr="00921DE7">
        <w:trPr>
          <w:cantSplit/>
        </w:trPr>
        <w:tc>
          <w:tcPr>
            <w:tcW w:w="4077" w:type="dxa"/>
            <w:vAlign w:val="center"/>
          </w:tcPr>
          <w:p w14:paraId="79F65928" w14:textId="77777777" w:rsidR="002C7AFE" w:rsidRPr="002C58FF" w:rsidRDefault="00921DE7" w:rsidP="00921DE7">
            <w:pPr>
              <w:pStyle w:val="Tablerowright"/>
            </w:pPr>
            <w:r>
              <w:t>Peak limitation:</w:t>
            </w:r>
          </w:p>
        </w:tc>
        <w:tc>
          <w:tcPr>
            <w:tcW w:w="5165" w:type="dxa"/>
          </w:tcPr>
          <w:p w14:paraId="7AC755E7" w14:textId="77777777" w:rsidR="002C7AFE" w:rsidRPr="00EB3D1B" w:rsidRDefault="00793BBA" w:rsidP="00017C82">
            <w:pPr>
              <w:pStyle w:val="Tablefont"/>
              <w:rPr>
                <w:b/>
              </w:rPr>
            </w:pPr>
            <w:r>
              <w:rPr>
                <w:b/>
              </w:rPr>
              <w:t>—</w:t>
            </w:r>
          </w:p>
        </w:tc>
      </w:tr>
      <w:tr w:rsidR="002C7AFE" w:rsidRPr="004C23F4" w14:paraId="33BF1EC6" w14:textId="77777777" w:rsidTr="00A2073D">
        <w:trPr>
          <w:cantSplit/>
        </w:trPr>
        <w:tc>
          <w:tcPr>
            <w:tcW w:w="4077" w:type="dxa"/>
          </w:tcPr>
          <w:p w14:paraId="08651664"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165" w:type="dxa"/>
          </w:tcPr>
          <w:p w14:paraId="2918B406" w14:textId="77777777" w:rsidR="002C7AFE" w:rsidRPr="00EB3D1B" w:rsidRDefault="00793BBA" w:rsidP="008A36CF">
            <w:pPr>
              <w:pStyle w:val="Tablefont"/>
              <w:rPr>
                <w:b/>
              </w:rPr>
            </w:pPr>
            <w:r>
              <w:rPr>
                <w:b/>
              </w:rPr>
              <w:t>—</w:t>
            </w:r>
          </w:p>
        </w:tc>
      </w:tr>
      <w:tr w:rsidR="002C7AFE" w:rsidRPr="004C23F4" w14:paraId="324DE981" w14:textId="77777777" w:rsidTr="00921DE7">
        <w:trPr>
          <w:cantSplit/>
        </w:trPr>
        <w:tc>
          <w:tcPr>
            <w:tcW w:w="4077" w:type="dxa"/>
            <w:vAlign w:val="center"/>
          </w:tcPr>
          <w:p w14:paraId="460C6E8A" w14:textId="77777777" w:rsidR="00F10C97" w:rsidRPr="002C58FF" w:rsidRDefault="00921DE7" w:rsidP="009F04D2">
            <w:pPr>
              <w:pStyle w:val="Tablerowright"/>
            </w:pPr>
            <w:r>
              <w:t>IDLH:</w:t>
            </w:r>
          </w:p>
        </w:tc>
        <w:tc>
          <w:tcPr>
            <w:tcW w:w="5165" w:type="dxa"/>
          </w:tcPr>
          <w:p w14:paraId="65F99174" w14:textId="77777777" w:rsidR="002C7AFE" w:rsidRPr="00EB3D1B" w:rsidRDefault="0031089B" w:rsidP="00017C82">
            <w:pPr>
              <w:pStyle w:val="Tablefont"/>
              <w:rPr>
                <w:b/>
              </w:rPr>
            </w:pPr>
            <w:r>
              <w:rPr>
                <w:b/>
              </w:rPr>
              <w:t>—</w:t>
            </w:r>
          </w:p>
        </w:tc>
      </w:tr>
      <w:tr w:rsidR="009F04D2" w:rsidRPr="004C23F4" w14:paraId="11AE11ED" w14:textId="77777777" w:rsidTr="009D3E62">
        <w:trPr>
          <w:cantSplit/>
        </w:trPr>
        <w:tc>
          <w:tcPr>
            <w:tcW w:w="4077" w:type="dxa"/>
          </w:tcPr>
          <w:p w14:paraId="7203D5F3" w14:textId="77777777" w:rsidR="009F04D2" w:rsidRDefault="009F04D2" w:rsidP="009D3E62">
            <w:pPr>
              <w:pStyle w:val="Tablerowright"/>
            </w:pPr>
            <w:r>
              <w:t>Sampling and analysis:</w:t>
            </w:r>
          </w:p>
        </w:tc>
        <w:tc>
          <w:tcPr>
            <w:tcW w:w="5165" w:type="dxa"/>
          </w:tcPr>
          <w:p w14:paraId="1833AE2F" w14:textId="789BA860" w:rsidR="009F04D2" w:rsidRPr="009D3E62" w:rsidRDefault="00F3205F" w:rsidP="00017C82">
            <w:pPr>
              <w:pStyle w:val="Tablefont"/>
              <w:rPr>
                <w:rFonts w:eastAsia="Malgun Gothic" w:cs="Arial"/>
                <w:szCs w:val="20"/>
              </w:rPr>
            </w:pPr>
            <w:r w:rsidRPr="009D3E62">
              <w:rPr>
                <w:rFonts w:eastAsia="Malgun Gothic" w:cs="Arial"/>
                <w:szCs w:val="20"/>
              </w:rPr>
              <w:t xml:space="preserve">The recommended value is readily quantifiable through currently available sampling and analysis techniques. </w:t>
            </w:r>
          </w:p>
        </w:tc>
      </w:tr>
    </w:tbl>
    <w:p w14:paraId="5DF26432" w14:textId="77777777" w:rsidR="00CB1CB1" w:rsidRPr="003365A5" w:rsidRDefault="00F10C97" w:rsidP="003365A5">
      <w:pPr>
        <w:pStyle w:val="Heading2"/>
      </w:pPr>
      <w:r>
        <w:t>Recommendation and basis for workplace exposure standard</w:t>
      </w:r>
    </w:p>
    <w:p w14:paraId="36FACDB9" w14:textId="6B854937" w:rsidR="006639B4" w:rsidRDefault="00FE1167" w:rsidP="000C139A">
      <w:pPr>
        <w:rPr>
          <w:rFonts w:cs="Arial"/>
        </w:rPr>
      </w:pPr>
      <w:r>
        <w:rPr>
          <w:rFonts w:cs="Arial"/>
        </w:rPr>
        <w:t>A TWA of 3 mg/m</w:t>
      </w:r>
      <w:r>
        <w:rPr>
          <w:rFonts w:cs="Arial"/>
          <w:vertAlign w:val="superscript"/>
        </w:rPr>
        <w:t>3</w:t>
      </w:r>
      <w:r>
        <w:rPr>
          <w:rFonts w:cs="Arial"/>
        </w:rPr>
        <w:t xml:space="preserve"> (as inhalable particulate matter) is recommended to protect for particle-induced bronchitis in exposed workers.</w:t>
      </w:r>
    </w:p>
    <w:p w14:paraId="7356BA57" w14:textId="2F933C78" w:rsidR="00940CD8" w:rsidRPr="00FE1167" w:rsidRDefault="001A6FE3" w:rsidP="000C139A">
      <w:pPr>
        <w:rPr>
          <w:rFonts w:cs="Arial"/>
        </w:rPr>
      </w:pPr>
      <w:r>
        <w:t xml:space="preserve">Carbon </w:t>
      </w:r>
      <w:r w:rsidR="00EE29E0">
        <w:t xml:space="preserve">black </w:t>
      </w:r>
      <w:r w:rsidR="00940CD8">
        <w:t xml:space="preserve">is considered </w:t>
      </w:r>
      <w:r w:rsidR="00EE29E0">
        <w:t xml:space="preserve">an </w:t>
      </w:r>
      <w:r w:rsidR="00940CD8">
        <w:t xml:space="preserve">animal carcinogen with unknown relevance to humans (ACGIH, 2018; DFG, 1999). Positive genotoxicity is reported in animals </w:t>
      </w:r>
      <w:r>
        <w:t>with the</w:t>
      </w:r>
      <w:r w:rsidR="00940CD8">
        <w:t xml:space="preserve"> generated reactive oxygen species </w:t>
      </w:r>
      <w:r w:rsidR="00407432">
        <w:t xml:space="preserve">(ROS) </w:t>
      </w:r>
      <w:r w:rsidR="00940CD8">
        <w:t>or polycyclic aromatic hydrocarbons</w:t>
      </w:r>
      <w:r>
        <w:t xml:space="preserve"> considered possible drivers for this end point</w:t>
      </w:r>
      <w:r w:rsidR="00940CD8">
        <w:t xml:space="preserve"> (NICNAS 2015). It is noted that toxic effects vary greatly with particle size and surface area</w:t>
      </w:r>
      <w:r w:rsidR="00940CD8" w:rsidRPr="006F3CDB">
        <w:t xml:space="preserve"> </w:t>
      </w:r>
      <w:r w:rsidR="00940CD8">
        <w:t xml:space="preserve">(ACGIH, 2018; DFG, 1999; IARC 2010; NICNAS 2015; OECD, 2006). Therefore, </w:t>
      </w:r>
      <w:r w:rsidR="00940CD8">
        <w:rPr>
          <w:rFonts w:cs="Arial"/>
        </w:rPr>
        <w:t>an assessment of additional data sources, particularly for carcinogenicity, is recommended during subsequent reviews.</w:t>
      </w:r>
    </w:p>
    <w:p w14:paraId="4EB2F9D7" w14:textId="77777777" w:rsidR="00C7155E" w:rsidRPr="004C23F4" w:rsidRDefault="00F10C97" w:rsidP="003365A5">
      <w:pPr>
        <w:pStyle w:val="Heading2"/>
      </w:pPr>
      <w:r>
        <w:t>Discussion and conclusions</w:t>
      </w:r>
    </w:p>
    <w:p w14:paraId="7C53F208" w14:textId="77777777" w:rsidR="007F3E99" w:rsidRDefault="00E12E75" w:rsidP="006639B4">
      <w:pPr>
        <w:rPr>
          <w:rFonts w:cs="Arial"/>
        </w:rPr>
      </w:pPr>
      <w:r w:rsidRPr="00815845">
        <w:rPr>
          <w:rFonts w:cs="Arial"/>
        </w:rPr>
        <w:t xml:space="preserve">Carbon black is used primarily as a source of elemental carbon in chemical manufacture of rubber and pigments. </w:t>
      </w:r>
    </w:p>
    <w:p w14:paraId="506F8150" w14:textId="48823F53" w:rsidR="00940CD8" w:rsidRDefault="00E12E75" w:rsidP="006639B4">
      <w:pPr>
        <w:rPr>
          <w:rFonts w:cs="Arial"/>
        </w:rPr>
      </w:pPr>
      <w:r w:rsidRPr="00815845">
        <w:rPr>
          <w:rFonts w:cs="Arial"/>
        </w:rPr>
        <w:t xml:space="preserve">There is </w:t>
      </w:r>
      <w:r w:rsidR="00EE29E0">
        <w:rPr>
          <w:rFonts w:cs="Arial"/>
        </w:rPr>
        <w:t>limited</w:t>
      </w:r>
      <w:r w:rsidR="00EE29E0" w:rsidRPr="00815845">
        <w:rPr>
          <w:rFonts w:cs="Arial"/>
        </w:rPr>
        <w:t xml:space="preserve"> </w:t>
      </w:r>
      <w:r w:rsidRPr="00815845">
        <w:rPr>
          <w:rFonts w:cs="Arial"/>
        </w:rPr>
        <w:t xml:space="preserve">evidence to suggest the material </w:t>
      </w:r>
      <w:r w:rsidR="00815845">
        <w:rPr>
          <w:rFonts w:cs="Arial"/>
        </w:rPr>
        <w:t>possesses intrinsic chemical toxicity</w:t>
      </w:r>
      <w:r w:rsidR="004251DB">
        <w:rPr>
          <w:rFonts w:cs="Arial"/>
        </w:rPr>
        <w:t>. The</w:t>
      </w:r>
      <w:r w:rsidR="00815845">
        <w:rPr>
          <w:rFonts w:cs="Arial"/>
        </w:rPr>
        <w:t xml:space="preserve"> toxicity </w:t>
      </w:r>
      <w:r w:rsidR="004251DB">
        <w:rPr>
          <w:rFonts w:cs="Arial"/>
        </w:rPr>
        <w:t xml:space="preserve">is reported to </w:t>
      </w:r>
      <w:r w:rsidRPr="00815845">
        <w:rPr>
          <w:rFonts w:cs="Arial"/>
        </w:rPr>
        <w:t>stem from</w:t>
      </w:r>
      <w:r w:rsidR="00815845">
        <w:rPr>
          <w:rFonts w:cs="Arial"/>
        </w:rPr>
        <w:t xml:space="preserve"> lung clearance </w:t>
      </w:r>
      <w:r w:rsidR="00A6140D">
        <w:rPr>
          <w:rFonts w:cs="Arial"/>
        </w:rPr>
        <w:t xml:space="preserve">inhibition </w:t>
      </w:r>
      <w:r w:rsidR="00EE29E0">
        <w:rPr>
          <w:rFonts w:cs="Arial"/>
        </w:rPr>
        <w:t>like</w:t>
      </w:r>
      <w:r w:rsidR="004251DB">
        <w:rPr>
          <w:rFonts w:cs="Arial"/>
        </w:rPr>
        <w:t xml:space="preserve"> </w:t>
      </w:r>
      <w:r w:rsidRPr="00815845">
        <w:rPr>
          <w:rFonts w:cs="Arial"/>
        </w:rPr>
        <w:t>other nuisance dusts</w:t>
      </w:r>
      <w:r w:rsidR="00940CD8">
        <w:rPr>
          <w:rFonts w:cs="Arial"/>
        </w:rPr>
        <w:t>; with</w:t>
      </w:r>
      <w:r w:rsidR="004251DB">
        <w:rPr>
          <w:rFonts w:cs="Arial"/>
        </w:rPr>
        <w:t xml:space="preserve"> </w:t>
      </w:r>
      <w:r w:rsidR="004251DB" w:rsidRPr="00815845">
        <w:rPr>
          <w:rFonts w:cs="Arial"/>
        </w:rPr>
        <w:t>higher toxicity</w:t>
      </w:r>
      <w:r w:rsidR="004251DB">
        <w:rPr>
          <w:rFonts w:cs="Arial"/>
        </w:rPr>
        <w:t xml:space="preserve"> due to</w:t>
      </w:r>
      <w:r w:rsidR="004251DB" w:rsidRPr="00815845" w:rsidDel="004251DB">
        <w:rPr>
          <w:rFonts w:cs="Arial"/>
        </w:rPr>
        <w:t xml:space="preserve"> </w:t>
      </w:r>
      <w:r w:rsidR="004251DB">
        <w:rPr>
          <w:rFonts w:cs="Arial"/>
        </w:rPr>
        <w:t>i</w:t>
      </w:r>
      <w:r w:rsidRPr="00815845">
        <w:rPr>
          <w:rFonts w:cs="Arial"/>
        </w:rPr>
        <w:t>mpeded lung clearance</w:t>
      </w:r>
      <w:r w:rsidR="00940CD8">
        <w:rPr>
          <w:rFonts w:cs="Arial"/>
        </w:rPr>
        <w:t xml:space="preserve"> and</w:t>
      </w:r>
      <w:r w:rsidRPr="00815845">
        <w:rPr>
          <w:rFonts w:cs="Arial"/>
        </w:rPr>
        <w:t xml:space="preserve"> </w:t>
      </w:r>
      <w:r w:rsidR="004251DB">
        <w:rPr>
          <w:rFonts w:cs="Arial"/>
        </w:rPr>
        <w:t>is</w:t>
      </w:r>
      <w:r w:rsidRPr="00815845">
        <w:rPr>
          <w:rFonts w:cs="Arial"/>
        </w:rPr>
        <w:t xml:space="preserve"> associated with decreasing particle size (and increasing surface area). </w:t>
      </w:r>
    </w:p>
    <w:p w14:paraId="7212A540" w14:textId="1936E264" w:rsidR="007F3E99" w:rsidRDefault="00E12E75" w:rsidP="006639B4">
      <w:r w:rsidRPr="00815845">
        <w:rPr>
          <w:rFonts w:cs="Arial"/>
        </w:rPr>
        <w:t xml:space="preserve">Reported carcinogenic effects in rats with high lung burdens are caused by inflammatory responses that </w:t>
      </w:r>
      <w:r w:rsidR="00815845">
        <w:rPr>
          <w:rFonts w:cs="Arial"/>
        </w:rPr>
        <w:t>induce oxidative stress</w:t>
      </w:r>
      <w:r w:rsidRPr="00815845">
        <w:rPr>
          <w:rFonts w:cs="Arial"/>
        </w:rPr>
        <w:t>.</w:t>
      </w:r>
      <w:r w:rsidR="00815845" w:rsidRPr="00815845">
        <w:rPr>
          <w:rFonts w:cs="Arial"/>
        </w:rPr>
        <w:t xml:space="preserve"> </w:t>
      </w:r>
      <w:r w:rsidR="007A565A">
        <w:rPr>
          <w:rFonts w:cs="Arial"/>
        </w:rPr>
        <w:t>There is n</w:t>
      </w:r>
      <w:r w:rsidR="0082636A">
        <w:rPr>
          <w:rFonts w:cs="Arial"/>
        </w:rPr>
        <w:t>o evidence of c</w:t>
      </w:r>
      <w:r w:rsidRPr="00815845">
        <w:rPr>
          <w:rFonts w:cs="Arial"/>
        </w:rPr>
        <w:t xml:space="preserve">arcinogenicity in humans </w:t>
      </w:r>
      <w:r w:rsidR="0082636A">
        <w:rPr>
          <w:rFonts w:cs="Arial"/>
        </w:rPr>
        <w:t xml:space="preserve">from </w:t>
      </w:r>
      <w:r w:rsidRPr="00815845">
        <w:rPr>
          <w:rFonts w:cs="Arial"/>
        </w:rPr>
        <w:t>epidemiological studies</w:t>
      </w:r>
      <w:r w:rsidR="007A565A">
        <w:rPr>
          <w:rFonts w:cs="Arial"/>
        </w:rPr>
        <w:t>. H</w:t>
      </w:r>
      <w:r w:rsidR="0082636A">
        <w:rPr>
          <w:rFonts w:cs="Arial"/>
        </w:rPr>
        <w:t xml:space="preserve">owever, </w:t>
      </w:r>
      <w:r w:rsidR="004D63F9">
        <w:t xml:space="preserve">reversible radiographic changes </w:t>
      </w:r>
      <w:r w:rsidR="00081CD3">
        <w:t xml:space="preserve">in the lungs </w:t>
      </w:r>
      <w:r w:rsidR="004D63F9">
        <w:t>at low exposures and</w:t>
      </w:r>
      <w:r w:rsidR="00815845" w:rsidRPr="00815845">
        <w:t xml:space="preserve"> respiratory dysfunction</w:t>
      </w:r>
      <w:r w:rsidR="004D63F9">
        <w:t xml:space="preserve"> at higher exposures</w:t>
      </w:r>
      <w:r w:rsidR="00FA0159">
        <w:t xml:space="preserve"> </w:t>
      </w:r>
      <w:r w:rsidR="00081CD3">
        <w:t>are reported</w:t>
      </w:r>
      <w:r w:rsidR="002307B2">
        <w:t xml:space="preserve"> (ACGIH, 2018)</w:t>
      </w:r>
      <w:r w:rsidR="00297B0E">
        <w:t xml:space="preserve">. </w:t>
      </w:r>
      <w:r w:rsidR="00275B3E">
        <w:t>In a</w:t>
      </w:r>
      <w:r w:rsidR="00FE1167">
        <w:t xml:space="preserve">n extensive </w:t>
      </w:r>
      <w:r w:rsidR="003B5241">
        <w:t>US</w:t>
      </w:r>
      <w:r w:rsidR="00FE1167">
        <w:t xml:space="preserve"> case study</w:t>
      </w:r>
      <w:r w:rsidR="00275B3E">
        <w:t>,</w:t>
      </w:r>
      <w:r w:rsidR="00FE1167">
        <w:t xml:space="preserve"> </w:t>
      </w:r>
      <w:r w:rsidR="00275B3E">
        <w:t xml:space="preserve">non-smokers </w:t>
      </w:r>
      <w:r w:rsidR="007D4974">
        <w:t>had</w:t>
      </w:r>
      <w:r w:rsidR="00275B3E">
        <w:t xml:space="preserve"> slight increase in the incidence of self-reported bronchitis</w:t>
      </w:r>
      <w:r w:rsidR="00275B3E" w:rsidDel="00275B3E">
        <w:t xml:space="preserve"> </w:t>
      </w:r>
      <w:r w:rsidR="00275B3E">
        <w:t xml:space="preserve">at </w:t>
      </w:r>
      <w:r w:rsidR="00112654">
        <w:t xml:space="preserve">the </w:t>
      </w:r>
      <w:r w:rsidR="004D63F9">
        <w:t xml:space="preserve">lowest </w:t>
      </w:r>
      <w:r w:rsidR="00112654">
        <w:t>average exposure</w:t>
      </w:r>
      <w:r w:rsidR="004D63F9">
        <w:t xml:space="preserve"> </w:t>
      </w:r>
      <w:r w:rsidR="00F5635C">
        <w:t>of 3.44 mg/m</w:t>
      </w:r>
      <w:r w:rsidR="00F5635C">
        <w:rPr>
          <w:vertAlign w:val="superscript"/>
        </w:rPr>
        <w:t>3</w:t>
      </w:r>
      <w:r w:rsidR="004D63F9">
        <w:t xml:space="preserve"> </w:t>
      </w:r>
      <w:r w:rsidR="00112654">
        <w:t xml:space="preserve">(ACGIH, 2018). </w:t>
      </w:r>
    </w:p>
    <w:p w14:paraId="43277975" w14:textId="0A78CA51" w:rsidR="00E12E75" w:rsidRPr="00112654" w:rsidRDefault="001722C0" w:rsidP="006639B4">
      <w:r>
        <w:lastRenderedPageBreak/>
        <w:t xml:space="preserve">The current </w:t>
      </w:r>
      <w:r w:rsidR="00112654">
        <w:t>TWA of 3 mg/m</w:t>
      </w:r>
      <w:r w:rsidR="00112654">
        <w:rPr>
          <w:vertAlign w:val="superscript"/>
        </w:rPr>
        <w:t>3</w:t>
      </w:r>
      <w:r w:rsidR="00112654">
        <w:t xml:space="preserve"> (as inhalable particulate matter) is</w:t>
      </w:r>
      <w:r w:rsidR="002A10CB">
        <w:t xml:space="preserve"> </w:t>
      </w:r>
      <w:r w:rsidR="00275B3E">
        <w:t>recommended</w:t>
      </w:r>
      <w:r>
        <w:t xml:space="preserve"> </w:t>
      </w:r>
      <w:r w:rsidR="000A3EC5">
        <w:t xml:space="preserve">to </w:t>
      </w:r>
      <w:r>
        <w:t>be retained</w:t>
      </w:r>
      <w:r w:rsidR="009D3FDE">
        <w:t xml:space="preserve"> based on w</w:t>
      </w:r>
      <w:r w:rsidR="00940CD8">
        <w:t>e</w:t>
      </w:r>
      <w:r w:rsidR="009D3FDE">
        <w:t>ight of evidence and is considered</w:t>
      </w:r>
      <w:r w:rsidR="00275B3E">
        <w:t xml:space="preserve"> </w:t>
      </w:r>
      <w:r w:rsidR="00112654">
        <w:t xml:space="preserve">to protect </w:t>
      </w:r>
      <w:r w:rsidR="00275B3E">
        <w:t xml:space="preserve">for </w:t>
      </w:r>
      <w:r w:rsidR="00112654">
        <w:t>the onset of</w:t>
      </w:r>
      <w:r w:rsidR="00FE1167">
        <w:t xml:space="preserve"> </w:t>
      </w:r>
      <w:r w:rsidR="00112654">
        <w:t>pulmonary effects.</w:t>
      </w:r>
    </w:p>
    <w:p w14:paraId="5C6B5ADD" w14:textId="77777777" w:rsidR="004529F0" w:rsidRPr="004C23F4" w:rsidRDefault="004529F0" w:rsidP="004529F0">
      <w:pPr>
        <w:pStyle w:val="Heading2"/>
      </w:pPr>
      <w:r>
        <w:t>Recommendation for notations</w:t>
      </w:r>
    </w:p>
    <w:p w14:paraId="1D89B691" w14:textId="367FDD29" w:rsidR="004529F0" w:rsidRDefault="00793BBA" w:rsidP="004529F0">
      <w:pPr>
        <w:rPr>
          <w:rFonts w:cs="Arial"/>
        </w:rPr>
      </w:pPr>
      <w:r w:rsidRPr="00793BBA">
        <w:rPr>
          <w:rFonts w:cs="Arial"/>
        </w:rPr>
        <w:t>Not classified as a carcinogen according to the Globally Harmonized System of Classification and Labelling of Chemicals (GHS).</w:t>
      </w:r>
      <w:r w:rsidR="002A4B39" w:rsidRPr="002A4B39">
        <w:rPr>
          <w:rFonts w:cs="Arial"/>
        </w:rPr>
        <w:t xml:space="preserve"> </w:t>
      </w:r>
      <w:r w:rsidR="002A4B39">
        <w:rPr>
          <w:rFonts w:cs="Arial"/>
        </w:rPr>
        <w:t xml:space="preserve">A review of the </w:t>
      </w:r>
      <w:r w:rsidR="00297B0E" w:rsidRPr="00297B0E">
        <w:rPr>
          <w:rFonts w:cs="Arial"/>
        </w:rPr>
        <w:t xml:space="preserve">GHS classification </w:t>
      </w:r>
      <w:r w:rsidR="00297B0E">
        <w:rPr>
          <w:rFonts w:cs="Arial"/>
        </w:rPr>
        <w:t xml:space="preserve">is recommended </w:t>
      </w:r>
      <w:r w:rsidR="00297B0E" w:rsidRPr="00297B0E">
        <w:rPr>
          <w:rFonts w:cs="Arial"/>
        </w:rPr>
        <w:t>for</w:t>
      </w:r>
      <w:r w:rsidR="00297B0E">
        <w:rPr>
          <w:rFonts w:cs="Arial"/>
        </w:rPr>
        <w:t xml:space="preserve"> the </w:t>
      </w:r>
      <w:r w:rsidR="002A4B39">
        <w:rPr>
          <w:rFonts w:cs="Arial"/>
        </w:rPr>
        <w:t xml:space="preserve">carcinogenicity notation </w:t>
      </w:r>
      <w:r w:rsidR="00297B0E">
        <w:rPr>
          <w:rFonts w:cs="Arial"/>
        </w:rPr>
        <w:t>due to inconsisten</w:t>
      </w:r>
      <w:r w:rsidR="0088602F">
        <w:rPr>
          <w:rFonts w:cs="Arial"/>
        </w:rPr>
        <w:t>cy</w:t>
      </w:r>
      <w:r w:rsidR="00297B0E">
        <w:rPr>
          <w:rFonts w:cs="Arial"/>
        </w:rPr>
        <w:t xml:space="preserve"> </w:t>
      </w:r>
      <w:r w:rsidR="0088602F">
        <w:rPr>
          <w:rFonts w:cs="Arial"/>
        </w:rPr>
        <w:t xml:space="preserve">of available </w:t>
      </w:r>
      <w:r w:rsidR="002A4B39">
        <w:rPr>
          <w:rFonts w:cs="Arial"/>
        </w:rPr>
        <w:t xml:space="preserve">source data. </w:t>
      </w:r>
    </w:p>
    <w:p w14:paraId="472D89D4" w14:textId="77777777" w:rsidR="00793BBA" w:rsidRDefault="00793BBA" w:rsidP="004529F0">
      <w:pPr>
        <w:rPr>
          <w:rFonts w:cs="Arial"/>
        </w:rPr>
      </w:pPr>
      <w:r w:rsidRPr="00793BBA">
        <w:rPr>
          <w:rFonts w:cs="Arial"/>
        </w:rPr>
        <w:t xml:space="preserve">Not classified as a skin </w:t>
      </w:r>
      <w:r w:rsidR="009E2D60">
        <w:rPr>
          <w:rFonts w:cs="Arial"/>
        </w:rPr>
        <w:t xml:space="preserve">sensitiser </w:t>
      </w:r>
      <w:r w:rsidRPr="00793BBA">
        <w:rPr>
          <w:rFonts w:cs="Arial"/>
        </w:rPr>
        <w:t>or respiratory sensitiser according to the GHS.</w:t>
      </w:r>
    </w:p>
    <w:p w14:paraId="390D69DA" w14:textId="06F7D09C" w:rsidR="005E6979" w:rsidRPr="004C23F4" w:rsidRDefault="00B26B68">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r w:rsidRPr="00B26B68">
        <w:rPr>
          <w:rFonts w:cs="Arial"/>
        </w:rPr>
        <w:t xml:space="preserve">A skin notation is not </w:t>
      </w:r>
      <w:r w:rsidR="009E2D60">
        <w:rPr>
          <w:rFonts w:cs="Arial"/>
        </w:rPr>
        <w:t xml:space="preserve">recommended </w:t>
      </w:r>
      <w:r w:rsidRPr="00B26B68">
        <w:rPr>
          <w:rFonts w:cs="Arial"/>
        </w:rPr>
        <w:t>as there is no indication of systemic effects resulting from skin absorption.</w:t>
      </w:r>
    </w:p>
    <w:p w14:paraId="52A28FE2"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4176BA14"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1A933F03" w14:textId="77777777" w:rsidTr="009D3E62">
        <w:trPr>
          <w:gridAfter w:val="1"/>
          <w:wAfter w:w="8" w:type="pct"/>
          <w:trHeight w:val="393"/>
          <w:tblHeader/>
        </w:trPr>
        <w:tc>
          <w:tcPr>
            <w:tcW w:w="4992" w:type="pct"/>
            <w:shd w:val="clear" w:color="auto" w:fill="BFBFBF" w:themeFill="background1" w:themeFillShade="BF"/>
            <w:vAlign w:val="center"/>
          </w:tcPr>
          <w:p w14:paraId="02CD571A"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7A86DBFD" w14:textId="77777777" w:rsidTr="009D3E62">
        <w:tc>
          <w:tcPr>
            <w:tcW w:w="5000" w:type="pct"/>
            <w:gridSpan w:val="2"/>
            <w:shd w:val="clear" w:color="auto" w:fill="F2F2F2" w:themeFill="background1" w:themeFillShade="F2"/>
          </w:tcPr>
          <w:p w14:paraId="1DE52345" w14:textId="1996436A" w:rsidR="00DE26E8" w:rsidRPr="003365A5" w:rsidRDefault="00DE26E8" w:rsidP="0001110D">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01110D">
                  <w:t>1995</w:t>
                </w:r>
              </w:sdtContent>
            </w:sdt>
            <w:r w:rsidRPr="003365A5">
              <w:tab/>
            </w:r>
            <w:r>
              <w:tab/>
            </w:r>
            <w:sdt>
              <w:sdtPr>
                <w:alias w:val="SWA WES"/>
                <w:tag w:val="SWA WES"/>
                <w:id w:val="857077202"/>
                <w:placeholder>
                  <w:docPart w:val="81CFEC2FDBC5451289F394E66D92D1A0"/>
                </w:placeholder>
              </w:sdtPr>
              <w:sdtEndPr/>
              <w:sdtContent>
                <w:r w:rsidR="00FE1167">
                  <w:t xml:space="preserve">TWA: </w:t>
                </w:r>
                <w:r w:rsidR="00B00A0E">
                  <w:t>3 mg/m</w:t>
                </w:r>
                <w:r w:rsidR="00B00A0E">
                  <w:rPr>
                    <w:vertAlign w:val="superscript"/>
                  </w:rPr>
                  <w:t>3</w:t>
                </w:r>
              </w:sdtContent>
            </w:sdt>
          </w:p>
        </w:tc>
      </w:tr>
      <w:tr w:rsidR="00C978F0" w:rsidRPr="00DA352E" w14:paraId="3353257E" w14:textId="77777777" w:rsidTr="009D3E62">
        <w:trPr>
          <w:gridAfter w:val="1"/>
          <w:wAfter w:w="8" w:type="pct"/>
        </w:trPr>
        <w:tc>
          <w:tcPr>
            <w:tcW w:w="4992" w:type="pct"/>
          </w:tcPr>
          <w:p w14:paraId="22B27585" w14:textId="77777777" w:rsidR="00C978F0" w:rsidRPr="00DA352E" w:rsidRDefault="00C978F0" w:rsidP="003365A5">
            <w:pPr>
              <w:pStyle w:val="Tabletextprimarysource"/>
            </w:pPr>
          </w:p>
        </w:tc>
      </w:tr>
      <w:tr w:rsidR="00C978F0" w:rsidRPr="00DA352E" w14:paraId="7126A152" w14:textId="77777777" w:rsidTr="009D3E62">
        <w:trPr>
          <w:gridAfter w:val="1"/>
          <w:wAfter w:w="8" w:type="pct"/>
        </w:trPr>
        <w:tc>
          <w:tcPr>
            <w:tcW w:w="4992" w:type="pct"/>
            <w:shd w:val="clear" w:color="auto" w:fill="F2F2F2" w:themeFill="background1" w:themeFillShade="F2"/>
          </w:tcPr>
          <w:p w14:paraId="17D212C4"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883A24">
                  <w:t>2011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FE1167">
                  <w:t xml:space="preserve">TLV-TWA: </w:t>
                </w:r>
                <w:r w:rsidR="00883A24">
                  <w:t>3 mg/m</w:t>
                </w:r>
                <w:r w:rsidR="00883A24">
                  <w:rPr>
                    <w:vertAlign w:val="superscript"/>
                  </w:rPr>
                  <w:t>3</w:t>
                </w:r>
                <w:r w:rsidR="00883A24">
                  <w:t xml:space="preserve"> (inhalable particulate matter)</w:t>
                </w:r>
              </w:sdtContent>
            </w:sdt>
          </w:p>
        </w:tc>
      </w:tr>
      <w:tr w:rsidR="00C978F0" w:rsidRPr="00DA352E" w14:paraId="244C5C40" w14:textId="77777777" w:rsidTr="009D3E62">
        <w:trPr>
          <w:gridAfter w:val="1"/>
          <w:wAfter w:w="8" w:type="pct"/>
        </w:trPr>
        <w:tc>
          <w:tcPr>
            <w:tcW w:w="4992" w:type="pct"/>
          </w:tcPr>
          <w:p w14:paraId="70A26AA2" w14:textId="14A13C8B" w:rsidR="00940CD8" w:rsidRDefault="00883A24" w:rsidP="003365A5">
            <w:pPr>
              <w:pStyle w:val="Tabletextprimarysource"/>
            </w:pPr>
            <w:r>
              <w:t xml:space="preserve">TLV-TWA to protect for bronchitis caused by exposure to the inhalable particulate fraction. Critical effects are respiratory symptoms, decreased lung function and </w:t>
            </w:r>
            <w:r w:rsidR="00112654">
              <w:t xml:space="preserve">reversible radiographic </w:t>
            </w:r>
            <w:r>
              <w:t xml:space="preserve">changes to the lungs. </w:t>
            </w:r>
          </w:p>
          <w:p w14:paraId="107D4D66" w14:textId="2C0A4905" w:rsidR="00940CD8" w:rsidRDefault="00883A24" w:rsidP="003365A5">
            <w:pPr>
              <w:pStyle w:val="Tabletextprimarysource"/>
            </w:pPr>
            <w:r>
              <w:t xml:space="preserve">Carcinogenicity </w:t>
            </w:r>
            <w:r w:rsidR="00A10AF0">
              <w:t xml:space="preserve">is </w:t>
            </w:r>
            <w:r>
              <w:t>observed in rats</w:t>
            </w:r>
            <w:r w:rsidR="008A56EB">
              <w:t xml:space="preserve"> but case studies unable to confirm this effect in </w:t>
            </w:r>
            <w:r w:rsidR="00B672FB">
              <w:t>humans</w:t>
            </w:r>
            <w:r w:rsidR="008A56EB">
              <w:t>; classified as an A3 carcinogen</w:t>
            </w:r>
            <w:r>
              <w:t xml:space="preserve">. </w:t>
            </w:r>
          </w:p>
          <w:p w14:paraId="58BDBBB7" w14:textId="5F6DB3DD" w:rsidR="00940CD8" w:rsidRDefault="00883A24" w:rsidP="003365A5">
            <w:pPr>
              <w:pStyle w:val="Tabletextprimarysource"/>
            </w:pPr>
            <w:r>
              <w:t xml:space="preserve">TLV-TWA </w:t>
            </w:r>
            <w:r w:rsidR="00482056">
              <w:t xml:space="preserve">is </w:t>
            </w:r>
            <w:r>
              <w:t>based on</w:t>
            </w:r>
            <w:r w:rsidR="00FE1167">
              <w:t xml:space="preserve"> weight of evidence supported by</w:t>
            </w:r>
            <w:r>
              <w:t xml:space="preserve"> a case study of exposed workers </w:t>
            </w:r>
            <w:r w:rsidR="00482056">
              <w:t xml:space="preserve">that reported higher incidence of bronchitis in non-smokers at the lowest level of </w:t>
            </w:r>
            <w:r>
              <w:t>3.44 mg/m</w:t>
            </w:r>
            <w:r>
              <w:rPr>
                <w:vertAlign w:val="superscript"/>
              </w:rPr>
              <w:t>3</w:t>
            </w:r>
            <w:r w:rsidR="005F53A5">
              <w:t xml:space="preserve"> over 40 yr</w:t>
            </w:r>
            <w:r w:rsidR="00725875">
              <w:t xml:space="preserve"> (137.92 mg</w:t>
            </w:r>
            <w:r w:rsidR="000A3EC5">
              <w:t xml:space="preserve"> </w:t>
            </w:r>
            <w:r w:rsidR="00EE29E0">
              <w:rPr>
                <w:rFonts w:cs="Arial"/>
              </w:rPr>
              <w:t>×</w:t>
            </w:r>
            <w:r w:rsidR="000A3EC5">
              <w:rPr>
                <w:rFonts w:cs="Arial"/>
              </w:rPr>
              <w:t xml:space="preserve"> </w:t>
            </w:r>
            <w:r w:rsidR="00725875">
              <w:t>yr/m</w:t>
            </w:r>
            <w:r w:rsidR="00725875">
              <w:rPr>
                <w:vertAlign w:val="superscript"/>
              </w:rPr>
              <w:t>3</w:t>
            </w:r>
            <w:r w:rsidR="00725875">
              <w:t>)</w:t>
            </w:r>
            <w:r w:rsidR="00D24739">
              <w:t>.</w:t>
            </w:r>
            <w:r w:rsidR="008A56EB">
              <w:t xml:space="preserve"> </w:t>
            </w:r>
          </w:p>
          <w:p w14:paraId="7207C8DD" w14:textId="299B4BF6" w:rsidR="00C978F0" w:rsidRDefault="008A56EB" w:rsidP="003365A5">
            <w:pPr>
              <w:pStyle w:val="Tabletextprimarysource"/>
            </w:pPr>
            <w:r>
              <w:t>Insufficient information to recommend a STEL or notations for skin absorption or sensitisation.</w:t>
            </w:r>
          </w:p>
          <w:p w14:paraId="4088F880" w14:textId="77777777" w:rsidR="00940CD8" w:rsidRDefault="00940CD8" w:rsidP="003365A5">
            <w:pPr>
              <w:pStyle w:val="Tabletextprimarysource"/>
            </w:pPr>
          </w:p>
          <w:p w14:paraId="2FB1ACB7" w14:textId="643E2E74" w:rsidR="00D24739" w:rsidRDefault="00D24739" w:rsidP="003365A5">
            <w:pPr>
              <w:pStyle w:val="Tabletextprimarysource"/>
            </w:pPr>
            <w:r>
              <w:t>Summary of data:</w:t>
            </w:r>
          </w:p>
          <w:p w14:paraId="4E3BA7A5" w14:textId="34A1F2DA" w:rsidR="00D756E5" w:rsidRDefault="00EE29E0" w:rsidP="003365A5">
            <w:pPr>
              <w:pStyle w:val="Tabletextprimarysource"/>
            </w:pPr>
            <w:r>
              <w:t xml:space="preserve">Median aerodynamic </w:t>
            </w:r>
            <w:r w:rsidR="00D756E5">
              <w:t xml:space="preserve">diameters of particles in </w:t>
            </w:r>
            <w:r w:rsidR="001722C0">
              <w:t xml:space="preserve">the carbon black </w:t>
            </w:r>
            <w:r w:rsidR="00725875">
              <w:t>handling</w:t>
            </w:r>
            <w:r w:rsidR="00D756E5">
              <w:t xml:space="preserve"> areas range from </w:t>
            </w:r>
            <w:r w:rsidR="00894392">
              <w:t xml:space="preserve">         </w:t>
            </w:r>
            <w:r w:rsidR="00D756E5">
              <w:t>10</w:t>
            </w:r>
            <w:r w:rsidR="000A3EC5">
              <w:t>–</w:t>
            </w:r>
            <w:r w:rsidR="00D756E5">
              <w:t>400</w:t>
            </w:r>
            <w:r w:rsidR="001722C0">
              <w:t> </w:t>
            </w:r>
            <w:r w:rsidR="00D756E5">
              <w:t xml:space="preserve">nm. </w:t>
            </w:r>
            <w:r w:rsidR="00725875">
              <w:t>Dust</w:t>
            </w:r>
            <w:r w:rsidR="00D756E5">
              <w:t xml:space="preserve"> measurements in </w:t>
            </w:r>
            <w:r w:rsidR="00A7488B">
              <w:t>such</w:t>
            </w:r>
            <w:r w:rsidR="00D756E5">
              <w:t xml:space="preserve"> </w:t>
            </w:r>
            <w:r w:rsidR="00A7488B">
              <w:t xml:space="preserve">areas </w:t>
            </w:r>
            <w:r w:rsidR="00D756E5">
              <w:t xml:space="preserve">may be confounded by emissions </w:t>
            </w:r>
            <w:r w:rsidR="00725875">
              <w:t>from</w:t>
            </w:r>
            <w:r w:rsidR="00D756E5">
              <w:t xml:space="preserve"> hydrocarbon-fuelled engines. </w:t>
            </w:r>
          </w:p>
          <w:p w14:paraId="619B4380" w14:textId="77777777" w:rsidR="00D24739" w:rsidRDefault="00D24739" w:rsidP="003365A5">
            <w:pPr>
              <w:pStyle w:val="Tabletextprimarysource"/>
            </w:pPr>
            <w:r>
              <w:t>Human data:</w:t>
            </w:r>
          </w:p>
          <w:p w14:paraId="1C79682F" w14:textId="45BDE99E" w:rsidR="00347000" w:rsidRDefault="00347000" w:rsidP="00AD507B">
            <w:pPr>
              <w:pStyle w:val="ListBullet"/>
              <w:spacing w:before="60" w:after="60"/>
              <w:ind w:left="867" w:hanging="357"/>
              <w:contextualSpacing w:val="0"/>
            </w:pPr>
            <w:r>
              <w:t>High exposure (unspecified) can lead to emphysema, pneumoconiosis and fibrosis</w:t>
            </w:r>
          </w:p>
          <w:p w14:paraId="106B1E58" w14:textId="33157FDB" w:rsidR="00A10AF0" w:rsidRDefault="00D24739" w:rsidP="00AD507B">
            <w:pPr>
              <w:pStyle w:val="ListBullet"/>
              <w:spacing w:before="60" w:after="60"/>
              <w:ind w:left="867" w:hanging="357"/>
              <w:contextualSpacing w:val="0"/>
            </w:pPr>
            <w:r>
              <w:t xml:space="preserve">Chest X-ray of exposed workers (n=94) </w:t>
            </w:r>
            <w:r w:rsidR="00940CD8">
              <w:t>reported</w:t>
            </w:r>
            <w:r w:rsidR="00A10AF0">
              <w:t>:</w:t>
            </w:r>
            <w:r>
              <w:t xml:space="preserve"> </w:t>
            </w:r>
          </w:p>
          <w:p w14:paraId="5D48BA9D" w14:textId="5AD6D092" w:rsidR="00A10AF0" w:rsidRDefault="00D24739" w:rsidP="009D3E62">
            <w:pPr>
              <w:pStyle w:val="Tabletextprimarysource"/>
              <w:numPr>
                <w:ilvl w:val="0"/>
                <w:numId w:val="4"/>
              </w:numPr>
              <w:contextualSpacing/>
            </w:pPr>
            <w:r>
              <w:t xml:space="preserve">reversible formation of </w:t>
            </w:r>
            <w:r w:rsidR="00F74B24">
              <w:t xml:space="preserve">lung </w:t>
            </w:r>
            <w:r>
              <w:t xml:space="preserve">opacities </w:t>
            </w:r>
            <w:r w:rsidR="002F3366">
              <w:t>at</w:t>
            </w:r>
            <w:r>
              <w:t xml:space="preserve"> 1.5 mg/m</w:t>
            </w:r>
            <w:r>
              <w:rPr>
                <w:vertAlign w:val="superscript"/>
              </w:rPr>
              <w:t>3</w:t>
            </w:r>
            <w:r>
              <w:t xml:space="preserve"> </w:t>
            </w:r>
          </w:p>
          <w:p w14:paraId="111DBE56" w14:textId="38F1E7CA" w:rsidR="00A10AF0" w:rsidRDefault="00F06F85" w:rsidP="009D3E62">
            <w:pPr>
              <w:pStyle w:val="Tabletextprimarysource"/>
              <w:numPr>
                <w:ilvl w:val="0"/>
                <w:numId w:val="4"/>
              </w:numPr>
              <w:contextualSpacing/>
            </w:pPr>
            <w:r>
              <w:t>a</w:t>
            </w:r>
            <w:r w:rsidR="00112654">
              <w:t xml:space="preserve">fter 6 </w:t>
            </w:r>
            <w:r w:rsidR="00F74B24">
              <w:t xml:space="preserve">yr, final </w:t>
            </w:r>
            <w:r w:rsidR="00D24739">
              <w:t>study</w:t>
            </w:r>
            <w:r w:rsidR="00F74B24">
              <w:t xml:space="preserve"> phase with</w:t>
            </w:r>
            <w:r w:rsidR="00D24739">
              <w:t xml:space="preserve"> 38 of the original subjects showed reversion to normal conditions </w:t>
            </w:r>
            <w:r w:rsidR="00B672FB">
              <w:t>with</w:t>
            </w:r>
            <w:r w:rsidR="00D24739">
              <w:t xml:space="preserve"> decrease in </w:t>
            </w:r>
            <w:r w:rsidR="00562E50">
              <w:t xml:space="preserve">average </w:t>
            </w:r>
            <w:r w:rsidR="00D24739">
              <w:t>exposure levels to 0.6 mg/m</w:t>
            </w:r>
            <w:r w:rsidR="00D24739">
              <w:rPr>
                <w:vertAlign w:val="superscript"/>
              </w:rPr>
              <w:t>3</w:t>
            </w:r>
            <w:r w:rsidR="00D24739">
              <w:t xml:space="preserve"> </w:t>
            </w:r>
          </w:p>
          <w:p w14:paraId="789E8F04" w14:textId="3C113086" w:rsidR="008A56EB" w:rsidRDefault="00A10AF0" w:rsidP="009D3E62">
            <w:pPr>
              <w:pStyle w:val="Tabletextprimarysource"/>
              <w:numPr>
                <w:ilvl w:val="0"/>
                <w:numId w:val="4"/>
              </w:numPr>
              <w:contextualSpacing/>
            </w:pPr>
            <w:r>
              <w:t xml:space="preserve">exposure level </w:t>
            </w:r>
            <w:r w:rsidR="00D24739">
              <w:t xml:space="preserve">at which </w:t>
            </w:r>
            <w:r w:rsidR="008A56EB">
              <w:t>these changes occur</w:t>
            </w:r>
            <w:r>
              <w:t xml:space="preserve"> is unknown</w:t>
            </w:r>
          </w:p>
          <w:p w14:paraId="13A7C64A" w14:textId="1D692598" w:rsidR="00940CD8" w:rsidRDefault="00BD0F6B" w:rsidP="00AD507B">
            <w:pPr>
              <w:pStyle w:val="ListBullet"/>
              <w:spacing w:before="60" w:after="60"/>
              <w:ind w:left="867" w:hanging="357"/>
              <w:contextualSpacing w:val="0"/>
            </w:pPr>
            <w:r>
              <w:t xml:space="preserve">Multiple </w:t>
            </w:r>
            <w:r w:rsidR="002F3366">
              <w:t xml:space="preserve">epidemiological </w:t>
            </w:r>
            <w:r>
              <w:t>studies unable to associate excess risk of lung ca</w:t>
            </w:r>
            <w:r w:rsidR="00A7488B">
              <w:t>ncer exposure</w:t>
            </w:r>
            <w:r w:rsidR="00F74B24">
              <w:t xml:space="preserve"> </w:t>
            </w:r>
            <w:r w:rsidR="0051409B">
              <w:t>based on</w:t>
            </w:r>
            <w:r w:rsidR="00F74B24">
              <w:t xml:space="preserve"> SMRs</w:t>
            </w:r>
            <w:r w:rsidR="00E855D8">
              <w:t>:</w:t>
            </w:r>
            <w:r w:rsidR="000A3EC5">
              <w:t xml:space="preserve"> </w:t>
            </w:r>
          </w:p>
          <w:p w14:paraId="75E17247" w14:textId="38A4E352" w:rsidR="008A56EB" w:rsidRDefault="001722C0" w:rsidP="009D3E62">
            <w:pPr>
              <w:pStyle w:val="Tabletextprimarysource"/>
              <w:numPr>
                <w:ilvl w:val="0"/>
                <w:numId w:val="4"/>
              </w:numPr>
              <w:contextualSpacing/>
            </w:pPr>
            <w:r>
              <w:t>generally,</w:t>
            </w:r>
            <w:r w:rsidR="00803545">
              <w:t xml:space="preserve"> </w:t>
            </w:r>
            <w:r>
              <w:t xml:space="preserve">there is </w:t>
            </w:r>
            <w:r w:rsidR="00803545">
              <w:t xml:space="preserve">cumulative exposure </w:t>
            </w:r>
            <w:r w:rsidR="00A10AF0">
              <w:t xml:space="preserve">resulting in </w:t>
            </w:r>
            <w:r w:rsidR="00803545">
              <w:t>respiratory dysfunction that is also indicative of excess morbidity</w:t>
            </w:r>
          </w:p>
          <w:p w14:paraId="796585D3" w14:textId="5B30B85B" w:rsidR="00A10AF0" w:rsidRDefault="003173E1" w:rsidP="00AD507B">
            <w:pPr>
              <w:pStyle w:val="ListBullet"/>
              <w:spacing w:before="60" w:after="60"/>
              <w:ind w:left="867" w:hanging="357"/>
              <w:contextualSpacing w:val="0"/>
            </w:pPr>
            <w:r>
              <w:t xml:space="preserve">One epidemiological study of </w:t>
            </w:r>
            <w:r w:rsidR="00803545">
              <w:t>22 plants</w:t>
            </w:r>
            <w:r>
              <w:t xml:space="preserve"> (n</w:t>
            </w:r>
            <w:r w:rsidR="00803545">
              <w:t>=1755</w:t>
            </w:r>
            <w:r>
              <w:t>) with</w:t>
            </w:r>
            <w:r w:rsidR="00803545">
              <w:t xml:space="preserve"> </w:t>
            </w:r>
            <w:r w:rsidR="001B7581">
              <w:t xml:space="preserve">mean exposure period </w:t>
            </w:r>
            <w:r w:rsidR="00803545">
              <w:t>14.1 y</w:t>
            </w:r>
            <w:r w:rsidR="001B7581">
              <w:t xml:space="preserve">r, </w:t>
            </w:r>
            <w:r w:rsidR="00940CD8">
              <w:t>reported</w:t>
            </w:r>
            <w:r w:rsidR="00A10AF0">
              <w:t>:</w:t>
            </w:r>
            <w:r>
              <w:t xml:space="preserve"> </w:t>
            </w:r>
          </w:p>
          <w:p w14:paraId="14893B27" w14:textId="10157E08" w:rsidR="00A10AF0" w:rsidRDefault="00725875" w:rsidP="009D3E62">
            <w:pPr>
              <w:pStyle w:val="Tabletextprimarysource"/>
              <w:numPr>
                <w:ilvl w:val="0"/>
                <w:numId w:val="5"/>
              </w:numPr>
              <w:contextualSpacing/>
            </w:pPr>
            <w:r>
              <w:t>40</w:t>
            </w:r>
            <w:r w:rsidR="00EA7B13">
              <w:t xml:space="preserve"> </w:t>
            </w:r>
            <w:r>
              <w:t xml:space="preserve">yr exposure at </w:t>
            </w:r>
            <w:r w:rsidR="00562E50">
              <w:t>3 </w:t>
            </w:r>
            <w:r w:rsidR="001B7581">
              <w:t>mg/m</w:t>
            </w:r>
            <w:r w:rsidR="001B7581" w:rsidRPr="0051409B">
              <w:rPr>
                <w:vertAlign w:val="superscript"/>
              </w:rPr>
              <w:t>3</w:t>
            </w:r>
            <w:r w:rsidR="0051409B">
              <w:t xml:space="preserve"> inhalable dust</w:t>
            </w:r>
            <w:r w:rsidR="003173E1">
              <w:t xml:space="preserve"> </w:t>
            </w:r>
            <w:r w:rsidR="00562E50">
              <w:t xml:space="preserve">is expected to have 80 </w:t>
            </w:r>
            <w:r w:rsidR="00407432">
              <w:t xml:space="preserve">mL </w:t>
            </w:r>
            <w:r w:rsidR="00562E50">
              <w:t>FEV</w:t>
            </w:r>
            <w:r w:rsidR="00562E50" w:rsidRPr="009D3E62">
              <w:rPr>
                <w:vertAlign w:val="subscript"/>
              </w:rPr>
              <w:t>1</w:t>
            </w:r>
            <w:r w:rsidR="00562E50">
              <w:t xml:space="preserve"> excess of the normally expected </w:t>
            </w:r>
            <w:r w:rsidR="00407432">
              <w:t>age-related</w:t>
            </w:r>
            <w:r w:rsidR="00562E50">
              <w:t xml:space="preserve"> lung capacity loss</w:t>
            </w:r>
          </w:p>
          <w:p w14:paraId="08D249D2" w14:textId="386990AB" w:rsidR="00A10AF0" w:rsidRDefault="00A10AF0" w:rsidP="009D3E62">
            <w:pPr>
              <w:pStyle w:val="Tabletextprimarysource"/>
              <w:numPr>
                <w:ilvl w:val="0"/>
                <w:numId w:val="5"/>
              </w:numPr>
              <w:contextualSpacing/>
            </w:pPr>
            <w:r>
              <w:t>m</w:t>
            </w:r>
            <w:r w:rsidR="003173E1">
              <w:t>ore recently acquired data in the same study suggests no adverse effects to lung function at 3.82 mg/m</w:t>
            </w:r>
            <w:r w:rsidR="003173E1" w:rsidRPr="0051409B">
              <w:rPr>
                <w:vertAlign w:val="superscript"/>
              </w:rPr>
              <w:t>3</w:t>
            </w:r>
            <w:r w:rsidR="0051409B">
              <w:t xml:space="preserve"> </w:t>
            </w:r>
            <w:r w:rsidR="00EF62DC">
              <w:t>over 40 yr</w:t>
            </w:r>
          </w:p>
          <w:p w14:paraId="64EA084C" w14:textId="615CF867" w:rsidR="0051409B" w:rsidRDefault="00A10AF0" w:rsidP="009D3E62">
            <w:pPr>
              <w:pStyle w:val="Tabletextprimarysource"/>
              <w:numPr>
                <w:ilvl w:val="0"/>
                <w:numId w:val="5"/>
              </w:numPr>
              <w:contextualSpacing/>
            </w:pPr>
            <w:r>
              <w:t>n</w:t>
            </w:r>
            <w:r w:rsidR="0051409B">
              <w:t xml:space="preserve">on-smokers had </w:t>
            </w:r>
            <w:r w:rsidR="00112654">
              <w:t xml:space="preserve">a slightly </w:t>
            </w:r>
            <w:r w:rsidR="0051409B">
              <w:t>higher incidence</w:t>
            </w:r>
            <w:r w:rsidR="00FE1167">
              <w:t xml:space="preserve"> (from 5% to 9%)</w:t>
            </w:r>
            <w:r w:rsidR="0051409B">
              <w:t xml:space="preserve"> of self-reported bronchitis at exposure equivalent to 3.44 mg/m</w:t>
            </w:r>
            <w:r w:rsidR="0051409B">
              <w:rPr>
                <w:vertAlign w:val="superscript"/>
              </w:rPr>
              <w:t>3</w:t>
            </w:r>
            <w:r w:rsidR="0051409B">
              <w:t xml:space="preserve"> over 40 yr</w:t>
            </w:r>
          </w:p>
          <w:p w14:paraId="014D4B37" w14:textId="416E8B26" w:rsidR="00BD0F6B" w:rsidRDefault="00940CD8" w:rsidP="00AD507B">
            <w:pPr>
              <w:pStyle w:val="ListBullet"/>
              <w:spacing w:before="60" w:after="60"/>
              <w:ind w:left="867" w:hanging="357"/>
              <w:contextualSpacing w:val="0"/>
            </w:pPr>
            <w:r>
              <w:t>C</w:t>
            </w:r>
            <w:r w:rsidR="00BD0F6B">
              <w:t>ase study report</w:t>
            </w:r>
            <w:r w:rsidR="00A10AF0">
              <w:t>ing</w:t>
            </w:r>
            <w:r w:rsidR="00BD0F6B">
              <w:t xml:space="preserve"> increased risk of bladder cancer in dock workers </w:t>
            </w:r>
            <w:r w:rsidR="0002509C">
              <w:t xml:space="preserve">is considered questionable </w:t>
            </w:r>
            <w:r w:rsidR="00BD0F6B">
              <w:t xml:space="preserve">due to implausible assumption of systemic uptake </w:t>
            </w:r>
            <w:r w:rsidR="00BD0F6B" w:rsidRPr="009D3E62">
              <w:rPr>
                <w:i/>
              </w:rPr>
              <w:t>via</w:t>
            </w:r>
            <w:r w:rsidR="00BD0F6B">
              <w:t xml:space="preserve"> inhalational or oral routes</w:t>
            </w:r>
            <w:r w:rsidR="00A10AF0">
              <w:t>.</w:t>
            </w:r>
          </w:p>
          <w:p w14:paraId="0D4B3D46" w14:textId="77777777" w:rsidR="009E2D60" w:rsidRDefault="009E2D60" w:rsidP="00396B87">
            <w:pPr>
              <w:pStyle w:val="Tabletextprimarysource"/>
            </w:pPr>
          </w:p>
          <w:p w14:paraId="1A7A5411" w14:textId="77777777" w:rsidR="00D24739" w:rsidRDefault="00D24739" w:rsidP="00396B87">
            <w:pPr>
              <w:pStyle w:val="Tabletextprimarysource"/>
            </w:pPr>
            <w:r>
              <w:t>Animal studies:</w:t>
            </w:r>
          </w:p>
          <w:p w14:paraId="2F3F3F36" w14:textId="5F23CFE2" w:rsidR="00940CD8" w:rsidRDefault="00A7488B" w:rsidP="00AD507B">
            <w:pPr>
              <w:pStyle w:val="ListBullet"/>
              <w:spacing w:before="60" w:after="60"/>
              <w:ind w:left="867" w:hanging="357"/>
              <w:contextualSpacing w:val="0"/>
            </w:pPr>
            <w:r>
              <w:t xml:space="preserve">3 studies </w:t>
            </w:r>
            <w:r w:rsidR="00940CD8">
              <w:t>reported oxidative DNA damage</w:t>
            </w:r>
            <w:r>
              <w:t xml:space="preserve"> at macrophage overload concentrations (unspecified</w:t>
            </w:r>
            <w:r w:rsidR="00940CD8">
              <w:t xml:space="preserve"> concentration; </w:t>
            </w:r>
            <w:r>
              <w:t>rats, 3 mo)</w:t>
            </w:r>
          </w:p>
          <w:p w14:paraId="78C05F43" w14:textId="42CFCF70" w:rsidR="00940CD8" w:rsidRDefault="00A7488B" w:rsidP="009D3E62">
            <w:pPr>
              <w:pStyle w:val="Tabletextprimarysource"/>
              <w:numPr>
                <w:ilvl w:val="0"/>
                <w:numId w:val="5"/>
              </w:numPr>
              <w:contextualSpacing/>
            </w:pPr>
            <w:r>
              <w:t>particle surface area more decisive than particle mass</w:t>
            </w:r>
          </w:p>
          <w:p w14:paraId="61F7C08A" w14:textId="09A0AB55" w:rsidR="00A7488B" w:rsidRDefault="00940CD8" w:rsidP="009D3E62">
            <w:pPr>
              <w:pStyle w:val="Tabletextprimarysource"/>
              <w:numPr>
                <w:ilvl w:val="0"/>
                <w:numId w:val="5"/>
              </w:numPr>
              <w:contextualSpacing/>
            </w:pPr>
            <w:r>
              <w:t>r</w:t>
            </w:r>
            <w:r w:rsidR="00A7488B">
              <w:t xml:space="preserve">elevance of studies to human exposures </w:t>
            </w:r>
            <w:r w:rsidR="009E5904">
              <w:t xml:space="preserve">considered </w:t>
            </w:r>
            <w:r w:rsidR="00A7488B">
              <w:t>question</w:t>
            </w:r>
            <w:r w:rsidR="009E5904">
              <w:t>able</w:t>
            </w:r>
          </w:p>
          <w:p w14:paraId="78A264B4" w14:textId="5DB82DFB" w:rsidR="002F3366" w:rsidRDefault="00A7488B" w:rsidP="00AD507B">
            <w:pPr>
              <w:pStyle w:val="ListBullet"/>
              <w:spacing w:before="60" w:after="60"/>
              <w:ind w:left="867" w:hanging="357"/>
              <w:contextualSpacing w:val="0"/>
            </w:pPr>
            <w:r>
              <w:t>NOAEL of 1 mg/m</w:t>
            </w:r>
            <w:r>
              <w:rPr>
                <w:vertAlign w:val="superscript"/>
              </w:rPr>
              <w:t>3</w:t>
            </w:r>
            <w:r>
              <w:t xml:space="preserve"> respirable high surface area carbon black (HSCb) for lung inflammation in repeat inhalation study (rats, mice, hamsters, 13 wk)</w:t>
            </w:r>
            <w:r w:rsidR="009E2D60">
              <w:t>:</w:t>
            </w:r>
            <w:r>
              <w:t xml:space="preserve"> </w:t>
            </w:r>
          </w:p>
          <w:p w14:paraId="08FE4B93" w14:textId="594AD7C5" w:rsidR="002F3366" w:rsidRDefault="009E5904" w:rsidP="00C65533">
            <w:pPr>
              <w:pStyle w:val="Tabletextprimarysource"/>
              <w:numPr>
                <w:ilvl w:val="1"/>
                <w:numId w:val="1"/>
              </w:numPr>
              <w:ind w:left="1230" w:hanging="357"/>
              <w:contextualSpacing/>
            </w:pPr>
            <w:r>
              <w:t>r</w:t>
            </w:r>
            <w:r w:rsidR="00A7488B">
              <w:t xml:space="preserve">ats most sensitive </w:t>
            </w:r>
            <w:r w:rsidR="002F3366">
              <w:t xml:space="preserve">due </w:t>
            </w:r>
            <w:r w:rsidR="00CD140D">
              <w:t>to less</w:t>
            </w:r>
            <w:r w:rsidR="002F3366">
              <w:t xml:space="preserve"> efficient clearance mechanism</w:t>
            </w:r>
          </w:p>
          <w:p w14:paraId="035B1EB6" w14:textId="77777777" w:rsidR="00CD140D" w:rsidRDefault="00854F26" w:rsidP="00AD507B">
            <w:pPr>
              <w:pStyle w:val="ListBullet"/>
              <w:spacing w:before="60" w:after="60"/>
              <w:ind w:left="867" w:hanging="357"/>
              <w:contextualSpacing w:val="0"/>
            </w:pPr>
            <w:r>
              <w:t>Dose-related accumulation and lung neoplasms observed in chronically exposed rats at 2.5 or 6.5 mg/m</w:t>
            </w:r>
            <w:r>
              <w:rPr>
                <w:vertAlign w:val="superscript"/>
              </w:rPr>
              <w:t>3</w:t>
            </w:r>
            <w:r w:rsidR="00347000">
              <w:t xml:space="preserve"> (23 mo)</w:t>
            </w:r>
          </w:p>
          <w:p w14:paraId="45A81C33" w14:textId="161B6B82" w:rsidR="00CD140D" w:rsidRDefault="00347000" w:rsidP="009D3E62">
            <w:pPr>
              <w:pStyle w:val="Tabletextprimarysource"/>
              <w:numPr>
                <w:ilvl w:val="0"/>
                <w:numId w:val="5"/>
              </w:numPr>
              <w:contextualSpacing/>
            </w:pPr>
            <w:r>
              <w:t>no significant increase in neoplasms in mice under similar conditions at 11.6 mg/m</w:t>
            </w:r>
            <w:r>
              <w:rPr>
                <w:vertAlign w:val="superscript"/>
              </w:rPr>
              <w:t>3</w:t>
            </w:r>
            <w:r>
              <w:t xml:space="preserve"> (18 h/d, 5 d/wk, 13.5 mo)</w:t>
            </w:r>
          </w:p>
          <w:p w14:paraId="5FC3862B" w14:textId="2EC77ACF" w:rsidR="002F3366" w:rsidRDefault="00CD140D" w:rsidP="009D3E62">
            <w:pPr>
              <w:pStyle w:val="Tabletextprimarysource"/>
              <w:numPr>
                <w:ilvl w:val="0"/>
                <w:numId w:val="5"/>
              </w:numPr>
              <w:contextualSpacing/>
            </w:pPr>
            <w:r>
              <w:t>r</w:t>
            </w:r>
            <w:r w:rsidR="00347000">
              <w:t xml:space="preserve">elevance of rat inhalation model questioned </w:t>
            </w:r>
            <w:r w:rsidR="001B7581">
              <w:t>regarding</w:t>
            </w:r>
            <w:r w:rsidR="00347000">
              <w:t xml:space="preserve"> human cancer risk assessment</w:t>
            </w:r>
          </w:p>
          <w:p w14:paraId="6AFF0A18" w14:textId="35BF2653" w:rsidR="002F3366" w:rsidRDefault="00571580" w:rsidP="00AD507B">
            <w:pPr>
              <w:pStyle w:val="ListBullet"/>
              <w:spacing w:before="60" w:after="60"/>
              <w:ind w:left="867" w:hanging="357"/>
              <w:contextualSpacing w:val="0"/>
            </w:pPr>
            <w:r>
              <w:t xml:space="preserve">Mutagenic mechanism of action </w:t>
            </w:r>
            <w:r>
              <w:rPr>
                <w:i/>
              </w:rPr>
              <w:t>in vitro</w:t>
            </w:r>
            <w:r>
              <w:t xml:space="preserve"> potentially elicited </w:t>
            </w:r>
            <w:r w:rsidRPr="009D3E62">
              <w:rPr>
                <w:i/>
              </w:rPr>
              <w:t>via</w:t>
            </w:r>
            <w:r>
              <w:t xml:space="preserve"> p</w:t>
            </w:r>
            <w:r w:rsidR="00B540BD">
              <w:t>article</w:t>
            </w:r>
            <w:r>
              <w:t xml:space="preserve">-induced inflammatory response and associated </w:t>
            </w:r>
            <w:r w:rsidR="00CD140D">
              <w:t>ROS</w:t>
            </w:r>
            <w:r w:rsidR="00FE1167">
              <w:t>.</w:t>
            </w:r>
          </w:p>
          <w:p w14:paraId="553318D4" w14:textId="77777777" w:rsidR="009E2D60" w:rsidRPr="002F3366" w:rsidRDefault="009E2D60" w:rsidP="00396B87">
            <w:pPr>
              <w:pStyle w:val="Tabletextprimarysource"/>
              <w:contextualSpacing/>
            </w:pPr>
          </w:p>
        </w:tc>
      </w:tr>
      <w:tr w:rsidR="00C978F0" w:rsidRPr="00DA352E" w14:paraId="4A1735F3" w14:textId="77777777" w:rsidTr="009D3E62">
        <w:trPr>
          <w:gridAfter w:val="1"/>
          <w:wAfter w:w="8" w:type="pct"/>
        </w:trPr>
        <w:tc>
          <w:tcPr>
            <w:tcW w:w="4992" w:type="pct"/>
            <w:shd w:val="clear" w:color="auto" w:fill="F2F2F2" w:themeFill="background1" w:themeFillShade="F2"/>
          </w:tcPr>
          <w:p w14:paraId="207BD7EC" w14:textId="77777777"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CD7D17">
                  <w:t>1999</w:t>
                </w:r>
              </w:sdtContent>
            </w:sdt>
            <w:r w:rsidR="00916EC0" w:rsidRPr="003365A5">
              <w:tab/>
            </w:r>
            <w:r w:rsidR="0051509C">
              <w:tab/>
            </w:r>
            <w:r w:rsidR="00FE1167">
              <w:t xml:space="preserve">MAK: </w:t>
            </w:r>
            <w:sdt>
              <w:sdtPr>
                <w:alias w:val="DFG WES equivalent"/>
                <w:tag w:val="DFG WES equivalent"/>
                <w:id w:val="-736175395"/>
                <w:placeholder>
                  <w:docPart w:val="1ED9AEC91FDC4528B51A567B2B19EB9F"/>
                </w:placeholder>
              </w:sdtPr>
              <w:sdtEndPr/>
              <w:sdtContent>
                <w:r w:rsidR="00CD7D17">
                  <w:t>not established</w:t>
                </w:r>
              </w:sdtContent>
            </w:sdt>
          </w:p>
        </w:tc>
      </w:tr>
      <w:tr w:rsidR="00C978F0" w:rsidRPr="00DA352E" w14:paraId="7FFC6D4A" w14:textId="77777777" w:rsidTr="009D3E62">
        <w:trPr>
          <w:gridAfter w:val="1"/>
          <w:wAfter w:w="8" w:type="pct"/>
        </w:trPr>
        <w:tc>
          <w:tcPr>
            <w:tcW w:w="4992" w:type="pct"/>
          </w:tcPr>
          <w:p w14:paraId="777D9479" w14:textId="77777777" w:rsidR="00C978F0" w:rsidRDefault="00CD7D17" w:rsidP="003365A5">
            <w:pPr>
              <w:pStyle w:val="Tabletextprimarysource"/>
            </w:pPr>
            <w:r>
              <w:t>Summary of additional data:</w:t>
            </w:r>
          </w:p>
          <w:p w14:paraId="27B5E70F" w14:textId="549515A3" w:rsidR="00571580" w:rsidRPr="00205221" w:rsidRDefault="00571580" w:rsidP="003365A5">
            <w:pPr>
              <w:pStyle w:val="Tabletextprimarysource"/>
              <w:rPr>
                <w:rFonts w:ascii="Cambria Math" w:hAnsi="Cambria Math"/>
                <w:lang w:eastAsia="ja-JP"/>
              </w:rPr>
            </w:pPr>
            <w:r>
              <w:t>Derivation of MAK not possible with currently available occupational, medicinal, and toxicological data; e</w:t>
            </w:r>
            <w:r w:rsidR="00CD7D17">
              <w:t>vidence for lung carcinogenicity from epidemiological studies</w:t>
            </w:r>
            <w:r w:rsidR="002A10CB">
              <w:t>. I</w:t>
            </w:r>
            <w:r w:rsidR="00CD7D17">
              <w:t>nconclusive</w:t>
            </w:r>
            <w:r>
              <w:t xml:space="preserve"> carcinogenic effects observed in rats are of unknown relevance to humans.</w:t>
            </w:r>
          </w:p>
          <w:p w14:paraId="086E0318" w14:textId="77777777" w:rsidR="00571580" w:rsidRDefault="00571580" w:rsidP="003365A5">
            <w:pPr>
              <w:pStyle w:val="Tabletextprimarysource"/>
            </w:pPr>
            <w:r>
              <w:t>Human data:</w:t>
            </w:r>
          </w:p>
          <w:p w14:paraId="7F795E9F" w14:textId="68570C19" w:rsidR="00CD7D17" w:rsidRDefault="00571580" w:rsidP="00AD507B">
            <w:pPr>
              <w:pStyle w:val="ListBullet"/>
              <w:spacing w:before="60" w:after="60"/>
              <w:ind w:left="867" w:hanging="357"/>
              <w:contextualSpacing w:val="0"/>
            </w:pPr>
            <w:r>
              <w:t xml:space="preserve">Available epidemiological studies </w:t>
            </w:r>
            <w:r w:rsidR="00E158FF">
              <w:t>frequently lack exposure concentrations</w:t>
            </w:r>
            <w:r w:rsidR="00E17425">
              <w:t xml:space="preserve"> or report findings for mixed exposures</w:t>
            </w:r>
            <w:r w:rsidR="00B86D4D">
              <w:t xml:space="preserve">, which </w:t>
            </w:r>
            <w:r w:rsidR="00B672FB">
              <w:t>complicates</w:t>
            </w:r>
            <w:r w:rsidR="00B86D4D">
              <w:t xml:space="preserve"> assessment of the carcinogenic activity</w:t>
            </w:r>
            <w:r w:rsidR="002A10CB">
              <w:t>:</w:t>
            </w:r>
            <w:r w:rsidR="00B86D4D">
              <w:t xml:space="preserve"> </w:t>
            </w:r>
          </w:p>
          <w:p w14:paraId="6E2FEEB9" w14:textId="237600FC" w:rsidR="00E158FF" w:rsidRDefault="009E5904" w:rsidP="00C65533">
            <w:pPr>
              <w:pStyle w:val="ListBullet"/>
              <w:numPr>
                <w:ilvl w:val="1"/>
                <w:numId w:val="3"/>
              </w:numPr>
              <w:ind w:left="1386"/>
            </w:pPr>
            <w:r>
              <w:t>s</w:t>
            </w:r>
            <w:r w:rsidR="00E17425">
              <w:t>ignificant lung function impairment in workers with mixed exposures (n=125) versus controls (n=145); average exposures of 105 was 9.7</w:t>
            </w:r>
            <w:r w:rsidR="009E2D60">
              <w:t>–</w:t>
            </w:r>
            <w:r w:rsidR="00E17425">
              <w:t>31 mg/m</w:t>
            </w:r>
            <w:r w:rsidR="00E17425">
              <w:rPr>
                <w:vertAlign w:val="superscript"/>
              </w:rPr>
              <w:t>3</w:t>
            </w:r>
            <w:r w:rsidR="00E17425">
              <w:t xml:space="preserve"> over 1</w:t>
            </w:r>
            <w:r w:rsidR="009E2D60">
              <w:t>–</w:t>
            </w:r>
            <w:r w:rsidR="00E17425">
              <w:t>11 yr (unspecified dust fraction)</w:t>
            </w:r>
          </w:p>
          <w:p w14:paraId="47BCCDBA" w14:textId="74533D91" w:rsidR="0082636A" w:rsidRDefault="009E2D60" w:rsidP="00C65533">
            <w:pPr>
              <w:pStyle w:val="ListBullet"/>
              <w:numPr>
                <w:ilvl w:val="1"/>
                <w:numId w:val="3"/>
              </w:numPr>
              <w:ind w:left="1386"/>
            </w:pPr>
            <w:r>
              <w:t>p</w:t>
            </w:r>
            <w:r w:rsidR="00E17425">
              <w:t>rogressive lung function impairment in 35 exposed workers at 8.5 mg/m</w:t>
            </w:r>
            <w:r w:rsidR="00E17425">
              <w:rPr>
                <w:vertAlign w:val="superscript"/>
              </w:rPr>
              <w:t>3</w:t>
            </w:r>
            <w:r w:rsidR="00E17425">
              <w:t xml:space="preserve"> inhalable fraction and 7.9 mg/m</w:t>
            </w:r>
            <w:r w:rsidR="00E17425">
              <w:rPr>
                <w:vertAlign w:val="superscript"/>
              </w:rPr>
              <w:t>3</w:t>
            </w:r>
            <w:r w:rsidR="00E17425">
              <w:t xml:space="preserve"> respirable fraction over average exposure of 12.9 yr</w:t>
            </w:r>
          </w:p>
          <w:p w14:paraId="128D60C6" w14:textId="3F010C94" w:rsidR="009E2D60" w:rsidRDefault="009E5904" w:rsidP="009D3E62">
            <w:pPr>
              <w:pStyle w:val="ListBullet"/>
              <w:numPr>
                <w:ilvl w:val="1"/>
                <w:numId w:val="3"/>
              </w:numPr>
              <w:ind w:left="1386"/>
            </w:pPr>
            <w:r>
              <w:t>n</w:t>
            </w:r>
            <w:r w:rsidR="00E17425">
              <w:t>o relationship between lung function impairment exposure in 913 work</w:t>
            </w:r>
            <w:r w:rsidR="00B86D4D">
              <w:t>ers exposed at 0</w:t>
            </w:r>
            <w:r w:rsidR="009E2D60">
              <w:t>–</w:t>
            </w:r>
            <w:r w:rsidR="00B86D4D">
              <w:t>2 mg/m</w:t>
            </w:r>
            <w:r w:rsidR="00B86D4D" w:rsidRPr="004C3EC7">
              <w:rPr>
                <w:vertAlign w:val="superscript"/>
              </w:rPr>
              <w:t>3</w:t>
            </w:r>
            <w:r w:rsidR="00B86D4D">
              <w:t>; follow-up study after 3 yr with 697 workers showed statistically non-signif</w:t>
            </w:r>
            <w:r w:rsidR="00C65533">
              <w:t>icant decrease in lung function</w:t>
            </w:r>
            <w:r w:rsidR="0082636A">
              <w:t>.</w:t>
            </w:r>
            <w:r w:rsidR="00B86D4D">
              <w:t xml:space="preserve"> </w:t>
            </w:r>
          </w:p>
          <w:p w14:paraId="54C64B18" w14:textId="77777777" w:rsidR="009E2D60" w:rsidRDefault="009E2D60" w:rsidP="00396B87">
            <w:pPr>
              <w:pStyle w:val="ListBullet"/>
              <w:numPr>
                <w:ilvl w:val="0"/>
                <w:numId w:val="0"/>
              </w:numPr>
              <w:ind w:left="360" w:hanging="360"/>
            </w:pPr>
          </w:p>
          <w:p w14:paraId="563BB647" w14:textId="77777777" w:rsidR="00CD7D17" w:rsidRDefault="00CD7D17" w:rsidP="00396B87">
            <w:pPr>
              <w:pStyle w:val="ListBullet"/>
              <w:numPr>
                <w:ilvl w:val="0"/>
                <w:numId w:val="0"/>
              </w:numPr>
              <w:ind w:left="360" w:hanging="360"/>
            </w:pPr>
            <w:r>
              <w:t>Animal data:</w:t>
            </w:r>
          </w:p>
          <w:p w14:paraId="18C33331" w14:textId="192A4974" w:rsidR="002A10CB" w:rsidRDefault="00205221" w:rsidP="00AD507B">
            <w:pPr>
              <w:pStyle w:val="ListBullet"/>
              <w:spacing w:before="60" w:after="60"/>
              <w:ind w:left="867" w:hanging="357"/>
              <w:contextualSpacing w:val="0"/>
            </w:pPr>
            <w:r>
              <w:t>In general, h</w:t>
            </w:r>
            <w:r w:rsidR="00B86D4D">
              <w:t>igh lung load (</w:t>
            </w:r>
            <w:r>
              <w:rPr>
                <w:rFonts w:cs="Arial"/>
              </w:rPr>
              <w:t>≈</w:t>
            </w:r>
            <w:r w:rsidR="00B86D4D">
              <w:t>3</w:t>
            </w:r>
            <w:r w:rsidR="009E2D60">
              <w:t>–</w:t>
            </w:r>
            <w:r w:rsidR="00B86D4D">
              <w:t>7</w:t>
            </w:r>
            <w:r>
              <w:t>.8</w:t>
            </w:r>
            <w:r w:rsidR="00B86D4D">
              <w:t xml:space="preserve"> </w:t>
            </w:r>
            <w:r>
              <w:t xml:space="preserve">mg), </w:t>
            </w:r>
            <w:r w:rsidR="00B672FB">
              <w:t>from</w:t>
            </w:r>
            <w:r>
              <w:t xml:space="preserve"> 3.5</w:t>
            </w:r>
            <w:r w:rsidR="009E2D60">
              <w:t>–</w:t>
            </w:r>
            <w:r w:rsidR="00292334">
              <w:t>52.8</w:t>
            </w:r>
            <w:r>
              <w:t xml:space="preserve"> mg/m</w:t>
            </w:r>
            <w:r>
              <w:rPr>
                <w:vertAlign w:val="superscript"/>
              </w:rPr>
              <w:t>3</w:t>
            </w:r>
            <w:r w:rsidR="00B672FB">
              <w:t xml:space="preserve"> exposures, </w:t>
            </w:r>
            <w:r>
              <w:t>results in delayed alveolar lung clearance, inflammation, and fibrosis in rats, mice, and hamsters</w:t>
            </w:r>
          </w:p>
          <w:p w14:paraId="4BCCA479" w14:textId="264C5811" w:rsidR="00B86D4D" w:rsidRPr="00292334" w:rsidRDefault="00292334" w:rsidP="00AD507B">
            <w:pPr>
              <w:pStyle w:val="ListBullet"/>
              <w:spacing w:before="60" w:after="60"/>
              <w:ind w:left="867" w:hanging="357"/>
              <w:contextualSpacing w:val="0"/>
            </w:pPr>
            <w:r>
              <w:t>Higher specific surface areas (up</w:t>
            </w:r>
            <w:r w:rsidR="00C9626D">
              <w:t xml:space="preserve"> to</w:t>
            </w:r>
            <w:r>
              <w:t xml:space="preserve"> 227 m</w:t>
            </w:r>
            <w:r>
              <w:rPr>
                <w:vertAlign w:val="superscript"/>
              </w:rPr>
              <w:t>2</w:t>
            </w:r>
            <w:r>
              <w:t>/g) may be associated with severity of effects</w:t>
            </w:r>
          </w:p>
          <w:p w14:paraId="04CE9844" w14:textId="77777777" w:rsidR="001D46CB" w:rsidRDefault="001D46CB" w:rsidP="00AD507B">
            <w:pPr>
              <w:pStyle w:val="ListBullet"/>
              <w:spacing w:before="60" w:after="60"/>
              <w:ind w:left="867" w:hanging="357"/>
              <w:contextualSpacing w:val="0"/>
            </w:pPr>
            <w:r>
              <w:t>Localised tumours from subcutaneous injection of carbon black extracts or carbon black impregnated with 300 ppm benzo(a)pyrene reported in mice</w:t>
            </w:r>
          </w:p>
          <w:p w14:paraId="04B4282C" w14:textId="77777777" w:rsidR="00740097" w:rsidRDefault="00C9626D" w:rsidP="00AD507B">
            <w:pPr>
              <w:pStyle w:val="ListBullet"/>
              <w:spacing w:before="60" w:after="60"/>
              <w:ind w:left="867" w:hanging="357"/>
              <w:contextualSpacing w:val="0"/>
            </w:pPr>
            <w:r>
              <w:t>S</w:t>
            </w:r>
            <w:r w:rsidR="00740097">
              <w:t xml:space="preserve">uspended particulate matter is generally non-mutagenic </w:t>
            </w:r>
            <w:r w:rsidR="00740097">
              <w:rPr>
                <w:i/>
              </w:rPr>
              <w:t>in vitro</w:t>
            </w:r>
            <w:r w:rsidR="00740097">
              <w:t>, but was shown to be weakly clastogenic in Syrian hamster epithelial lung cells</w:t>
            </w:r>
          </w:p>
          <w:p w14:paraId="0E75CDB2" w14:textId="77777777" w:rsidR="00C9626D" w:rsidRPr="00C9626D" w:rsidRDefault="00C9626D" w:rsidP="00AD507B">
            <w:pPr>
              <w:pStyle w:val="ListBullet"/>
              <w:spacing w:before="60" w:after="60"/>
              <w:ind w:left="867" w:hanging="357"/>
              <w:contextualSpacing w:val="0"/>
            </w:pPr>
            <w:r>
              <w:t xml:space="preserve">Inconclusive results for DNA damage reported for </w:t>
            </w:r>
            <w:r>
              <w:rPr>
                <w:i/>
              </w:rPr>
              <w:t>in vivo</w:t>
            </w:r>
            <w:r>
              <w:t xml:space="preserve"> study, which may be due to presence of desorbed polycyclic aromatic hydrocarbons (PAHs)</w:t>
            </w:r>
          </w:p>
          <w:p w14:paraId="5860D17F" w14:textId="6C0FBFE8" w:rsidR="00292334" w:rsidRDefault="00292334" w:rsidP="00AD507B">
            <w:pPr>
              <w:pStyle w:val="ListBullet"/>
              <w:spacing w:before="60" w:after="60"/>
              <w:ind w:left="867" w:hanging="357"/>
              <w:contextualSpacing w:val="0"/>
            </w:pPr>
            <w:r>
              <w:t xml:space="preserve">Both </w:t>
            </w:r>
            <w:r>
              <w:rPr>
                <w:i/>
              </w:rPr>
              <w:t xml:space="preserve">in vivo </w:t>
            </w:r>
            <w:r>
              <w:t xml:space="preserve">and </w:t>
            </w:r>
            <w:r>
              <w:rPr>
                <w:i/>
              </w:rPr>
              <w:t>in vitro</w:t>
            </w:r>
            <w:r>
              <w:t xml:space="preserve"> mutageni</w:t>
            </w:r>
            <w:r w:rsidR="00740097">
              <w:t xml:space="preserve">city tests with suspended particulate matter are inconsistent with those of organic extracts, possibly due to the greater </w:t>
            </w:r>
            <w:r w:rsidR="00C9626D">
              <w:t>solubilisation of adsorbed contaminants</w:t>
            </w:r>
            <w:r w:rsidR="002A10CB">
              <w:t>.</w:t>
            </w:r>
          </w:p>
          <w:p w14:paraId="1551D8F2" w14:textId="77777777" w:rsidR="009E2D60" w:rsidRPr="00292334" w:rsidRDefault="009E2D60" w:rsidP="00396B87">
            <w:pPr>
              <w:pStyle w:val="ListBullet"/>
              <w:numPr>
                <w:ilvl w:val="0"/>
                <w:numId w:val="0"/>
              </w:numPr>
              <w:ind w:left="360" w:hanging="360"/>
            </w:pPr>
          </w:p>
        </w:tc>
      </w:tr>
      <w:tr w:rsidR="00C978F0" w:rsidRPr="00DA352E" w14:paraId="312D419A" w14:textId="77777777" w:rsidTr="009D3E62">
        <w:trPr>
          <w:gridAfter w:val="1"/>
          <w:wAfter w:w="8" w:type="pct"/>
        </w:trPr>
        <w:tc>
          <w:tcPr>
            <w:tcW w:w="4992" w:type="pct"/>
            <w:shd w:val="clear" w:color="auto" w:fill="F2F2F2" w:themeFill="background1" w:themeFillShade="F2"/>
          </w:tcPr>
          <w:p w14:paraId="11F9A4A0" w14:textId="77777777"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C9626D">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C9626D">
                  <w:t>NA</w:t>
                </w:r>
              </w:sdtContent>
            </w:sdt>
          </w:p>
        </w:tc>
      </w:tr>
      <w:tr w:rsidR="00C978F0" w:rsidRPr="00DA352E" w14:paraId="4FB1C0CA" w14:textId="77777777" w:rsidTr="009D3E62">
        <w:trPr>
          <w:gridAfter w:val="1"/>
          <w:wAfter w:w="8" w:type="pct"/>
        </w:trPr>
        <w:tc>
          <w:tcPr>
            <w:tcW w:w="4992" w:type="pct"/>
          </w:tcPr>
          <w:p w14:paraId="303A829E" w14:textId="6CE6B8D9" w:rsidR="00C978F0" w:rsidRPr="00DA352E" w:rsidRDefault="00C9626D" w:rsidP="003365A5">
            <w:pPr>
              <w:pStyle w:val="Tabletextprimarysource"/>
            </w:pPr>
            <w:r>
              <w:t>No report</w:t>
            </w:r>
            <w:r w:rsidR="00562E50">
              <w:t>.</w:t>
            </w:r>
          </w:p>
        </w:tc>
      </w:tr>
      <w:tr w:rsidR="00DA352E" w:rsidRPr="00DA352E" w14:paraId="6BEBD36C" w14:textId="77777777" w:rsidTr="009D3E62">
        <w:trPr>
          <w:gridAfter w:val="1"/>
          <w:wAfter w:w="8" w:type="pct"/>
        </w:trPr>
        <w:tc>
          <w:tcPr>
            <w:tcW w:w="4992" w:type="pct"/>
            <w:shd w:val="clear" w:color="auto" w:fill="F2F2F2" w:themeFill="background1" w:themeFillShade="F2"/>
          </w:tcPr>
          <w:p w14:paraId="713DD39B"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C9626D">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C9626D">
                  <w:t>NA</w:t>
                </w:r>
              </w:sdtContent>
            </w:sdt>
          </w:p>
        </w:tc>
      </w:tr>
      <w:tr w:rsidR="00DA352E" w:rsidRPr="00DA352E" w14:paraId="0B90703C" w14:textId="77777777" w:rsidTr="009D3E62">
        <w:trPr>
          <w:gridAfter w:val="1"/>
          <w:wAfter w:w="8" w:type="pct"/>
        </w:trPr>
        <w:tc>
          <w:tcPr>
            <w:tcW w:w="4992" w:type="pct"/>
          </w:tcPr>
          <w:p w14:paraId="511AC8A6" w14:textId="6C170492" w:rsidR="00DA352E" w:rsidRPr="00DA352E" w:rsidRDefault="00C9626D" w:rsidP="003365A5">
            <w:pPr>
              <w:pStyle w:val="Tabletextprimarysource"/>
            </w:pPr>
            <w:r>
              <w:t>No report</w:t>
            </w:r>
            <w:r w:rsidR="00562E50">
              <w:t>.</w:t>
            </w:r>
          </w:p>
        </w:tc>
      </w:tr>
      <w:tr w:rsidR="00DA352E" w:rsidRPr="00DA352E" w14:paraId="70F7B05E" w14:textId="77777777" w:rsidTr="009D3E62">
        <w:trPr>
          <w:gridAfter w:val="1"/>
          <w:wAfter w:w="8" w:type="pct"/>
        </w:trPr>
        <w:tc>
          <w:tcPr>
            <w:tcW w:w="4992" w:type="pct"/>
            <w:shd w:val="clear" w:color="auto" w:fill="F2F2F2" w:themeFill="background1" w:themeFillShade="F2"/>
          </w:tcPr>
          <w:p w14:paraId="3F2E5ECD"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C9626D">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C9626D">
                  <w:t>NA</w:t>
                </w:r>
              </w:sdtContent>
            </w:sdt>
          </w:p>
        </w:tc>
      </w:tr>
      <w:tr w:rsidR="00DA352E" w:rsidRPr="00DA352E" w14:paraId="55EF7B46" w14:textId="77777777" w:rsidTr="009D3E62">
        <w:trPr>
          <w:gridAfter w:val="1"/>
          <w:wAfter w:w="8" w:type="pct"/>
        </w:trPr>
        <w:tc>
          <w:tcPr>
            <w:tcW w:w="4992" w:type="pct"/>
          </w:tcPr>
          <w:p w14:paraId="6935F471" w14:textId="5D36EA79" w:rsidR="00DA352E" w:rsidRPr="00DA352E" w:rsidRDefault="00C9626D" w:rsidP="003365A5">
            <w:pPr>
              <w:pStyle w:val="Tabletextprimarysource"/>
            </w:pPr>
            <w:r>
              <w:t>No report</w:t>
            </w:r>
            <w:r w:rsidR="00562E50">
              <w:t>.</w:t>
            </w:r>
          </w:p>
        </w:tc>
      </w:tr>
    </w:tbl>
    <w:p w14:paraId="5F591FAB"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3"/>
        <w:gridCol w:w="422"/>
        <w:gridCol w:w="661"/>
        <w:gridCol w:w="6450"/>
      </w:tblGrid>
      <w:tr w:rsidR="004966BF" w:rsidRPr="00263255" w14:paraId="2AB4E80A" w14:textId="77777777" w:rsidTr="00C65533">
        <w:trPr>
          <w:cantSplit/>
          <w:trHeight w:val="393"/>
          <w:tblHeader/>
        </w:trPr>
        <w:tc>
          <w:tcPr>
            <w:tcW w:w="1493" w:type="dxa"/>
            <w:shd w:val="clear" w:color="auto" w:fill="BFBFBF" w:themeFill="background1" w:themeFillShade="BF"/>
            <w:vAlign w:val="center"/>
          </w:tcPr>
          <w:p w14:paraId="7920CAE5" w14:textId="77777777"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14:paraId="7A14A2FB" w14:textId="77777777" w:rsidR="004966BF" w:rsidRPr="00263255" w:rsidRDefault="004966BF" w:rsidP="00263255">
            <w:pPr>
              <w:pStyle w:val="Tableheader"/>
            </w:pPr>
          </w:p>
        </w:tc>
        <w:tc>
          <w:tcPr>
            <w:tcW w:w="661" w:type="dxa"/>
            <w:shd w:val="clear" w:color="auto" w:fill="BFBFBF" w:themeFill="background1" w:themeFillShade="BF"/>
            <w:vAlign w:val="center"/>
          </w:tcPr>
          <w:p w14:paraId="04BD77B1" w14:textId="77777777" w:rsidR="004966BF" w:rsidRPr="00263255" w:rsidRDefault="004966BF" w:rsidP="00263255">
            <w:pPr>
              <w:pStyle w:val="Tableheader"/>
            </w:pPr>
            <w:r>
              <w:t>Year</w:t>
            </w:r>
          </w:p>
        </w:tc>
        <w:tc>
          <w:tcPr>
            <w:tcW w:w="6450" w:type="dxa"/>
            <w:shd w:val="clear" w:color="auto" w:fill="BFBFBF" w:themeFill="background1" w:themeFillShade="BF"/>
            <w:vAlign w:val="center"/>
          </w:tcPr>
          <w:p w14:paraId="73A56231" w14:textId="77777777" w:rsidR="004966BF" w:rsidRPr="00263255" w:rsidRDefault="004966BF" w:rsidP="00263255">
            <w:pPr>
              <w:pStyle w:val="Tableheader"/>
            </w:pPr>
            <w:r>
              <w:t>Additional information</w:t>
            </w:r>
          </w:p>
        </w:tc>
      </w:tr>
      <w:tr w:rsidR="004966BF" w:rsidRPr="004C23F4" w14:paraId="5891D371" w14:textId="77777777" w:rsidTr="00C65533">
        <w:trPr>
          <w:cantSplit/>
        </w:trPr>
        <w:tc>
          <w:tcPr>
            <w:tcW w:w="1493" w:type="dxa"/>
          </w:tcPr>
          <w:p w14:paraId="79369362" w14:textId="77777777" w:rsidR="004966BF" w:rsidRPr="004C23F4" w:rsidRDefault="004966BF" w:rsidP="00224EE2">
            <w:pPr>
              <w:pStyle w:val="Tablefont"/>
            </w:pPr>
            <w:r>
              <w:t>NICNAS</w:t>
            </w:r>
          </w:p>
        </w:tc>
        <w:tc>
          <w:tcPr>
            <w:tcW w:w="422" w:type="dxa"/>
          </w:tcPr>
          <w:p w14:paraId="3DC108F1" w14:textId="77777777" w:rsidR="004966BF" w:rsidRPr="00CE617F" w:rsidRDefault="009A37B6"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B00A0E">
                  <w:rPr>
                    <w:rStyle w:val="checkbox"/>
                  </w:rPr>
                  <w:t></w:t>
                </w:r>
              </w:sdtContent>
            </w:sdt>
          </w:p>
        </w:tc>
        <w:tc>
          <w:tcPr>
            <w:tcW w:w="661" w:type="dxa"/>
          </w:tcPr>
          <w:p w14:paraId="3180E696" w14:textId="77777777" w:rsidR="004966BF" w:rsidRPr="004C23F4" w:rsidRDefault="00B00A0E" w:rsidP="00717D45">
            <w:pPr>
              <w:pStyle w:val="Tablefont"/>
              <w:rPr>
                <w:rStyle w:val="checkbox"/>
                <w:rFonts w:ascii="Arial" w:hAnsi="Arial" w:cs="Arial"/>
              </w:rPr>
            </w:pPr>
            <w:r>
              <w:rPr>
                <w:rStyle w:val="checkbox"/>
                <w:rFonts w:ascii="Arial" w:hAnsi="Arial" w:cs="Arial"/>
              </w:rPr>
              <w:t>2015</w:t>
            </w:r>
          </w:p>
        </w:tc>
        <w:tc>
          <w:tcPr>
            <w:tcW w:w="6450" w:type="dxa"/>
          </w:tcPr>
          <w:p w14:paraId="391AC496" w14:textId="77777777" w:rsidR="00CC59FE" w:rsidRPr="005223A5" w:rsidRDefault="00CC59FE" w:rsidP="00717D45">
            <w:pPr>
              <w:pStyle w:val="Tablefont"/>
              <w:rPr>
                <w:rFonts w:cs="Arial"/>
              </w:rPr>
            </w:pPr>
            <w:r w:rsidRPr="005223A5">
              <w:rPr>
                <w:rFonts w:cs="Arial"/>
              </w:rPr>
              <w:t>Human data:</w:t>
            </w:r>
          </w:p>
          <w:p w14:paraId="0841CC06" w14:textId="3F96C671" w:rsidR="00CC59FE" w:rsidRPr="005223A5" w:rsidRDefault="001E6599" w:rsidP="0050627E">
            <w:pPr>
              <w:pStyle w:val="ListBullet"/>
            </w:pPr>
            <w:r w:rsidRPr="005223A5">
              <w:t>Three-phase epidemiological study (n</w:t>
            </w:r>
            <w:r w:rsidR="00C75FF5" w:rsidRPr="005223A5">
              <w:t xml:space="preserve"> </w:t>
            </w:r>
            <w:r w:rsidRPr="005223A5">
              <w:t>&gt;2000) concluded minimal effects on pulmonary function at 1 mg/m</w:t>
            </w:r>
            <w:r w:rsidRPr="005223A5">
              <w:rPr>
                <w:vertAlign w:val="superscript"/>
              </w:rPr>
              <w:t>3</w:t>
            </w:r>
            <w:r w:rsidRPr="005223A5">
              <w:t xml:space="preserve"> over 8 h/d for 40 yr</w:t>
            </w:r>
            <w:r w:rsidR="00CC59FE" w:rsidRPr="005223A5">
              <w:t xml:space="preserve"> based on cumulative measurements. Modelled data indicate the forced expiratory volumes (FEV1) were reduced relative to exposure level in non-smoking males: (FEV1) of 48, 91 and 169</w:t>
            </w:r>
            <w:r w:rsidR="007F3E99" w:rsidRPr="005223A5">
              <w:t> </w:t>
            </w:r>
            <w:r w:rsidR="00CC59FE" w:rsidRPr="005223A5">
              <w:t>mL at 1, 2 and 3.5 mg/m</w:t>
            </w:r>
            <w:r w:rsidR="00CC59FE" w:rsidRPr="005223A5">
              <w:rPr>
                <w:vertAlign w:val="superscript"/>
              </w:rPr>
              <w:t>3</w:t>
            </w:r>
            <w:r w:rsidR="00CC59FE" w:rsidRPr="005223A5">
              <w:t xml:space="preserve"> exposure, respectively. </w:t>
            </w:r>
          </w:p>
          <w:p w14:paraId="5F3CAEC3" w14:textId="3A05B667" w:rsidR="00CC59FE" w:rsidRPr="005223A5" w:rsidRDefault="00CC59FE" w:rsidP="0050627E">
            <w:pPr>
              <w:pStyle w:val="ListBullet"/>
            </w:pPr>
            <w:r w:rsidRPr="005223A5">
              <w:t>Physical examinations showed exposure-related symptoms such as cough and phlegm, lethargy, chest pains, skin irritation, reduced senses of smell and hearing, and discoloured sputum and stools. Respiratory effects included bronchitis, pneumosclerosis and myocardial dystrophy, especially in workers with 2</w:t>
            </w:r>
            <w:r w:rsidR="009E2D60" w:rsidRPr="005223A5">
              <w:t>–</w:t>
            </w:r>
            <w:r w:rsidRPr="005223A5">
              <w:t>4 yr exposure</w:t>
            </w:r>
            <w:r w:rsidR="0082636A" w:rsidRPr="005223A5">
              <w:t>.</w:t>
            </w:r>
          </w:p>
          <w:p w14:paraId="36094B9A" w14:textId="77777777" w:rsidR="00CC59FE" w:rsidRPr="005223A5" w:rsidRDefault="00CC59FE" w:rsidP="00717D45">
            <w:pPr>
              <w:pStyle w:val="Tablefont"/>
              <w:rPr>
                <w:rFonts w:cs="Arial"/>
              </w:rPr>
            </w:pPr>
            <w:r w:rsidRPr="005223A5">
              <w:rPr>
                <w:rFonts w:cs="Arial"/>
              </w:rPr>
              <w:t>Animal data:</w:t>
            </w:r>
          </w:p>
          <w:p w14:paraId="1DA627D7" w14:textId="5B06DA39" w:rsidR="00B10B40" w:rsidRPr="005223A5" w:rsidRDefault="00B10B40" w:rsidP="0050627E">
            <w:pPr>
              <w:pStyle w:val="ListBullet"/>
            </w:pPr>
            <w:r w:rsidRPr="005223A5">
              <w:t>LD</w:t>
            </w:r>
            <w:r w:rsidRPr="005223A5">
              <w:rPr>
                <w:vertAlign w:val="subscript"/>
              </w:rPr>
              <w:t>50</w:t>
            </w:r>
            <w:r w:rsidRPr="005223A5">
              <w:t xml:space="preserve"> &gt;10,000 mg/kg (rats</w:t>
            </w:r>
            <w:r w:rsidR="002A4B39" w:rsidRPr="005223A5">
              <w:t>, oral</w:t>
            </w:r>
            <w:r w:rsidRPr="005223A5">
              <w:t>)</w:t>
            </w:r>
          </w:p>
          <w:p w14:paraId="0A53353B" w14:textId="77777777" w:rsidR="0050627E" w:rsidRPr="005223A5" w:rsidRDefault="0050627E" w:rsidP="0050627E">
            <w:pPr>
              <w:pStyle w:val="ListBullet"/>
            </w:pPr>
            <w:r w:rsidRPr="005223A5">
              <w:t>LC</w:t>
            </w:r>
            <w:r w:rsidRPr="005223A5">
              <w:rPr>
                <w:vertAlign w:val="subscript"/>
              </w:rPr>
              <w:t>50</w:t>
            </w:r>
            <w:r w:rsidRPr="005223A5">
              <w:t xml:space="preserve"> &gt;4.6 mg/m</w:t>
            </w:r>
            <w:r w:rsidRPr="005223A5">
              <w:rPr>
                <w:vertAlign w:val="superscript"/>
              </w:rPr>
              <w:t>3</w:t>
            </w:r>
            <w:r w:rsidRPr="005223A5">
              <w:t xml:space="preserve"> (rats, 4h)</w:t>
            </w:r>
          </w:p>
          <w:p w14:paraId="39677625" w14:textId="77777777" w:rsidR="008D2816" w:rsidRPr="005223A5" w:rsidRDefault="00B10B40" w:rsidP="0050627E">
            <w:pPr>
              <w:pStyle w:val="ListBullet"/>
              <w:rPr>
                <w:rStyle w:val="checkbox"/>
                <w:rFonts w:ascii="Arial" w:hAnsi="Arial" w:cs="Arial"/>
              </w:rPr>
            </w:pPr>
            <w:r w:rsidRPr="005223A5">
              <w:rPr>
                <w:rStyle w:val="checkbox"/>
                <w:rFonts w:ascii="Arial" w:hAnsi="Arial" w:cs="Arial"/>
              </w:rPr>
              <w:t>Acute inhalational toxicity unclear; p</w:t>
            </w:r>
            <w:r w:rsidR="008D2816" w:rsidRPr="005223A5">
              <w:rPr>
                <w:rStyle w:val="checkbox"/>
                <w:rFonts w:ascii="Arial" w:hAnsi="Arial" w:cs="Arial"/>
              </w:rPr>
              <w:t xml:space="preserve">article sizes may contribute </w:t>
            </w:r>
            <w:r w:rsidRPr="005223A5">
              <w:rPr>
                <w:rStyle w:val="checkbox"/>
                <w:rFonts w:ascii="Arial" w:hAnsi="Arial" w:cs="Arial"/>
              </w:rPr>
              <w:t xml:space="preserve">to potential toxicity </w:t>
            </w:r>
            <w:r w:rsidR="008D2816" w:rsidRPr="005223A5">
              <w:rPr>
                <w:rStyle w:val="checkbox"/>
                <w:rFonts w:ascii="Arial" w:hAnsi="Arial" w:cs="Arial"/>
              </w:rPr>
              <w:t>due to</w:t>
            </w:r>
            <w:r w:rsidRPr="005223A5">
              <w:rPr>
                <w:rStyle w:val="checkbox"/>
                <w:rFonts w:ascii="Arial" w:hAnsi="Arial" w:cs="Arial"/>
              </w:rPr>
              <w:t xml:space="preserve"> lung burden from the particles</w:t>
            </w:r>
          </w:p>
          <w:p w14:paraId="512C3771" w14:textId="2FF7DFB8" w:rsidR="008D2816" w:rsidRPr="005223A5" w:rsidRDefault="0050627E" w:rsidP="0050627E">
            <w:pPr>
              <w:pStyle w:val="ListBullet"/>
              <w:rPr>
                <w:rStyle w:val="checkbox"/>
                <w:rFonts w:ascii="Arial" w:hAnsi="Arial" w:cs="Arial"/>
              </w:rPr>
            </w:pPr>
            <w:r w:rsidRPr="005223A5">
              <w:rPr>
                <w:rStyle w:val="checkbox"/>
                <w:rFonts w:ascii="Arial" w:hAnsi="Arial" w:cs="Arial"/>
              </w:rPr>
              <w:t xml:space="preserve">Severe lung burden occurs </w:t>
            </w:r>
            <w:r w:rsidR="00B10B40" w:rsidRPr="005223A5">
              <w:rPr>
                <w:rStyle w:val="checkbox"/>
                <w:rFonts w:ascii="Arial" w:hAnsi="Arial" w:cs="Arial"/>
              </w:rPr>
              <w:t>between 0.5</w:t>
            </w:r>
            <w:r w:rsidR="009E2D60" w:rsidRPr="005223A5">
              <w:rPr>
                <w:rStyle w:val="checkbox"/>
                <w:rFonts w:ascii="Arial" w:hAnsi="Arial" w:cs="Arial"/>
              </w:rPr>
              <w:t>–</w:t>
            </w:r>
            <w:r w:rsidR="00B10B40" w:rsidRPr="005223A5">
              <w:rPr>
                <w:rStyle w:val="checkbox"/>
                <w:rFonts w:ascii="Arial" w:hAnsi="Arial" w:cs="Arial"/>
              </w:rPr>
              <w:t>1 mg in rats</w:t>
            </w:r>
          </w:p>
          <w:p w14:paraId="2857C743" w14:textId="77777777" w:rsidR="0050627E" w:rsidRPr="005223A5" w:rsidRDefault="0050627E" w:rsidP="0050627E">
            <w:pPr>
              <w:pStyle w:val="ListBullet"/>
              <w:rPr>
                <w:rStyle w:val="checkbox"/>
                <w:rFonts w:ascii="Arial" w:hAnsi="Arial" w:cs="Arial"/>
              </w:rPr>
            </w:pPr>
            <w:r w:rsidRPr="005223A5">
              <w:rPr>
                <w:rStyle w:val="checkbox"/>
                <w:rFonts w:ascii="Arial" w:hAnsi="Arial" w:cs="Arial"/>
              </w:rPr>
              <w:t>Inflammatory effects in rats exposed to 1 mg/m</w:t>
            </w:r>
            <w:r w:rsidRPr="005223A5">
              <w:rPr>
                <w:rStyle w:val="checkbox"/>
                <w:rFonts w:ascii="Arial" w:hAnsi="Arial" w:cs="Arial"/>
                <w:vertAlign w:val="superscript"/>
              </w:rPr>
              <w:t>3</w:t>
            </w:r>
            <w:r w:rsidRPr="005223A5">
              <w:rPr>
                <w:rStyle w:val="checkbox"/>
                <w:rFonts w:ascii="Arial" w:hAnsi="Arial" w:cs="Arial"/>
              </w:rPr>
              <w:t xml:space="preserve"> ultrafine particles (20 nm), but no effects when exposed to fine particles (200 nm)</w:t>
            </w:r>
          </w:p>
          <w:p w14:paraId="163B4258" w14:textId="77777777" w:rsidR="00CD5C79" w:rsidRPr="005223A5" w:rsidRDefault="0050627E" w:rsidP="004C3EC7">
            <w:pPr>
              <w:pStyle w:val="ListBullet"/>
              <w:rPr>
                <w:rStyle w:val="checkbox"/>
                <w:rFonts w:ascii="Arial" w:hAnsi="Arial" w:cs="Arial"/>
              </w:rPr>
            </w:pPr>
            <w:r w:rsidRPr="005223A5">
              <w:rPr>
                <w:rStyle w:val="checkbox"/>
                <w:rFonts w:ascii="Arial" w:hAnsi="Arial" w:cs="Arial"/>
              </w:rPr>
              <w:t>Negative results for skin sensitisation in guinea pigs</w:t>
            </w:r>
          </w:p>
          <w:p w14:paraId="6A44482D" w14:textId="45356E9C" w:rsidR="008D2816" w:rsidRPr="004C3EC7" w:rsidRDefault="0050627E">
            <w:pPr>
              <w:pStyle w:val="ListBullet"/>
              <w:rPr>
                <w:rStyle w:val="checkbox"/>
                <w:rFonts w:ascii="Arial" w:hAnsi="Arial" w:cs="Arial"/>
              </w:rPr>
            </w:pPr>
            <w:r w:rsidRPr="005223A5">
              <w:rPr>
                <w:rStyle w:val="checkbox"/>
                <w:rFonts w:ascii="Arial" w:hAnsi="Arial" w:cs="Arial"/>
              </w:rPr>
              <w:t>Positive genotoxic results possibly due to action of generated reactive oxygen species or adsorbed PAHs</w:t>
            </w:r>
            <w:r w:rsidR="00A25EAE">
              <w:rPr>
                <w:rStyle w:val="checkbox"/>
                <w:rFonts w:ascii="Arial" w:hAnsi="Arial" w:cs="Arial"/>
              </w:rPr>
              <w:t>.</w:t>
            </w:r>
          </w:p>
        </w:tc>
      </w:tr>
      <w:tr w:rsidR="004966BF" w:rsidRPr="004C23F4" w14:paraId="4144202E" w14:textId="77777777" w:rsidTr="00C65533">
        <w:trPr>
          <w:cantSplit/>
        </w:trPr>
        <w:tc>
          <w:tcPr>
            <w:tcW w:w="1493" w:type="dxa"/>
          </w:tcPr>
          <w:p w14:paraId="6D6981DF" w14:textId="77777777" w:rsidR="004966BF" w:rsidRPr="004C23F4" w:rsidRDefault="004966BF" w:rsidP="00224EE2">
            <w:pPr>
              <w:pStyle w:val="Tablefont"/>
            </w:pPr>
            <w:r>
              <w:t>IARC</w:t>
            </w:r>
          </w:p>
        </w:tc>
        <w:tc>
          <w:tcPr>
            <w:tcW w:w="422" w:type="dxa"/>
          </w:tcPr>
          <w:p w14:paraId="03A83077" w14:textId="77777777" w:rsidR="004966BF" w:rsidRPr="00CE617F" w:rsidRDefault="009A37B6"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CF6F75">
                  <w:rPr>
                    <w:rStyle w:val="checkbox"/>
                  </w:rPr>
                  <w:t></w:t>
                </w:r>
              </w:sdtContent>
            </w:sdt>
          </w:p>
        </w:tc>
        <w:tc>
          <w:tcPr>
            <w:tcW w:w="661" w:type="dxa"/>
          </w:tcPr>
          <w:p w14:paraId="665800CC" w14:textId="77777777" w:rsidR="004966BF" w:rsidRPr="004C23F4" w:rsidRDefault="00CF6F75" w:rsidP="00717D45">
            <w:pPr>
              <w:pStyle w:val="Tablefont"/>
              <w:rPr>
                <w:rStyle w:val="checkbox"/>
                <w:rFonts w:ascii="Arial" w:hAnsi="Arial" w:cs="Arial"/>
              </w:rPr>
            </w:pPr>
            <w:r>
              <w:rPr>
                <w:rStyle w:val="checkbox"/>
                <w:rFonts w:ascii="Arial" w:hAnsi="Arial" w:cs="Arial"/>
              </w:rPr>
              <w:t>2010</w:t>
            </w:r>
          </w:p>
        </w:tc>
        <w:tc>
          <w:tcPr>
            <w:tcW w:w="6450" w:type="dxa"/>
          </w:tcPr>
          <w:p w14:paraId="59237B75" w14:textId="7BC54521" w:rsidR="004966BF" w:rsidRPr="0050627E" w:rsidRDefault="0050627E" w:rsidP="009926C9">
            <w:pPr>
              <w:pStyle w:val="ListBullet"/>
              <w:rPr>
                <w:rStyle w:val="checkbox"/>
                <w:rFonts w:ascii="Arial" w:hAnsi="Arial" w:cs="Arial"/>
              </w:rPr>
            </w:pPr>
            <w:r>
              <w:rPr>
                <w:rStyle w:val="checkbox"/>
                <w:rFonts w:ascii="Arial" w:hAnsi="Arial" w:cs="Arial"/>
              </w:rPr>
              <w:t>Sufficient evidence for carcinogenic activity in animals, but inadequate data for human assessment</w:t>
            </w:r>
            <w:r w:rsidR="00A25EAE">
              <w:rPr>
                <w:rStyle w:val="checkbox"/>
                <w:rFonts w:ascii="Arial" w:hAnsi="Arial" w:cs="Arial"/>
              </w:rPr>
              <w:t>.</w:t>
            </w:r>
          </w:p>
        </w:tc>
      </w:tr>
      <w:tr w:rsidR="004966BF" w:rsidRPr="004C23F4" w14:paraId="31A128A1" w14:textId="77777777" w:rsidTr="00C65533">
        <w:trPr>
          <w:cantSplit/>
          <w:trHeight w:val="940"/>
        </w:trPr>
        <w:tc>
          <w:tcPr>
            <w:tcW w:w="1493" w:type="dxa"/>
          </w:tcPr>
          <w:p w14:paraId="6D935508" w14:textId="77777777" w:rsidR="004966BF" w:rsidRPr="004C23F4" w:rsidRDefault="004966BF" w:rsidP="00224EE2">
            <w:pPr>
              <w:pStyle w:val="Tablefont"/>
            </w:pPr>
            <w:r>
              <w:t>Nordic Council</w:t>
            </w:r>
          </w:p>
        </w:tc>
        <w:tc>
          <w:tcPr>
            <w:tcW w:w="422" w:type="dxa"/>
          </w:tcPr>
          <w:p w14:paraId="48320952" w14:textId="77777777" w:rsidR="004966BF" w:rsidRPr="00744817" w:rsidRDefault="009A37B6" w:rsidP="00AB43C4">
            <w:pPr>
              <w:spacing w:before="40"/>
              <w:jc w:val="center"/>
              <w:rPr>
                <w:rStyle w:val="checkbox"/>
              </w:rPr>
            </w:pPr>
            <w:sdt>
              <w:sdtPr>
                <w:rPr>
                  <w:rStyle w:val="checkbox"/>
                </w:rPr>
                <w:id w:val="-130487844"/>
                <w:placeholder>
                  <w:docPart w:val="CA68404C5F6B4780904F09DAAE62489A"/>
                </w:placeholder>
                <w:dropDownList>
                  <w:listItem w:displayText="" w:value=""/>
                  <w:listItem w:displayText="" w:value=""/>
                  <w:listItem w:displayText="" w:value=""/>
                </w:dropDownList>
              </w:sdtPr>
              <w:sdtEndPr>
                <w:rPr>
                  <w:rStyle w:val="checkbox"/>
                </w:rPr>
              </w:sdtEndPr>
              <w:sdtContent>
                <w:r w:rsidR="000E4C17" w:rsidRPr="00744817">
                  <w:rPr>
                    <w:rStyle w:val="checkbox"/>
                  </w:rPr>
                  <w:t></w:t>
                </w:r>
              </w:sdtContent>
            </w:sdt>
          </w:p>
        </w:tc>
        <w:tc>
          <w:tcPr>
            <w:tcW w:w="661" w:type="dxa"/>
          </w:tcPr>
          <w:p w14:paraId="429C5A8B" w14:textId="77777777" w:rsidR="004966BF" w:rsidRPr="00744817" w:rsidRDefault="000E4C17" w:rsidP="00717D45">
            <w:pPr>
              <w:pStyle w:val="Tablefont"/>
              <w:rPr>
                <w:rStyle w:val="checkbox"/>
                <w:rFonts w:ascii="Arial" w:hAnsi="Arial" w:cs="Arial"/>
              </w:rPr>
            </w:pPr>
            <w:r w:rsidRPr="00744817">
              <w:rPr>
                <w:rStyle w:val="checkbox"/>
                <w:rFonts w:ascii="Arial" w:hAnsi="Arial" w:cs="Arial"/>
              </w:rPr>
              <w:t>2013</w:t>
            </w:r>
          </w:p>
        </w:tc>
        <w:tc>
          <w:tcPr>
            <w:tcW w:w="6450" w:type="dxa"/>
          </w:tcPr>
          <w:p w14:paraId="034A527A" w14:textId="77777777" w:rsidR="00014D55" w:rsidRPr="00744817" w:rsidRDefault="00014D55" w:rsidP="00744817">
            <w:pPr>
              <w:pStyle w:val="ListBullet"/>
            </w:pPr>
            <w:r w:rsidRPr="00744817">
              <w:t>Carbon black used as comparison in toxicity studies of carbon nanotubes (CNT</w:t>
            </w:r>
            <w:r w:rsidR="00744817" w:rsidRPr="00744817">
              <w:t>s</w:t>
            </w:r>
            <w:r w:rsidRPr="00744817">
              <w:t>)</w:t>
            </w:r>
          </w:p>
          <w:p w14:paraId="554ACCD7" w14:textId="700A1476" w:rsidR="004966BF" w:rsidRPr="00744817" w:rsidRDefault="00014D55" w:rsidP="00744817">
            <w:pPr>
              <w:pStyle w:val="ListBullet"/>
              <w:rPr>
                <w:rStyle w:val="checkbox"/>
                <w:rFonts w:ascii="Arial" w:hAnsi="Arial" w:cs="Arial"/>
              </w:rPr>
            </w:pPr>
            <w:r w:rsidRPr="00744817">
              <w:t xml:space="preserve">Intratracheal instillation of 0.5 mg of </w:t>
            </w:r>
            <w:r w:rsidR="00744817" w:rsidRPr="00744817">
              <w:t>CNTs or carbon black in mice causes necrosis and lung inflammation only in CNT-treated mice</w:t>
            </w:r>
            <w:r w:rsidR="00A25EAE">
              <w:t>.</w:t>
            </w:r>
          </w:p>
        </w:tc>
      </w:tr>
      <w:tr w:rsidR="004966BF" w:rsidRPr="004C23F4" w14:paraId="60801630" w14:textId="77777777" w:rsidTr="00C65533">
        <w:trPr>
          <w:cantSplit/>
        </w:trPr>
        <w:tc>
          <w:tcPr>
            <w:tcW w:w="1493" w:type="dxa"/>
          </w:tcPr>
          <w:p w14:paraId="0EA06EC6" w14:textId="77777777" w:rsidR="004966BF" w:rsidRPr="00744817" w:rsidRDefault="004966BF" w:rsidP="00224EE2">
            <w:pPr>
              <w:pStyle w:val="Tablefont"/>
            </w:pPr>
            <w:r w:rsidRPr="00744817">
              <w:t>OECD</w:t>
            </w:r>
          </w:p>
        </w:tc>
        <w:tc>
          <w:tcPr>
            <w:tcW w:w="422" w:type="dxa"/>
          </w:tcPr>
          <w:p w14:paraId="3BC663F1" w14:textId="77777777" w:rsidR="004966BF" w:rsidRPr="00744817" w:rsidRDefault="009A37B6" w:rsidP="00AB43C4">
            <w:pPr>
              <w:spacing w:before="40"/>
              <w:jc w:val="center"/>
              <w:rPr>
                <w:rStyle w:val="checkbox"/>
              </w:rPr>
            </w:pPr>
            <w:sdt>
              <w:sdtPr>
                <w:rPr>
                  <w:rStyle w:val="checkbox"/>
                </w:rPr>
                <w:id w:val="-491947220"/>
                <w:placeholder>
                  <w:docPart w:val="320A77D155374054996F168A20882C28"/>
                </w:placeholder>
                <w:dropDownList>
                  <w:listItem w:displayText="" w:value=""/>
                  <w:listItem w:displayText="" w:value=""/>
                  <w:listItem w:displayText="" w:value=""/>
                </w:dropDownList>
              </w:sdtPr>
              <w:sdtEndPr>
                <w:rPr>
                  <w:rStyle w:val="checkbox"/>
                </w:rPr>
              </w:sdtEndPr>
              <w:sdtContent>
                <w:r w:rsidR="000E4C17" w:rsidRPr="00744817">
                  <w:rPr>
                    <w:rStyle w:val="checkbox"/>
                  </w:rPr>
                  <w:t></w:t>
                </w:r>
              </w:sdtContent>
            </w:sdt>
          </w:p>
        </w:tc>
        <w:tc>
          <w:tcPr>
            <w:tcW w:w="661" w:type="dxa"/>
          </w:tcPr>
          <w:p w14:paraId="44F4EF5D" w14:textId="77777777" w:rsidR="004966BF" w:rsidRPr="00744817" w:rsidRDefault="0031089B" w:rsidP="00717D45">
            <w:pPr>
              <w:pStyle w:val="Tablefont"/>
              <w:rPr>
                <w:rStyle w:val="checkbox"/>
                <w:rFonts w:ascii="Arial" w:hAnsi="Arial" w:cs="Arial"/>
              </w:rPr>
            </w:pPr>
            <w:r w:rsidRPr="00744817">
              <w:rPr>
                <w:rStyle w:val="checkbox"/>
                <w:rFonts w:ascii="Arial" w:hAnsi="Arial" w:cs="Arial"/>
              </w:rPr>
              <w:t>2006</w:t>
            </w:r>
          </w:p>
        </w:tc>
        <w:tc>
          <w:tcPr>
            <w:tcW w:w="6450" w:type="dxa"/>
          </w:tcPr>
          <w:p w14:paraId="038FA253" w14:textId="77777777" w:rsidR="00744817" w:rsidRPr="00744817" w:rsidRDefault="00744817" w:rsidP="00744817">
            <w:pPr>
              <w:pStyle w:val="ListBullet"/>
            </w:pPr>
            <w:r w:rsidRPr="00744817">
              <w:t>Several</w:t>
            </w:r>
            <w:r w:rsidR="00537A15" w:rsidRPr="00744817">
              <w:t xml:space="preserve"> cases of skin cancer identified in </w:t>
            </w:r>
            <w:r w:rsidRPr="00744817">
              <w:t xml:space="preserve">production workers in the US; </w:t>
            </w:r>
            <w:r w:rsidR="00537A15" w:rsidRPr="00744817">
              <w:t xml:space="preserve">cohort in the UK </w:t>
            </w:r>
            <w:r w:rsidRPr="00744817">
              <w:t xml:space="preserve">showed </w:t>
            </w:r>
            <w:r w:rsidR="00537A15" w:rsidRPr="00744817">
              <w:t>no excesses of skin cancer</w:t>
            </w:r>
          </w:p>
          <w:p w14:paraId="3852EDF8" w14:textId="646EE243" w:rsidR="004966BF" w:rsidRPr="00744817" w:rsidRDefault="00744817" w:rsidP="00744817">
            <w:pPr>
              <w:pStyle w:val="ListBullet"/>
              <w:rPr>
                <w:rStyle w:val="checkbox"/>
                <w:rFonts w:ascii="Arial" w:hAnsi="Arial" w:cs="Arial"/>
              </w:rPr>
            </w:pPr>
            <w:r w:rsidRPr="00744817">
              <w:t xml:space="preserve">Separate </w:t>
            </w:r>
            <w:r w:rsidR="00537A15" w:rsidRPr="00744817">
              <w:t xml:space="preserve">study </w:t>
            </w:r>
            <w:r w:rsidRPr="00744817">
              <w:t>of</w:t>
            </w:r>
            <w:r w:rsidR="00537A15" w:rsidRPr="00744817">
              <w:t xml:space="preserve"> rubber and tyre manufacturing industry </w:t>
            </w:r>
            <w:r w:rsidRPr="00744817">
              <w:t>also showed no excess skin</w:t>
            </w:r>
            <w:r w:rsidR="00537A15" w:rsidRPr="00744817">
              <w:t xml:space="preserve"> cancer</w:t>
            </w:r>
            <w:r w:rsidRPr="00744817">
              <w:t>s</w:t>
            </w:r>
            <w:r w:rsidR="00537A15" w:rsidRPr="00744817">
              <w:t xml:space="preserve"> in</w:t>
            </w:r>
            <w:r w:rsidRPr="00744817">
              <w:t xml:space="preserve"> exposed workers</w:t>
            </w:r>
            <w:r w:rsidR="00A25EAE">
              <w:t>.</w:t>
            </w:r>
          </w:p>
        </w:tc>
      </w:tr>
      <w:tr w:rsidR="004966BF" w:rsidRPr="004C23F4" w14:paraId="66B77DAF" w14:textId="77777777" w:rsidTr="00C65533">
        <w:trPr>
          <w:cantSplit/>
        </w:trPr>
        <w:tc>
          <w:tcPr>
            <w:tcW w:w="1493" w:type="dxa"/>
          </w:tcPr>
          <w:p w14:paraId="2CE01A23" w14:textId="77777777" w:rsidR="004966BF" w:rsidRPr="00744817" w:rsidRDefault="004966BF" w:rsidP="00224EE2">
            <w:pPr>
              <w:pStyle w:val="Tablefont"/>
            </w:pPr>
            <w:r w:rsidRPr="00744817">
              <w:t>US NIOSH</w:t>
            </w:r>
          </w:p>
        </w:tc>
        <w:tc>
          <w:tcPr>
            <w:tcW w:w="422" w:type="dxa"/>
          </w:tcPr>
          <w:p w14:paraId="2C577D5E" w14:textId="77777777" w:rsidR="004966BF" w:rsidRPr="00744817" w:rsidRDefault="009A37B6"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0E4C17" w:rsidRPr="00744817">
                  <w:rPr>
                    <w:rStyle w:val="checkbox"/>
                  </w:rPr>
                  <w:t></w:t>
                </w:r>
              </w:sdtContent>
            </w:sdt>
          </w:p>
        </w:tc>
        <w:tc>
          <w:tcPr>
            <w:tcW w:w="661" w:type="dxa"/>
          </w:tcPr>
          <w:p w14:paraId="33715205" w14:textId="77777777" w:rsidR="004966BF" w:rsidRPr="00744817" w:rsidRDefault="000E4C17" w:rsidP="00717D45">
            <w:pPr>
              <w:pStyle w:val="Tablefont"/>
              <w:rPr>
                <w:rStyle w:val="checkbox"/>
                <w:rFonts w:ascii="Arial" w:hAnsi="Arial" w:cs="Arial"/>
              </w:rPr>
            </w:pPr>
            <w:r w:rsidRPr="00744817">
              <w:rPr>
                <w:rStyle w:val="checkbox"/>
                <w:rFonts w:ascii="Arial" w:hAnsi="Arial" w:cs="Arial"/>
              </w:rPr>
              <w:t>1994</w:t>
            </w:r>
          </w:p>
        </w:tc>
        <w:tc>
          <w:tcPr>
            <w:tcW w:w="6450" w:type="dxa"/>
          </w:tcPr>
          <w:p w14:paraId="1D645F9D" w14:textId="54EA3A31" w:rsidR="00744817" w:rsidRPr="00744817" w:rsidRDefault="00744817" w:rsidP="00744817">
            <w:pPr>
              <w:pStyle w:val="ListBullet"/>
              <w:rPr>
                <w:rStyle w:val="checkbox"/>
                <w:rFonts w:ascii="Arial" w:hAnsi="Arial" w:cs="Arial"/>
              </w:rPr>
            </w:pPr>
            <w:r w:rsidRPr="00744817">
              <w:rPr>
                <w:rStyle w:val="checkbox"/>
                <w:rFonts w:ascii="Arial" w:hAnsi="Arial" w:cs="Arial"/>
              </w:rPr>
              <w:t>No</w:t>
            </w:r>
            <w:r w:rsidR="00537A15" w:rsidRPr="00744817">
              <w:rPr>
                <w:rStyle w:val="checkbox"/>
                <w:rFonts w:ascii="Arial" w:hAnsi="Arial" w:cs="Arial"/>
              </w:rPr>
              <w:t xml:space="preserve"> evidence that an acute exposure to a high concentration of carbon black would impede escape or cause any irreversible </w:t>
            </w:r>
            <w:r w:rsidR="002A4B39">
              <w:rPr>
                <w:rStyle w:val="checkbox"/>
                <w:rFonts w:ascii="Arial" w:hAnsi="Arial" w:cs="Arial"/>
              </w:rPr>
              <w:t>health effects within 30 min</w:t>
            </w:r>
            <w:r w:rsidR="00537A15" w:rsidRPr="00744817">
              <w:rPr>
                <w:rStyle w:val="checkbox"/>
                <w:rFonts w:ascii="Arial" w:hAnsi="Arial" w:cs="Arial"/>
              </w:rPr>
              <w:t xml:space="preserve">. </w:t>
            </w:r>
          </w:p>
          <w:p w14:paraId="2EB4BCB0" w14:textId="57931ED7" w:rsidR="004966BF" w:rsidRPr="00744817" w:rsidRDefault="00744817" w:rsidP="00A25EAE">
            <w:pPr>
              <w:pStyle w:val="ListBullet"/>
              <w:rPr>
                <w:rStyle w:val="checkbox"/>
                <w:rFonts w:ascii="Arial" w:hAnsi="Arial" w:cs="Arial"/>
              </w:rPr>
            </w:pPr>
            <w:r w:rsidRPr="00744817">
              <w:rPr>
                <w:rStyle w:val="checkbox"/>
                <w:rFonts w:ascii="Arial" w:hAnsi="Arial" w:cs="Arial"/>
              </w:rPr>
              <w:t>R</w:t>
            </w:r>
            <w:r w:rsidR="00537A15" w:rsidRPr="00744817">
              <w:rPr>
                <w:rStyle w:val="checkbox"/>
                <w:rFonts w:ascii="Arial" w:hAnsi="Arial" w:cs="Arial"/>
              </w:rPr>
              <w:t xml:space="preserve">evised IDLH </w:t>
            </w:r>
            <w:r w:rsidRPr="00744817">
              <w:rPr>
                <w:rStyle w:val="checkbox"/>
                <w:rFonts w:ascii="Arial" w:hAnsi="Arial" w:cs="Arial"/>
              </w:rPr>
              <w:t>of</w:t>
            </w:r>
            <w:r w:rsidR="00537A15" w:rsidRPr="00744817">
              <w:rPr>
                <w:rStyle w:val="checkbox"/>
                <w:rFonts w:ascii="Arial" w:hAnsi="Arial" w:cs="Arial"/>
              </w:rPr>
              <w:t xml:space="preserve"> 1,750 mg/m</w:t>
            </w:r>
            <w:r w:rsidR="00537A15" w:rsidRPr="00744817">
              <w:rPr>
                <w:rStyle w:val="checkbox"/>
                <w:rFonts w:ascii="Arial" w:hAnsi="Arial" w:cs="Arial"/>
                <w:vertAlign w:val="superscript"/>
              </w:rPr>
              <w:t>3</w:t>
            </w:r>
            <w:r w:rsidR="00537A15" w:rsidRPr="00744817">
              <w:rPr>
                <w:rStyle w:val="checkbox"/>
                <w:rFonts w:ascii="Arial" w:hAnsi="Arial" w:cs="Arial"/>
              </w:rPr>
              <w:t xml:space="preserve"> based </w:t>
            </w:r>
            <w:r w:rsidRPr="00744817">
              <w:rPr>
                <w:rStyle w:val="checkbox"/>
                <w:rFonts w:ascii="Arial" w:hAnsi="Arial" w:cs="Arial"/>
              </w:rPr>
              <w:t>500</w:t>
            </w:r>
            <w:r w:rsidR="00A25EAE">
              <w:rPr>
                <w:rStyle w:val="checkbox"/>
                <w:rFonts w:ascii="Arial" w:hAnsi="Arial" w:cs="Arial"/>
              </w:rPr>
              <w:t>-</w:t>
            </w:r>
            <w:r w:rsidRPr="00744817">
              <w:rPr>
                <w:rStyle w:val="checkbox"/>
                <w:rFonts w:ascii="Arial" w:hAnsi="Arial" w:cs="Arial"/>
              </w:rPr>
              <w:t xml:space="preserve">fold factor of </w:t>
            </w:r>
            <w:r w:rsidR="00537A15" w:rsidRPr="00744817">
              <w:rPr>
                <w:rStyle w:val="checkbox"/>
                <w:rFonts w:ascii="Arial" w:hAnsi="Arial" w:cs="Arial"/>
              </w:rPr>
              <w:t>the NIOSH REL and OSHA PEL of 3.5 mg/m</w:t>
            </w:r>
            <w:r w:rsidR="00537A15" w:rsidRPr="00744817">
              <w:rPr>
                <w:rStyle w:val="checkbox"/>
                <w:rFonts w:ascii="Arial" w:hAnsi="Arial" w:cs="Arial"/>
                <w:vertAlign w:val="superscript"/>
              </w:rPr>
              <w:t>3</w:t>
            </w:r>
            <w:r w:rsidR="00A25EAE">
              <w:rPr>
                <w:rStyle w:val="checkbox"/>
                <w:rFonts w:ascii="Arial" w:hAnsi="Arial" w:cs="Arial"/>
              </w:rPr>
              <w:t>.</w:t>
            </w:r>
          </w:p>
        </w:tc>
      </w:tr>
    </w:tbl>
    <w:p w14:paraId="285D82EF" w14:textId="77777777" w:rsidR="007E2A4B" w:rsidRDefault="007E2A4B"/>
    <w:bookmarkEnd w:id="0"/>
    <w:p w14:paraId="2674D4EE"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249EB86B" w14:textId="77777777" w:rsidTr="00537A15">
        <w:trPr>
          <w:trHeight w:val="454"/>
          <w:tblHeader/>
        </w:trPr>
        <w:tc>
          <w:tcPr>
            <w:tcW w:w="6597" w:type="dxa"/>
            <w:vAlign w:val="center"/>
          </w:tcPr>
          <w:p w14:paraId="6B197A96" w14:textId="77777777" w:rsidR="002E0D61" w:rsidRDefault="00B1422A" w:rsidP="00C3091E">
            <w:pPr>
              <w:pStyle w:val="Tablefont"/>
              <w:keepNext/>
              <w:keepLines/>
              <w:spacing w:before="40" w:after="40"/>
            </w:pPr>
            <w:bookmarkStart w:id="1" w:name="GCQuest"/>
            <w:r>
              <w:t>Is the chemical mutagenic</w:t>
            </w:r>
            <w:r w:rsidR="002E0D61">
              <w:t>?</w:t>
            </w:r>
          </w:p>
        </w:tc>
        <w:tc>
          <w:tcPr>
            <w:tcW w:w="2429" w:type="dxa"/>
            <w:vAlign w:val="center"/>
          </w:tcPr>
          <w:p w14:paraId="4B80BB50" w14:textId="60547588" w:rsidR="002E0D61" w:rsidRDefault="009A37B6" w:rsidP="00C3091E">
            <w:pPr>
              <w:pStyle w:val="Tablefont"/>
              <w:keepNext/>
              <w:keepLines/>
              <w:spacing w:before="40" w:after="40"/>
            </w:pPr>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r w:rsidR="00170D14">
                  <w:t>No</w:t>
                </w:r>
              </w:sdtContent>
            </w:sdt>
          </w:p>
        </w:tc>
      </w:tr>
      <w:tr w:rsidR="008A36CF" w14:paraId="37A02CB1" w14:textId="77777777" w:rsidTr="00537A15">
        <w:trPr>
          <w:trHeight w:val="454"/>
        </w:trPr>
        <w:tc>
          <w:tcPr>
            <w:tcW w:w="6597" w:type="dxa"/>
            <w:vAlign w:val="center"/>
          </w:tcPr>
          <w:p w14:paraId="781597DE" w14:textId="77777777" w:rsidR="008A36CF" w:rsidRDefault="008A36CF" w:rsidP="008A36CF">
            <w:pPr>
              <w:pStyle w:val="Tablefont"/>
              <w:keepNext/>
              <w:keepLines/>
              <w:spacing w:before="40" w:after="40"/>
            </w:pPr>
            <w:r>
              <w:t>Is the chemical carcinogenic with a mutagenic mechanism of action?</w:t>
            </w:r>
          </w:p>
        </w:tc>
        <w:tc>
          <w:tcPr>
            <w:tcW w:w="2429" w:type="dxa"/>
            <w:vAlign w:val="center"/>
          </w:tcPr>
          <w:p w14:paraId="6F7005EC" w14:textId="342CB621" w:rsidR="008A36CF" w:rsidRDefault="009A37B6" w:rsidP="008A36CF">
            <w:pPr>
              <w:pStyle w:val="Tablefont"/>
              <w:keepNext/>
              <w:keepLines/>
              <w:spacing w:before="40" w:after="40"/>
            </w:pPr>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r w:rsidR="00396B87">
                  <w:t>No</w:t>
                </w:r>
              </w:sdtContent>
            </w:sdt>
          </w:p>
        </w:tc>
      </w:tr>
      <w:tr w:rsidR="002829DE" w14:paraId="0E130E77" w14:textId="77777777" w:rsidTr="001D10A8">
        <w:trPr>
          <w:trHeight w:val="454"/>
        </w:trPr>
        <w:sdt>
          <w:sdtPr>
            <w:rPr>
              <w:b/>
            </w:rPr>
            <w:id w:val="1830936485"/>
            <w:placeholder>
              <w:docPart w:val="67B44BB37EC24095A30BC5A8E6FE682C"/>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16DF42D1" w14:textId="43513622" w:rsidR="002829DE" w:rsidRDefault="00396B87" w:rsidP="008A36CF">
                <w:pPr>
                  <w:pStyle w:val="Tablefont"/>
                  <w:keepNext/>
                  <w:keepLines/>
                  <w:spacing w:before="40" w:after="40"/>
                </w:pPr>
                <w:r>
                  <w:rPr>
                    <w:b/>
                  </w:rPr>
                  <w:t>The chemical is not a non-threshold based genotoxic carcinogen.</w:t>
                </w:r>
              </w:p>
            </w:tc>
          </w:sdtContent>
        </w:sdt>
      </w:tr>
    </w:tbl>
    <w:bookmarkEnd w:id="1"/>
    <w:p w14:paraId="0C1EAA19"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3F425BF5" w14:textId="77777777" w:rsidTr="00812887">
        <w:trPr>
          <w:cantSplit/>
          <w:tblHeader/>
        </w:trPr>
        <w:tc>
          <w:tcPr>
            <w:tcW w:w="3227" w:type="dxa"/>
            <w:shd w:val="clear" w:color="auto" w:fill="BFBFBF" w:themeFill="background1" w:themeFillShade="BF"/>
            <w:vAlign w:val="center"/>
          </w:tcPr>
          <w:p w14:paraId="0F7043C6"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60E4A95E" w14:textId="77777777" w:rsidR="00687890" w:rsidRPr="004C23F4" w:rsidRDefault="00687890" w:rsidP="00F4402E">
            <w:pPr>
              <w:pStyle w:val="Tableheader"/>
              <w:tabs>
                <w:tab w:val="right" w:pos="5272"/>
              </w:tabs>
            </w:pPr>
            <w:r w:rsidRPr="004C23F4">
              <w:t>Notations</w:t>
            </w:r>
            <w:r w:rsidR="003A2B94">
              <w:tab/>
            </w:r>
          </w:p>
        </w:tc>
      </w:tr>
      <w:tr w:rsidR="00687890" w:rsidRPr="004C23F4" w14:paraId="001EAF8E" w14:textId="77777777" w:rsidTr="00812887">
        <w:trPr>
          <w:cantSplit/>
        </w:trPr>
        <w:tc>
          <w:tcPr>
            <w:tcW w:w="3227" w:type="dxa"/>
          </w:tcPr>
          <w:p w14:paraId="6FCE938D" w14:textId="77777777" w:rsidR="004079B4" w:rsidRPr="004C23F4" w:rsidRDefault="00084513" w:rsidP="00F4402E">
            <w:pPr>
              <w:pStyle w:val="Tablefont"/>
            </w:pPr>
            <w:r w:rsidRPr="004C23F4">
              <w:t>SWA</w:t>
            </w:r>
          </w:p>
        </w:tc>
        <w:tc>
          <w:tcPr>
            <w:tcW w:w="6015" w:type="dxa"/>
          </w:tcPr>
          <w:p w14:paraId="62FF8859" w14:textId="77777777" w:rsidR="00687890" w:rsidRPr="00DD2F9B" w:rsidRDefault="00537A15" w:rsidP="00DD2F9B">
            <w:pPr>
              <w:pStyle w:val="Tablefont"/>
            </w:pPr>
            <w:r>
              <w:t>—</w:t>
            </w:r>
          </w:p>
        </w:tc>
      </w:tr>
      <w:tr w:rsidR="007925F0" w:rsidRPr="004C23F4" w14:paraId="3EEE621C" w14:textId="77777777" w:rsidTr="00812887">
        <w:trPr>
          <w:cantSplit/>
        </w:trPr>
        <w:tc>
          <w:tcPr>
            <w:tcW w:w="3227" w:type="dxa"/>
          </w:tcPr>
          <w:p w14:paraId="3441794F" w14:textId="77777777" w:rsidR="004079B4" w:rsidRPr="004C23F4" w:rsidRDefault="007925F0" w:rsidP="00F4402E">
            <w:pPr>
              <w:pStyle w:val="Tablefont"/>
            </w:pPr>
            <w:r>
              <w:t>HCIS</w:t>
            </w:r>
          </w:p>
        </w:tc>
        <w:tc>
          <w:tcPr>
            <w:tcW w:w="6015" w:type="dxa"/>
          </w:tcPr>
          <w:p w14:paraId="4ED7914F" w14:textId="77777777" w:rsidR="007925F0" w:rsidRPr="00DD2F9B" w:rsidRDefault="00537A15" w:rsidP="00DD2F9B">
            <w:pPr>
              <w:pStyle w:val="Tablefont"/>
            </w:pPr>
            <w:r>
              <w:t>—</w:t>
            </w:r>
          </w:p>
        </w:tc>
      </w:tr>
      <w:tr w:rsidR="00AF483F" w:rsidRPr="004C23F4" w14:paraId="23D5FBAB" w14:textId="77777777" w:rsidTr="00812887">
        <w:trPr>
          <w:cantSplit/>
        </w:trPr>
        <w:tc>
          <w:tcPr>
            <w:tcW w:w="3227" w:type="dxa"/>
          </w:tcPr>
          <w:p w14:paraId="5A36A0EA" w14:textId="77777777" w:rsidR="00AF483F" w:rsidRPr="004C23F4" w:rsidRDefault="00AF483F" w:rsidP="00F4402E">
            <w:pPr>
              <w:pStyle w:val="Tablefont"/>
            </w:pPr>
            <w:r>
              <w:t>NICNAS</w:t>
            </w:r>
          </w:p>
        </w:tc>
        <w:tc>
          <w:tcPr>
            <w:tcW w:w="6015" w:type="dxa"/>
          </w:tcPr>
          <w:p w14:paraId="7CC81B8D" w14:textId="77777777" w:rsidR="00AF483F" w:rsidRPr="00DD2F9B" w:rsidRDefault="00B00A0E" w:rsidP="00DD2F9B">
            <w:pPr>
              <w:pStyle w:val="Tablefont"/>
            </w:pPr>
            <w:r>
              <w:t>—</w:t>
            </w:r>
          </w:p>
        </w:tc>
      </w:tr>
      <w:tr w:rsidR="00687890" w:rsidRPr="004C23F4" w14:paraId="50047E09" w14:textId="77777777" w:rsidTr="00812887">
        <w:trPr>
          <w:cantSplit/>
        </w:trPr>
        <w:tc>
          <w:tcPr>
            <w:tcW w:w="3227" w:type="dxa"/>
          </w:tcPr>
          <w:p w14:paraId="632483F2" w14:textId="77777777" w:rsidR="004079B4" w:rsidRPr="004C23F4" w:rsidRDefault="00687890" w:rsidP="00F4402E">
            <w:pPr>
              <w:pStyle w:val="Tablefont"/>
            </w:pPr>
            <w:r w:rsidRPr="004C23F4">
              <w:t>EU Annex</w:t>
            </w:r>
          </w:p>
        </w:tc>
        <w:tc>
          <w:tcPr>
            <w:tcW w:w="6015" w:type="dxa"/>
          </w:tcPr>
          <w:p w14:paraId="0AE6B6EE" w14:textId="77777777" w:rsidR="00687890" w:rsidRPr="00DD2F9B" w:rsidRDefault="00537A15" w:rsidP="00DD2F9B">
            <w:pPr>
              <w:pStyle w:val="Tablefont"/>
            </w:pPr>
            <w:r>
              <w:t>NA</w:t>
            </w:r>
          </w:p>
        </w:tc>
      </w:tr>
      <w:tr w:rsidR="00E41A26" w:rsidRPr="004C23F4" w14:paraId="2A3FECF7" w14:textId="77777777" w:rsidTr="00812887">
        <w:trPr>
          <w:cantSplit/>
        </w:trPr>
        <w:tc>
          <w:tcPr>
            <w:tcW w:w="3227" w:type="dxa"/>
          </w:tcPr>
          <w:p w14:paraId="5763F43D" w14:textId="77777777" w:rsidR="00E41A26" w:rsidRDefault="00E41A26" w:rsidP="00F4402E">
            <w:pPr>
              <w:pStyle w:val="Tablefont"/>
            </w:pPr>
            <w:r>
              <w:t>ECHA</w:t>
            </w:r>
          </w:p>
        </w:tc>
        <w:tc>
          <w:tcPr>
            <w:tcW w:w="6015" w:type="dxa"/>
          </w:tcPr>
          <w:p w14:paraId="309DA140" w14:textId="77777777" w:rsidR="00E41A26" w:rsidRPr="00DD2F9B" w:rsidRDefault="00537A15" w:rsidP="00DD2F9B">
            <w:pPr>
              <w:pStyle w:val="Tablefont"/>
            </w:pPr>
            <w:r>
              <w:t>NA</w:t>
            </w:r>
          </w:p>
        </w:tc>
      </w:tr>
      <w:tr w:rsidR="002E0D61" w:rsidRPr="004C23F4" w14:paraId="3AEB2729" w14:textId="77777777" w:rsidTr="00812887">
        <w:trPr>
          <w:cantSplit/>
        </w:trPr>
        <w:tc>
          <w:tcPr>
            <w:tcW w:w="3227" w:type="dxa"/>
          </w:tcPr>
          <w:p w14:paraId="71729BF7" w14:textId="77777777" w:rsidR="004079B4" w:rsidRPr="004C23F4" w:rsidRDefault="002E0D61" w:rsidP="00F4402E">
            <w:pPr>
              <w:pStyle w:val="Tablefont"/>
            </w:pPr>
            <w:r>
              <w:t>ACGIH</w:t>
            </w:r>
          </w:p>
        </w:tc>
        <w:tc>
          <w:tcPr>
            <w:tcW w:w="6015" w:type="dxa"/>
          </w:tcPr>
          <w:p w14:paraId="54D64392" w14:textId="77777777" w:rsidR="002E0D61" w:rsidRPr="00DD2F9B" w:rsidRDefault="00537A15" w:rsidP="00DD2F9B">
            <w:pPr>
              <w:pStyle w:val="Tablefont"/>
            </w:pPr>
            <w:r>
              <w:t>Carcinogenicity – A3</w:t>
            </w:r>
          </w:p>
        </w:tc>
      </w:tr>
      <w:tr w:rsidR="002E0D61" w:rsidRPr="004C23F4" w14:paraId="13D85695" w14:textId="77777777" w:rsidTr="00812887">
        <w:trPr>
          <w:cantSplit/>
        </w:trPr>
        <w:tc>
          <w:tcPr>
            <w:tcW w:w="3227" w:type="dxa"/>
          </w:tcPr>
          <w:p w14:paraId="6A4A11AE" w14:textId="77777777" w:rsidR="004079B4" w:rsidRPr="004C23F4" w:rsidRDefault="002E0D61" w:rsidP="00F4402E">
            <w:pPr>
              <w:pStyle w:val="Tablefont"/>
            </w:pPr>
            <w:r>
              <w:t>DFG</w:t>
            </w:r>
          </w:p>
        </w:tc>
        <w:tc>
          <w:tcPr>
            <w:tcW w:w="6015" w:type="dxa"/>
          </w:tcPr>
          <w:p w14:paraId="36952C7C" w14:textId="77777777" w:rsidR="002E0D61" w:rsidRPr="00DD2F9B" w:rsidRDefault="00537A15" w:rsidP="00DD2F9B">
            <w:pPr>
              <w:pStyle w:val="Tablefont"/>
            </w:pPr>
            <w:r>
              <w:t>Carcinogenicity – 3B</w:t>
            </w:r>
          </w:p>
        </w:tc>
      </w:tr>
      <w:tr w:rsidR="002E0D61" w:rsidRPr="004C23F4" w14:paraId="0C38C33D" w14:textId="77777777" w:rsidTr="00812887">
        <w:trPr>
          <w:cantSplit/>
        </w:trPr>
        <w:tc>
          <w:tcPr>
            <w:tcW w:w="3227" w:type="dxa"/>
          </w:tcPr>
          <w:p w14:paraId="6D7E5B2E" w14:textId="77777777" w:rsidR="004079B4" w:rsidRPr="004C23F4" w:rsidRDefault="002E0D61" w:rsidP="00F4402E">
            <w:pPr>
              <w:pStyle w:val="Tablefont"/>
            </w:pPr>
            <w:r>
              <w:t>SCOEL</w:t>
            </w:r>
          </w:p>
        </w:tc>
        <w:tc>
          <w:tcPr>
            <w:tcW w:w="6015" w:type="dxa"/>
          </w:tcPr>
          <w:p w14:paraId="237CF7BD" w14:textId="77777777" w:rsidR="002E0D61" w:rsidRPr="00DD2F9B" w:rsidRDefault="000E4C17" w:rsidP="00DD2F9B">
            <w:pPr>
              <w:pStyle w:val="Tablefont"/>
            </w:pPr>
            <w:r>
              <w:t>NA</w:t>
            </w:r>
          </w:p>
        </w:tc>
      </w:tr>
      <w:tr w:rsidR="002E0D61" w:rsidRPr="004C23F4" w14:paraId="1A5E1F0A" w14:textId="77777777" w:rsidTr="00812887">
        <w:trPr>
          <w:cantSplit/>
        </w:trPr>
        <w:tc>
          <w:tcPr>
            <w:tcW w:w="3227" w:type="dxa"/>
          </w:tcPr>
          <w:p w14:paraId="78A6A9C3" w14:textId="77777777" w:rsidR="004079B4" w:rsidRDefault="002E0D61" w:rsidP="00F4402E">
            <w:pPr>
              <w:pStyle w:val="Tablefont"/>
            </w:pPr>
            <w:r>
              <w:t>HCOTN</w:t>
            </w:r>
          </w:p>
        </w:tc>
        <w:tc>
          <w:tcPr>
            <w:tcW w:w="6015" w:type="dxa"/>
          </w:tcPr>
          <w:p w14:paraId="2CCB9D4B" w14:textId="77777777" w:rsidR="002E0D61" w:rsidRPr="00DD2F9B" w:rsidRDefault="000E4C17" w:rsidP="00DD2F9B">
            <w:pPr>
              <w:pStyle w:val="Tablefont"/>
            </w:pPr>
            <w:r>
              <w:t>NA</w:t>
            </w:r>
          </w:p>
        </w:tc>
      </w:tr>
      <w:tr w:rsidR="00386093" w:rsidRPr="004C23F4" w14:paraId="2F0AA931" w14:textId="77777777" w:rsidTr="00812887">
        <w:trPr>
          <w:cantSplit/>
        </w:trPr>
        <w:tc>
          <w:tcPr>
            <w:tcW w:w="3227" w:type="dxa"/>
          </w:tcPr>
          <w:p w14:paraId="27D97F7A" w14:textId="77777777" w:rsidR="004079B4" w:rsidRDefault="00386093" w:rsidP="00F4402E">
            <w:pPr>
              <w:pStyle w:val="Tablefont"/>
            </w:pPr>
            <w:r>
              <w:t>IARC</w:t>
            </w:r>
          </w:p>
        </w:tc>
        <w:tc>
          <w:tcPr>
            <w:tcW w:w="6015" w:type="dxa"/>
          </w:tcPr>
          <w:p w14:paraId="5DFC31AD" w14:textId="77777777" w:rsidR="00386093" w:rsidRPr="00DD2F9B" w:rsidRDefault="00B00A0E" w:rsidP="00DD2F9B">
            <w:pPr>
              <w:pStyle w:val="Tablefont"/>
            </w:pPr>
            <w:r>
              <w:t>Carcinogenicity – Group 2B</w:t>
            </w:r>
          </w:p>
        </w:tc>
      </w:tr>
      <w:tr w:rsidR="00386093" w:rsidRPr="004C23F4" w14:paraId="3161883C" w14:textId="77777777" w:rsidTr="00812887">
        <w:trPr>
          <w:cantSplit/>
        </w:trPr>
        <w:tc>
          <w:tcPr>
            <w:tcW w:w="3227" w:type="dxa"/>
          </w:tcPr>
          <w:p w14:paraId="4709937E" w14:textId="77777777" w:rsidR="004079B4" w:rsidRDefault="00386093" w:rsidP="00F4402E">
            <w:pPr>
              <w:pStyle w:val="Tablefont"/>
              <w:keepNext/>
            </w:pPr>
            <w:r>
              <w:t>US NIOSH</w:t>
            </w:r>
          </w:p>
        </w:tc>
        <w:tc>
          <w:tcPr>
            <w:tcW w:w="6015" w:type="dxa"/>
          </w:tcPr>
          <w:p w14:paraId="556C28AE" w14:textId="77777777" w:rsidR="00386093" w:rsidRPr="00DD2F9B" w:rsidRDefault="000E4C17" w:rsidP="00D87570">
            <w:pPr>
              <w:pStyle w:val="Tablefont"/>
              <w:keepNext/>
            </w:pPr>
            <w:r>
              <w:t>NA</w:t>
            </w:r>
          </w:p>
        </w:tc>
      </w:tr>
    </w:tbl>
    <w:bookmarkEnd w:id="2"/>
    <w:p w14:paraId="05B4244A"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6AE0F117"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27F477C7" w14:textId="77777777" w:rsidTr="00EA6243">
        <w:trPr>
          <w:cantSplit/>
          <w:tblHeader/>
        </w:trPr>
        <w:tc>
          <w:tcPr>
            <w:tcW w:w="5000" w:type="pct"/>
            <w:shd w:val="clear" w:color="auto" w:fill="BFBFBF" w:themeFill="background1" w:themeFillShade="BF"/>
            <w:vAlign w:val="center"/>
          </w:tcPr>
          <w:p w14:paraId="528DE0C3"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4094AB15" w14:textId="77777777" w:rsidTr="00EA6243">
        <w:trPr>
          <w:cantSplit/>
          <w:tblHeader/>
        </w:trPr>
        <w:tc>
          <w:tcPr>
            <w:tcW w:w="5000" w:type="pct"/>
            <w:vAlign w:val="center"/>
          </w:tcPr>
          <w:tbl>
            <w:tblPr>
              <w:tblW w:w="9018" w:type="dxa"/>
              <w:tblLook w:val="04A0" w:firstRow="1" w:lastRow="0" w:firstColumn="1" w:lastColumn="0" w:noHBand="0" w:noVBand="1"/>
            </w:tblPr>
            <w:tblGrid>
              <w:gridCol w:w="3653"/>
              <w:gridCol w:w="1089"/>
              <w:gridCol w:w="1089"/>
              <w:gridCol w:w="2979"/>
            </w:tblGrid>
            <w:tr w:rsidR="00B26B68" w:rsidRPr="00B26B68" w14:paraId="3A4FADBB" w14:textId="77777777" w:rsidTr="005F53A5">
              <w:trPr>
                <w:trHeight w:val="339"/>
              </w:trPr>
              <w:tc>
                <w:tcPr>
                  <w:tcW w:w="3743" w:type="dxa"/>
                  <w:tcBorders>
                    <w:top w:val="nil"/>
                    <w:left w:val="nil"/>
                    <w:bottom w:val="nil"/>
                    <w:right w:val="nil"/>
                  </w:tcBorders>
                  <w:shd w:val="clear" w:color="000000" w:fill="C5D9F1"/>
                  <w:noWrap/>
                  <w:vAlign w:val="center"/>
                  <w:hideMark/>
                </w:tcPr>
                <w:p w14:paraId="68A3C616" w14:textId="77777777" w:rsidR="00B26B68" w:rsidRPr="00B26B68" w:rsidRDefault="00B26B68" w:rsidP="00B26B68">
                  <w:pPr>
                    <w:spacing w:after="0" w:line="240" w:lineRule="auto"/>
                    <w:jc w:val="right"/>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Adverse effects in human case study:</w:t>
                  </w:r>
                </w:p>
              </w:tc>
              <w:tc>
                <w:tcPr>
                  <w:tcW w:w="1112" w:type="dxa"/>
                  <w:tcBorders>
                    <w:top w:val="nil"/>
                    <w:left w:val="nil"/>
                    <w:bottom w:val="nil"/>
                    <w:right w:val="nil"/>
                  </w:tcBorders>
                  <w:shd w:val="clear" w:color="000000" w:fill="C5D9F1"/>
                  <w:noWrap/>
                  <w:vAlign w:val="center"/>
                  <w:hideMark/>
                </w:tcPr>
                <w:p w14:paraId="6DF32E0E" w14:textId="77777777" w:rsidR="00B26B68" w:rsidRPr="00B26B68" w:rsidRDefault="00B26B68" w:rsidP="00B26B68">
                  <w:pPr>
                    <w:spacing w:after="0" w:line="240" w:lineRule="auto"/>
                    <w:jc w:val="center"/>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no</w:t>
                  </w:r>
                </w:p>
              </w:tc>
              <w:tc>
                <w:tcPr>
                  <w:tcW w:w="1112" w:type="dxa"/>
                  <w:tcBorders>
                    <w:top w:val="nil"/>
                    <w:left w:val="nil"/>
                    <w:bottom w:val="nil"/>
                    <w:right w:val="nil"/>
                  </w:tcBorders>
                  <w:shd w:val="clear" w:color="000000" w:fill="C5D9F1"/>
                  <w:noWrap/>
                  <w:vAlign w:val="center"/>
                  <w:hideMark/>
                </w:tcPr>
                <w:p w14:paraId="253AB6CA" w14:textId="77777777" w:rsidR="00B26B68" w:rsidRPr="00B26B68" w:rsidRDefault="00B26B68" w:rsidP="00B26B68">
                  <w:pPr>
                    <w:spacing w:after="0" w:line="240" w:lineRule="auto"/>
                    <w:rPr>
                      <w:rFonts w:ascii="Segoe UI" w:eastAsia="Times New Roman" w:hAnsi="Segoe UI" w:cs="Segoe UI"/>
                      <w:color w:val="C5D9F1"/>
                      <w:sz w:val="18"/>
                      <w:szCs w:val="18"/>
                      <w:lang w:eastAsia="en-AU"/>
                    </w:rPr>
                  </w:pPr>
                  <w:r w:rsidRPr="00B26B68">
                    <w:rPr>
                      <w:rFonts w:ascii="Segoe UI" w:eastAsia="Times New Roman" w:hAnsi="Segoe UI" w:cs="Segoe UI"/>
                      <w:color w:val="C5D9F1"/>
                      <w:sz w:val="18"/>
                      <w:szCs w:val="18"/>
                      <w:lang w:eastAsia="en-AU"/>
                    </w:rPr>
                    <w:t> </w:t>
                  </w:r>
                </w:p>
              </w:tc>
              <w:tc>
                <w:tcPr>
                  <w:tcW w:w="3051" w:type="dxa"/>
                  <w:tcBorders>
                    <w:top w:val="nil"/>
                    <w:left w:val="nil"/>
                    <w:bottom w:val="nil"/>
                    <w:right w:val="nil"/>
                  </w:tcBorders>
                  <w:shd w:val="clear" w:color="000000" w:fill="C5D9F1"/>
                  <w:noWrap/>
                  <w:vAlign w:val="center"/>
                  <w:hideMark/>
                </w:tcPr>
                <w:p w14:paraId="588325D8" w14:textId="77777777" w:rsidR="00B26B68" w:rsidRPr="00B26B68" w:rsidRDefault="00B26B68" w:rsidP="00B26B68">
                  <w:pPr>
                    <w:spacing w:after="0" w:line="240" w:lineRule="auto"/>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r>
            <w:tr w:rsidR="00B26B68" w:rsidRPr="00B26B68" w14:paraId="2BB5229F" w14:textId="77777777" w:rsidTr="005F53A5">
              <w:trPr>
                <w:trHeight w:val="339"/>
              </w:trPr>
              <w:tc>
                <w:tcPr>
                  <w:tcW w:w="3743" w:type="dxa"/>
                  <w:tcBorders>
                    <w:top w:val="nil"/>
                    <w:left w:val="nil"/>
                    <w:bottom w:val="nil"/>
                    <w:right w:val="nil"/>
                  </w:tcBorders>
                  <w:shd w:val="clear" w:color="000000" w:fill="C5D9F1"/>
                  <w:noWrap/>
                  <w:vAlign w:val="center"/>
                  <w:hideMark/>
                </w:tcPr>
                <w:p w14:paraId="1DC8A5BE" w14:textId="77777777" w:rsidR="00B26B68" w:rsidRPr="00B26B68" w:rsidRDefault="00B26B68" w:rsidP="00B26B68">
                  <w:pPr>
                    <w:spacing w:after="0" w:line="240" w:lineRule="auto"/>
                    <w:jc w:val="right"/>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Dermal LD</w:t>
                  </w:r>
                  <w:r w:rsidRPr="00B26B68">
                    <w:rPr>
                      <w:rFonts w:ascii="Segoe UI" w:eastAsia="Times New Roman" w:hAnsi="Segoe UI" w:cs="Segoe UI"/>
                      <w:color w:val="000000"/>
                      <w:sz w:val="18"/>
                      <w:szCs w:val="18"/>
                      <w:vertAlign w:val="subscript"/>
                      <w:lang w:eastAsia="en-AU"/>
                    </w:rPr>
                    <w:t>50</w:t>
                  </w:r>
                  <w:r w:rsidRPr="00B26B68">
                    <w:rPr>
                      <w:rFonts w:ascii="Segoe UI" w:eastAsia="Times New Roman" w:hAnsi="Segoe UI" w:cs="Segoe UI"/>
                      <w:color w:val="000000"/>
                      <w:sz w:val="18"/>
                      <w:szCs w:val="18"/>
                      <w:lang w:eastAsia="en-AU"/>
                    </w:rPr>
                    <w:t xml:space="preserve"> ≤1000 mg/kg:</w:t>
                  </w:r>
                </w:p>
              </w:tc>
              <w:tc>
                <w:tcPr>
                  <w:tcW w:w="1112" w:type="dxa"/>
                  <w:tcBorders>
                    <w:top w:val="nil"/>
                    <w:left w:val="nil"/>
                    <w:bottom w:val="nil"/>
                    <w:right w:val="nil"/>
                  </w:tcBorders>
                  <w:shd w:val="clear" w:color="000000" w:fill="C5D9F1"/>
                  <w:noWrap/>
                  <w:vAlign w:val="center"/>
                  <w:hideMark/>
                </w:tcPr>
                <w:p w14:paraId="358B3674" w14:textId="77777777" w:rsidR="00B26B68" w:rsidRPr="00B26B68" w:rsidRDefault="00B26B68" w:rsidP="00B26B68">
                  <w:pPr>
                    <w:spacing w:after="0" w:line="240" w:lineRule="auto"/>
                    <w:jc w:val="center"/>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no</w:t>
                  </w:r>
                </w:p>
              </w:tc>
              <w:tc>
                <w:tcPr>
                  <w:tcW w:w="1112" w:type="dxa"/>
                  <w:tcBorders>
                    <w:top w:val="nil"/>
                    <w:left w:val="nil"/>
                    <w:bottom w:val="nil"/>
                    <w:right w:val="nil"/>
                  </w:tcBorders>
                  <w:shd w:val="clear" w:color="000000" w:fill="C5D9F1"/>
                  <w:noWrap/>
                  <w:vAlign w:val="center"/>
                  <w:hideMark/>
                </w:tcPr>
                <w:p w14:paraId="38B4BE1B" w14:textId="77777777" w:rsidR="00B26B68" w:rsidRPr="00B26B68" w:rsidRDefault="00B26B68" w:rsidP="00B26B68">
                  <w:pPr>
                    <w:spacing w:after="0" w:line="240" w:lineRule="auto"/>
                    <w:rPr>
                      <w:rFonts w:ascii="Segoe UI" w:eastAsia="Times New Roman" w:hAnsi="Segoe UI" w:cs="Segoe UI"/>
                      <w:color w:val="C5D9F1"/>
                      <w:sz w:val="18"/>
                      <w:szCs w:val="18"/>
                      <w:lang w:eastAsia="en-AU"/>
                    </w:rPr>
                  </w:pPr>
                  <w:r w:rsidRPr="00B26B68">
                    <w:rPr>
                      <w:rFonts w:ascii="Segoe UI" w:eastAsia="Times New Roman" w:hAnsi="Segoe UI" w:cs="Segoe UI"/>
                      <w:color w:val="C5D9F1"/>
                      <w:sz w:val="18"/>
                      <w:szCs w:val="18"/>
                      <w:lang w:eastAsia="en-AU"/>
                    </w:rPr>
                    <w:t> </w:t>
                  </w:r>
                </w:p>
              </w:tc>
              <w:tc>
                <w:tcPr>
                  <w:tcW w:w="3051" w:type="dxa"/>
                  <w:tcBorders>
                    <w:top w:val="nil"/>
                    <w:left w:val="nil"/>
                    <w:bottom w:val="nil"/>
                    <w:right w:val="nil"/>
                  </w:tcBorders>
                  <w:shd w:val="clear" w:color="000000" w:fill="C5D9F1"/>
                  <w:noWrap/>
                  <w:vAlign w:val="center"/>
                  <w:hideMark/>
                </w:tcPr>
                <w:p w14:paraId="08EDF3F8" w14:textId="77777777" w:rsidR="00B26B68" w:rsidRPr="00B26B68" w:rsidRDefault="00B26B68" w:rsidP="00B26B68">
                  <w:pPr>
                    <w:spacing w:after="0" w:line="240" w:lineRule="auto"/>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r>
            <w:tr w:rsidR="00B26B68" w:rsidRPr="00B26B68" w14:paraId="6DC33C99" w14:textId="77777777" w:rsidTr="005F53A5">
              <w:trPr>
                <w:trHeight w:val="339"/>
              </w:trPr>
              <w:tc>
                <w:tcPr>
                  <w:tcW w:w="3743" w:type="dxa"/>
                  <w:tcBorders>
                    <w:top w:val="nil"/>
                    <w:left w:val="nil"/>
                    <w:bottom w:val="nil"/>
                    <w:right w:val="nil"/>
                  </w:tcBorders>
                  <w:shd w:val="clear" w:color="000000" w:fill="C5D9F1"/>
                  <w:noWrap/>
                  <w:vAlign w:val="center"/>
                  <w:hideMark/>
                </w:tcPr>
                <w:p w14:paraId="5EFE0A12" w14:textId="77777777" w:rsidR="00B26B68" w:rsidRPr="00B26B68" w:rsidRDefault="00B26B68" w:rsidP="00B26B68">
                  <w:pPr>
                    <w:spacing w:after="0" w:line="240" w:lineRule="auto"/>
                    <w:jc w:val="right"/>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Dermal repeat-dose NOAEL ≤200 mg/kg:</w:t>
                  </w:r>
                </w:p>
              </w:tc>
              <w:tc>
                <w:tcPr>
                  <w:tcW w:w="1112" w:type="dxa"/>
                  <w:tcBorders>
                    <w:top w:val="nil"/>
                    <w:left w:val="nil"/>
                    <w:bottom w:val="nil"/>
                    <w:right w:val="nil"/>
                  </w:tcBorders>
                  <w:shd w:val="clear" w:color="000000" w:fill="C5D9F1"/>
                  <w:noWrap/>
                  <w:vAlign w:val="center"/>
                  <w:hideMark/>
                </w:tcPr>
                <w:p w14:paraId="52D54C59" w14:textId="77777777" w:rsidR="00B26B68" w:rsidRPr="00B26B68" w:rsidRDefault="00B26B68" w:rsidP="00B26B68">
                  <w:pPr>
                    <w:spacing w:after="0" w:line="240" w:lineRule="auto"/>
                    <w:jc w:val="center"/>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c>
                <w:tcPr>
                  <w:tcW w:w="1112" w:type="dxa"/>
                  <w:tcBorders>
                    <w:top w:val="nil"/>
                    <w:left w:val="nil"/>
                    <w:bottom w:val="nil"/>
                    <w:right w:val="nil"/>
                  </w:tcBorders>
                  <w:shd w:val="clear" w:color="000000" w:fill="C5D9F1"/>
                  <w:noWrap/>
                  <w:vAlign w:val="center"/>
                  <w:hideMark/>
                </w:tcPr>
                <w:p w14:paraId="5BDEDD2E" w14:textId="77777777" w:rsidR="00B26B68" w:rsidRPr="00B26B68" w:rsidRDefault="00B26B68" w:rsidP="00B26B68">
                  <w:pPr>
                    <w:spacing w:after="0" w:line="240" w:lineRule="auto"/>
                    <w:rPr>
                      <w:rFonts w:ascii="Segoe UI" w:eastAsia="Times New Roman" w:hAnsi="Segoe UI" w:cs="Segoe UI"/>
                      <w:color w:val="C5D9F1"/>
                      <w:sz w:val="18"/>
                      <w:szCs w:val="18"/>
                      <w:lang w:eastAsia="en-AU"/>
                    </w:rPr>
                  </w:pPr>
                  <w:r w:rsidRPr="00B26B68">
                    <w:rPr>
                      <w:rFonts w:ascii="Segoe UI" w:eastAsia="Times New Roman" w:hAnsi="Segoe UI" w:cs="Segoe UI"/>
                      <w:color w:val="C5D9F1"/>
                      <w:sz w:val="18"/>
                      <w:szCs w:val="18"/>
                      <w:lang w:eastAsia="en-AU"/>
                    </w:rPr>
                    <w:t> </w:t>
                  </w:r>
                </w:p>
              </w:tc>
              <w:tc>
                <w:tcPr>
                  <w:tcW w:w="3051" w:type="dxa"/>
                  <w:tcBorders>
                    <w:top w:val="nil"/>
                    <w:left w:val="nil"/>
                    <w:bottom w:val="nil"/>
                    <w:right w:val="nil"/>
                  </w:tcBorders>
                  <w:shd w:val="clear" w:color="000000" w:fill="C5D9F1"/>
                  <w:noWrap/>
                  <w:vAlign w:val="center"/>
                  <w:hideMark/>
                </w:tcPr>
                <w:p w14:paraId="0FD8084D" w14:textId="77777777" w:rsidR="00B26B68" w:rsidRPr="00B26B68" w:rsidRDefault="00B26B68" w:rsidP="00B26B68">
                  <w:pPr>
                    <w:spacing w:after="0" w:line="240" w:lineRule="auto"/>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r>
            <w:tr w:rsidR="00B26B68" w:rsidRPr="00B26B68" w14:paraId="46B190A7" w14:textId="77777777" w:rsidTr="005F53A5">
              <w:trPr>
                <w:trHeight w:val="339"/>
              </w:trPr>
              <w:tc>
                <w:tcPr>
                  <w:tcW w:w="3743" w:type="dxa"/>
                  <w:tcBorders>
                    <w:top w:val="nil"/>
                    <w:left w:val="nil"/>
                    <w:bottom w:val="nil"/>
                    <w:right w:val="nil"/>
                  </w:tcBorders>
                  <w:shd w:val="clear" w:color="000000" w:fill="C5D9F1"/>
                  <w:noWrap/>
                  <w:vAlign w:val="center"/>
                  <w:hideMark/>
                </w:tcPr>
                <w:p w14:paraId="75F8B67C" w14:textId="77777777" w:rsidR="00B26B68" w:rsidRPr="00B26B68" w:rsidRDefault="00B26B68" w:rsidP="00B26B68">
                  <w:pPr>
                    <w:spacing w:after="0" w:line="240" w:lineRule="auto"/>
                    <w:jc w:val="right"/>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Dermal LD</w:t>
                  </w:r>
                  <w:r w:rsidRPr="00B26B68">
                    <w:rPr>
                      <w:rFonts w:ascii="Segoe UI" w:eastAsia="Times New Roman" w:hAnsi="Segoe UI" w:cs="Segoe UI"/>
                      <w:color w:val="000000"/>
                      <w:sz w:val="18"/>
                      <w:szCs w:val="18"/>
                      <w:vertAlign w:val="subscript"/>
                      <w:lang w:eastAsia="en-AU"/>
                    </w:rPr>
                    <w:t>50</w:t>
                  </w:r>
                  <w:r w:rsidRPr="00B26B68">
                    <w:rPr>
                      <w:rFonts w:ascii="Segoe UI" w:eastAsia="Times New Roman" w:hAnsi="Segoe UI" w:cs="Segoe UI"/>
                      <w:color w:val="000000"/>
                      <w:sz w:val="18"/>
                      <w:szCs w:val="18"/>
                      <w:lang w:eastAsia="en-AU"/>
                    </w:rPr>
                    <w:t>/Inhalation LD</w:t>
                  </w:r>
                  <w:r w:rsidRPr="00B26B68">
                    <w:rPr>
                      <w:rFonts w:ascii="Segoe UI" w:eastAsia="Times New Roman" w:hAnsi="Segoe UI" w:cs="Segoe UI"/>
                      <w:color w:val="000000"/>
                      <w:sz w:val="18"/>
                      <w:szCs w:val="18"/>
                      <w:vertAlign w:val="subscript"/>
                      <w:lang w:eastAsia="en-AU"/>
                    </w:rPr>
                    <w:t>50</w:t>
                  </w:r>
                  <w:r w:rsidRPr="00B26B68">
                    <w:rPr>
                      <w:rFonts w:ascii="Segoe UI" w:eastAsia="Times New Roman" w:hAnsi="Segoe UI" w:cs="Segoe UI"/>
                      <w:color w:val="000000"/>
                      <w:sz w:val="18"/>
                      <w:szCs w:val="18"/>
                      <w:lang w:eastAsia="en-AU"/>
                    </w:rPr>
                    <w:t xml:space="preserve"> &lt;10:</w:t>
                  </w:r>
                </w:p>
              </w:tc>
              <w:tc>
                <w:tcPr>
                  <w:tcW w:w="1112" w:type="dxa"/>
                  <w:tcBorders>
                    <w:top w:val="nil"/>
                    <w:left w:val="nil"/>
                    <w:bottom w:val="nil"/>
                    <w:right w:val="nil"/>
                  </w:tcBorders>
                  <w:shd w:val="clear" w:color="000000" w:fill="C5D9F1"/>
                  <w:noWrap/>
                  <w:vAlign w:val="center"/>
                  <w:hideMark/>
                </w:tcPr>
                <w:p w14:paraId="617DAB74" w14:textId="77777777" w:rsidR="00B26B68" w:rsidRPr="00B26B68" w:rsidRDefault="00B26B68" w:rsidP="00B26B68">
                  <w:pPr>
                    <w:spacing w:after="0" w:line="240" w:lineRule="auto"/>
                    <w:jc w:val="center"/>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c>
                <w:tcPr>
                  <w:tcW w:w="1112" w:type="dxa"/>
                  <w:tcBorders>
                    <w:top w:val="nil"/>
                    <w:left w:val="nil"/>
                    <w:bottom w:val="nil"/>
                    <w:right w:val="nil"/>
                  </w:tcBorders>
                  <w:shd w:val="clear" w:color="000000" w:fill="C5D9F1"/>
                  <w:noWrap/>
                  <w:vAlign w:val="center"/>
                  <w:hideMark/>
                </w:tcPr>
                <w:p w14:paraId="2D277D73" w14:textId="77777777" w:rsidR="00B26B68" w:rsidRPr="00B26B68" w:rsidRDefault="00B26B68" w:rsidP="00B26B68">
                  <w:pPr>
                    <w:spacing w:after="0" w:line="240" w:lineRule="auto"/>
                    <w:rPr>
                      <w:rFonts w:ascii="Segoe UI" w:eastAsia="Times New Roman" w:hAnsi="Segoe UI" w:cs="Segoe UI"/>
                      <w:color w:val="C5D9F1"/>
                      <w:sz w:val="18"/>
                      <w:szCs w:val="18"/>
                      <w:lang w:eastAsia="en-AU"/>
                    </w:rPr>
                  </w:pPr>
                  <w:r w:rsidRPr="00B26B68">
                    <w:rPr>
                      <w:rFonts w:ascii="Segoe UI" w:eastAsia="Times New Roman" w:hAnsi="Segoe UI" w:cs="Segoe UI"/>
                      <w:color w:val="C5D9F1"/>
                      <w:sz w:val="18"/>
                      <w:szCs w:val="18"/>
                      <w:lang w:eastAsia="en-AU"/>
                    </w:rPr>
                    <w:t> </w:t>
                  </w:r>
                </w:p>
              </w:tc>
              <w:tc>
                <w:tcPr>
                  <w:tcW w:w="3051" w:type="dxa"/>
                  <w:tcBorders>
                    <w:top w:val="nil"/>
                    <w:left w:val="nil"/>
                    <w:bottom w:val="nil"/>
                    <w:right w:val="nil"/>
                  </w:tcBorders>
                  <w:shd w:val="clear" w:color="000000" w:fill="C5D9F1"/>
                  <w:noWrap/>
                  <w:vAlign w:val="center"/>
                  <w:hideMark/>
                </w:tcPr>
                <w:p w14:paraId="5F04655D" w14:textId="77777777" w:rsidR="00B26B68" w:rsidRPr="00B26B68" w:rsidRDefault="00B26B68" w:rsidP="00B26B68">
                  <w:pPr>
                    <w:spacing w:after="0" w:line="240" w:lineRule="auto"/>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r>
            <w:tr w:rsidR="00B26B68" w:rsidRPr="00B26B68" w14:paraId="43E8D1A0" w14:textId="77777777" w:rsidTr="005F53A5">
              <w:trPr>
                <w:trHeight w:val="339"/>
              </w:trPr>
              <w:tc>
                <w:tcPr>
                  <w:tcW w:w="3743" w:type="dxa"/>
                  <w:tcBorders>
                    <w:top w:val="nil"/>
                    <w:left w:val="nil"/>
                    <w:bottom w:val="nil"/>
                    <w:right w:val="nil"/>
                  </w:tcBorders>
                  <w:shd w:val="clear" w:color="000000" w:fill="C5D9F1"/>
                  <w:noWrap/>
                  <w:vAlign w:val="center"/>
                  <w:hideMark/>
                </w:tcPr>
                <w:p w14:paraId="250737C7" w14:textId="77777777" w:rsidR="00B26B68" w:rsidRPr="00B26B68" w:rsidRDefault="00B26B68" w:rsidP="00B26B68">
                  <w:pPr>
                    <w:spacing w:after="0" w:line="240" w:lineRule="auto"/>
                    <w:jc w:val="right"/>
                    <w:rPr>
                      <w:rFonts w:ascii="Segoe UI" w:eastAsia="Times New Roman" w:hAnsi="Segoe UI" w:cs="Segoe UI"/>
                      <w:i/>
                      <w:iCs/>
                      <w:color w:val="000000"/>
                      <w:sz w:val="18"/>
                      <w:szCs w:val="18"/>
                      <w:lang w:eastAsia="en-AU"/>
                    </w:rPr>
                  </w:pPr>
                  <w:r w:rsidRPr="00B26B68">
                    <w:rPr>
                      <w:rFonts w:ascii="Segoe UI" w:eastAsia="Times New Roman" w:hAnsi="Segoe UI" w:cs="Segoe UI"/>
                      <w:i/>
                      <w:iCs/>
                      <w:color w:val="000000"/>
                      <w:sz w:val="18"/>
                      <w:szCs w:val="18"/>
                      <w:lang w:eastAsia="en-AU"/>
                    </w:rPr>
                    <w:t>In vivo</w:t>
                  </w:r>
                  <w:r w:rsidRPr="00B26B68">
                    <w:rPr>
                      <w:rFonts w:ascii="Segoe UI" w:eastAsia="Times New Roman" w:hAnsi="Segoe UI" w:cs="Segoe UI"/>
                      <w:color w:val="000000"/>
                      <w:sz w:val="18"/>
                      <w:szCs w:val="18"/>
                      <w:lang w:eastAsia="en-AU"/>
                    </w:rPr>
                    <w:t xml:space="preserve"> dermal absorption rate &gt;10%:</w:t>
                  </w:r>
                </w:p>
              </w:tc>
              <w:tc>
                <w:tcPr>
                  <w:tcW w:w="1112" w:type="dxa"/>
                  <w:tcBorders>
                    <w:top w:val="nil"/>
                    <w:left w:val="nil"/>
                    <w:bottom w:val="nil"/>
                    <w:right w:val="nil"/>
                  </w:tcBorders>
                  <w:shd w:val="clear" w:color="000000" w:fill="C5D9F1"/>
                  <w:noWrap/>
                  <w:vAlign w:val="center"/>
                  <w:hideMark/>
                </w:tcPr>
                <w:p w14:paraId="20F3905B" w14:textId="77777777" w:rsidR="00B26B68" w:rsidRPr="00B26B68" w:rsidRDefault="00B26B68" w:rsidP="00B26B68">
                  <w:pPr>
                    <w:spacing w:after="0" w:line="240" w:lineRule="auto"/>
                    <w:jc w:val="center"/>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c>
                <w:tcPr>
                  <w:tcW w:w="1112" w:type="dxa"/>
                  <w:tcBorders>
                    <w:top w:val="nil"/>
                    <w:left w:val="nil"/>
                    <w:bottom w:val="nil"/>
                    <w:right w:val="nil"/>
                  </w:tcBorders>
                  <w:shd w:val="clear" w:color="000000" w:fill="C5D9F1"/>
                  <w:noWrap/>
                  <w:vAlign w:val="center"/>
                  <w:hideMark/>
                </w:tcPr>
                <w:p w14:paraId="3AF5BC57" w14:textId="77777777" w:rsidR="00B26B68" w:rsidRPr="00B26B68" w:rsidRDefault="00B26B68" w:rsidP="00B26B68">
                  <w:pPr>
                    <w:spacing w:after="0" w:line="240" w:lineRule="auto"/>
                    <w:rPr>
                      <w:rFonts w:ascii="Segoe UI" w:eastAsia="Times New Roman" w:hAnsi="Segoe UI" w:cs="Segoe UI"/>
                      <w:color w:val="C5D9F1"/>
                      <w:sz w:val="18"/>
                      <w:szCs w:val="18"/>
                      <w:lang w:eastAsia="en-AU"/>
                    </w:rPr>
                  </w:pPr>
                  <w:r w:rsidRPr="00B26B68">
                    <w:rPr>
                      <w:rFonts w:ascii="Segoe UI" w:eastAsia="Times New Roman" w:hAnsi="Segoe UI" w:cs="Segoe UI"/>
                      <w:color w:val="C5D9F1"/>
                      <w:sz w:val="18"/>
                      <w:szCs w:val="18"/>
                      <w:lang w:eastAsia="en-AU"/>
                    </w:rPr>
                    <w:t> </w:t>
                  </w:r>
                </w:p>
              </w:tc>
              <w:tc>
                <w:tcPr>
                  <w:tcW w:w="3051" w:type="dxa"/>
                  <w:tcBorders>
                    <w:top w:val="nil"/>
                    <w:left w:val="nil"/>
                    <w:bottom w:val="nil"/>
                    <w:right w:val="nil"/>
                  </w:tcBorders>
                  <w:shd w:val="clear" w:color="000000" w:fill="C5D9F1"/>
                  <w:noWrap/>
                  <w:vAlign w:val="center"/>
                  <w:hideMark/>
                </w:tcPr>
                <w:p w14:paraId="004721D0" w14:textId="77777777" w:rsidR="00B26B68" w:rsidRPr="00B26B68" w:rsidRDefault="00B26B68" w:rsidP="00B26B68">
                  <w:pPr>
                    <w:spacing w:after="0" w:line="240" w:lineRule="auto"/>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r>
            <w:tr w:rsidR="00B26B68" w:rsidRPr="00B26B68" w14:paraId="0008D534" w14:textId="77777777" w:rsidTr="005F53A5">
              <w:trPr>
                <w:trHeight w:val="339"/>
              </w:trPr>
              <w:tc>
                <w:tcPr>
                  <w:tcW w:w="3743" w:type="dxa"/>
                  <w:tcBorders>
                    <w:top w:val="nil"/>
                    <w:left w:val="nil"/>
                    <w:bottom w:val="nil"/>
                    <w:right w:val="nil"/>
                  </w:tcBorders>
                  <w:shd w:val="clear" w:color="000000" w:fill="C5D9F1"/>
                  <w:noWrap/>
                  <w:vAlign w:val="center"/>
                  <w:hideMark/>
                </w:tcPr>
                <w:p w14:paraId="55BEAF48" w14:textId="77777777" w:rsidR="00B26B68" w:rsidRPr="00B26B68" w:rsidRDefault="00B26B68" w:rsidP="00B26B68">
                  <w:pPr>
                    <w:spacing w:after="0" w:line="240" w:lineRule="auto"/>
                    <w:jc w:val="right"/>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Estimated dermal exposure at WES &gt;10%:</w:t>
                  </w:r>
                </w:p>
              </w:tc>
              <w:tc>
                <w:tcPr>
                  <w:tcW w:w="1112" w:type="dxa"/>
                  <w:tcBorders>
                    <w:top w:val="nil"/>
                    <w:left w:val="nil"/>
                    <w:bottom w:val="nil"/>
                    <w:right w:val="nil"/>
                  </w:tcBorders>
                  <w:shd w:val="clear" w:color="000000" w:fill="C5D9F1"/>
                  <w:noWrap/>
                  <w:vAlign w:val="center"/>
                  <w:hideMark/>
                </w:tcPr>
                <w:p w14:paraId="0F574250" w14:textId="77777777" w:rsidR="00B26B68" w:rsidRPr="00B26B68" w:rsidRDefault="00B26B68" w:rsidP="00B26B68">
                  <w:pPr>
                    <w:spacing w:after="0" w:line="240" w:lineRule="auto"/>
                    <w:jc w:val="center"/>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c>
                <w:tcPr>
                  <w:tcW w:w="1112" w:type="dxa"/>
                  <w:tcBorders>
                    <w:top w:val="nil"/>
                    <w:left w:val="nil"/>
                    <w:bottom w:val="nil"/>
                    <w:right w:val="nil"/>
                  </w:tcBorders>
                  <w:shd w:val="clear" w:color="000000" w:fill="C5D9F1"/>
                  <w:noWrap/>
                  <w:vAlign w:val="center"/>
                  <w:hideMark/>
                </w:tcPr>
                <w:p w14:paraId="2197B2C8" w14:textId="77777777" w:rsidR="00B26B68" w:rsidRPr="00B26B68" w:rsidRDefault="00B26B68" w:rsidP="00B26B68">
                  <w:pPr>
                    <w:spacing w:after="0" w:line="240" w:lineRule="auto"/>
                    <w:rPr>
                      <w:rFonts w:ascii="Segoe UI" w:eastAsia="Times New Roman" w:hAnsi="Segoe UI" w:cs="Segoe UI"/>
                      <w:color w:val="C5D9F1"/>
                      <w:sz w:val="18"/>
                      <w:szCs w:val="18"/>
                      <w:lang w:eastAsia="en-AU"/>
                    </w:rPr>
                  </w:pPr>
                  <w:r w:rsidRPr="00B26B68">
                    <w:rPr>
                      <w:rFonts w:ascii="Segoe UI" w:eastAsia="Times New Roman" w:hAnsi="Segoe UI" w:cs="Segoe UI"/>
                      <w:color w:val="C5D9F1"/>
                      <w:sz w:val="18"/>
                      <w:szCs w:val="18"/>
                      <w:lang w:eastAsia="en-AU"/>
                    </w:rPr>
                    <w:t> </w:t>
                  </w:r>
                </w:p>
              </w:tc>
              <w:tc>
                <w:tcPr>
                  <w:tcW w:w="3051" w:type="dxa"/>
                  <w:tcBorders>
                    <w:top w:val="nil"/>
                    <w:left w:val="nil"/>
                    <w:bottom w:val="nil"/>
                    <w:right w:val="nil"/>
                  </w:tcBorders>
                  <w:shd w:val="clear" w:color="000000" w:fill="C5D9F1"/>
                  <w:noWrap/>
                  <w:vAlign w:val="center"/>
                  <w:hideMark/>
                </w:tcPr>
                <w:p w14:paraId="53B27394" w14:textId="77777777" w:rsidR="00B26B68" w:rsidRPr="00B26B68" w:rsidRDefault="00B26B68" w:rsidP="00B26B68">
                  <w:pPr>
                    <w:spacing w:after="0" w:line="240" w:lineRule="auto"/>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r>
            <w:tr w:rsidR="00B26B68" w:rsidRPr="00B26B68" w14:paraId="5D16A021" w14:textId="77777777" w:rsidTr="005F53A5">
              <w:trPr>
                <w:trHeight w:val="339"/>
              </w:trPr>
              <w:tc>
                <w:tcPr>
                  <w:tcW w:w="3743" w:type="dxa"/>
                  <w:tcBorders>
                    <w:top w:val="nil"/>
                    <w:left w:val="nil"/>
                    <w:bottom w:val="nil"/>
                    <w:right w:val="nil"/>
                  </w:tcBorders>
                  <w:shd w:val="clear" w:color="000000" w:fill="C5D9F1"/>
                  <w:noWrap/>
                  <w:vAlign w:val="center"/>
                  <w:hideMark/>
                </w:tcPr>
                <w:p w14:paraId="6DE7D699" w14:textId="77777777" w:rsidR="00B26B68" w:rsidRPr="00B26B68" w:rsidRDefault="00B26B68" w:rsidP="00B26B68">
                  <w:pPr>
                    <w:spacing w:after="0" w:line="240" w:lineRule="auto"/>
                    <w:jc w:val="right"/>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c>
                <w:tcPr>
                  <w:tcW w:w="1112" w:type="dxa"/>
                  <w:tcBorders>
                    <w:top w:val="nil"/>
                    <w:left w:val="nil"/>
                    <w:bottom w:val="nil"/>
                    <w:right w:val="nil"/>
                  </w:tcBorders>
                  <w:shd w:val="clear" w:color="000000" w:fill="C5D9F1"/>
                  <w:noWrap/>
                  <w:vAlign w:val="center"/>
                  <w:hideMark/>
                </w:tcPr>
                <w:p w14:paraId="722099F3" w14:textId="77777777" w:rsidR="00B26B68" w:rsidRPr="00B26B68" w:rsidRDefault="00B26B68" w:rsidP="00B26B68">
                  <w:pPr>
                    <w:spacing w:after="0" w:line="240" w:lineRule="auto"/>
                    <w:jc w:val="center"/>
                    <w:rPr>
                      <w:rFonts w:ascii="Segoe UI" w:eastAsia="Times New Roman" w:hAnsi="Segoe UI" w:cs="Segoe UI"/>
                      <w:color w:val="000000"/>
                      <w:sz w:val="18"/>
                      <w:szCs w:val="18"/>
                      <w:lang w:eastAsia="en-AU"/>
                    </w:rPr>
                  </w:pPr>
                  <w:r w:rsidRPr="00B26B68">
                    <w:rPr>
                      <w:rFonts w:ascii="Segoe UI" w:eastAsia="Times New Roman" w:hAnsi="Segoe UI" w:cs="Segoe UI"/>
                      <w:color w:val="000000"/>
                      <w:sz w:val="18"/>
                      <w:szCs w:val="18"/>
                      <w:lang w:eastAsia="en-AU"/>
                    </w:rPr>
                    <w:t> </w:t>
                  </w:r>
                </w:p>
              </w:tc>
              <w:tc>
                <w:tcPr>
                  <w:tcW w:w="1112" w:type="dxa"/>
                  <w:tcBorders>
                    <w:top w:val="nil"/>
                    <w:left w:val="nil"/>
                    <w:bottom w:val="nil"/>
                    <w:right w:val="nil"/>
                  </w:tcBorders>
                  <w:shd w:val="clear" w:color="000000" w:fill="C5D9F1"/>
                  <w:noWrap/>
                  <w:vAlign w:val="center"/>
                  <w:hideMark/>
                </w:tcPr>
                <w:p w14:paraId="67BEFC2E" w14:textId="77777777" w:rsidR="00B26B68" w:rsidRPr="00B26B68" w:rsidRDefault="00B26B68" w:rsidP="00B26B68">
                  <w:pPr>
                    <w:spacing w:after="0" w:line="240" w:lineRule="auto"/>
                    <w:rPr>
                      <w:rFonts w:ascii="Segoe UI" w:eastAsia="Times New Roman" w:hAnsi="Segoe UI" w:cs="Segoe UI"/>
                      <w:color w:val="C5D9F1"/>
                      <w:sz w:val="18"/>
                      <w:szCs w:val="18"/>
                      <w:lang w:eastAsia="en-AU"/>
                    </w:rPr>
                  </w:pPr>
                  <w:r w:rsidRPr="00B26B68">
                    <w:rPr>
                      <w:rFonts w:ascii="Segoe UI" w:eastAsia="Times New Roman" w:hAnsi="Segoe UI" w:cs="Segoe UI"/>
                      <w:color w:val="C5D9F1"/>
                      <w:sz w:val="18"/>
                      <w:szCs w:val="18"/>
                      <w:lang w:eastAsia="en-AU"/>
                    </w:rPr>
                    <w:t> </w:t>
                  </w:r>
                </w:p>
              </w:tc>
              <w:tc>
                <w:tcPr>
                  <w:tcW w:w="3051" w:type="dxa"/>
                  <w:tcBorders>
                    <w:top w:val="nil"/>
                    <w:left w:val="nil"/>
                    <w:bottom w:val="nil"/>
                    <w:right w:val="nil"/>
                  </w:tcBorders>
                  <w:shd w:val="clear" w:color="000000" w:fill="C5D9F1"/>
                  <w:noWrap/>
                  <w:vAlign w:val="center"/>
                  <w:hideMark/>
                </w:tcPr>
                <w:p w14:paraId="24DD691F" w14:textId="77777777" w:rsidR="00B26B68" w:rsidRPr="00B26B68" w:rsidRDefault="00B26B68" w:rsidP="00B26B68">
                  <w:pPr>
                    <w:spacing w:after="0" w:line="240" w:lineRule="auto"/>
                    <w:rPr>
                      <w:rFonts w:ascii="Segoe UI" w:eastAsia="Times New Roman" w:hAnsi="Segoe UI" w:cs="Segoe UI"/>
                      <w:b/>
                      <w:bCs/>
                      <w:color w:val="000000"/>
                      <w:sz w:val="18"/>
                      <w:szCs w:val="18"/>
                      <w:lang w:eastAsia="en-AU"/>
                    </w:rPr>
                  </w:pPr>
                  <w:r w:rsidRPr="00B26B68">
                    <w:rPr>
                      <w:rFonts w:ascii="Segoe UI" w:eastAsia="Times New Roman" w:hAnsi="Segoe UI" w:cs="Segoe UI"/>
                      <w:b/>
                      <w:bCs/>
                      <w:color w:val="000000"/>
                      <w:sz w:val="18"/>
                      <w:szCs w:val="18"/>
                      <w:lang w:eastAsia="en-AU"/>
                    </w:rPr>
                    <w:t>a skin notation is not warranted</w:t>
                  </w:r>
                </w:p>
              </w:tc>
            </w:tr>
          </w:tbl>
          <w:p w14:paraId="4809F1F9" w14:textId="77777777" w:rsidR="00932DCE" w:rsidRPr="004C23F4" w:rsidRDefault="00932DCE" w:rsidP="00F9496B">
            <w:pPr>
              <w:pStyle w:val="Tablefont"/>
            </w:pPr>
          </w:p>
        </w:tc>
      </w:tr>
    </w:tbl>
    <w:bookmarkEnd w:id="3"/>
    <w:p w14:paraId="2274255D"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14:paraId="2694669A" w14:textId="77777777" w:rsidTr="00610F2E">
        <w:trPr>
          <w:trHeight w:val="454"/>
          <w:tblHeader/>
        </w:trPr>
        <w:tc>
          <w:tcPr>
            <w:tcW w:w="4361" w:type="dxa"/>
            <w:vAlign w:val="center"/>
          </w:tcPr>
          <w:p w14:paraId="5CCA275E"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52551F08" w14:textId="2F68F63E" w:rsidR="00EB3D1B" w:rsidRDefault="00537A15" w:rsidP="00EB3D1B">
                <w:pPr>
                  <w:pStyle w:val="Tablefont"/>
                </w:pPr>
                <w:r>
                  <w:t>No</w:t>
                </w:r>
              </w:p>
            </w:tc>
          </w:sdtContent>
        </w:sdt>
      </w:tr>
    </w:tbl>
    <w:p w14:paraId="2630DC9E"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707FDA2C" w14:textId="77777777" w:rsidTr="00EA6243">
        <w:trPr>
          <w:cantSplit/>
          <w:tblHeader/>
        </w:trPr>
        <w:tc>
          <w:tcPr>
            <w:tcW w:w="4077" w:type="dxa"/>
            <w:vAlign w:val="center"/>
          </w:tcPr>
          <w:p w14:paraId="3B8C557E"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11B8902D" w14:textId="349D152A" w:rsidR="001B79E5" w:rsidRDefault="001E6599" w:rsidP="001B79E5">
                <w:pPr>
                  <w:pStyle w:val="Tablefont"/>
                </w:pPr>
                <w:r>
                  <w:t>12.01</w:t>
                </w:r>
              </w:p>
            </w:tc>
          </w:sdtContent>
        </w:sdt>
      </w:tr>
      <w:tr w:rsidR="00A31D99" w:rsidRPr="004C23F4" w14:paraId="2CE68E91" w14:textId="77777777" w:rsidTr="00EA6243">
        <w:trPr>
          <w:cantSplit/>
          <w:tblHeader/>
        </w:trPr>
        <w:tc>
          <w:tcPr>
            <w:tcW w:w="4077" w:type="dxa"/>
            <w:vAlign w:val="center"/>
          </w:tcPr>
          <w:p w14:paraId="73E1C34A"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370DF115" w14:textId="6A679395"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17AC7FA0" w14:textId="77777777" w:rsidTr="00EA6243">
        <w:trPr>
          <w:cantSplit/>
          <w:tblHeader/>
        </w:trPr>
        <w:tc>
          <w:tcPr>
            <w:tcW w:w="4077" w:type="dxa"/>
            <w:vAlign w:val="center"/>
          </w:tcPr>
          <w:p w14:paraId="23F825A6"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01C90409" w14:textId="264AD9A4" w:rsidR="00687890" w:rsidRPr="004C23F4" w:rsidRDefault="0031089B" w:rsidP="00717D45">
                <w:pPr>
                  <w:pStyle w:val="Tablefont"/>
                </w:pPr>
                <w:r>
                  <w:rPr>
                    <w:rFonts w:ascii="MS Gothic" w:eastAsia="MS Gothic" w:hAnsi="MS Gothic" w:hint="eastAsia"/>
                  </w:rPr>
                  <w:t>☐</w:t>
                </w:r>
              </w:p>
            </w:tc>
          </w:sdtContent>
        </w:sdt>
      </w:tr>
      <w:tr w:rsidR="00687890" w:rsidRPr="004C23F4" w14:paraId="7487BC95" w14:textId="77777777" w:rsidTr="00EA6243">
        <w:trPr>
          <w:cantSplit/>
        </w:trPr>
        <w:tc>
          <w:tcPr>
            <w:tcW w:w="4077" w:type="dxa"/>
            <w:vAlign w:val="center"/>
          </w:tcPr>
          <w:p w14:paraId="4FA8D300"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1AB3887C" w14:textId="44986360"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782FAEBB" w14:textId="77777777" w:rsidTr="00EA6243">
        <w:trPr>
          <w:cantSplit/>
        </w:trPr>
        <w:tc>
          <w:tcPr>
            <w:tcW w:w="4077" w:type="dxa"/>
            <w:vAlign w:val="center"/>
          </w:tcPr>
          <w:p w14:paraId="165AA188" w14:textId="77777777" w:rsidR="00687890" w:rsidRPr="00263255" w:rsidRDefault="00687890" w:rsidP="00263255">
            <w:pPr>
              <w:pStyle w:val="Tablefont"/>
            </w:pPr>
            <w:r w:rsidRPr="00263255">
              <w:t>This chemical is a by-product of a process:</w:t>
            </w:r>
          </w:p>
        </w:tc>
        <w:sdt>
          <w:sdtPr>
            <w:id w:val="-863134491"/>
            <w14:checkbox>
              <w14:checked w14:val="1"/>
              <w14:checkedState w14:val="00FC" w14:font="Wingdings"/>
              <w14:uncheckedState w14:val="2610" w14:font="MS Gothic"/>
            </w14:checkbox>
          </w:sdtPr>
          <w:sdtEndPr/>
          <w:sdtContent>
            <w:tc>
              <w:tcPr>
                <w:tcW w:w="5165" w:type="dxa"/>
                <w:vAlign w:val="center"/>
              </w:tcPr>
              <w:p w14:paraId="2DF3AC8F" w14:textId="0CBD18D7" w:rsidR="00687890" w:rsidRPr="004C23F4" w:rsidRDefault="0031089B" w:rsidP="00717D45">
                <w:pPr>
                  <w:pStyle w:val="Tablefont"/>
                </w:pPr>
                <w:r>
                  <w:sym w:font="Wingdings" w:char="F0FC"/>
                </w:r>
              </w:p>
            </w:tc>
          </w:sdtContent>
        </w:sdt>
      </w:tr>
      <w:tr w:rsidR="00E06F40" w:rsidRPr="004C23F4" w14:paraId="38CEB571" w14:textId="77777777" w:rsidTr="00EA6243">
        <w:trPr>
          <w:cantSplit/>
        </w:trPr>
        <w:tc>
          <w:tcPr>
            <w:tcW w:w="4077" w:type="dxa"/>
            <w:vAlign w:val="center"/>
          </w:tcPr>
          <w:p w14:paraId="584F3265"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714D2D45" w14:textId="78DA13F6" w:rsidR="00E06F40" w:rsidRPr="00A006A0" w:rsidRDefault="009A37B6"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6D136FD0"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67DC63C" w14:textId="77777777" w:rsidTr="00F053FA">
        <w:trPr>
          <w:tblHeader/>
        </w:trPr>
        <w:tc>
          <w:tcPr>
            <w:tcW w:w="4077" w:type="dxa"/>
            <w:shd w:val="clear" w:color="auto" w:fill="BFBFBF" w:themeFill="background1" w:themeFillShade="BF"/>
            <w:vAlign w:val="center"/>
          </w:tcPr>
          <w:p w14:paraId="1DB56E82"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545D3316" w14:textId="77777777" w:rsidR="00224EE2" w:rsidRPr="004C23F4" w:rsidRDefault="00224EE2" w:rsidP="00EB3D1B">
            <w:pPr>
              <w:pStyle w:val="Tableheader"/>
              <w:keepNext/>
              <w:keepLines/>
            </w:pPr>
            <w:r>
              <w:t>Standard</w:t>
            </w:r>
          </w:p>
        </w:tc>
      </w:tr>
      <w:tr w:rsidR="007F1005" w:rsidRPr="004C23F4" w14:paraId="43453880" w14:textId="77777777" w:rsidTr="00F053FA">
        <w:trPr>
          <w:tblHeader/>
        </w:trPr>
        <w:sdt>
          <w:sdtPr>
            <w:id w:val="-25557549"/>
            <w:placeholder>
              <w:docPart w:val="2BF891C0AB704CDAB9BC6E80D556473F"/>
            </w:placeholder>
            <w:showingPlcHdr/>
            <w:text/>
          </w:sdtPr>
          <w:sdtEndPr/>
          <w:sdtContent>
            <w:tc>
              <w:tcPr>
                <w:tcW w:w="4077" w:type="dxa"/>
                <w:vAlign w:val="center"/>
              </w:tcPr>
              <w:p w14:paraId="722AAD35"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6A43BA0B" w14:textId="77777777" w:rsidR="007F1005" w:rsidRPr="004C23F4" w:rsidRDefault="007F1005" w:rsidP="00EB3D1B">
            <w:pPr>
              <w:pStyle w:val="Tablefont"/>
              <w:keepLines/>
            </w:pPr>
          </w:p>
        </w:tc>
      </w:tr>
    </w:tbl>
    <w:bookmarkEnd w:id="4"/>
    <w:p w14:paraId="51954DAE" w14:textId="77777777" w:rsidR="00F87D92" w:rsidRDefault="00F87D92" w:rsidP="00EF7F78">
      <w:pPr>
        <w:pStyle w:val="Heading2"/>
        <w:tabs>
          <w:tab w:val="right" w:pos="8505"/>
        </w:tabs>
      </w:pPr>
      <w:r>
        <w:t>References</w:t>
      </w:r>
      <w:r w:rsidR="00EF7F78">
        <w:tab/>
      </w:r>
    </w:p>
    <w:p w14:paraId="67D1FB7A"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7DA96D67" w14:textId="77777777" w:rsidR="00C73A31" w:rsidRDefault="00C73A31" w:rsidP="00084859">
      <w:r w:rsidRPr="00C73A31">
        <w:t>Deutsche Forschungsgemeinschaft (DFG) (</w:t>
      </w:r>
      <w:r>
        <w:t>1999</w:t>
      </w:r>
      <w:r w:rsidRPr="00C73A31">
        <w:t>) Carbon black in the form of inhalable dust – MAK value documentation.</w:t>
      </w:r>
    </w:p>
    <w:p w14:paraId="67D712CF" w14:textId="77777777" w:rsidR="00C73A31" w:rsidRDefault="00C73A31" w:rsidP="00C73A31">
      <w:r w:rsidRPr="002022B6">
        <w:t>International Agency for Research on Cancer</w:t>
      </w:r>
      <w:r>
        <w:t xml:space="preserve"> (IARC) (2010) </w:t>
      </w:r>
      <w:r w:rsidRPr="00C73A31">
        <w:t>Carbon Black, Titanium Dioxide, and Talc</w:t>
      </w:r>
      <w:r>
        <w:t>. IARC Monographs on the evaluation of the carcinogenic risk to humans, volume 93.</w:t>
      </w:r>
    </w:p>
    <w:p w14:paraId="40F97BEC" w14:textId="77777777" w:rsidR="00C73A31" w:rsidRDefault="00C73A31" w:rsidP="00084859">
      <w:r w:rsidRPr="00C73A31">
        <w:t>National Industrial Chemicals Notification and Assessment Scheme (NICNAS) (</w:t>
      </w:r>
      <w:r>
        <w:t>2015</w:t>
      </w:r>
      <w:r w:rsidRPr="00C73A31">
        <w:t>) Carbon black: Human health tier II assessment – IMAP report.</w:t>
      </w:r>
    </w:p>
    <w:p w14:paraId="3E13D5B7" w14:textId="77777777" w:rsidR="00C73A31" w:rsidRDefault="00C73A31" w:rsidP="00084859">
      <w:r w:rsidRPr="00C73A31">
        <w:t>Nordic Expert Group for Criteria Documentation of Health Risks of Chemicals (</w:t>
      </w:r>
      <w:r>
        <w:t>2013</w:t>
      </w:r>
      <w:r w:rsidRPr="00C73A31">
        <w:t xml:space="preserve">) 148. Carbon nanotubes. NR </w:t>
      </w:r>
      <w:r>
        <w:t>2013</w:t>
      </w:r>
      <w:r w:rsidRPr="00C73A31">
        <w:t xml:space="preserve">; </w:t>
      </w:r>
      <w:r>
        <w:t>47</w:t>
      </w:r>
      <w:r w:rsidRPr="00C73A31">
        <w:t>(</w:t>
      </w:r>
      <w:r>
        <w:t>5</w:t>
      </w:r>
      <w:r w:rsidRPr="00C73A31">
        <w:t>).</w:t>
      </w:r>
    </w:p>
    <w:p w14:paraId="19FAA42D" w14:textId="77777777" w:rsidR="00C73A31" w:rsidRDefault="00C73A31" w:rsidP="00084859">
      <w:r w:rsidRPr="00D86E03">
        <w:t>Organisation for Economic Cooperation and Development (OECD)</w:t>
      </w:r>
      <w:r>
        <w:t xml:space="preserve"> (2006) SIDS initial assessment profile – Carbon black</w:t>
      </w:r>
      <w:r w:rsidRPr="00D86E03">
        <w:t>.</w:t>
      </w:r>
    </w:p>
    <w:p w14:paraId="3F790BE5" w14:textId="77777777" w:rsidR="009926C9" w:rsidRDefault="009926C9" w:rsidP="009926C9">
      <w:r>
        <w:t xml:space="preserve">US National Institute for Occupational Safety and Health (NIOSH) (1994) Immediately dangerous to life or health concentrations – Carbon Black. </w:t>
      </w:r>
    </w:p>
    <w:p w14:paraId="21CA16DA" w14:textId="77777777" w:rsidR="00CF6F75" w:rsidRPr="00351FE0" w:rsidRDefault="00CF6F75" w:rsidP="00084859"/>
    <w:sectPr w:rsidR="00CF6F75"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6368D" w16cid:durableId="212CA2B0"/>
  <w16cid:commentId w16cid:paraId="02AF70CE" w16cid:durableId="212CA2FF"/>
  <w16cid:commentId w16cid:paraId="23740C46" w16cid:durableId="212CA21F"/>
  <w16cid:commentId w16cid:paraId="66F1A892" w16cid:durableId="212CA5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AAEE0" w14:textId="77777777" w:rsidR="00CC40E1" w:rsidRDefault="00CC40E1" w:rsidP="00F43AD5">
      <w:pPr>
        <w:spacing w:after="0" w:line="240" w:lineRule="auto"/>
      </w:pPr>
      <w:r>
        <w:separator/>
      </w:r>
    </w:p>
  </w:endnote>
  <w:endnote w:type="continuationSeparator" w:id="0">
    <w:p w14:paraId="1833AAD4" w14:textId="77777777" w:rsidR="00CC40E1" w:rsidRDefault="00CC40E1"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3ADE" w14:textId="77777777" w:rsidR="00451EBA" w:rsidRDefault="0045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0DCF4" w14:textId="77777777" w:rsidR="00CD7D17" w:rsidRPr="001D46CB" w:rsidRDefault="001D46CB">
    <w:pPr>
      <w:pStyle w:val="Footer"/>
      <w:rPr>
        <w:sz w:val="18"/>
        <w:szCs w:val="18"/>
      </w:rPr>
    </w:pPr>
    <w:r>
      <w:rPr>
        <w:b/>
        <w:sz w:val="18"/>
        <w:szCs w:val="18"/>
      </w:rPr>
      <w:t>Carbon black (1333-86-4)</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p w14:paraId="01C951EA" w14:textId="6465417D" w:rsidR="0050627E" w:rsidRPr="00F43AD5" w:rsidRDefault="0050627E" w:rsidP="0050627E">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9A37B6">
      <w:rPr>
        <w:noProof/>
        <w:sz w:val="18"/>
        <w:szCs w:val="18"/>
      </w:rPr>
      <w:t>3</w:t>
    </w:r>
    <w:r w:rsidRPr="00F43AD5">
      <w:rPr>
        <w:noProof/>
        <w:sz w:val="18"/>
        <w:szCs w:val="18"/>
      </w:rPr>
      <w:fldChar w:fldCharType="end"/>
    </w:r>
  </w:p>
  <w:p w14:paraId="2358263F" w14:textId="77777777" w:rsidR="008A36CF" w:rsidRPr="00F43AD5" w:rsidRDefault="008A36CF" w:rsidP="00A27E2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6417" w14:textId="77777777" w:rsidR="00451EBA" w:rsidRDefault="0045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24AA" w14:textId="77777777" w:rsidR="00CC40E1" w:rsidRDefault="00CC40E1" w:rsidP="00F43AD5">
      <w:pPr>
        <w:spacing w:after="0" w:line="240" w:lineRule="auto"/>
      </w:pPr>
      <w:r>
        <w:separator/>
      </w:r>
    </w:p>
  </w:footnote>
  <w:footnote w:type="continuationSeparator" w:id="0">
    <w:p w14:paraId="1EF4FCAD" w14:textId="77777777" w:rsidR="00CC40E1" w:rsidRDefault="00CC40E1"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03BA" w14:textId="77777777" w:rsidR="00451EBA" w:rsidRDefault="0045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991B" w14:textId="48C4A6DF" w:rsidR="008A36CF" w:rsidRDefault="009A37B6" w:rsidP="00F43AD5">
    <w:pPr>
      <w:pStyle w:val="Header"/>
      <w:jc w:val="right"/>
    </w:pPr>
    <w:sdt>
      <w:sdtPr>
        <w:id w:val="1988364741"/>
        <w:docPartObj>
          <w:docPartGallery w:val="Watermarks"/>
          <w:docPartUnique/>
        </w:docPartObj>
      </w:sdtPr>
      <w:sdtContent>
        <w:r>
          <w:rPr>
            <w:noProof/>
            <w:lang w:val="en-US"/>
          </w:rPr>
          <w:pict w14:anchorId="1778A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36CF">
      <w:rPr>
        <w:noProof/>
        <w:lang w:eastAsia="en-AU"/>
      </w:rPr>
      <w:drawing>
        <wp:inline distT="0" distB="0" distL="0" distR="0" wp14:anchorId="72062D78" wp14:editId="720B45E2">
          <wp:extent cx="2938272" cy="594360"/>
          <wp:effectExtent l="0" t="0" r="0" b="0"/>
          <wp:docPr id="1" name="Picture 1"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DFEA2" w14:textId="77777777" w:rsidR="00451EBA" w:rsidRDefault="00451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046A" w14:textId="77777777" w:rsidR="009A37B6" w:rsidRDefault="009A37B6" w:rsidP="009A37B6">
    <w:pPr>
      <w:pStyle w:val="Header"/>
      <w:jc w:val="right"/>
    </w:pPr>
    <w:sdt>
      <w:sdtPr>
        <w:id w:val="129365453"/>
        <w:docPartObj>
          <w:docPartGallery w:val="Watermarks"/>
          <w:docPartUnique/>
        </w:docPartObj>
      </w:sdtPr>
      <w:sdtContent>
        <w:r>
          <w:rPr>
            <w:noProof/>
            <w:lang w:val="en-US"/>
          </w:rPr>
          <w:pict w14:anchorId="5C45F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6C2E2375" wp14:editId="41132E40">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p w14:paraId="1010B65D" w14:textId="77777777" w:rsidR="008A36CF" w:rsidRDefault="008A36CF"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4CC1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B1D72"/>
    <w:multiLevelType w:val="hybridMultilevel"/>
    <w:tmpl w:val="A0B00A76"/>
    <w:lvl w:ilvl="0" w:tplc="0C090003">
      <w:start w:val="1"/>
      <w:numFmt w:val="bullet"/>
      <w:lvlText w:val="o"/>
      <w:lvlJc w:val="left"/>
      <w:pPr>
        <w:ind w:left="1162" w:hanging="360"/>
      </w:pPr>
      <w:rPr>
        <w:rFonts w:ascii="Courier New" w:hAnsi="Courier New" w:cs="Courier New" w:hint="default"/>
      </w:rPr>
    </w:lvl>
    <w:lvl w:ilvl="1" w:tplc="0C090003" w:tentative="1">
      <w:start w:val="1"/>
      <w:numFmt w:val="bullet"/>
      <w:lvlText w:val="o"/>
      <w:lvlJc w:val="left"/>
      <w:pPr>
        <w:ind w:left="1882" w:hanging="360"/>
      </w:pPr>
      <w:rPr>
        <w:rFonts w:ascii="Courier New" w:hAnsi="Courier New" w:cs="Courier New" w:hint="default"/>
      </w:rPr>
    </w:lvl>
    <w:lvl w:ilvl="2" w:tplc="0C090005" w:tentative="1">
      <w:start w:val="1"/>
      <w:numFmt w:val="bullet"/>
      <w:lvlText w:val=""/>
      <w:lvlJc w:val="left"/>
      <w:pPr>
        <w:ind w:left="2602" w:hanging="360"/>
      </w:pPr>
      <w:rPr>
        <w:rFonts w:ascii="Wingdings" w:hAnsi="Wingdings" w:hint="default"/>
      </w:rPr>
    </w:lvl>
    <w:lvl w:ilvl="3" w:tplc="0C090001" w:tentative="1">
      <w:start w:val="1"/>
      <w:numFmt w:val="bullet"/>
      <w:lvlText w:val=""/>
      <w:lvlJc w:val="left"/>
      <w:pPr>
        <w:ind w:left="3322" w:hanging="360"/>
      </w:pPr>
      <w:rPr>
        <w:rFonts w:ascii="Symbol" w:hAnsi="Symbol" w:hint="default"/>
      </w:rPr>
    </w:lvl>
    <w:lvl w:ilvl="4" w:tplc="0C090003" w:tentative="1">
      <w:start w:val="1"/>
      <w:numFmt w:val="bullet"/>
      <w:lvlText w:val="o"/>
      <w:lvlJc w:val="left"/>
      <w:pPr>
        <w:ind w:left="4042" w:hanging="360"/>
      </w:pPr>
      <w:rPr>
        <w:rFonts w:ascii="Courier New" w:hAnsi="Courier New" w:cs="Courier New" w:hint="default"/>
      </w:rPr>
    </w:lvl>
    <w:lvl w:ilvl="5" w:tplc="0C090005" w:tentative="1">
      <w:start w:val="1"/>
      <w:numFmt w:val="bullet"/>
      <w:lvlText w:val=""/>
      <w:lvlJc w:val="left"/>
      <w:pPr>
        <w:ind w:left="4762" w:hanging="360"/>
      </w:pPr>
      <w:rPr>
        <w:rFonts w:ascii="Wingdings" w:hAnsi="Wingdings" w:hint="default"/>
      </w:rPr>
    </w:lvl>
    <w:lvl w:ilvl="6" w:tplc="0C090001" w:tentative="1">
      <w:start w:val="1"/>
      <w:numFmt w:val="bullet"/>
      <w:lvlText w:val=""/>
      <w:lvlJc w:val="left"/>
      <w:pPr>
        <w:ind w:left="5482" w:hanging="360"/>
      </w:pPr>
      <w:rPr>
        <w:rFonts w:ascii="Symbol" w:hAnsi="Symbol" w:hint="default"/>
      </w:rPr>
    </w:lvl>
    <w:lvl w:ilvl="7" w:tplc="0C090003" w:tentative="1">
      <w:start w:val="1"/>
      <w:numFmt w:val="bullet"/>
      <w:lvlText w:val="o"/>
      <w:lvlJc w:val="left"/>
      <w:pPr>
        <w:ind w:left="6202" w:hanging="360"/>
      </w:pPr>
      <w:rPr>
        <w:rFonts w:ascii="Courier New" w:hAnsi="Courier New" w:cs="Courier New" w:hint="default"/>
      </w:rPr>
    </w:lvl>
    <w:lvl w:ilvl="8" w:tplc="0C090005" w:tentative="1">
      <w:start w:val="1"/>
      <w:numFmt w:val="bullet"/>
      <w:lvlText w:val=""/>
      <w:lvlJc w:val="left"/>
      <w:pPr>
        <w:ind w:left="6922" w:hanging="360"/>
      </w:pPr>
      <w:rPr>
        <w:rFonts w:ascii="Wingdings" w:hAnsi="Wingdings" w:hint="default"/>
      </w:rPr>
    </w:lvl>
  </w:abstractNum>
  <w:abstractNum w:abstractNumId="2" w15:restartNumberingAfterBreak="0">
    <w:nsid w:val="162F37D5"/>
    <w:multiLevelType w:val="hybridMultilevel"/>
    <w:tmpl w:val="5C5221E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A440B42"/>
    <w:multiLevelType w:val="hybridMultilevel"/>
    <w:tmpl w:val="4634995E"/>
    <w:lvl w:ilvl="0" w:tplc="45DEDC86">
      <w:start w:val="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1D773D"/>
    <w:multiLevelType w:val="hybridMultilevel"/>
    <w:tmpl w:val="7E4A72B2"/>
    <w:lvl w:ilvl="0" w:tplc="0C090003">
      <w:start w:val="1"/>
      <w:numFmt w:val="bullet"/>
      <w:lvlText w:val="o"/>
      <w:lvlJc w:val="left"/>
      <w:pPr>
        <w:ind w:left="1162" w:hanging="360"/>
      </w:pPr>
      <w:rPr>
        <w:rFonts w:ascii="Courier New" w:hAnsi="Courier New" w:cs="Courier New" w:hint="default"/>
      </w:rPr>
    </w:lvl>
    <w:lvl w:ilvl="1" w:tplc="0C090003" w:tentative="1">
      <w:start w:val="1"/>
      <w:numFmt w:val="bullet"/>
      <w:lvlText w:val="o"/>
      <w:lvlJc w:val="left"/>
      <w:pPr>
        <w:ind w:left="1882" w:hanging="360"/>
      </w:pPr>
      <w:rPr>
        <w:rFonts w:ascii="Courier New" w:hAnsi="Courier New" w:cs="Courier New" w:hint="default"/>
      </w:rPr>
    </w:lvl>
    <w:lvl w:ilvl="2" w:tplc="0C090005" w:tentative="1">
      <w:start w:val="1"/>
      <w:numFmt w:val="bullet"/>
      <w:lvlText w:val=""/>
      <w:lvlJc w:val="left"/>
      <w:pPr>
        <w:ind w:left="2602" w:hanging="360"/>
      </w:pPr>
      <w:rPr>
        <w:rFonts w:ascii="Wingdings" w:hAnsi="Wingdings" w:hint="default"/>
      </w:rPr>
    </w:lvl>
    <w:lvl w:ilvl="3" w:tplc="0C090001" w:tentative="1">
      <w:start w:val="1"/>
      <w:numFmt w:val="bullet"/>
      <w:lvlText w:val=""/>
      <w:lvlJc w:val="left"/>
      <w:pPr>
        <w:ind w:left="3322" w:hanging="360"/>
      </w:pPr>
      <w:rPr>
        <w:rFonts w:ascii="Symbol" w:hAnsi="Symbol" w:hint="default"/>
      </w:rPr>
    </w:lvl>
    <w:lvl w:ilvl="4" w:tplc="0C090003" w:tentative="1">
      <w:start w:val="1"/>
      <w:numFmt w:val="bullet"/>
      <w:lvlText w:val="o"/>
      <w:lvlJc w:val="left"/>
      <w:pPr>
        <w:ind w:left="4042" w:hanging="360"/>
      </w:pPr>
      <w:rPr>
        <w:rFonts w:ascii="Courier New" w:hAnsi="Courier New" w:cs="Courier New" w:hint="default"/>
      </w:rPr>
    </w:lvl>
    <w:lvl w:ilvl="5" w:tplc="0C090005" w:tentative="1">
      <w:start w:val="1"/>
      <w:numFmt w:val="bullet"/>
      <w:lvlText w:val=""/>
      <w:lvlJc w:val="left"/>
      <w:pPr>
        <w:ind w:left="4762" w:hanging="360"/>
      </w:pPr>
      <w:rPr>
        <w:rFonts w:ascii="Wingdings" w:hAnsi="Wingdings" w:hint="default"/>
      </w:rPr>
    </w:lvl>
    <w:lvl w:ilvl="6" w:tplc="0C090001" w:tentative="1">
      <w:start w:val="1"/>
      <w:numFmt w:val="bullet"/>
      <w:lvlText w:val=""/>
      <w:lvlJc w:val="left"/>
      <w:pPr>
        <w:ind w:left="5482" w:hanging="360"/>
      </w:pPr>
      <w:rPr>
        <w:rFonts w:ascii="Symbol" w:hAnsi="Symbol" w:hint="default"/>
      </w:rPr>
    </w:lvl>
    <w:lvl w:ilvl="7" w:tplc="0C090003" w:tentative="1">
      <w:start w:val="1"/>
      <w:numFmt w:val="bullet"/>
      <w:lvlText w:val="o"/>
      <w:lvlJc w:val="left"/>
      <w:pPr>
        <w:ind w:left="6202" w:hanging="360"/>
      </w:pPr>
      <w:rPr>
        <w:rFonts w:ascii="Courier New" w:hAnsi="Courier New" w:cs="Courier New" w:hint="default"/>
      </w:rPr>
    </w:lvl>
    <w:lvl w:ilvl="8" w:tplc="0C090005" w:tentative="1">
      <w:start w:val="1"/>
      <w:numFmt w:val="bullet"/>
      <w:lvlText w:val=""/>
      <w:lvlJc w:val="left"/>
      <w:pPr>
        <w:ind w:left="6922"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0748"/>
    <w:rsid w:val="0001110D"/>
    <w:rsid w:val="00013A22"/>
    <w:rsid w:val="00014C3F"/>
    <w:rsid w:val="00014D55"/>
    <w:rsid w:val="00017C82"/>
    <w:rsid w:val="0002509C"/>
    <w:rsid w:val="00032B88"/>
    <w:rsid w:val="00046DF5"/>
    <w:rsid w:val="00052060"/>
    <w:rsid w:val="0005574A"/>
    <w:rsid w:val="00055FE1"/>
    <w:rsid w:val="00056EC2"/>
    <w:rsid w:val="00060B48"/>
    <w:rsid w:val="00067F32"/>
    <w:rsid w:val="00071807"/>
    <w:rsid w:val="000803E1"/>
    <w:rsid w:val="00081CD3"/>
    <w:rsid w:val="00084513"/>
    <w:rsid w:val="00084859"/>
    <w:rsid w:val="00092D94"/>
    <w:rsid w:val="000A3EC5"/>
    <w:rsid w:val="000B0868"/>
    <w:rsid w:val="000B3E12"/>
    <w:rsid w:val="000B3E78"/>
    <w:rsid w:val="000B7B48"/>
    <w:rsid w:val="000C096D"/>
    <w:rsid w:val="000C139A"/>
    <w:rsid w:val="000C2053"/>
    <w:rsid w:val="000C248C"/>
    <w:rsid w:val="000D291C"/>
    <w:rsid w:val="000E4C17"/>
    <w:rsid w:val="000E5A54"/>
    <w:rsid w:val="000E63D3"/>
    <w:rsid w:val="000E67CF"/>
    <w:rsid w:val="0010461E"/>
    <w:rsid w:val="00106FAA"/>
    <w:rsid w:val="00112654"/>
    <w:rsid w:val="00113443"/>
    <w:rsid w:val="001269A7"/>
    <w:rsid w:val="00131092"/>
    <w:rsid w:val="00140E6A"/>
    <w:rsid w:val="00146545"/>
    <w:rsid w:val="00146B75"/>
    <w:rsid w:val="0015266D"/>
    <w:rsid w:val="0015288A"/>
    <w:rsid w:val="00160F47"/>
    <w:rsid w:val="00170D14"/>
    <w:rsid w:val="001722C0"/>
    <w:rsid w:val="00177CA1"/>
    <w:rsid w:val="00183823"/>
    <w:rsid w:val="00183942"/>
    <w:rsid w:val="00184DAE"/>
    <w:rsid w:val="001A009E"/>
    <w:rsid w:val="001A1287"/>
    <w:rsid w:val="001A3859"/>
    <w:rsid w:val="001A3C9D"/>
    <w:rsid w:val="001A43F8"/>
    <w:rsid w:val="001A6FE3"/>
    <w:rsid w:val="001B7581"/>
    <w:rsid w:val="001B79E5"/>
    <w:rsid w:val="001D46CB"/>
    <w:rsid w:val="001D56F0"/>
    <w:rsid w:val="001D663B"/>
    <w:rsid w:val="001D68FB"/>
    <w:rsid w:val="001D7B41"/>
    <w:rsid w:val="001E46DA"/>
    <w:rsid w:val="001E6599"/>
    <w:rsid w:val="001E7D80"/>
    <w:rsid w:val="001F4B6C"/>
    <w:rsid w:val="001F62CB"/>
    <w:rsid w:val="001F6ED0"/>
    <w:rsid w:val="001F72E6"/>
    <w:rsid w:val="001F73C5"/>
    <w:rsid w:val="002046A6"/>
    <w:rsid w:val="00204956"/>
    <w:rsid w:val="00205221"/>
    <w:rsid w:val="00213640"/>
    <w:rsid w:val="00221547"/>
    <w:rsid w:val="002216FC"/>
    <w:rsid w:val="00222533"/>
    <w:rsid w:val="00222F30"/>
    <w:rsid w:val="00224EE2"/>
    <w:rsid w:val="00227EC7"/>
    <w:rsid w:val="002307B2"/>
    <w:rsid w:val="00244AD1"/>
    <w:rsid w:val="002463BC"/>
    <w:rsid w:val="002465CE"/>
    <w:rsid w:val="0025734A"/>
    <w:rsid w:val="00263255"/>
    <w:rsid w:val="00275B3E"/>
    <w:rsid w:val="00276494"/>
    <w:rsid w:val="00277B0C"/>
    <w:rsid w:val="002829DE"/>
    <w:rsid w:val="00292334"/>
    <w:rsid w:val="00297B0E"/>
    <w:rsid w:val="002A10CB"/>
    <w:rsid w:val="002A4B39"/>
    <w:rsid w:val="002B1A2C"/>
    <w:rsid w:val="002B6EE2"/>
    <w:rsid w:val="002C34F2"/>
    <w:rsid w:val="002C58FF"/>
    <w:rsid w:val="002C7AFE"/>
    <w:rsid w:val="002D05D2"/>
    <w:rsid w:val="002E0D61"/>
    <w:rsid w:val="002E2611"/>
    <w:rsid w:val="002E4C7B"/>
    <w:rsid w:val="002F3366"/>
    <w:rsid w:val="0030740C"/>
    <w:rsid w:val="0031089B"/>
    <w:rsid w:val="00315833"/>
    <w:rsid w:val="003173E1"/>
    <w:rsid w:val="003215EE"/>
    <w:rsid w:val="003224BF"/>
    <w:rsid w:val="003241A8"/>
    <w:rsid w:val="003253F0"/>
    <w:rsid w:val="003337DA"/>
    <w:rsid w:val="00334EFB"/>
    <w:rsid w:val="00335CDE"/>
    <w:rsid w:val="003365A5"/>
    <w:rsid w:val="00347000"/>
    <w:rsid w:val="00347192"/>
    <w:rsid w:val="0034744C"/>
    <w:rsid w:val="00351FE0"/>
    <w:rsid w:val="00352615"/>
    <w:rsid w:val="0035412B"/>
    <w:rsid w:val="003567A8"/>
    <w:rsid w:val="00362895"/>
    <w:rsid w:val="00370DBF"/>
    <w:rsid w:val="00386093"/>
    <w:rsid w:val="003904A4"/>
    <w:rsid w:val="00391841"/>
    <w:rsid w:val="00391B6D"/>
    <w:rsid w:val="00394922"/>
    <w:rsid w:val="00396B87"/>
    <w:rsid w:val="003A0E32"/>
    <w:rsid w:val="003A2B94"/>
    <w:rsid w:val="003B387D"/>
    <w:rsid w:val="003B5241"/>
    <w:rsid w:val="003C0D58"/>
    <w:rsid w:val="003C7633"/>
    <w:rsid w:val="003D4FA3"/>
    <w:rsid w:val="003E0807"/>
    <w:rsid w:val="003E51FB"/>
    <w:rsid w:val="003E6B39"/>
    <w:rsid w:val="003F07E1"/>
    <w:rsid w:val="004030BC"/>
    <w:rsid w:val="00403F7D"/>
    <w:rsid w:val="00406785"/>
    <w:rsid w:val="00407432"/>
    <w:rsid w:val="004079B4"/>
    <w:rsid w:val="00417A56"/>
    <w:rsid w:val="00420957"/>
    <w:rsid w:val="00422A10"/>
    <w:rsid w:val="004251DB"/>
    <w:rsid w:val="00430179"/>
    <w:rsid w:val="004414B5"/>
    <w:rsid w:val="00444482"/>
    <w:rsid w:val="00444B42"/>
    <w:rsid w:val="00445E44"/>
    <w:rsid w:val="004509E2"/>
    <w:rsid w:val="004515EE"/>
    <w:rsid w:val="00451EBA"/>
    <w:rsid w:val="004529F0"/>
    <w:rsid w:val="00460A03"/>
    <w:rsid w:val="00472A11"/>
    <w:rsid w:val="00472AAD"/>
    <w:rsid w:val="00474E33"/>
    <w:rsid w:val="00476803"/>
    <w:rsid w:val="00482056"/>
    <w:rsid w:val="00485BFD"/>
    <w:rsid w:val="004867A2"/>
    <w:rsid w:val="004873F2"/>
    <w:rsid w:val="00490D4C"/>
    <w:rsid w:val="00493A35"/>
    <w:rsid w:val="0049527A"/>
    <w:rsid w:val="004966BF"/>
    <w:rsid w:val="00497984"/>
    <w:rsid w:val="004A5088"/>
    <w:rsid w:val="004C1E3F"/>
    <w:rsid w:val="004C23F4"/>
    <w:rsid w:val="004C3475"/>
    <w:rsid w:val="004C3EC7"/>
    <w:rsid w:val="004C58B6"/>
    <w:rsid w:val="004D16A3"/>
    <w:rsid w:val="004D4AA1"/>
    <w:rsid w:val="004D63F9"/>
    <w:rsid w:val="004D6D68"/>
    <w:rsid w:val="004E5EDD"/>
    <w:rsid w:val="004F448A"/>
    <w:rsid w:val="004F493D"/>
    <w:rsid w:val="004F65E8"/>
    <w:rsid w:val="0050005E"/>
    <w:rsid w:val="00502B88"/>
    <w:rsid w:val="0050627E"/>
    <w:rsid w:val="0051409B"/>
    <w:rsid w:val="005142C4"/>
    <w:rsid w:val="0051509C"/>
    <w:rsid w:val="005223A5"/>
    <w:rsid w:val="005272E2"/>
    <w:rsid w:val="0053108F"/>
    <w:rsid w:val="00532B56"/>
    <w:rsid w:val="00534B10"/>
    <w:rsid w:val="00537A15"/>
    <w:rsid w:val="005446A2"/>
    <w:rsid w:val="00544D2F"/>
    <w:rsid w:val="00547650"/>
    <w:rsid w:val="00551BD8"/>
    <w:rsid w:val="005535E5"/>
    <w:rsid w:val="00562E50"/>
    <w:rsid w:val="00571580"/>
    <w:rsid w:val="00581055"/>
    <w:rsid w:val="00591E38"/>
    <w:rsid w:val="005A19C5"/>
    <w:rsid w:val="005A3034"/>
    <w:rsid w:val="005A462D"/>
    <w:rsid w:val="005A5F20"/>
    <w:rsid w:val="005B168E"/>
    <w:rsid w:val="005B253B"/>
    <w:rsid w:val="005B771D"/>
    <w:rsid w:val="005C5D16"/>
    <w:rsid w:val="005D3193"/>
    <w:rsid w:val="005D4A6E"/>
    <w:rsid w:val="005E6979"/>
    <w:rsid w:val="005E75CB"/>
    <w:rsid w:val="005F53A5"/>
    <w:rsid w:val="006013C1"/>
    <w:rsid w:val="0060669E"/>
    <w:rsid w:val="00610F2E"/>
    <w:rsid w:val="00611399"/>
    <w:rsid w:val="00624C4E"/>
    <w:rsid w:val="00625200"/>
    <w:rsid w:val="006311F9"/>
    <w:rsid w:val="006363A8"/>
    <w:rsid w:val="00636DB7"/>
    <w:rsid w:val="0064745A"/>
    <w:rsid w:val="00650905"/>
    <w:rsid w:val="006532ED"/>
    <w:rsid w:val="006549F2"/>
    <w:rsid w:val="006557BA"/>
    <w:rsid w:val="006567B7"/>
    <w:rsid w:val="00657BFB"/>
    <w:rsid w:val="0066333C"/>
    <w:rsid w:val="006639B4"/>
    <w:rsid w:val="00663B7B"/>
    <w:rsid w:val="006650FE"/>
    <w:rsid w:val="0067305D"/>
    <w:rsid w:val="00677D9B"/>
    <w:rsid w:val="006867F3"/>
    <w:rsid w:val="00687890"/>
    <w:rsid w:val="006901A2"/>
    <w:rsid w:val="00690368"/>
    <w:rsid w:val="0069079C"/>
    <w:rsid w:val="00690B53"/>
    <w:rsid w:val="00695B72"/>
    <w:rsid w:val="006B160A"/>
    <w:rsid w:val="006B4BF0"/>
    <w:rsid w:val="006B4E6C"/>
    <w:rsid w:val="006B50B6"/>
    <w:rsid w:val="006D79EA"/>
    <w:rsid w:val="006E5D05"/>
    <w:rsid w:val="006F3CDB"/>
    <w:rsid w:val="006F51F8"/>
    <w:rsid w:val="00701053"/>
    <w:rsid w:val="00701507"/>
    <w:rsid w:val="00714021"/>
    <w:rsid w:val="00716A0F"/>
    <w:rsid w:val="007177B5"/>
    <w:rsid w:val="00717D45"/>
    <w:rsid w:val="007208F7"/>
    <w:rsid w:val="007218AF"/>
    <w:rsid w:val="00725875"/>
    <w:rsid w:val="007365D1"/>
    <w:rsid w:val="00740097"/>
    <w:rsid w:val="00740E0E"/>
    <w:rsid w:val="00744817"/>
    <w:rsid w:val="00747373"/>
    <w:rsid w:val="00750212"/>
    <w:rsid w:val="00754779"/>
    <w:rsid w:val="0075716D"/>
    <w:rsid w:val="00765F14"/>
    <w:rsid w:val="00770E31"/>
    <w:rsid w:val="0077664B"/>
    <w:rsid w:val="007770F1"/>
    <w:rsid w:val="00783FB1"/>
    <w:rsid w:val="00785CDD"/>
    <w:rsid w:val="00791847"/>
    <w:rsid w:val="007925F0"/>
    <w:rsid w:val="007939B3"/>
    <w:rsid w:val="00793BBA"/>
    <w:rsid w:val="0079509C"/>
    <w:rsid w:val="00796708"/>
    <w:rsid w:val="007A565A"/>
    <w:rsid w:val="007B1B42"/>
    <w:rsid w:val="007C30EB"/>
    <w:rsid w:val="007D2661"/>
    <w:rsid w:val="007D4974"/>
    <w:rsid w:val="007E063C"/>
    <w:rsid w:val="007E2A4B"/>
    <w:rsid w:val="007E307D"/>
    <w:rsid w:val="007E6A4E"/>
    <w:rsid w:val="007E6C94"/>
    <w:rsid w:val="007F1005"/>
    <w:rsid w:val="007F25E0"/>
    <w:rsid w:val="007F3E99"/>
    <w:rsid w:val="007F5328"/>
    <w:rsid w:val="00803545"/>
    <w:rsid w:val="00804F5A"/>
    <w:rsid w:val="00810C6D"/>
    <w:rsid w:val="008123F2"/>
    <w:rsid w:val="00812887"/>
    <w:rsid w:val="00815845"/>
    <w:rsid w:val="008226AE"/>
    <w:rsid w:val="0082636A"/>
    <w:rsid w:val="00826F21"/>
    <w:rsid w:val="00834CC8"/>
    <w:rsid w:val="00835E00"/>
    <w:rsid w:val="00837113"/>
    <w:rsid w:val="008414E4"/>
    <w:rsid w:val="00843E21"/>
    <w:rsid w:val="0084508E"/>
    <w:rsid w:val="00854F26"/>
    <w:rsid w:val="00857A8A"/>
    <w:rsid w:val="008630EE"/>
    <w:rsid w:val="00864D13"/>
    <w:rsid w:val="00871CD5"/>
    <w:rsid w:val="008745A2"/>
    <w:rsid w:val="008768A8"/>
    <w:rsid w:val="00882255"/>
    <w:rsid w:val="00883A24"/>
    <w:rsid w:val="00884BA0"/>
    <w:rsid w:val="0088602F"/>
    <w:rsid w:val="0088798F"/>
    <w:rsid w:val="00887E4B"/>
    <w:rsid w:val="008915C8"/>
    <w:rsid w:val="00894392"/>
    <w:rsid w:val="008A36CF"/>
    <w:rsid w:val="008A3BC4"/>
    <w:rsid w:val="008A56EB"/>
    <w:rsid w:val="008B403C"/>
    <w:rsid w:val="008B7983"/>
    <w:rsid w:val="008C2511"/>
    <w:rsid w:val="008C49AF"/>
    <w:rsid w:val="008D026D"/>
    <w:rsid w:val="008D23AB"/>
    <w:rsid w:val="008D2816"/>
    <w:rsid w:val="008D4B8B"/>
    <w:rsid w:val="008D5A78"/>
    <w:rsid w:val="008E7B64"/>
    <w:rsid w:val="008F5DCD"/>
    <w:rsid w:val="008F73A8"/>
    <w:rsid w:val="00900951"/>
    <w:rsid w:val="009113A7"/>
    <w:rsid w:val="009118A6"/>
    <w:rsid w:val="00916909"/>
    <w:rsid w:val="00916EC0"/>
    <w:rsid w:val="00920467"/>
    <w:rsid w:val="00921DE7"/>
    <w:rsid w:val="0093041A"/>
    <w:rsid w:val="00930714"/>
    <w:rsid w:val="00931B03"/>
    <w:rsid w:val="009323B9"/>
    <w:rsid w:val="00932DCE"/>
    <w:rsid w:val="0093327E"/>
    <w:rsid w:val="00934028"/>
    <w:rsid w:val="0093760E"/>
    <w:rsid w:val="00940CD8"/>
    <w:rsid w:val="00946044"/>
    <w:rsid w:val="009463F0"/>
    <w:rsid w:val="0094660B"/>
    <w:rsid w:val="00946A33"/>
    <w:rsid w:val="0095260E"/>
    <w:rsid w:val="009578DD"/>
    <w:rsid w:val="00961124"/>
    <w:rsid w:val="009621B6"/>
    <w:rsid w:val="00974F2D"/>
    <w:rsid w:val="00977524"/>
    <w:rsid w:val="00977E88"/>
    <w:rsid w:val="00984920"/>
    <w:rsid w:val="009926C9"/>
    <w:rsid w:val="0099303A"/>
    <w:rsid w:val="009971C2"/>
    <w:rsid w:val="009A1254"/>
    <w:rsid w:val="009A37B6"/>
    <w:rsid w:val="009A5341"/>
    <w:rsid w:val="009B2FF2"/>
    <w:rsid w:val="009B380C"/>
    <w:rsid w:val="009B4843"/>
    <w:rsid w:val="009B6543"/>
    <w:rsid w:val="009C199D"/>
    <w:rsid w:val="009C278F"/>
    <w:rsid w:val="009C2B94"/>
    <w:rsid w:val="009C5874"/>
    <w:rsid w:val="009D3B5A"/>
    <w:rsid w:val="009D3E62"/>
    <w:rsid w:val="009D3FDE"/>
    <w:rsid w:val="009D4BC5"/>
    <w:rsid w:val="009E0C05"/>
    <w:rsid w:val="009E0D1C"/>
    <w:rsid w:val="009E2214"/>
    <w:rsid w:val="009E2D60"/>
    <w:rsid w:val="009E355A"/>
    <w:rsid w:val="009E5904"/>
    <w:rsid w:val="009E63E2"/>
    <w:rsid w:val="009F04D2"/>
    <w:rsid w:val="009F05CF"/>
    <w:rsid w:val="009F0F3A"/>
    <w:rsid w:val="00A01D0C"/>
    <w:rsid w:val="00A0643F"/>
    <w:rsid w:val="00A067EE"/>
    <w:rsid w:val="00A10AF0"/>
    <w:rsid w:val="00A10FCE"/>
    <w:rsid w:val="00A1520F"/>
    <w:rsid w:val="00A16D91"/>
    <w:rsid w:val="00A174CC"/>
    <w:rsid w:val="00A2073D"/>
    <w:rsid w:val="00A20751"/>
    <w:rsid w:val="00A226C7"/>
    <w:rsid w:val="00A25EAE"/>
    <w:rsid w:val="00A27E2D"/>
    <w:rsid w:val="00A31D99"/>
    <w:rsid w:val="00A357BA"/>
    <w:rsid w:val="00A35ADC"/>
    <w:rsid w:val="00A402A3"/>
    <w:rsid w:val="00A53681"/>
    <w:rsid w:val="00A6140D"/>
    <w:rsid w:val="00A633D4"/>
    <w:rsid w:val="00A6461A"/>
    <w:rsid w:val="00A701E9"/>
    <w:rsid w:val="00A7488B"/>
    <w:rsid w:val="00A84504"/>
    <w:rsid w:val="00A8672F"/>
    <w:rsid w:val="00A87F9E"/>
    <w:rsid w:val="00A93057"/>
    <w:rsid w:val="00A968B0"/>
    <w:rsid w:val="00AA4E05"/>
    <w:rsid w:val="00AB2672"/>
    <w:rsid w:val="00AB2817"/>
    <w:rsid w:val="00AB43C4"/>
    <w:rsid w:val="00AC119C"/>
    <w:rsid w:val="00AC32E7"/>
    <w:rsid w:val="00AC3A9F"/>
    <w:rsid w:val="00AC6D2F"/>
    <w:rsid w:val="00AD507B"/>
    <w:rsid w:val="00AE2745"/>
    <w:rsid w:val="00AE2F64"/>
    <w:rsid w:val="00AF42CB"/>
    <w:rsid w:val="00AF483F"/>
    <w:rsid w:val="00AF5E07"/>
    <w:rsid w:val="00AF5F06"/>
    <w:rsid w:val="00B00A0E"/>
    <w:rsid w:val="00B00A25"/>
    <w:rsid w:val="00B10B40"/>
    <w:rsid w:val="00B1422A"/>
    <w:rsid w:val="00B1765C"/>
    <w:rsid w:val="00B213C4"/>
    <w:rsid w:val="00B2256E"/>
    <w:rsid w:val="00B26B68"/>
    <w:rsid w:val="00B27223"/>
    <w:rsid w:val="00B40C60"/>
    <w:rsid w:val="00B479A9"/>
    <w:rsid w:val="00B52EDF"/>
    <w:rsid w:val="00B540BD"/>
    <w:rsid w:val="00B672FB"/>
    <w:rsid w:val="00B71188"/>
    <w:rsid w:val="00B76A41"/>
    <w:rsid w:val="00B86D4D"/>
    <w:rsid w:val="00B87D4C"/>
    <w:rsid w:val="00B93646"/>
    <w:rsid w:val="00BA0B38"/>
    <w:rsid w:val="00BA1DBB"/>
    <w:rsid w:val="00BA4510"/>
    <w:rsid w:val="00BA529A"/>
    <w:rsid w:val="00BA7E77"/>
    <w:rsid w:val="00BB612A"/>
    <w:rsid w:val="00BD0F6B"/>
    <w:rsid w:val="00BD499F"/>
    <w:rsid w:val="00BD56DE"/>
    <w:rsid w:val="00BF2406"/>
    <w:rsid w:val="00C011D5"/>
    <w:rsid w:val="00C06E43"/>
    <w:rsid w:val="00C16315"/>
    <w:rsid w:val="00C3091E"/>
    <w:rsid w:val="00C40FF1"/>
    <w:rsid w:val="00C419E2"/>
    <w:rsid w:val="00C5020E"/>
    <w:rsid w:val="00C57452"/>
    <w:rsid w:val="00C61EDF"/>
    <w:rsid w:val="00C6239D"/>
    <w:rsid w:val="00C65533"/>
    <w:rsid w:val="00C6594B"/>
    <w:rsid w:val="00C67FFB"/>
    <w:rsid w:val="00C7155E"/>
    <w:rsid w:val="00C71D1E"/>
    <w:rsid w:val="00C71D7D"/>
    <w:rsid w:val="00C73A31"/>
    <w:rsid w:val="00C74833"/>
    <w:rsid w:val="00C75FF5"/>
    <w:rsid w:val="00C81C76"/>
    <w:rsid w:val="00C850A0"/>
    <w:rsid w:val="00C85A86"/>
    <w:rsid w:val="00C9626D"/>
    <w:rsid w:val="00C978F0"/>
    <w:rsid w:val="00CA58FE"/>
    <w:rsid w:val="00CB1CB1"/>
    <w:rsid w:val="00CB6BC1"/>
    <w:rsid w:val="00CB6CB8"/>
    <w:rsid w:val="00CC1A68"/>
    <w:rsid w:val="00CC2123"/>
    <w:rsid w:val="00CC40E1"/>
    <w:rsid w:val="00CC59FE"/>
    <w:rsid w:val="00CD140D"/>
    <w:rsid w:val="00CD2BFD"/>
    <w:rsid w:val="00CD5C79"/>
    <w:rsid w:val="00CD7D17"/>
    <w:rsid w:val="00CE5AD6"/>
    <w:rsid w:val="00CE617F"/>
    <w:rsid w:val="00CE78EF"/>
    <w:rsid w:val="00CF6F75"/>
    <w:rsid w:val="00D048F7"/>
    <w:rsid w:val="00D0517E"/>
    <w:rsid w:val="00D140FC"/>
    <w:rsid w:val="00D21D8C"/>
    <w:rsid w:val="00D24739"/>
    <w:rsid w:val="00D31357"/>
    <w:rsid w:val="00D33220"/>
    <w:rsid w:val="00D334D1"/>
    <w:rsid w:val="00D44C89"/>
    <w:rsid w:val="00D516CD"/>
    <w:rsid w:val="00D668E6"/>
    <w:rsid w:val="00D70670"/>
    <w:rsid w:val="00D74D80"/>
    <w:rsid w:val="00D756E5"/>
    <w:rsid w:val="00D76624"/>
    <w:rsid w:val="00D87570"/>
    <w:rsid w:val="00D91CB9"/>
    <w:rsid w:val="00D97989"/>
    <w:rsid w:val="00D97D8D"/>
    <w:rsid w:val="00DA2AB1"/>
    <w:rsid w:val="00DA352E"/>
    <w:rsid w:val="00DA6FD5"/>
    <w:rsid w:val="00DC7694"/>
    <w:rsid w:val="00DD1BF6"/>
    <w:rsid w:val="00DD2F9B"/>
    <w:rsid w:val="00DE2513"/>
    <w:rsid w:val="00DE26E8"/>
    <w:rsid w:val="00DF6F36"/>
    <w:rsid w:val="00E0084C"/>
    <w:rsid w:val="00E025AB"/>
    <w:rsid w:val="00E02B23"/>
    <w:rsid w:val="00E05576"/>
    <w:rsid w:val="00E06F40"/>
    <w:rsid w:val="00E07CE8"/>
    <w:rsid w:val="00E12E75"/>
    <w:rsid w:val="00E158FF"/>
    <w:rsid w:val="00E17425"/>
    <w:rsid w:val="00E26A07"/>
    <w:rsid w:val="00E32595"/>
    <w:rsid w:val="00E32BB4"/>
    <w:rsid w:val="00E37CFD"/>
    <w:rsid w:val="00E41A26"/>
    <w:rsid w:val="00E46BCB"/>
    <w:rsid w:val="00E51CAF"/>
    <w:rsid w:val="00E60F04"/>
    <w:rsid w:val="00E62AAC"/>
    <w:rsid w:val="00E67C2F"/>
    <w:rsid w:val="00E67EF5"/>
    <w:rsid w:val="00E804EA"/>
    <w:rsid w:val="00E80A71"/>
    <w:rsid w:val="00E82337"/>
    <w:rsid w:val="00E855D8"/>
    <w:rsid w:val="00E92499"/>
    <w:rsid w:val="00E949AF"/>
    <w:rsid w:val="00E96077"/>
    <w:rsid w:val="00EA0A06"/>
    <w:rsid w:val="00EA6243"/>
    <w:rsid w:val="00EA74AB"/>
    <w:rsid w:val="00EA7B13"/>
    <w:rsid w:val="00EB1102"/>
    <w:rsid w:val="00EB3D1B"/>
    <w:rsid w:val="00ED1D89"/>
    <w:rsid w:val="00ED66BC"/>
    <w:rsid w:val="00EE22B0"/>
    <w:rsid w:val="00EE29E0"/>
    <w:rsid w:val="00EF233A"/>
    <w:rsid w:val="00EF303E"/>
    <w:rsid w:val="00EF3A40"/>
    <w:rsid w:val="00EF5019"/>
    <w:rsid w:val="00EF62DC"/>
    <w:rsid w:val="00EF7F78"/>
    <w:rsid w:val="00F01B08"/>
    <w:rsid w:val="00F01C4D"/>
    <w:rsid w:val="00F053FA"/>
    <w:rsid w:val="00F06F85"/>
    <w:rsid w:val="00F10C97"/>
    <w:rsid w:val="00F11C71"/>
    <w:rsid w:val="00F14C75"/>
    <w:rsid w:val="00F16019"/>
    <w:rsid w:val="00F16137"/>
    <w:rsid w:val="00F20E68"/>
    <w:rsid w:val="00F22093"/>
    <w:rsid w:val="00F236DF"/>
    <w:rsid w:val="00F3205F"/>
    <w:rsid w:val="00F33997"/>
    <w:rsid w:val="00F43AD5"/>
    <w:rsid w:val="00F4402E"/>
    <w:rsid w:val="00F55BCF"/>
    <w:rsid w:val="00F5635C"/>
    <w:rsid w:val="00F56DD0"/>
    <w:rsid w:val="00F57AAF"/>
    <w:rsid w:val="00F6491C"/>
    <w:rsid w:val="00F67BBB"/>
    <w:rsid w:val="00F74B24"/>
    <w:rsid w:val="00F87D92"/>
    <w:rsid w:val="00F90AA7"/>
    <w:rsid w:val="00F92498"/>
    <w:rsid w:val="00F9496B"/>
    <w:rsid w:val="00F970C9"/>
    <w:rsid w:val="00FA0159"/>
    <w:rsid w:val="00FA06A8"/>
    <w:rsid w:val="00FA3DF5"/>
    <w:rsid w:val="00FA741F"/>
    <w:rsid w:val="00FB4E07"/>
    <w:rsid w:val="00FB755A"/>
    <w:rsid w:val="00FC60A2"/>
    <w:rsid w:val="00FD1871"/>
    <w:rsid w:val="00FD3110"/>
    <w:rsid w:val="00FE1167"/>
    <w:rsid w:val="00FF3372"/>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45CC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C9626D"/>
    <w:pPr>
      <w:numPr>
        <w:numId w:val="2"/>
      </w:numPr>
      <w:contextualSpacing/>
    </w:pPr>
  </w:style>
  <w:style w:type="character" w:styleId="CommentReference">
    <w:name w:val="annotation reference"/>
    <w:basedOn w:val="DefaultParagraphFont"/>
    <w:uiPriority w:val="99"/>
    <w:semiHidden/>
    <w:unhideWhenUsed/>
    <w:rsid w:val="009E2D60"/>
    <w:rPr>
      <w:sz w:val="16"/>
      <w:szCs w:val="16"/>
    </w:rPr>
  </w:style>
  <w:style w:type="paragraph" w:styleId="CommentText">
    <w:name w:val="annotation text"/>
    <w:basedOn w:val="Normal"/>
    <w:link w:val="CommentTextChar"/>
    <w:uiPriority w:val="99"/>
    <w:semiHidden/>
    <w:unhideWhenUsed/>
    <w:rsid w:val="009E2D60"/>
    <w:pPr>
      <w:spacing w:line="240" w:lineRule="auto"/>
    </w:pPr>
    <w:rPr>
      <w:szCs w:val="20"/>
    </w:rPr>
  </w:style>
  <w:style w:type="character" w:customStyle="1" w:styleId="CommentTextChar">
    <w:name w:val="Comment Text Char"/>
    <w:basedOn w:val="DefaultParagraphFont"/>
    <w:link w:val="CommentText"/>
    <w:uiPriority w:val="99"/>
    <w:semiHidden/>
    <w:rsid w:val="009E2D60"/>
    <w:rPr>
      <w:szCs w:val="20"/>
    </w:rPr>
  </w:style>
  <w:style w:type="paragraph" w:styleId="CommentSubject">
    <w:name w:val="annotation subject"/>
    <w:basedOn w:val="CommentText"/>
    <w:next w:val="CommentText"/>
    <w:link w:val="CommentSubjectChar"/>
    <w:uiPriority w:val="99"/>
    <w:semiHidden/>
    <w:unhideWhenUsed/>
    <w:rsid w:val="009E2D60"/>
    <w:rPr>
      <w:b/>
      <w:bCs/>
    </w:rPr>
  </w:style>
  <w:style w:type="character" w:customStyle="1" w:styleId="CommentSubjectChar">
    <w:name w:val="Comment Subject Char"/>
    <w:basedOn w:val="CommentTextChar"/>
    <w:link w:val="CommentSubject"/>
    <w:uiPriority w:val="99"/>
    <w:semiHidden/>
    <w:rsid w:val="009E2D60"/>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234">
      <w:bodyDiv w:val="1"/>
      <w:marLeft w:val="0"/>
      <w:marRight w:val="0"/>
      <w:marTop w:val="0"/>
      <w:marBottom w:val="0"/>
      <w:divBdr>
        <w:top w:val="none" w:sz="0" w:space="0" w:color="auto"/>
        <w:left w:val="none" w:sz="0" w:space="0" w:color="auto"/>
        <w:bottom w:val="none" w:sz="0" w:space="0" w:color="auto"/>
        <w:right w:val="none" w:sz="0" w:space="0" w:color="auto"/>
      </w:divBdr>
    </w:div>
    <w:div w:id="80487683">
      <w:bodyDiv w:val="1"/>
      <w:marLeft w:val="0"/>
      <w:marRight w:val="0"/>
      <w:marTop w:val="0"/>
      <w:marBottom w:val="0"/>
      <w:divBdr>
        <w:top w:val="none" w:sz="0" w:space="0" w:color="auto"/>
        <w:left w:val="none" w:sz="0" w:space="0" w:color="auto"/>
        <w:bottom w:val="none" w:sz="0" w:space="0" w:color="auto"/>
        <w:right w:val="none" w:sz="0" w:space="0" w:color="auto"/>
      </w:divBdr>
    </w:div>
    <w:div w:id="94908110">
      <w:bodyDiv w:val="1"/>
      <w:marLeft w:val="0"/>
      <w:marRight w:val="0"/>
      <w:marTop w:val="0"/>
      <w:marBottom w:val="0"/>
      <w:divBdr>
        <w:top w:val="none" w:sz="0" w:space="0" w:color="auto"/>
        <w:left w:val="none" w:sz="0" w:space="0" w:color="auto"/>
        <w:bottom w:val="none" w:sz="0" w:space="0" w:color="auto"/>
        <w:right w:val="none" w:sz="0" w:space="0" w:color="auto"/>
      </w:divBdr>
    </w:div>
    <w:div w:id="1413547818">
      <w:bodyDiv w:val="1"/>
      <w:marLeft w:val="0"/>
      <w:marRight w:val="0"/>
      <w:marTop w:val="0"/>
      <w:marBottom w:val="0"/>
      <w:divBdr>
        <w:top w:val="none" w:sz="0" w:space="0" w:color="auto"/>
        <w:left w:val="none" w:sz="0" w:space="0" w:color="auto"/>
        <w:bottom w:val="none" w:sz="0" w:space="0" w:color="auto"/>
        <w:right w:val="none" w:sz="0" w:space="0" w:color="auto"/>
      </w:divBdr>
    </w:div>
    <w:div w:id="17876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CA68404C5F6B4780904F09DAAE62489A"/>
        <w:category>
          <w:name w:val="General"/>
          <w:gallery w:val="placeholder"/>
        </w:category>
        <w:types>
          <w:type w:val="bbPlcHdr"/>
        </w:types>
        <w:behaviors>
          <w:behavior w:val="content"/>
        </w:behaviors>
        <w:guid w:val="{D6549F3A-3709-4B4B-A8CF-1DE054402F6A}"/>
      </w:docPartPr>
      <w:docPartBody>
        <w:p w:rsidR="00D21A9F" w:rsidRDefault="00D21A9F">
          <w:pPr>
            <w:pStyle w:val="CA68404C5F6B4780904F09DAAE62489A"/>
          </w:pPr>
          <w:r w:rsidRPr="00724F1C">
            <w:rPr>
              <w:rStyle w:val="PlaceholderText"/>
            </w:rPr>
            <w:t>Choose an item.</w:t>
          </w:r>
        </w:p>
      </w:docPartBody>
    </w:docPart>
    <w:docPart>
      <w:docPartPr>
        <w:name w:val="320A77D155374054996F168A20882C28"/>
        <w:category>
          <w:name w:val="General"/>
          <w:gallery w:val="placeholder"/>
        </w:category>
        <w:types>
          <w:type w:val="bbPlcHdr"/>
        </w:types>
        <w:behaviors>
          <w:behavior w:val="content"/>
        </w:behaviors>
        <w:guid w:val="{F4DC0181-19B2-490D-83F0-D85D1689E2A9}"/>
      </w:docPartPr>
      <w:docPartBody>
        <w:p w:rsidR="00D21A9F" w:rsidRDefault="00D21A9F">
          <w:pPr>
            <w:pStyle w:val="320A77D155374054996F168A20882C2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67B44BB37EC24095A30BC5A8E6FE682C"/>
        <w:category>
          <w:name w:val="General"/>
          <w:gallery w:val="placeholder"/>
        </w:category>
        <w:types>
          <w:type w:val="bbPlcHdr"/>
        </w:types>
        <w:behaviors>
          <w:behavior w:val="content"/>
        </w:behaviors>
        <w:guid w:val="{ABD13941-6318-463E-A7ED-86501921EBB8}"/>
      </w:docPartPr>
      <w:docPartBody>
        <w:p w:rsidR="004106E4" w:rsidRDefault="003709EF" w:rsidP="003709EF">
          <w:pPr>
            <w:pStyle w:val="67B44BB37EC24095A30BC5A8E6FE682C"/>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2A4268"/>
    <w:rsid w:val="003709EF"/>
    <w:rsid w:val="004106E4"/>
    <w:rsid w:val="00411EAE"/>
    <w:rsid w:val="007B25EE"/>
    <w:rsid w:val="00D21A9F"/>
    <w:rsid w:val="00F53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9EF"/>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7A65200E84184C1AB777015EFA39121E">
    <w:name w:val="7A65200E84184C1AB777015EFA39121E"/>
    <w:rsid w:val="002A4268"/>
  </w:style>
  <w:style w:type="paragraph" w:customStyle="1" w:styleId="D80B8586E67047728527F6E45C24EBA7">
    <w:name w:val="D80B8586E67047728527F6E45C24EBA7"/>
    <w:rsid w:val="00411EAE"/>
  </w:style>
  <w:style w:type="paragraph" w:customStyle="1" w:styleId="8195906ADDA84CBABBB6CE5C47B5BBAA">
    <w:name w:val="8195906ADDA84CBABBB6CE5C47B5BBAA"/>
    <w:rsid w:val="00411EAE"/>
  </w:style>
  <w:style w:type="paragraph" w:customStyle="1" w:styleId="8C9CDC3B3621499D97FD8B79F79B29FD">
    <w:name w:val="8C9CDC3B3621499D97FD8B79F79B29FD"/>
    <w:rsid w:val="00411EAE"/>
  </w:style>
  <w:style w:type="paragraph" w:customStyle="1" w:styleId="FBDA37492CA84F94906F4F360B09EE31">
    <w:name w:val="FBDA37492CA84F94906F4F360B09EE31"/>
    <w:rsid w:val="00411EAE"/>
  </w:style>
  <w:style w:type="paragraph" w:customStyle="1" w:styleId="67B44BB37EC24095A30BC5A8E6FE682C">
    <w:name w:val="67B44BB37EC24095A30BC5A8E6FE682C"/>
    <w:rsid w:val="00370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3BDF-58BD-47DB-B3E0-2E333196D1BC}">
  <ds:schemaRefs>
    <ds:schemaRef ds:uri="http://purl.org/dc/elements/1.1/"/>
    <ds:schemaRef ds:uri="http://schemas.microsoft.com/office/2006/metadata/properties"/>
    <ds:schemaRef ds:uri="bf54d604-3e62-4e70-ba33-9e9084b96a66"/>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566BAA-BAC2-4BB9-98A4-97FB7A9F726A}">
  <ds:schemaRefs>
    <ds:schemaRef ds:uri="http://schemas.microsoft.com/sharepoint/v3/contenttype/forms"/>
  </ds:schemaRefs>
</ds:datastoreItem>
</file>

<file path=customXml/itemProps3.xml><?xml version="1.0" encoding="utf-8"?>
<ds:datastoreItem xmlns:ds="http://schemas.openxmlformats.org/officeDocument/2006/customXml" ds:itemID="{6AA6D003-E339-4D51-83DF-3FD56AFF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5B94E-AE73-4E18-B190-5AEEDDD7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903FA2D1.dotm</Template>
  <TotalTime>0</TotalTime>
  <Pages>7</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2019-08-07T19:11:00Z</dcterms:created>
  <dcterms:modified xsi:type="dcterms:W3CDTF">2019-09-26T00:56:00Z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