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DDB2050" w14:textId="4AFCA6CB" w:rsidR="00BD499F" w:rsidRPr="004C23F4" w:rsidRDefault="00ED601B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</w:t>
          </w:r>
          <w:r w:rsidR="00B5148B">
            <w:rPr>
              <w:rFonts w:ascii="Arial" w:hAnsi="Arial" w:cs="Arial"/>
            </w:rPr>
            <w:t>arbon dioxide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4C23F4" w14:paraId="2B712692" w14:textId="77777777" w:rsidTr="00B76A41">
        <w:trPr>
          <w:cantSplit/>
          <w:tblHeader/>
        </w:trPr>
        <w:tc>
          <w:tcPr>
            <w:tcW w:w="4077" w:type="dxa"/>
          </w:tcPr>
          <w:p w14:paraId="2A7350F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24F6CF08" w14:textId="77777777" w:rsidR="00F43AD5" w:rsidRPr="00717D45" w:rsidRDefault="00B5148B" w:rsidP="00B76A41">
            <w:pPr>
              <w:pStyle w:val="Tablefont"/>
            </w:pPr>
            <w:r>
              <w:t>124-38-9</w:t>
            </w:r>
          </w:p>
        </w:tc>
      </w:tr>
      <w:tr w:rsidR="00F43AD5" w:rsidRPr="004C23F4" w14:paraId="53746E33" w14:textId="77777777" w:rsidTr="00B76A41">
        <w:trPr>
          <w:cantSplit/>
        </w:trPr>
        <w:tc>
          <w:tcPr>
            <w:tcW w:w="4077" w:type="dxa"/>
          </w:tcPr>
          <w:p w14:paraId="2EE17F83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1BE5A194" w14:textId="26BE8A64" w:rsidR="00F43AD5" w:rsidRPr="00717D45" w:rsidRDefault="00DC54D4" w:rsidP="00AE26E9">
            <w:pPr>
              <w:pStyle w:val="Tablefont"/>
            </w:pPr>
            <w:r>
              <w:t>Carbonic anhydride</w:t>
            </w:r>
          </w:p>
        </w:tc>
      </w:tr>
      <w:tr w:rsidR="00F43AD5" w:rsidRPr="004C23F4" w14:paraId="34AC3E00" w14:textId="77777777" w:rsidTr="00B76A41">
        <w:trPr>
          <w:cantSplit/>
        </w:trPr>
        <w:tc>
          <w:tcPr>
            <w:tcW w:w="4077" w:type="dxa"/>
          </w:tcPr>
          <w:p w14:paraId="34B486A6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C9E6C45" w14:textId="77777777" w:rsidR="00F43AD5" w:rsidRPr="00717D45" w:rsidRDefault="00B5148B" w:rsidP="00B76A41">
            <w:pPr>
              <w:pStyle w:val="Tablefont"/>
            </w:pPr>
            <w:r>
              <w:t>CO</w:t>
            </w:r>
            <w:r w:rsidRPr="00B5148B">
              <w:rPr>
                <w:vertAlign w:val="subscript"/>
              </w:rPr>
              <w:t>2</w:t>
            </w:r>
          </w:p>
        </w:tc>
      </w:tr>
      <w:tr w:rsidR="00F43AD5" w:rsidRPr="004C23F4" w14:paraId="253C7D34" w14:textId="77777777" w:rsidTr="00B76A41">
        <w:trPr>
          <w:cantSplit/>
        </w:trPr>
        <w:tc>
          <w:tcPr>
            <w:tcW w:w="4077" w:type="dxa"/>
          </w:tcPr>
          <w:p w14:paraId="4ED362E9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E86677A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1C9BEB1E" w14:textId="03892C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66345C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715BDA92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24978C5B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64F04A36" w14:textId="29D50F7A" w:rsidR="002C7AFE" w:rsidRPr="00271F55" w:rsidRDefault="00271F5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5,000 ppm (9,000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48EF6818" w14:textId="77777777" w:rsidTr="00921DE7">
        <w:trPr>
          <w:cantSplit/>
        </w:trPr>
        <w:tc>
          <w:tcPr>
            <w:tcW w:w="4077" w:type="dxa"/>
            <w:vAlign w:val="center"/>
          </w:tcPr>
          <w:p w14:paraId="6BDD14E3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1B77406D" w14:textId="309B1A57" w:rsidR="002C7AFE" w:rsidRPr="00EB3D1B" w:rsidRDefault="00271F55" w:rsidP="00017C82">
            <w:pPr>
              <w:pStyle w:val="Tablefont"/>
              <w:rPr>
                <w:b/>
              </w:rPr>
            </w:pPr>
            <w:r w:rsidRPr="00271F55">
              <w:rPr>
                <w:b/>
              </w:rPr>
              <w:t>30,000 ppm (54,000 mg/m</w:t>
            </w:r>
            <w:r w:rsidRPr="00271F55">
              <w:rPr>
                <w:b/>
                <w:vertAlign w:val="superscript"/>
              </w:rPr>
              <w:t>3</w:t>
            </w:r>
            <w:r w:rsidRPr="00271F55">
              <w:rPr>
                <w:b/>
              </w:rPr>
              <w:t>)</w:t>
            </w:r>
          </w:p>
        </w:tc>
      </w:tr>
      <w:tr w:rsidR="002C7AFE" w:rsidRPr="004C23F4" w14:paraId="280334EB" w14:textId="77777777" w:rsidTr="00921DE7">
        <w:trPr>
          <w:cantSplit/>
        </w:trPr>
        <w:tc>
          <w:tcPr>
            <w:tcW w:w="4077" w:type="dxa"/>
            <w:vAlign w:val="center"/>
          </w:tcPr>
          <w:p w14:paraId="23793A09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7CB43286" w14:textId="77777777" w:rsidR="002C7AFE" w:rsidRPr="00EB3D1B" w:rsidRDefault="008777D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98B2ED4" w14:textId="77777777" w:rsidTr="00A2073D">
        <w:trPr>
          <w:cantSplit/>
        </w:trPr>
        <w:tc>
          <w:tcPr>
            <w:tcW w:w="4077" w:type="dxa"/>
          </w:tcPr>
          <w:p w14:paraId="1E11E720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2FDC829B" w14:textId="77777777" w:rsidR="002C7AFE" w:rsidRPr="00EB3D1B" w:rsidRDefault="008777DF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9AA7D97" w14:textId="77777777" w:rsidTr="00921DE7">
        <w:trPr>
          <w:cantSplit/>
        </w:trPr>
        <w:tc>
          <w:tcPr>
            <w:tcW w:w="4077" w:type="dxa"/>
            <w:vAlign w:val="center"/>
          </w:tcPr>
          <w:p w14:paraId="2B904F89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5A481069" w14:textId="77777777" w:rsidR="002C7AFE" w:rsidRPr="00EB3D1B" w:rsidRDefault="00811DE3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40,000 ppm</w:t>
            </w:r>
          </w:p>
        </w:tc>
      </w:tr>
      <w:tr w:rsidR="009F04D2" w:rsidRPr="004C23F4" w14:paraId="63C8C964" w14:textId="77777777" w:rsidTr="00117C1C">
        <w:trPr>
          <w:cantSplit/>
        </w:trPr>
        <w:tc>
          <w:tcPr>
            <w:tcW w:w="4077" w:type="dxa"/>
          </w:tcPr>
          <w:p w14:paraId="3CA0BD7B" w14:textId="77777777" w:rsidR="009F04D2" w:rsidRDefault="009F04D2" w:rsidP="00117C1C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7D91F74A" w14:textId="42422D9A" w:rsidR="009F04D2" w:rsidRPr="00117C1C" w:rsidRDefault="007B22E7" w:rsidP="00017C82">
            <w:pPr>
              <w:pStyle w:val="Tablefont"/>
            </w:pPr>
            <w:r w:rsidRPr="00117C1C">
              <w:t xml:space="preserve">The recommended value is readily quantifiable through currently available sampling and analysis techniques. </w:t>
            </w:r>
          </w:p>
        </w:tc>
      </w:tr>
    </w:tbl>
    <w:p w14:paraId="28E2F6B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620A2B4" w14:textId="2B8682D4" w:rsidR="006639B4" w:rsidRDefault="00271F55" w:rsidP="000C139A">
      <w:pPr>
        <w:rPr>
          <w:rFonts w:cs="Arial"/>
        </w:rPr>
      </w:pPr>
      <w:r>
        <w:rPr>
          <w:rFonts w:cs="Arial"/>
        </w:rPr>
        <w:t xml:space="preserve">The TWA </w:t>
      </w:r>
      <w:r w:rsidR="00862E07">
        <w:rPr>
          <w:rFonts w:cs="Arial"/>
        </w:rPr>
        <w:t>of 5,000</w:t>
      </w:r>
      <w:r w:rsidR="00335CC2">
        <w:rPr>
          <w:rFonts w:cs="Arial"/>
        </w:rPr>
        <w:t xml:space="preserve"> </w:t>
      </w:r>
      <w:r w:rsidR="00862E07">
        <w:rPr>
          <w:rFonts w:cs="Arial"/>
        </w:rPr>
        <w:t xml:space="preserve">ppm </w:t>
      </w:r>
      <w:r>
        <w:rPr>
          <w:rFonts w:cs="Arial"/>
        </w:rPr>
        <w:t xml:space="preserve">and </w:t>
      </w:r>
      <w:r w:rsidR="00862E07">
        <w:rPr>
          <w:rFonts w:cs="Arial"/>
        </w:rPr>
        <w:t xml:space="preserve">a </w:t>
      </w:r>
      <w:r>
        <w:rPr>
          <w:rFonts w:cs="Arial"/>
        </w:rPr>
        <w:t xml:space="preserve">STEL </w:t>
      </w:r>
      <w:r w:rsidR="00862E07">
        <w:rPr>
          <w:rFonts w:cs="Arial"/>
        </w:rPr>
        <w:t>of 30,000</w:t>
      </w:r>
      <w:r w:rsidR="00335CC2">
        <w:rPr>
          <w:rFonts w:cs="Arial"/>
        </w:rPr>
        <w:t xml:space="preserve"> </w:t>
      </w:r>
      <w:r w:rsidR="00862E07">
        <w:rPr>
          <w:rFonts w:cs="Arial"/>
        </w:rPr>
        <w:t xml:space="preserve">ppm </w:t>
      </w:r>
      <w:r>
        <w:rPr>
          <w:rFonts w:cs="Arial"/>
        </w:rPr>
        <w:t xml:space="preserve">are recommended to protect for </w:t>
      </w:r>
      <w:r>
        <w:t xml:space="preserve">physiological changes, metabolic stress and asphyxiation </w:t>
      </w:r>
      <w:r w:rsidR="00DB0ABC">
        <w:rPr>
          <w:rFonts w:cs="Arial"/>
        </w:rPr>
        <w:t xml:space="preserve">in </w:t>
      </w:r>
      <w:r w:rsidR="00B55269">
        <w:rPr>
          <w:rFonts w:cs="Arial"/>
        </w:rPr>
        <w:t>exposed</w:t>
      </w:r>
      <w:r w:rsidR="00862E07">
        <w:rPr>
          <w:rFonts w:cs="Arial"/>
        </w:rPr>
        <w:t xml:space="preserve"> workers</w:t>
      </w:r>
      <w:r w:rsidR="00B55269">
        <w:rPr>
          <w:rFonts w:cs="Arial"/>
        </w:rPr>
        <w:t>.</w:t>
      </w:r>
    </w:p>
    <w:p w14:paraId="24C94AD0" w14:textId="3C9DAED6" w:rsidR="00AA55E1" w:rsidRPr="004C23F4" w:rsidRDefault="0066345C" w:rsidP="000C139A">
      <w:pPr>
        <w:rPr>
          <w:rFonts w:cs="Arial"/>
        </w:rPr>
      </w:pPr>
      <w:r>
        <w:rPr>
          <w:rFonts w:cs="Arial"/>
        </w:rPr>
        <w:t xml:space="preserve">A separate TWA is not recommended for coal mines as there </w:t>
      </w:r>
      <w:r w:rsidR="00AA55E1">
        <w:rPr>
          <w:rFonts w:cs="Arial"/>
        </w:rPr>
        <w:t>is no available health information to support an independent TWA.</w:t>
      </w:r>
      <w:r>
        <w:rPr>
          <w:rFonts w:cs="Arial"/>
        </w:rPr>
        <w:t xml:space="preserve"> </w:t>
      </w:r>
    </w:p>
    <w:p w14:paraId="4D0E9866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BA5CB71" w14:textId="7D6632B2" w:rsidR="00E65CC1" w:rsidRDefault="00271F55" w:rsidP="00BE0BCE">
      <w:r>
        <w:t>Carbon dioxide is produced in the body and has important physiological functions</w:t>
      </w:r>
      <w:r w:rsidR="007E5FC3">
        <w:t xml:space="preserve">. It is also used as dry ice, a propellant in aerosols, carbonisation of beverages and in fire </w:t>
      </w:r>
      <w:r w:rsidR="00A168DE">
        <w:t>extinguishers</w:t>
      </w:r>
      <w:r w:rsidR="007E5FC3">
        <w:t xml:space="preserve">. </w:t>
      </w:r>
    </w:p>
    <w:p w14:paraId="68820346" w14:textId="65D4CD9C" w:rsidR="003508E5" w:rsidRDefault="007E5FC3" w:rsidP="00BE0BCE">
      <w:r>
        <w:t xml:space="preserve">Exposure to 50,000 ppm for 30 minutes </w:t>
      </w:r>
      <w:r w:rsidR="0066345C">
        <w:t xml:space="preserve">results </w:t>
      </w:r>
      <w:r>
        <w:t xml:space="preserve">in signs of intoxication </w:t>
      </w:r>
      <w:r w:rsidR="00A168DE">
        <w:t xml:space="preserve">and </w:t>
      </w:r>
      <w:r w:rsidR="00AA55E1">
        <w:t xml:space="preserve">exposure between 70,000 and 100,000 ppm for a few minutes results in </w:t>
      </w:r>
      <w:r>
        <w:t>unconsciousness</w:t>
      </w:r>
      <w:r w:rsidR="00AA55E1">
        <w:t>.</w:t>
      </w:r>
      <w:r>
        <w:t xml:space="preserve"> A slight effect</w:t>
      </w:r>
      <w:r w:rsidR="003508E5">
        <w:t xml:space="preserve"> in rhythm of respiration</w:t>
      </w:r>
      <w:r w:rsidR="00A168DE">
        <w:t xml:space="preserve"> </w:t>
      </w:r>
      <w:r w:rsidR="00AA55E1">
        <w:t xml:space="preserve">is </w:t>
      </w:r>
      <w:r w:rsidR="003508E5">
        <w:t>reported</w:t>
      </w:r>
      <w:r>
        <w:t xml:space="preserve"> in submarine personnel continuously </w:t>
      </w:r>
      <w:r w:rsidR="00B21F6B">
        <w:t xml:space="preserve">exposed </w:t>
      </w:r>
      <w:r>
        <w:t>to</w:t>
      </w:r>
      <w:r w:rsidRPr="007E5FC3">
        <w:t xml:space="preserve"> 30,000 ppm with oxygen maintained at nor</w:t>
      </w:r>
      <w:r w:rsidR="003508E5">
        <w:t>mal concentrations</w:t>
      </w:r>
      <w:r>
        <w:t>.</w:t>
      </w:r>
      <w:r w:rsidR="00B21F6B">
        <w:t xml:space="preserve"> </w:t>
      </w:r>
      <w:r>
        <w:t>C</w:t>
      </w:r>
      <w:r w:rsidRPr="007E5FC3">
        <w:t>omplaints of ill effect</w:t>
      </w:r>
      <w:r w:rsidR="00AA55E1">
        <w:t>s</w:t>
      </w:r>
      <w:r w:rsidRPr="007E5FC3">
        <w:t xml:space="preserve"> </w:t>
      </w:r>
      <w:r w:rsidR="003508E5">
        <w:t xml:space="preserve">were recorded </w:t>
      </w:r>
      <w:r w:rsidRPr="007E5FC3">
        <w:t xml:space="preserve">when oxygen </w:t>
      </w:r>
      <w:r w:rsidR="003508E5">
        <w:t xml:space="preserve">levels decreased. </w:t>
      </w:r>
      <w:r w:rsidR="003508E5" w:rsidRPr="003508E5">
        <w:t>Heart rate increase</w:t>
      </w:r>
      <w:r w:rsidR="00AA55E1">
        <w:t>s are also</w:t>
      </w:r>
      <w:r w:rsidR="003508E5" w:rsidRPr="003508E5">
        <w:t xml:space="preserve"> reported in monkeys and apes exposed to concentrations between </w:t>
      </w:r>
      <w:r w:rsidR="00BE0BCE" w:rsidRPr="003508E5">
        <w:t>7</w:t>
      </w:r>
      <w:r w:rsidR="00BE0BCE">
        <w:t xml:space="preserve">,500 </w:t>
      </w:r>
      <w:r w:rsidR="00BE0BCE" w:rsidRPr="003508E5">
        <w:t>and</w:t>
      </w:r>
      <w:r w:rsidR="003508E5" w:rsidRPr="003508E5">
        <w:t xml:space="preserve"> 40</w:t>
      </w:r>
      <w:r w:rsidR="003508E5">
        <w:t>,000</w:t>
      </w:r>
      <w:r w:rsidR="006050E3">
        <w:t> </w:t>
      </w:r>
      <w:r w:rsidR="003508E5">
        <w:t>ppm</w:t>
      </w:r>
      <w:r w:rsidR="003508E5" w:rsidRPr="003508E5">
        <w:t xml:space="preserve"> for </w:t>
      </w:r>
      <w:r w:rsidR="00335CC2">
        <w:t>one</w:t>
      </w:r>
      <w:r w:rsidR="003508E5" w:rsidRPr="003508E5">
        <w:t xml:space="preserve"> hour</w:t>
      </w:r>
      <w:r w:rsidR="00BE0BCE">
        <w:t xml:space="preserve"> </w:t>
      </w:r>
      <w:r w:rsidR="003508E5">
        <w:t>(ACGIH, 2018</w:t>
      </w:r>
      <w:r w:rsidR="00261583">
        <w:t>;</w:t>
      </w:r>
      <w:r w:rsidR="00BE0BCE">
        <w:t xml:space="preserve"> DFG, 1983</w:t>
      </w:r>
      <w:r w:rsidR="003508E5">
        <w:t>).</w:t>
      </w:r>
    </w:p>
    <w:p w14:paraId="18E889D7" w14:textId="16E63863" w:rsidR="00BE0BCE" w:rsidRDefault="00AA55E1" w:rsidP="00BE0BCE">
      <w:r>
        <w:t>Based on the human and animals data, t</w:t>
      </w:r>
      <w:r w:rsidR="00BE0BCE">
        <w:t xml:space="preserve">he recommended TWA </w:t>
      </w:r>
      <w:r w:rsidR="00E65CC1">
        <w:t xml:space="preserve">of </w:t>
      </w:r>
      <w:r w:rsidR="0039192C">
        <w:t xml:space="preserve">5,000 ppm </w:t>
      </w:r>
      <w:r w:rsidR="00BE0BCE">
        <w:t xml:space="preserve">and STEL </w:t>
      </w:r>
      <w:r w:rsidR="006E2DD4">
        <w:t>of 30,000 </w:t>
      </w:r>
      <w:r w:rsidR="0039192C">
        <w:t xml:space="preserve">ppm </w:t>
      </w:r>
      <w:r w:rsidR="00BE0BCE">
        <w:t xml:space="preserve">are considered </w:t>
      </w:r>
      <w:r>
        <w:t>protective for</w:t>
      </w:r>
      <w:r w:rsidR="00BE0BCE">
        <w:t xml:space="preserve"> physiological changes, metabolic stress and asphyxiation </w:t>
      </w:r>
      <w:r w:rsidR="00A168DE">
        <w:t xml:space="preserve">in exposed </w:t>
      </w:r>
      <w:r w:rsidR="00BE0BCE">
        <w:t>workers</w:t>
      </w:r>
      <w:r w:rsidR="00862E07">
        <w:t>.</w:t>
      </w:r>
    </w:p>
    <w:p w14:paraId="51CD2198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3DA180E9" w14:textId="77777777" w:rsidR="003508E5" w:rsidRDefault="003508E5" w:rsidP="003508E5">
      <w:r>
        <w:t>Not classified as a carcinogen according to the Globally Harmonized System of Classification and Labelling of Chemicals (GHS).</w:t>
      </w:r>
    </w:p>
    <w:p w14:paraId="77DB3618" w14:textId="255EBCEB" w:rsidR="003508E5" w:rsidRDefault="003508E5" w:rsidP="003508E5">
      <w:r>
        <w:t>Not classified as skin</w:t>
      </w:r>
      <w:r w:rsidR="00335CC2">
        <w:t xml:space="preserve"> sensitiser</w:t>
      </w:r>
      <w:r>
        <w:t xml:space="preserve"> </w:t>
      </w:r>
      <w:r w:rsidR="00335CC2">
        <w:t>or</w:t>
      </w:r>
      <w:r w:rsidR="0066345C">
        <w:t xml:space="preserve"> respiratory sensitiser</w:t>
      </w:r>
      <w:r>
        <w:t xml:space="preserve"> according to the GHS.</w:t>
      </w:r>
    </w:p>
    <w:p w14:paraId="153700A3" w14:textId="0938DC5D" w:rsidR="005E6979" w:rsidRPr="004C23F4" w:rsidRDefault="00AA55E1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eastAsia="Calibri" w:cs="Times New Roman"/>
        </w:rPr>
        <w:lastRenderedPageBreak/>
        <w:t>There are i</w:t>
      </w:r>
      <w:r w:rsidR="003508E5">
        <w:rPr>
          <w:rFonts w:eastAsia="Calibri" w:cs="Times New Roman"/>
        </w:rPr>
        <w:t>nsufficient data available to recommend a</w:t>
      </w:r>
      <w:r w:rsidR="003508E5" w:rsidRPr="00934F3C">
        <w:rPr>
          <w:rFonts w:eastAsia="Calibri" w:cs="Times New Roman"/>
        </w:rPr>
        <w:t xml:space="preserve"> skin notation</w:t>
      </w:r>
      <w:r w:rsidR="003508E5">
        <w:rPr>
          <w:rFonts w:eastAsia="Calibri" w:cs="Times New Roman"/>
        </w:rPr>
        <w:t>.</w:t>
      </w:r>
      <w:r>
        <w:rPr>
          <w:rFonts w:cs="Arial"/>
        </w:rPr>
        <w:t xml:space="preserve"> However, carbon dioxide is not expected to be absorbed through human skin to result in a systemic effect.</w:t>
      </w:r>
    </w:p>
    <w:p w14:paraId="7A20381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113CFA0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542A611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010F2E2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A06E876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8E9851C" w14:textId="77777777" w:rsidR="00F52F25" w:rsidRDefault="00DE26E8" w:rsidP="001E493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ind w:left="2587" w:hanging="2610"/>
            </w:pPr>
            <w:r w:rsidRPr="003365A5">
              <w:t>SWA</w:t>
            </w:r>
            <w:r w:rsidRPr="003365A5">
              <w:tab/>
            </w:r>
            <w:r w:rsidR="00E57507">
              <w:t>1991</w:t>
            </w:r>
            <w:r w:rsidR="001E4935">
              <w:tab/>
            </w:r>
            <w:sdt>
              <w:sdtPr>
                <w:alias w:val="SWA WES"/>
                <w:tag w:val="SWA WES"/>
                <w:id w:val="-1068267630"/>
                <w:placeholder>
                  <w:docPart w:val="7524BD4D04E44CB69F1D09954C8F3873"/>
                </w:placeholder>
              </w:sdtPr>
              <w:sdtEndPr/>
              <w:sdtContent>
                <w:r w:rsidR="001E4935">
                  <w:t>TWA: 5,000 ppm (9,000 mg/m</w:t>
                </w:r>
                <w:r w:rsidR="001E4935" w:rsidRPr="00C96642">
                  <w:rPr>
                    <w:vertAlign w:val="superscript"/>
                  </w:rPr>
                  <w:t>3</w:t>
                </w:r>
                <w:r w:rsidR="001E4935">
                  <w:t>); STEL: 30,000 ppm (54,000 mg/m</w:t>
                </w:r>
                <w:r w:rsidR="001E4935" w:rsidRPr="007E22D8">
                  <w:rPr>
                    <w:vertAlign w:val="superscript"/>
                  </w:rPr>
                  <w:t>3</w:t>
                </w:r>
                <w:r w:rsidR="001E4935">
                  <w:t>) Carbon dioxide</w:t>
                </w:r>
              </w:sdtContent>
            </w:sdt>
          </w:p>
          <w:p w14:paraId="71A46015" w14:textId="6E83B22E" w:rsidR="00F52F25" w:rsidRPr="003365A5" w:rsidRDefault="00942F39" w:rsidP="00B50BE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  <w:tab w:val="left" w:pos="5347"/>
              </w:tabs>
              <w:ind w:left="2587" w:hanging="11"/>
            </w:pPr>
            <w:sdt>
              <w:sdtPr>
                <w:alias w:val="SWA WES"/>
                <w:tag w:val="SWA WES"/>
                <w:id w:val="478732169"/>
                <w:placeholder>
                  <w:docPart w:val="06E63EF5AEFA4D109FECFF66EA835CD3"/>
                </w:placeholder>
              </w:sdtPr>
              <w:sdtEndPr/>
              <w:sdtContent>
                <w:r w:rsidR="00F52F25">
                  <w:t>TWA: 12,500 ppm (22,500 mg/m</w:t>
                </w:r>
                <w:r w:rsidR="00F52F25" w:rsidRPr="00C96642">
                  <w:rPr>
                    <w:vertAlign w:val="superscript"/>
                  </w:rPr>
                  <w:t>3</w:t>
                </w:r>
                <w:r w:rsidR="00F52F25">
                  <w:t>); STEL: 30,000 ppm (54,000</w:t>
                </w:r>
                <w:r w:rsidR="006050E3">
                  <w:t> </w:t>
                </w:r>
                <w:r w:rsidR="00F52F25">
                  <w:t>mg/m</w:t>
                </w:r>
                <w:r w:rsidR="00F52F25" w:rsidRPr="007E22D8">
                  <w:rPr>
                    <w:vertAlign w:val="superscript"/>
                  </w:rPr>
                  <w:t>3</w:t>
                </w:r>
                <w:r w:rsidR="00F52F25">
                  <w:t>)</w:t>
                </w:r>
                <w:r w:rsidR="00407733">
                  <w:t xml:space="preserve"> Carbon dioxide in coal mines</w:t>
                </w:r>
              </w:sdtContent>
            </w:sdt>
          </w:p>
        </w:tc>
      </w:tr>
      <w:tr w:rsidR="00C978F0" w:rsidRPr="00DA352E" w14:paraId="4BC21CD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610C0D3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D8B4C2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0D95B2A" w14:textId="77777777" w:rsidR="00C978F0" w:rsidRPr="00DA352E" w:rsidRDefault="00DA352E" w:rsidP="00164AF7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ind w:left="2587" w:hanging="2587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E57507">
                  <w:t>2001</w:t>
                </w:r>
              </w:sdtContent>
            </w:sdt>
            <w:r w:rsidR="00916EC0" w:rsidRPr="003365A5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164AF7">
                  <w:t>TLV-TWA: 5,000 ppm (9,000 mg/m</w:t>
                </w:r>
                <w:r w:rsidR="00164AF7" w:rsidRPr="00164AF7">
                  <w:rPr>
                    <w:vertAlign w:val="superscript"/>
                  </w:rPr>
                  <w:t>3</w:t>
                </w:r>
                <w:r w:rsidR="00164AF7">
                  <w:t>)</w:t>
                </w:r>
                <w:r w:rsidR="005D5326">
                  <w:t xml:space="preserve">; TLV-STEL: 30,000 ppm </w:t>
                </w:r>
                <w:r w:rsidR="00164AF7">
                  <w:t>(54,000 mg/m</w:t>
                </w:r>
                <w:r w:rsidR="00164AF7" w:rsidRPr="00164AF7">
                  <w:rPr>
                    <w:vertAlign w:val="superscript"/>
                  </w:rPr>
                  <w:t>3</w:t>
                </w:r>
                <w:r w:rsidR="00164AF7">
                  <w:t>)</w:t>
                </w:r>
              </w:sdtContent>
            </w:sdt>
          </w:p>
        </w:tc>
      </w:tr>
      <w:tr w:rsidR="00C978F0" w:rsidRPr="00DA352E" w14:paraId="2F88B06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E4A9233" w14:textId="06848777" w:rsidR="00027C14" w:rsidRDefault="00027C14" w:rsidP="003365A5">
            <w:pPr>
              <w:pStyle w:val="Tabletextprimarysource"/>
            </w:pPr>
            <w:r>
              <w:t>The TWA is recommended to minimise the potential for asphyxiation and metabolic stress.</w:t>
            </w:r>
          </w:p>
          <w:p w14:paraId="09F47C6C" w14:textId="36DFDC32" w:rsidR="00027C14" w:rsidRDefault="00027C14" w:rsidP="003365A5">
            <w:pPr>
              <w:pStyle w:val="Tabletextprimarysource"/>
            </w:pPr>
            <w:r>
              <w:t>Summary of data:</w:t>
            </w:r>
          </w:p>
          <w:p w14:paraId="379CEF9C" w14:textId="6BF0DB38" w:rsidR="00027C14" w:rsidRDefault="00027C14" w:rsidP="003365A5">
            <w:pPr>
              <w:pStyle w:val="Tabletextprimarysource"/>
            </w:pPr>
            <w:r>
              <w:t>Human data:</w:t>
            </w:r>
          </w:p>
          <w:p w14:paraId="1216F31A" w14:textId="2F0E304D" w:rsidR="00027C14" w:rsidRDefault="00B91B2C" w:rsidP="00982C93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Depending on the duration and concentration, e</w:t>
            </w:r>
            <w:r w:rsidR="00027C14">
              <w:t xml:space="preserve">xposure to high </w:t>
            </w:r>
            <w:r>
              <w:t>concentrations can produce mild narcotic effects, stimulation of the respiratory centre and asphyxiation</w:t>
            </w:r>
          </w:p>
          <w:p w14:paraId="4E5FC859" w14:textId="0FCC0D0A" w:rsidR="00B91B2C" w:rsidRDefault="00B91B2C" w:rsidP="00982C93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Stimulation of the respiratory centre occurs at 50,000 ppm or 5%</w:t>
            </w:r>
          </w:p>
          <w:p w14:paraId="221D04C3" w14:textId="6245EF61" w:rsidR="00B91B2C" w:rsidRDefault="00EC4FB8" w:rsidP="00982C93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Sl</w:t>
            </w:r>
            <w:r w:rsidR="007E5FC3">
              <w:t xml:space="preserve">ight effect </w:t>
            </w:r>
            <w:r w:rsidR="00B21F6B">
              <w:t xml:space="preserve">reported </w:t>
            </w:r>
            <w:r w:rsidR="007E5FC3">
              <w:t>in submarine personne</w:t>
            </w:r>
            <w:r>
              <w:t>l exposed continuously to 30,000 ppm with</w:t>
            </w:r>
            <w:r w:rsidR="007031F5">
              <w:t xml:space="preserve"> oxygen content maintained</w:t>
            </w:r>
            <w:r>
              <w:t xml:space="preserve"> at normal concentrations (</w:t>
            </w:r>
            <w:r w:rsidR="00982C93">
              <w:t>minimum</w:t>
            </w:r>
            <w:r w:rsidR="007031F5">
              <w:t xml:space="preserve"> </w:t>
            </w:r>
            <w:r>
              <w:t xml:space="preserve">18%); complaints of ill effect when oxygen </w:t>
            </w:r>
            <w:r w:rsidR="0039268B">
              <w:t>at 15</w:t>
            </w:r>
            <w:r w:rsidR="00335CC2">
              <w:t>–</w:t>
            </w:r>
            <w:r>
              <w:t xml:space="preserve">17% </w:t>
            </w:r>
          </w:p>
          <w:p w14:paraId="478AC60B" w14:textId="4A38F7EE" w:rsidR="00EC4FB8" w:rsidRDefault="00EC4FB8" w:rsidP="00982C93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Exposure to 50,000 ppm for 30 min results in signs of intoxication</w:t>
            </w:r>
          </w:p>
          <w:p w14:paraId="360A8FD9" w14:textId="52369CE2" w:rsidR="00EC4FB8" w:rsidRDefault="00EC4FB8" w:rsidP="00982C93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Unconsciousness within a few min at 7</w:t>
            </w:r>
            <w:r w:rsidR="00335CC2">
              <w:t>–</w:t>
            </w:r>
            <w:r>
              <w:t>10%</w:t>
            </w:r>
            <w:r w:rsidR="001120A7">
              <w:t xml:space="preserve"> (70,000</w:t>
            </w:r>
            <w:r w:rsidR="00335CC2">
              <w:t>–</w:t>
            </w:r>
            <w:r w:rsidR="001120A7">
              <w:t>100,000 ppm)</w:t>
            </w:r>
          </w:p>
          <w:p w14:paraId="37821DD1" w14:textId="6A346CAB" w:rsidR="00EC4FB8" w:rsidRDefault="00EC4FB8" w:rsidP="00982C93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No noticeable symptoms</w:t>
            </w:r>
            <w:r w:rsidR="001120A7">
              <w:t xml:space="preserve"> reported from exposure to 5,500 ppm for 6 h</w:t>
            </w:r>
          </w:p>
          <w:p w14:paraId="75EF1279" w14:textId="3926EC09" w:rsidR="001120A7" w:rsidRDefault="00982C93" w:rsidP="00982C93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Exposure of 23 men</w:t>
            </w:r>
            <w:r w:rsidR="001120A7">
              <w:t xml:space="preserve"> to 15,000 ppm for 42 d</w:t>
            </w:r>
            <w:r w:rsidR="00AA55E1">
              <w:t xml:space="preserve"> resulted in</w:t>
            </w:r>
            <w:r w:rsidR="001120A7">
              <w:t xml:space="preserve"> physiological adaption and mild evidence of stress reaction; </w:t>
            </w:r>
            <w:r>
              <w:t>15,000 ppm</w:t>
            </w:r>
            <w:r w:rsidR="006D4BEB">
              <w:t xml:space="preserve"> interpreted as the upper limit of tolerance to extended periods of exposure</w:t>
            </w:r>
          </w:p>
          <w:p w14:paraId="37C24CC4" w14:textId="2B79F092" w:rsidR="00027C14" w:rsidRDefault="006D4BEB" w:rsidP="00982C93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Exposure to 27,600</w:t>
            </w:r>
            <w:r w:rsidR="00335CC2">
              <w:t>–</w:t>
            </w:r>
            <w:r>
              <w:t>39,500 ppm produced increased pulmonary ventilation rates in short-term exposure, physical exercise studies.</w:t>
            </w:r>
          </w:p>
          <w:p w14:paraId="43F52B3E" w14:textId="0133B563" w:rsidR="00335CC2" w:rsidRPr="00DA352E" w:rsidRDefault="00335CC2" w:rsidP="00117C1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383DF38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9E4592E" w14:textId="1164538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D4BEB">
                  <w:t>1983</w:t>
                </w:r>
              </w:sdtContent>
            </w:sdt>
            <w:r w:rsidR="00916EC0" w:rsidRPr="003365A5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7D5B34">
                  <w:t>MAK: 5,000 ppm (9,100 mg/m</w:t>
                </w:r>
                <w:r w:rsidR="007D5B34" w:rsidRPr="007D5B34">
                  <w:rPr>
                    <w:vertAlign w:val="superscript"/>
                  </w:rPr>
                  <w:t>3</w:t>
                </w:r>
                <w:r w:rsidR="007D5B34">
                  <w:t>)</w:t>
                </w:r>
              </w:sdtContent>
            </w:sdt>
          </w:p>
        </w:tc>
      </w:tr>
      <w:tr w:rsidR="00C978F0" w:rsidRPr="00DA352E" w14:paraId="3AC1604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30EE21A" w14:textId="51B80DD8" w:rsidR="00C978F0" w:rsidRDefault="006D4BEB" w:rsidP="003365A5">
            <w:pPr>
              <w:pStyle w:val="Tabletextprimarysource"/>
            </w:pPr>
            <w:r>
              <w:t xml:space="preserve">The MAK is recommended to prevent </w:t>
            </w:r>
            <w:r w:rsidR="00271F55">
              <w:t>physiological effects in exposed workers.</w:t>
            </w:r>
          </w:p>
          <w:p w14:paraId="308CF777" w14:textId="77777777" w:rsidR="006D4BEB" w:rsidRDefault="006D4BEB" w:rsidP="003365A5">
            <w:pPr>
              <w:pStyle w:val="Tabletextprimarysource"/>
            </w:pPr>
            <w:r>
              <w:t>Summary of additional data:</w:t>
            </w:r>
          </w:p>
          <w:p w14:paraId="7AE748B3" w14:textId="19BA8BFD" w:rsidR="00EA37F7" w:rsidRDefault="00EA37F7" w:rsidP="00982C93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Exposure to </w:t>
            </w:r>
            <w:r w:rsidR="007C6F61">
              <w:t>8</w:t>
            </w:r>
            <w:r w:rsidR="00E97D99">
              <w:t>,</w:t>
            </w:r>
            <w:r w:rsidR="007C6F61">
              <w:t>000</w:t>
            </w:r>
            <w:r w:rsidR="00335CC2">
              <w:t>–</w:t>
            </w:r>
            <w:r w:rsidR="007C6F61">
              <w:t>9</w:t>
            </w:r>
            <w:r w:rsidR="00E97D99">
              <w:t>,</w:t>
            </w:r>
            <w:r w:rsidR="007C6F61">
              <w:t>000 ppm</w:t>
            </w:r>
            <w:r>
              <w:t xml:space="preserve"> for 24 h associated with alveolar dead space increases in humans</w:t>
            </w:r>
          </w:p>
          <w:p w14:paraId="2B83E8C3" w14:textId="60DF9940" w:rsidR="00EA37F7" w:rsidRPr="00EA37F7" w:rsidRDefault="00EA37F7" w:rsidP="00982C93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Exposure to </w:t>
            </w:r>
            <w:r w:rsidR="007C6F61">
              <w:t>8</w:t>
            </w:r>
            <w:r w:rsidR="00E97D99">
              <w:t>,</w:t>
            </w:r>
            <w:r w:rsidR="007C6F61">
              <w:t>000</w:t>
            </w:r>
            <w:r w:rsidR="00335CC2">
              <w:t>–</w:t>
            </w:r>
            <w:r w:rsidR="007C6F61">
              <w:t>12,000 ppm</w:t>
            </w:r>
            <w:r w:rsidRPr="00EA37F7">
              <w:t xml:space="preserve"> for </w:t>
            </w:r>
            <w:r>
              <w:rPr>
                <w:rFonts w:cs="Arial"/>
              </w:rPr>
              <w:t>≤</w:t>
            </w:r>
            <w:r>
              <w:t>27 d leads</w:t>
            </w:r>
            <w:r w:rsidRPr="00EA37F7">
              <w:t xml:space="preserve"> </w:t>
            </w:r>
            <w:r w:rsidR="00271F55">
              <w:t>to an i</w:t>
            </w:r>
            <w:r w:rsidR="00271F55">
              <w:rPr>
                <w:rFonts w:cs="Arial"/>
                <w:color w:val="1C1D1E"/>
                <w:shd w:val="clear" w:color="auto" w:fill="FFFFFF"/>
              </w:rPr>
              <w:t>ncrease in alveolar partial pressure CO</w:t>
            </w:r>
            <w:r w:rsidR="00335CC2">
              <w:rPr>
                <w:rFonts w:cs="Arial"/>
                <w:color w:val="1C1D1E"/>
                <w:sz w:val="18"/>
                <w:szCs w:val="18"/>
                <w:shd w:val="clear" w:color="auto" w:fill="FFFFFF"/>
                <w:vertAlign w:val="subscript"/>
              </w:rPr>
              <w:t>2</w:t>
            </w:r>
            <w:r w:rsidR="00B21F6B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271F55">
              <w:rPr>
                <w:rFonts w:cs="Arial"/>
                <w:color w:val="1C1D1E"/>
                <w:shd w:val="clear" w:color="auto" w:fill="FFFFFF"/>
              </w:rPr>
              <w:t xml:space="preserve">and pulmonary ventilation in </w:t>
            </w:r>
            <w:r w:rsidRPr="00EA37F7">
              <w:t>humans</w:t>
            </w:r>
          </w:p>
          <w:p w14:paraId="5CB2F486" w14:textId="3C1A95F3" w:rsidR="00EA37F7" w:rsidRDefault="00EA37F7" w:rsidP="00982C93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Heart rate increase reported in studies with monkeys and apes exposed to concentrations between 7</w:t>
            </w:r>
            <w:r w:rsidR="00B50BEF">
              <w:t>,500</w:t>
            </w:r>
            <w:r w:rsidR="00335CC2">
              <w:t>–</w:t>
            </w:r>
            <w:r w:rsidR="00B50BEF">
              <w:t>40,000</w:t>
            </w:r>
            <w:r w:rsidR="00335CC2">
              <w:t xml:space="preserve"> </w:t>
            </w:r>
            <w:r w:rsidR="00B50BEF">
              <w:t>ppm</w:t>
            </w:r>
            <w:r>
              <w:t xml:space="preserve"> at 20</w:t>
            </w:r>
            <w:r w:rsidR="00335CC2">
              <w:t>–</w:t>
            </w:r>
            <w:r>
              <w:t>21% oxygen content for 1 h</w:t>
            </w:r>
            <w:r w:rsidR="00B21F6B">
              <w:t>.</w:t>
            </w:r>
          </w:p>
          <w:p w14:paraId="3BB5711E" w14:textId="1DC9AB07" w:rsidR="00335CC2" w:rsidRPr="00DA352E" w:rsidRDefault="00335CC2" w:rsidP="00117C1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66B8C53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796FEC6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908D1">
                  <w:t>NA</w:t>
                </w:r>
              </w:sdtContent>
            </w:sdt>
            <w:r w:rsidR="00916EC0" w:rsidRPr="003365A5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4908D1">
                  <w:t>NA</w:t>
                </w:r>
                <w:proofErr w:type="spellEnd"/>
              </w:sdtContent>
            </w:sdt>
          </w:p>
        </w:tc>
      </w:tr>
      <w:tr w:rsidR="00C978F0" w:rsidRPr="00DA352E" w14:paraId="5269FF1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974017D" w14:textId="6AE656CC" w:rsidR="00C978F0" w:rsidRPr="00DA352E" w:rsidRDefault="004908D1" w:rsidP="003365A5">
            <w:pPr>
              <w:pStyle w:val="Tabletextprimarysource"/>
            </w:pPr>
            <w:r>
              <w:t>No report</w:t>
            </w:r>
            <w:r w:rsidR="00AA55E1">
              <w:t>.</w:t>
            </w:r>
          </w:p>
        </w:tc>
      </w:tr>
      <w:tr w:rsidR="00DA352E" w:rsidRPr="00DA352E" w14:paraId="69A5BC6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76ADCCF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6D56D2">
                  <w:t>NA</w:t>
                </w:r>
              </w:sdtContent>
            </w:sdt>
            <w:r w:rsidR="00916EC0" w:rsidRPr="003365A5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6D56D2">
                  <w:t>NA</w:t>
                </w:r>
                <w:proofErr w:type="spellEnd"/>
              </w:sdtContent>
            </w:sdt>
          </w:p>
        </w:tc>
      </w:tr>
      <w:tr w:rsidR="00DA352E" w:rsidRPr="00DA352E" w14:paraId="5EBAB10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63A8987" w14:textId="63ED7AF3" w:rsidR="00DA352E" w:rsidRPr="00DA352E" w:rsidRDefault="006D56D2" w:rsidP="003365A5">
            <w:pPr>
              <w:pStyle w:val="Tabletextprimarysource"/>
            </w:pPr>
            <w:r>
              <w:t>No report</w:t>
            </w:r>
            <w:r w:rsidR="00AA55E1">
              <w:t>.</w:t>
            </w:r>
          </w:p>
        </w:tc>
      </w:tr>
      <w:tr w:rsidR="00DA352E" w:rsidRPr="00DA352E" w14:paraId="5F1C0AE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B26EB42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EF4A92">
                  <w:t>NA</w:t>
                </w:r>
              </w:sdtContent>
            </w:sdt>
            <w:r w:rsidR="00916EC0" w:rsidRPr="003365A5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EF4A92">
                  <w:t>NA</w:t>
                </w:r>
                <w:proofErr w:type="spellEnd"/>
              </w:sdtContent>
            </w:sdt>
          </w:p>
        </w:tc>
      </w:tr>
      <w:tr w:rsidR="00DA352E" w:rsidRPr="00DA352E" w14:paraId="655F9E1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1DB4E81" w14:textId="48A21A46" w:rsidR="00DA352E" w:rsidRPr="00DA352E" w:rsidRDefault="00EF4A92" w:rsidP="003365A5">
            <w:pPr>
              <w:pStyle w:val="Tabletextprimarysource"/>
            </w:pPr>
            <w:r>
              <w:t>No report</w:t>
            </w:r>
            <w:r w:rsidR="00AA55E1">
              <w:t>.</w:t>
            </w:r>
          </w:p>
        </w:tc>
      </w:tr>
    </w:tbl>
    <w:p w14:paraId="20413339" w14:textId="0D87845D" w:rsidR="00A20751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22EDAF17" w14:textId="351F2634" w:rsidR="00B50BEF" w:rsidRPr="00B50BEF" w:rsidRDefault="00B50BEF" w:rsidP="00B50BEF">
      <w:pPr>
        <w:rPr>
          <w:lang w:eastAsia="en-AU"/>
        </w:rPr>
      </w:pPr>
      <w:r>
        <w:rPr>
          <w:lang w:eastAsia="en-AU"/>
        </w:rPr>
        <w:t>NIL</w:t>
      </w:r>
      <w:r w:rsidR="00AA55E1">
        <w:rPr>
          <w:lang w:eastAsia="en-AU"/>
        </w:rPr>
        <w:t>.</w:t>
      </w:r>
    </w:p>
    <w:bookmarkEnd w:id="0"/>
    <w:p w14:paraId="350BD41D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7E45E542" w14:textId="77777777" w:rsidTr="00271F55">
        <w:trPr>
          <w:trHeight w:val="454"/>
          <w:tblHeader/>
        </w:trPr>
        <w:tc>
          <w:tcPr>
            <w:tcW w:w="6603" w:type="dxa"/>
            <w:vAlign w:val="center"/>
          </w:tcPr>
          <w:p w14:paraId="21D52D76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0A3DC1F1" w14:textId="0307B9E1" w:rsidR="002E0D61" w:rsidRDefault="00271F55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5D7DC19" w14:textId="77777777" w:rsidTr="00271F55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2D546F22" w14:textId="14C72974" w:rsidR="008A36CF" w:rsidRPr="006901A2" w:rsidRDefault="00271F55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B3831B6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6876CFF1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D946385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1143960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FE9F622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E4E32A2" w14:textId="77777777" w:rsidTr="00812887">
        <w:trPr>
          <w:cantSplit/>
        </w:trPr>
        <w:tc>
          <w:tcPr>
            <w:tcW w:w="3227" w:type="dxa"/>
          </w:tcPr>
          <w:p w14:paraId="40BAD82F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5B044815" w14:textId="77777777" w:rsidR="00687890" w:rsidRPr="00DD2F9B" w:rsidRDefault="005D5326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7FDC6F27" w14:textId="77777777" w:rsidTr="00812887">
        <w:trPr>
          <w:cantSplit/>
        </w:trPr>
        <w:tc>
          <w:tcPr>
            <w:tcW w:w="3227" w:type="dxa"/>
          </w:tcPr>
          <w:p w14:paraId="28F944FF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DD8C3CC" w14:textId="77777777" w:rsidR="007925F0" w:rsidRPr="00DD2F9B" w:rsidRDefault="005D5326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043B83BE" w14:textId="77777777" w:rsidTr="00812887">
        <w:trPr>
          <w:cantSplit/>
        </w:trPr>
        <w:tc>
          <w:tcPr>
            <w:tcW w:w="3227" w:type="dxa"/>
          </w:tcPr>
          <w:p w14:paraId="46A129B9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FCA701B" w14:textId="77777777" w:rsidR="00AF483F" w:rsidRPr="00DD2F9B" w:rsidRDefault="00092AA6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3D3F789" w14:textId="77777777" w:rsidTr="00812887">
        <w:trPr>
          <w:cantSplit/>
        </w:trPr>
        <w:tc>
          <w:tcPr>
            <w:tcW w:w="3227" w:type="dxa"/>
          </w:tcPr>
          <w:p w14:paraId="7A39D1E2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735BE58" w14:textId="77777777" w:rsidR="00687890" w:rsidRPr="00DD2F9B" w:rsidRDefault="00092AA6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24B2C106" w14:textId="77777777" w:rsidTr="00812887">
        <w:trPr>
          <w:cantSplit/>
        </w:trPr>
        <w:tc>
          <w:tcPr>
            <w:tcW w:w="3227" w:type="dxa"/>
          </w:tcPr>
          <w:p w14:paraId="75CBF3C5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C53C4D4" w14:textId="77777777" w:rsidR="00E41A26" w:rsidRPr="00DD2F9B" w:rsidRDefault="00092AA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FF4E1B2" w14:textId="77777777" w:rsidTr="00812887">
        <w:trPr>
          <w:cantSplit/>
        </w:trPr>
        <w:tc>
          <w:tcPr>
            <w:tcW w:w="3227" w:type="dxa"/>
          </w:tcPr>
          <w:p w14:paraId="78A3CC02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ED657D8" w14:textId="77777777" w:rsidR="002E0D61" w:rsidRPr="00DD2F9B" w:rsidRDefault="00B570F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2643B13" w14:textId="77777777" w:rsidTr="00812887">
        <w:trPr>
          <w:cantSplit/>
        </w:trPr>
        <w:tc>
          <w:tcPr>
            <w:tcW w:w="3227" w:type="dxa"/>
          </w:tcPr>
          <w:p w14:paraId="3083368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4D033E9" w14:textId="77777777" w:rsidR="002E0D61" w:rsidRPr="00DD2F9B" w:rsidRDefault="005D532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206F89D" w14:textId="77777777" w:rsidTr="00812887">
        <w:trPr>
          <w:cantSplit/>
        </w:trPr>
        <w:tc>
          <w:tcPr>
            <w:tcW w:w="3227" w:type="dxa"/>
          </w:tcPr>
          <w:p w14:paraId="4A3B220A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995C72D" w14:textId="77777777" w:rsidR="002E0D61" w:rsidRPr="00DD2F9B" w:rsidRDefault="004908D1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19EC587" w14:textId="77777777" w:rsidTr="00812887">
        <w:trPr>
          <w:cantSplit/>
        </w:trPr>
        <w:tc>
          <w:tcPr>
            <w:tcW w:w="3227" w:type="dxa"/>
          </w:tcPr>
          <w:p w14:paraId="407C951F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671AA4B" w14:textId="77777777" w:rsidR="002E0D61" w:rsidRPr="00DD2F9B" w:rsidRDefault="009B06DE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034E41C" w14:textId="77777777" w:rsidTr="00812887">
        <w:trPr>
          <w:cantSplit/>
        </w:trPr>
        <w:tc>
          <w:tcPr>
            <w:tcW w:w="3227" w:type="dxa"/>
          </w:tcPr>
          <w:p w14:paraId="530CB46B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97247B0" w14:textId="77777777" w:rsidR="00386093" w:rsidRPr="00DD2F9B" w:rsidRDefault="00D8193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8FE3316" w14:textId="77777777" w:rsidTr="00812887">
        <w:trPr>
          <w:cantSplit/>
        </w:trPr>
        <w:tc>
          <w:tcPr>
            <w:tcW w:w="3227" w:type="dxa"/>
          </w:tcPr>
          <w:p w14:paraId="281FD05A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6788DFCA" w14:textId="77777777" w:rsidR="00386093" w:rsidRPr="00DD2F9B" w:rsidRDefault="00D81934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1AFA7948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60B9208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6907842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4EDEC56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94C9290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2F624DBA" w14:textId="4CC6F6CC" w:rsidR="00932DCE" w:rsidRPr="004C23F4" w:rsidRDefault="00B21F6B" w:rsidP="00F9496B">
            <w:pPr>
              <w:pStyle w:val="Tablefont"/>
            </w:pPr>
            <w:r>
              <w:t xml:space="preserve"> </w:t>
            </w:r>
            <w:r w:rsidRPr="00B21F6B">
              <w:t>Insufficient data to assign a skin notation</w:t>
            </w:r>
            <w:r w:rsidR="00AA55E1">
              <w:t>.</w:t>
            </w:r>
          </w:p>
        </w:tc>
      </w:tr>
    </w:tbl>
    <w:bookmarkEnd w:id="3"/>
    <w:p w14:paraId="399F8EC8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4C54A999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9355AC9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EE89979" w14:textId="77777777" w:rsidR="00EB3D1B" w:rsidRDefault="004605E1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66FB28F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917106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C5FC2DB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0C322B4" w14:textId="77777777" w:rsidR="001B79E5" w:rsidRDefault="00DB1C13" w:rsidP="001B79E5">
                <w:pPr>
                  <w:pStyle w:val="Tablefont"/>
                </w:pPr>
                <w:r>
                  <w:t>44.01</w:t>
                </w:r>
              </w:p>
            </w:tc>
          </w:sdtContent>
        </w:sdt>
      </w:tr>
      <w:tr w:rsidR="00A31D99" w:rsidRPr="004C23F4" w14:paraId="54D397B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4DC53E5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38B5F4B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D48678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46F13CD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45789A5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487CF53" w14:textId="77777777" w:rsidTr="00EA6243">
        <w:trPr>
          <w:cantSplit/>
        </w:trPr>
        <w:tc>
          <w:tcPr>
            <w:tcW w:w="4077" w:type="dxa"/>
            <w:vAlign w:val="center"/>
          </w:tcPr>
          <w:p w14:paraId="0DB908DB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E956672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D86E993" w14:textId="77777777" w:rsidTr="00EA6243">
        <w:trPr>
          <w:cantSplit/>
        </w:trPr>
        <w:tc>
          <w:tcPr>
            <w:tcW w:w="4077" w:type="dxa"/>
            <w:vAlign w:val="center"/>
          </w:tcPr>
          <w:p w14:paraId="39296790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476D2F0" w14:textId="3C5716B8" w:rsidR="00687890" w:rsidRPr="004C23F4" w:rsidRDefault="00B50BEF" w:rsidP="00717D45">
                <w:pPr>
                  <w:pStyle w:val="Tablefont"/>
                </w:pPr>
                <w:r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p>
            </w:tc>
          </w:sdtContent>
        </w:sdt>
      </w:tr>
      <w:tr w:rsidR="00E06F40" w:rsidRPr="004C23F4" w14:paraId="50F474E9" w14:textId="77777777" w:rsidTr="00EA6243">
        <w:trPr>
          <w:cantSplit/>
        </w:trPr>
        <w:tc>
          <w:tcPr>
            <w:tcW w:w="4077" w:type="dxa"/>
            <w:vAlign w:val="center"/>
          </w:tcPr>
          <w:p w14:paraId="1BBB8293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38CF089" w14:textId="77777777" w:rsidR="00E06F40" w:rsidRPr="00A006A0" w:rsidRDefault="00942F39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D35F0E0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572BCBB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966A03C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11DF5FC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47B8DA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DBF3943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C048553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42F62AF7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8DB23C3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9F7EE79" w14:textId="3F0EF8A2" w:rsidR="00F841B1" w:rsidRDefault="00027C14" w:rsidP="00027C14">
      <w:r w:rsidRPr="002022B6">
        <w:t>Deutsche Forschungsgemeinschaft (DFG)</w:t>
      </w:r>
      <w:r>
        <w:t xml:space="preserve"> (2002) Carbon dioxide – MAK value documentation in German language.</w:t>
      </w:r>
    </w:p>
    <w:p w14:paraId="33E77CE3" w14:textId="6A7A93FC" w:rsidR="001F1F60" w:rsidRDefault="001F1F60" w:rsidP="001F1F60">
      <w:r>
        <w:t xml:space="preserve">US National Institute for Occupational Safety and Health (NIOSH) (1994) </w:t>
      </w:r>
      <w:proofErr w:type="gramStart"/>
      <w:r>
        <w:t>Immediately</w:t>
      </w:r>
      <w:proofErr w:type="gramEnd"/>
      <w:r>
        <w:t xml:space="preserve"> dangerous to life or health concentrations – carbon </w:t>
      </w:r>
      <w:r w:rsidR="003F6250">
        <w:t>dioxide</w:t>
      </w:r>
      <w:r>
        <w:t xml:space="preserve">. </w:t>
      </w:r>
    </w:p>
    <w:p w14:paraId="3C652A88" w14:textId="77777777" w:rsidR="001F1F60" w:rsidRPr="00351FE0" w:rsidRDefault="001F1F60" w:rsidP="00027C14"/>
    <w:sectPr w:rsidR="001F1F60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E8BA8" w14:textId="77777777" w:rsidR="00E92BE7" w:rsidRDefault="00E92BE7" w:rsidP="00F43AD5">
      <w:pPr>
        <w:spacing w:after="0" w:line="240" w:lineRule="auto"/>
      </w:pPr>
      <w:r>
        <w:separator/>
      </w:r>
    </w:p>
  </w:endnote>
  <w:endnote w:type="continuationSeparator" w:id="0">
    <w:p w14:paraId="246B696B" w14:textId="77777777" w:rsidR="00E92BE7" w:rsidRDefault="00E92BE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9E299" w14:textId="77777777" w:rsidR="00942F39" w:rsidRDefault="00942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283C48E" w14:textId="77777777" w:rsidR="008A36CF" w:rsidRDefault="001F6C20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Carbon dioxide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124-38-9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3418322C" w14:textId="5A0EDCD6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942F39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063F7" w14:textId="77777777" w:rsidR="00942F39" w:rsidRDefault="00942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C9976" w14:textId="77777777" w:rsidR="00E92BE7" w:rsidRDefault="00E92BE7" w:rsidP="00F43AD5">
      <w:pPr>
        <w:spacing w:after="0" w:line="240" w:lineRule="auto"/>
      </w:pPr>
      <w:r>
        <w:separator/>
      </w:r>
    </w:p>
  </w:footnote>
  <w:footnote w:type="continuationSeparator" w:id="0">
    <w:p w14:paraId="3DD5AF5C" w14:textId="77777777" w:rsidR="00E92BE7" w:rsidRDefault="00E92BE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99DE7" w14:textId="77777777" w:rsidR="00942F39" w:rsidRDefault="00942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5A279" w14:textId="77777777" w:rsidR="00942F39" w:rsidRDefault="00942F39" w:rsidP="00942F39">
    <w:pPr>
      <w:pStyle w:val="Header"/>
      <w:jc w:val="right"/>
    </w:pPr>
    <w:sdt>
      <w:sdtPr>
        <w:id w:val="-584222659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508F81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7E6D5B9" wp14:editId="2DA1E4E9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F8FA2" w14:textId="0559339F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DD190" w14:textId="77777777" w:rsidR="00942F39" w:rsidRDefault="00942F3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B799" w14:textId="77777777" w:rsidR="00942F39" w:rsidRDefault="00942F39" w:rsidP="00942F39">
    <w:pPr>
      <w:pStyle w:val="Header"/>
      <w:jc w:val="right"/>
    </w:pPr>
    <w:sdt>
      <w:sdtPr>
        <w:id w:val="1183866899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55045B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2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681A2067" wp14:editId="4D59F59F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1BF18" w14:textId="252A8EA9" w:rsidR="00B21F6B" w:rsidRDefault="00B21F6B" w:rsidP="00B21F6B">
    <w:pPr>
      <w:pStyle w:val="Header"/>
      <w:jc w:val="right"/>
    </w:pPr>
    <w:bookmarkStart w:id="5" w:name="_GoBack"/>
    <w:bookmarkEnd w:id="5"/>
  </w:p>
  <w:p w14:paraId="64EA7AE6" w14:textId="77777777" w:rsidR="008A36CF" w:rsidRPr="00B21F6B" w:rsidRDefault="008A36CF" w:rsidP="00B21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1473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43C1A"/>
    <w:multiLevelType w:val="hybridMultilevel"/>
    <w:tmpl w:val="DABCFE6A"/>
    <w:lvl w:ilvl="0" w:tplc="DBA6EFCA">
      <w:start w:val="124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7C14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AA6"/>
    <w:rsid w:val="00092D94"/>
    <w:rsid w:val="000B0868"/>
    <w:rsid w:val="000B0FB7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20A7"/>
    <w:rsid w:val="00113443"/>
    <w:rsid w:val="00117C1C"/>
    <w:rsid w:val="001269A7"/>
    <w:rsid w:val="00131092"/>
    <w:rsid w:val="00140E6A"/>
    <w:rsid w:val="00146545"/>
    <w:rsid w:val="00146B75"/>
    <w:rsid w:val="0015266D"/>
    <w:rsid w:val="0015288A"/>
    <w:rsid w:val="00160F47"/>
    <w:rsid w:val="00164AF7"/>
    <w:rsid w:val="0017599A"/>
    <w:rsid w:val="00177CA1"/>
    <w:rsid w:val="00183823"/>
    <w:rsid w:val="00183942"/>
    <w:rsid w:val="001A009E"/>
    <w:rsid w:val="001A1287"/>
    <w:rsid w:val="001A3859"/>
    <w:rsid w:val="001A3C9D"/>
    <w:rsid w:val="001A43F8"/>
    <w:rsid w:val="001A7FDC"/>
    <w:rsid w:val="001B79E5"/>
    <w:rsid w:val="001C0C74"/>
    <w:rsid w:val="001D56F0"/>
    <w:rsid w:val="001D663B"/>
    <w:rsid w:val="001D7042"/>
    <w:rsid w:val="001D7B41"/>
    <w:rsid w:val="001E46DA"/>
    <w:rsid w:val="001E4935"/>
    <w:rsid w:val="001E7D80"/>
    <w:rsid w:val="001F1F60"/>
    <w:rsid w:val="001F4B6C"/>
    <w:rsid w:val="001F62CB"/>
    <w:rsid w:val="001F6C20"/>
    <w:rsid w:val="001F6ED0"/>
    <w:rsid w:val="001F72E6"/>
    <w:rsid w:val="001F73C5"/>
    <w:rsid w:val="002046A6"/>
    <w:rsid w:val="00204956"/>
    <w:rsid w:val="0021041F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1583"/>
    <w:rsid w:val="00263255"/>
    <w:rsid w:val="00271F55"/>
    <w:rsid w:val="00276494"/>
    <w:rsid w:val="00277B0C"/>
    <w:rsid w:val="002B1A2C"/>
    <w:rsid w:val="002C34F2"/>
    <w:rsid w:val="002C58FF"/>
    <w:rsid w:val="002C7AFE"/>
    <w:rsid w:val="002D05D2"/>
    <w:rsid w:val="002D5855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C2"/>
    <w:rsid w:val="00335CDE"/>
    <w:rsid w:val="003365A5"/>
    <w:rsid w:val="00347192"/>
    <w:rsid w:val="0034744C"/>
    <w:rsid w:val="003508E5"/>
    <w:rsid w:val="00351FE0"/>
    <w:rsid w:val="00352615"/>
    <w:rsid w:val="0035412B"/>
    <w:rsid w:val="003567A8"/>
    <w:rsid w:val="00362895"/>
    <w:rsid w:val="00370DBF"/>
    <w:rsid w:val="00386093"/>
    <w:rsid w:val="00387F76"/>
    <w:rsid w:val="003904A4"/>
    <w:rsid w:val="00391841"/>
    <w:rsid w:val="0039192C"/>
    <w:rsid w:val="00391B6D"/>
    <w:rsid w:val="0039268B"/>
    <w:rsid w:val="00394922"/>
    <w:rsid w:val="003A0E32"/>
    <w:rsid w:val="003A2B94"/>
    <w:rsid w:val="003B387D"/>
    <w:rsid w:val="003C0D58"/>
    <w:rsid w:val="003D379D"/>
    <w:rsid w:val="003D4FA3"/>
    <w:rsid w:val="003E0807"/>
    <w:rsid w:val="003E51FB"/>
    <w:rsid w:val="003E6B39"/>
    <w:rsid w:val="003F07E1"/>
    <w:rsid w:val="003F6250"/>
    <w:rsid w:val="004030BC"/>
    <w:rsid w:val="00403F7D"/>
    <w:rsid w:val="00406785"/>
    <w:rsid w:val="00407733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47F07"/>
    <w:rsid w:val="004509E2"/>
    <w:rsid w:val="004515EE"/>
    <w:rsid w:val="004529F0"/>
    <w:rsid w:val="004605E1"/>
    <w:rsid w:val="00460A03"/>
    <w:rsid w:val="00472A11"/>
    <w:rsid w:val="00472AAD"/>
    <w:rsid w:val="00474E33"/>
    <w:rsid w:val="00476803"/>
    <w:rsid w:val="0048191A"/>
    <w:rsid w:val="00485BFD"/>
    <w:rsid w:val="004867A2"/>
    <w:rsid w:val="004873F2"/>
    <w:rsid w:val="004908D1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100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7D5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2F57"/>
    <w:rsid w:val="005D3193"/>
    <w:rsid w:val="005D4A6E"/>
    <w:rsid w:val="005D5326"/>
    <w:rsid w:val="005E6979"/>
    <w:rsid w:val="005E75CB"/>
    <w:rsid w:val="006013C1"/>
    <w:rsid w:val="006050E3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45C"/>
    <w:rsid w:val="006639B4"/>
    <w:rsid w:val="00664A8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4BEB"/>
    <w:rsid w:val="006D56D2"/>
    <w:rsid w:val="006D79EA"/>
    <w:rsid w:val="006E2DD4"/>
    <w:rsid w:val="006E5D05"/>
    <w:rsid w:val="00701053"/>
    <w:rsid w:val="00701507"/>
    <w:rsid w:val="0070169E"/>
    <w:rsid w:val="007031F5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B22E7"/>
    <w:rsid w:val="007B343C"/>
    <w:rsid w:val="007C30EB"/>
    <w:rsid w:val="007C6F61"/>
    <w:rsid w:val="007D5B34"/>
    <w:rsid w:val="007E063C"/>
    <w:rsid w:val="007E22D8"/>
    <w:rsid w:val="007E2A4B"/>
    <w:rsid w:val="007E307D"/>
    <w:rsid w:val="007E5FC3"/>
    <w:rsid w:val="007E6A4E"/>
    <w:rsid w:val="007E6C94"/>
    <w:rsid w:val="007F1005"/>
    <w:rsid w:val="007F25E0"/>
    <w:rsid w:val="007F5328"/>
    <w:rsid w:val="00804F5A"/>
    <w:rsid w:val="00810C6D"/>
    <w:rsid w:val="00811DE3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2E07"/>
    <w:rsid w:val="008630EE"/>
    <w:rsid w:val="00864D13"/>
    <w:rsid w:val="00871CD5"/>
    <w:rsid w:val="008745A2"/>
    <w:rsid w:val="008768A8"/>
    <w:rsid w:val="008777DF"/>
    <w:rsid w:val="0088798F"/>
    <w:rsid w:val="00887E4B"/>
    <w:rsid w:val="008915C8"/>
    <w:rsid w:val="008A36CF"/>
    <w:rsid w:val="008A3BC4"/>
    <w:rsid w:val="008B403C"/>
    <w:rsid w:val="008B4C85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059CB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1690"/>
    <w:rsid w:val="00942F39"/>
    <w:rsid w:val="00946044"/>
    <w:rsid w:val="0094660B"/>
    <w:rsid w:val="00946A33"/>
    <w:rsid w:val="0095260E"/>
    <w:rsid w:val="009578DD"/>
    <w:rsid w:val="00961124"/>
    <w:rsid w:val="009621B6"/>
    <w:rsid w:val="00973BA8"/>
    <w:rsid w:val="00974F2D"/>
    <w:rsid w:val="00977524"/>
    <w:rsid w:val="00977E88"/>
    <w:rsid w:val="00982C93"/>
    <w:rsid w:val="00984920"/>
    <w:rsid w:val="0099303A"/>
    <w:rsid w:val="009971C2"/>
    <w:rsid w:val="009A1254"/>
    <w:rsid w:val="009A7327"/>
    <w:rsid w:val="009B06DE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D693B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8D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A55E1"/>
    <w:rsid w:val="00AB2672"/>
    <w:rsid w:val="00AB2817"/>
    <w:rsid w:val="00AB43C4"/>
    <w:rsid w:val="00AC32E7"/>
    <w:rsid w:val="00AC3A9F"/>
    <w:rsid w:val="00AC6D2F"/>
    <w:rsid w:val="00AE26E9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0B05"/>
    <w:rsid w:val="00B213C4"/>
    <w:rsid w:val="00B21F6B"/>
    <w:rsid w:val="00B40C60"/>
    <w:rsid w:val="00B479A9"/>
    <w:rsid w:val="00B50BEF"/>
    <w:rsid w:val="00B5148B"/>
    <w:rsid w:val="00B52EDF"/>
    <w:rsid w:val="00B55269"/>
    <w:rsid w:val="00B570F4"/>
    <w:rsid w:val="00B71188"/>
    <w:rsid w:val="00B76A41"/>
    <w:rsid w:val="00B87D4C"/>
    <w:rsid w:val="00B91B2C"/>
    <w:rsid w:val="00B93646"/>
    <w:rsid w:val="00BA0B38"/>
    <w:rsid w:val="00BA1DBB"/>
    <w:rsid w:val="00BA4510"/>
    <w:rsid w:val="00BA529A"/>
    <w:rsid w:val="00BB612A"/>
    <w:rsid w:val="00BD499F"/>
    <w:rsid w:val="00BD56DE"/>
    <w:rsid w:val="00BE0BCE"/>
    <w:rsid w:val="00BF2406"/>
    <w:rsid w:val="00C06E43"/>
    <w:rsid w:val="00C16315"/>
    <w:rsid w:val="00C3091E"/>
    <w:rsid w:val="00C40FF1"/>
    <w:rsid w:val="00C419E2"/>
    <w:rsid w:val="00C5020E"/>
    <w:rsid w:val="00C57452"/>
    <w:rsid w:val="00C57E9F"/>
    <w:rsid w:val="00C61EDF"/>
    <w:rsid w:val="00C6239D"/>
    <w:rsid w:val="00C6594B"/>
    <w:rsid w:val="00C67FFB"/>
    <w:rsid w:val="00C7155E"/>
    <w:rsid w:val="00C71D1E"/>
    <w:rsid w:val="00C71D7D"/>
    <w:rsid w:val="00C73032"/>
    <w:rsid w:val="00C74833"/>
    <w:rsid w:val="00C850A0"/>
    <w:rsid w:val="00C85A86"/>
    <w:rsid w:val="00C96642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0E3D"/>
    <w:rsid w:val="00D048F7"/>
    <w:rsid w:val="00D0517E"/>
    <w:rsid w:val="00D0684B"/>
    <w:rsid w:val="00D140FC"/>
    <w:rsid w:val="00D155CD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1934"/>
    <w:rsid w:val="00D87570"/>
    <w:rsid w:val="00D91CB9"/>
    <w:rsid w:val="00D97989"/>
    <w:rsid w:val="00D97D8D"/>
    <w:rsid w:val="00DA352E"/>
    <w:rsid w:val="00DB0ABC"/>
    <w:rsid w:val="00DB1C13"/>
    <w:rsid w:val="00DC54D4"/>
    <w:rsid w:val="00DC7694"/>
    <w:rsid w:val="00DD1BF6"/>
    <w:rsid w:val="00DD2F9B"/>
    <w:rsid w:val="00DD32D3"/>
    <w:rsid w:val="00DE2513"/>
    <w:rsid w:val="00DE26E8"/>
    <w:rsid w:val="00DF6F36"/>
    <w:rsid w:val="00E0084C"/>
    <w:rsid w:val="00E025AB"/>
    <w:rsid w:val="00E02B23"/>
    <w:rsid w:val="00E03595"/>
    <w:rsid w:val="00E06F40"/>
    <w:rsid w:val="00E07CE8"/>
    <w:rsid w:val="00E26A07"/>
    <w:rsid w:val="00E32595"/>
    <w:rsid w:val="00E37CFD"/>
    <w:rsid w:val="00E41A26"/>
    <w:rsid w:val="00E46BCB"/>
    <w:rsid w:val="00E51CAF"/>
    <w:rsid w:val="00E57507"/>
    <w:rsid w:val="00E60F04"/>
    <w:rsid w:val="00E62AAC"/>
    <w:rsid w:val="00E65CC1"/>
    <w:rsid w:val="00E67C2F"/>
    <w:rsid w:val="00E67EF5"/>
    <w:rsid w:val="00E804EA"/>
    <w:rsid w:val="00E80A71"/>
    <w:rsid w:val="00E82337"/>
    <w:rsid w:val="00E92499"/>
    <w:rsid w:val="00E92BE7"/>
    <w:rsid w:val="00E949AF"/>
    <w:rsid w:val="00E96077"/>
    <w:rsid w:val="00E97D99"/>
    <w:rsid w:val="00EA0A06"/>
    <w:rsid w:val="00EA37F7"/>
    <w:rsid w:val="00EA6243"/>
    <w:rsid w:val="00EA74AB"/>
    <w:rsid w:val="00EB3D1B"/>
    <w:rsid w:val="00EC0F71"/>
    <w:rsid w:val="00EC4FB8"/>
    <w:rsid w:val="00ED1D89"/>
    <w:rsid w:val="00ED601B"/>
    <w:rsid w:val="00ED66BC"/>
    <w:rsid w:val="00EF233A"/>
    <w:rsid w:val="00EF303E"/>
    <w:rsid w:val="00EF3A40"/>
    <w:rsid w:val="00EF4A92"/>
    <w:rsid w:val="00EF7F78"/>
    <w:rsid w:val="00F01B08"/>
    <w:rsid w:val="00F01C4D"/>
    <w:rsid w:val="00F053FA"/>
    <w:rsid w:val="00F06FAA"/>
    <w:rsid w:val="00F10C97"/>
    <w:rsid w:val="00F11C71"/>
    <w:rsid w:val="00F16019"/>
    <w:rsid w:val="00F20E68"/>
    <w:rsid w:val="00F22093"/>
    <w:rsid w:val="00F236DF"/>
    <w:rsid w:val="00F43AD5"/>
    <w:rsid w:val="00F4402E"/>
    <w:rsid w:val="00F47DEE"/>
    <w:rsid w:val="00F52F25"/>
    <w:rsid w:val="00F56DD0"/>
    <w:rsid w:val="00F6491C"/>
    <w:rsid w:val="00F67BBB"/>
    <w:rsid w:val="00F841B1"/>
    <w:rsid w:val="00F87D92"/>
    <w:rsid w:val="00F90100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5544B269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544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7D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7D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7D5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027C1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06E63EF5AEFA4D109FECFF66EA835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F63B2-DF88-4450-B998-96E475EDED62}"/>
      </w:docPartPr>
      <w:docPartBody>
        <w:p w:rsidR="00BE1453" w:rsidRDefault="00826ADD" w:rsidP="00826ADD">
          <w:pPr>
            <w:pStyle w:val="06E63EF5AEFA4D109FECFF66EA835CD3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7524BD4D04E44CB69F1D09954C8F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6811-0124-4716-8F49-36B54A813E95}"/>
      </w:docPartPr>
      <w:docPartBody>
        <w:p w:rsidR="00BE1453" w:rsidRDefault="00826ADD" w:rsidP="00826ADD">
          <w:pPr>
            <w:pStyle w:val="7524BD4D04E44CB69F1D09954C8F3873"/>
          </w:pPr>
          <w:r w:rsidRPr="0051509C">
            <w:rPr>
              <w:rStyle w:val="PlaceholderText"/>
            </w:rPr>
            <w:t>Click here to enter standard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826ADD"/>
    <w:rsid w:val="00B776D8"/>
    <w:rsid w:val="00BE145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ADD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E7BB68005F0A4B308C5E399AB1731035">
    <w:name w:val="E7BB68005F0A4B308C5E399AB1731035"/>
    <w:rsid w:val="00826ADD"/>
    <w:rPr>
      <w:lang w:val="en-US" w:eastAsia="en-US"/>
    </w:rPr>
  </w:style>
  <w:style w:type="paragraph" w:customStyle="1" w:styleId="06E63EF5AEFA4D109FECFF66EA835CD3">
    <w:name w:val="06E63EF5AEFA4D109FECFF66EA835CD3"/>
    <w:rsid w:val="00826ADD"/>
    <w:rPr>
      <w:lang w:val="en-US" w:eastAsia="en-US"/>
    </w:rPr>
  </w:style>
  <w:style w:type="paragraph" w:customStyle="1" w:styleId="7524BD4D04E44CB69F1D09954C8F3873">
    <w:name w:val="7524BD4D04E44CB69F1D09954C8F3873"/>
    <w:rsid w:val="00826ADD"/>
    <w:rPr>
      <w:lang w:val="en-US" w:eastAsia="en-US"/>
    </w:rPr>
  </w:style>
  <w:style w:type="paragraph" w:customStyle="1" w:styleId="C8FE95B4FB02491D88FDBA5DB892B7B6">
    <w:name w:val="C8FE95B4FB02491D88FDBA5DB892B7B6"/>
    <w:rsid w:val="00826ADD"/>
    <w:rPr>
      <w:lang w:val="en-US" w:eastAsia="en-US"/>
    </w:rPr>
  </w:style>
  <w:style w:type="paragraph" w:customStyle="1" w:styleId="2C5602C628D04BFEBC49F28A750E5076">
    <w:name w:val="2C5602C628D04BFEBC49F28A750E5076"/>
    <w:rsid w:val="00826ADD"/>
    <w:rPr>
      <w:lang w:val="en-US" w:eastAsia="en-US"/>
    </w:rPr>
  </w:style>
  <w:style w:type="paragraph" w:customStyle="1" w:styleId="F79014F175824FBDACDE86D0ACF49729">
    <w:name w:val="F79014F175824FBDACDE86D0ACF49729"/>
    <w:rsid w:val="00BE1453"/>
  </w:style>
  <w:style w:type="paragraph" w:customStyle="1" w:styleId="5FAD2A7A9EE5493EB166FA311940A34C">
    <w:name w:val="5FAD2A7A9EE5493EB166FA311940A34C"/>
    <w:rsid w:val="00BE1453"/>
  </w:style>
  <w:style w:type="paragraph" w:customStyle="1" w:styleId="97C4DF4ADCD145BC93F99043537461FE">
    <w:name w:val="97C4DF4ADCD145BC93F99043537461FE"/>
    <w:rsid w:val="00BE1453"/>
  </w:style>
  <w:style w:type="paragraph" w:customStyle="1" w:styleId="D605C9B2C7504519B672A09CAA893BFF">
    <w:name w:val="D605C9B2C7504519B672A09CAA893BFF"/>
    <w:rsid w:val="00BE1453"/>
  </w:style>
  <w:style w:type="paragraph" w:customStyle="1" w:styleId="5E6551C4F7414F0EB211BE1B567E3314">
    <w:name w:val="5E6551C4F7414F0EB211BE1B567E3314"/>
    <w:rsid w:val="00BE1453"/>
  </w:style>
  <w:style w:type="paragraph" w:customStyle="1" w:styleId="93F3AC5BDBA64F6DA36F114B4D7DD1EA">
    <w:name w:val="93F3AC5BDBA64F6DA36F114B4D7DD1EA"/>
    <w:rsid w:val="00BE1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C00D-48FA-43D4-BAD9-5D65EDF2F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bf54d604-3e62-4e70-ba33-9e9084b96a6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64412E-9A9E-495E-B4A8-14873CC8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903FA2D1.dotm</Template>
  <TotalTime>523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76</cp:revision>
  <cp:lastPrinted>2018-10-22T22:41:00Z</cp:lastPrinted>
  <dcterms:created xsi:type="dcterms:W3CDTF">2019-04-14T23:55:00Z</dcterms:created>
  <dcterms:modified xsi:type="dcterms:W3CDTF">2019-09-26T03:11:00Z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