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BE9E5F2" w14:textId="77777777" w:rsidR="00BD499F" w:rsidRPr="004C23F4" w:rsidRDefault="009C108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Carbon Monoxide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5"/>
        <w:gridCol w:w="5031"/>
      </w:tblGrid>
      <w:tr w:rsidR="00F43AD5" w:rsidRPr="004C23F4" w14:paraId="43977B05" w14:textId="77777777" w:rsidTr="00B76A41">
        <w:trPr>
          <w:cantSplit/>
          <w:tblHeader/>
        </w:trPr>
        <w:tc>
          <w:tcPr>
            <w:tcW w:w="4077" w:type="dxa"/>
          </w:tcPr>
          <w:p w14:paraId="572760A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CB41507" w14:textId="77777777" w:rsidR="00F43AD5" w:rsidRPr="00717D45" w:rsidRDefault="009C108C" w:rsidP="00B76A41">
            <w:pPr>
              <w:pStyle w:val="Tablefont"/>
            </w:pPr>
            <w:r>
              <w:t>630-08-0</w:t>
            </w:r>
          </w:p>
        </w:tc>
      </w:tr>
      <w:tr w:rsidR="00F43AD5" w:rsidRPr="004C23F4" w14:paraId="177DBF0F" w14:textId="77777777" w:rsidTr="00B76A41">
        <w:trPr>
          <w:cantSplit/>
        </w:trPr>
        <w:tc>
          <w:tcPr>
            <w:tcW w:w="4077" w:type="dxa"/>
          </w:tcPr>
          <w:p w14:paraId="2557419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F7CF2DD" w14:textId="77777777" w:rsidR="00F43AD5" w:rsidRPr="00717D45" w:rsidRDefault="00F43AD5" w:rsidP="00B76A41">
            <w:pPr>
              <w:pStyle w:val="Tablefont"/>
            </w:pPr>
          </w:p>
        </w:tc>
      </w:tr>
      <w:tr w:rsidR="00F43AD5" w:rsidRPr="004C23F4" w14:paraId="7D290754" w14:textId="77777777" w:rsidTr="00B76A41">
        <w:trPr>
          <w:cantSplit/>
        </w:trPr>
        <w:tc>
          <w:tcPr>
            <w:tcW w:w="4077" w:type="dxa"/>
          </w:tcPr>
          <w:p w14:paraId="4E1773D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4C3232A" w14:textId="77777777" w:rsidR="00F43AD5" w:rsidRPr="00717D45" w:rsidRDefault="00464DFB" w:rsidP="00B76A41">
            <w:pPr>
              <w:pStyle w:val="Tablefont"/>
            </w:pPr>
            <w:r>
              <w:t>CO</w:t>
            </w:r>
          </w:p>
        </w:tc>
      </w:tr>
      <w:tr w:rsidR="00F43AD5" w:rsidRPr="004C23F4" w14:paraId="378BB4F5" w14:textId="77777777" w:rsidTr="00B76A41">
        <w:trPr>
          <w:cantSplit/>
        </w:trPr>
        <w:tc>
          <w:tcPr>
            <w:tcW w:w="4077" w:type="dxa"/>
          </w:tcPr>
          <w:p w14:paraId="2A0B122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5C37C7F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5A9E3EA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5005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E70F5FE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6199315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4D07C72D" w14:textId="77777777" w:rsidR="002C7AFE" w:rsidRPr="00EB3D1B" w:rsidRDefault="0045005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 ppm (23 mg/m</w:t>
            </w:r>
            <w:r w:rsidRPr="00450051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C41CE6E" w14:textId="77777777" w:rsidTr="00921DE7">
        <w:trPr>
          <w:cantSplit/>
        </w:trPr>
        <w:tc>
          <w:tcPr>
            <w:tcW w:w="4077" w:type="dxa"/>
            <w:vAlign w:val="center"/>
          </w:tcPr>
          <w:p w14:paraId="0E99F9A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40B301E" w14:textId="15FF1285" w:rsidR="002C7AFE" w:rsidRPr="00EB3D1B" w:rsidRDefault="008453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2BE5E71" w14:textId="77777777" w:rsidTr="00921DE7">
        <w:trPr>
          <w:cantSplit/>
        </w:trPr>
        <w:tc>
          <w:tcPr>
            <w:tcW w:w="4077" w:type="dxa"/>
            <w:vAlign w:val="center"/>
          </w:tcPr>
          <w:p w14:paraId="0399428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2999221C" w14:textId="777B6556" w:rsidR="002C7AFE" w:rsidRPr="00EB3D1B" w:rsidRDefault="008453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EF7CD0D" w14:textId="77777777" w:rsidTr="00A2073D">
        <w:trPr>
          <w:cantSplit/>
        </w:trPr>
        <w:tc>
          <w:tcPr>
            <w:tcW w:w="4077" w:type="dxa"/>
          </w:tcPr>
          <w:p w14:paraId="0C39FFD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8181559" w14:textId="6D57F529" w:rsidR="002C7AFE" w:rsidRPr="00EB3D1B" w:rsidRDefault="008453C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CC08267" w14:textId="77777777" w:rsidTr="00921DE7">
        <w:trPr>
          <w:cantSplit/>
        </w:trPr>
        <w:tc>
          <w:tcPr>
            <w:tcW w:w="4077" w:type="dxa"/>
            <w:vAlign w:val="center"/>
          </w:tcPr>
          <w:p w14:paraId="7688846E" w14:textId="00DCD52C" w:rsidR="00A32AAD" w:rsidRPr="002C58FF" w:rsidRDefault="00921DE7" w:rsidP="00A32AAD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E4D764E" w14:textId="77777777" w:rsidR="002C7AFE" w:rsidRPr="00EB3D1B" w:rsidRDefault="00CE01F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1,200 ppm</w:t>
            </w:r>
          </w:p>
        </w:tc>
      </w:tr>
      <w:tr w:rsidR="00A32AAD" w:rsidRPr="004C23F4" w14:paraId="7ED6A07E" w14:textId="77777777" w:rsidTr="00A32AAD">
        <w:trPr>
          <w:cantSplit/>
        </w:trPr>
        <w:tc>
          <w:tcPr>
            <w:tcW w:w="4077" w:type="dxa"/>
          </w:tcPr>
          <w:p w14:paraId="109A6393" w14:textId="09E1BAB7" w:rsidR="00A32AAD" w:rsidRDefault="00A32AAD" w:rsidP="00A32AAD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0DEAAC09" w14:textId="34C01F2E" w:rsidR="00A32AAD" w:rsidRPr="00A32AAD" w:rsidRDefault="00A32AAD" w:rsidP="00017C82">
            <w:pPr>
              <w:pStyle w:val="Tablefont"/>
            </w:pPr>
            <w:r w:rsidRPr="00A32AAD">
              <w:t xml:space="preserve">The recommended value is readily quantifiable through currently available sampling and analysis techniques. </w:t>
            </w:r>
          </w:p>
        </w:tc>
      </w:tr>
    </w:tbl>
    <w:p w14:paraId="70576AD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AA36CF" w14:textId="7FE1958A" w:rsidR="006639B4" w:rsidRPr="004C23F4" w:rsidRDefault="00450051" w:rsidP="000C139A">
      <w:pPr>
        <w:rPr>
          <w:rFonts w:cs="Arial"/>
        </w:rPr>
      </w:pPr>
      <w:r>
        <w:rPr>
          <w:rFonts w:cs="Arial"/>
        </w:rPr>
        <w:t xml:space="preserve">A TWA </w:t>
      </w:r>
      <w:r w:rsidR="009E0B71">
        <w:rPr>
          <w:rFonts w:cs="Arial"/>
        </w:rPr>
        <w:t xml:space="preserve">of </w:t>
      </w:r>
      <w:r>
        <w:t>20 ppm (23 mg/m</w:t>
      </w:r>
      <w:r>
        <w:rPr>
          <w:vertAlign w:val="superscript"/>
        </w:rPr>
        <w:t>3</w:t>
      </w:r>
      <w:r>
        <w:t xml:space="preserve">) is recommended to </w:t>
      </w:r>
      <w:r w:rsidRPr="00450051">
        <w:t xml:space="preserve">prevent blood </w:t>
      </w:r>
      <w:r w:rsidR="00655BC5">
        <w:t>carboxyhaemoglobin</w:t>
      </w:r>
      <w:r w:rsidR="00155031">
        <w:t xml:space="preserve"> (COHb)</w:t>
      </w:r>
      <w:r w:rsidR="00506C7B" w:rsidRPr="00506C7B">
        <w:t xml:space="preserve"> </w:t>
      </w:r>
      <w:r w:rsidR="00506C7B">
        <w:t xml:space="preserve">concentrations in excess of </w:t>
      </w:r>
      <w:r w:rsidR="007902CA">
        <w:t>3.5</w:t>
      </w:r>
      <w:r w:rsidRPr="00450051">
        <w:t>%</w:t>
      </w:r>
      <w:r w:rsidR="00314ADE">
        <w:t xml:space="preserve"> </w:t>
      </w:r>
      <w:r w:rsidR="0039433D">
        <w:t xml:space="preserve">in exposed workers </w:t>
      </w:r>
      <w:r w:rsidR="00314ADE">
        <w:t xml:space="preserve">which in turn will reduce the risk of </w:t>
      </w:r>
      <w:r w:rsidR="00314ADE" w:rsidRPr="00314ADE">
        <w:t>adverse effects associate</w:t>
      </w:r>
      <w:r w:rsidR="009E0B71">
        <w:t>d</w:t>
      </w:r>
      <w:r w:rsidR="00314ADE" w:rsidRPr="00314ADE">
        <w:t xml:space="preserve"> with elevated blood COHb levels</w:t>
      </w:r>
      <w:r w:rsidR="00314ADE">
        <w:t xml:space="preserve">. </w:t>
      </w:r>
      <w:r w:rsidR="0013680C">
        <w:t>The</w:t>
      </w:r>
      <w:r w:rsidR="00314ADE">
        <w:t xml:space="preserve"> TWA is expected to</w:t>
      </w:r>
      <w:r w:rsidR="00314ADE" w:rsidRPr="00314ADE">
        <w:t xml:space="preserve"> provide a margin of safety for individuals particularly susceptible to the adverse effects </w:t>
      </w:r>
      <w:r w:rsidR="00314ADE">
        <w:t xml:space="preserve">carbon </w:t>
      </w:r>
      <w:r w:rsidR="00715324">
        <w:t xml:space="preserve">monoxide </w:t>
      </w:r>
      <w:r w:rsidR="00314ADE">
        <w:t>(</w:t>
      </w:r>
      <w:r w:rsidR="00314ADE" w:rsidRPr="00314ADE">
        <w:t>CO</w:t>
      </w:r>
      <w:r w:rsidR="00314ADE">
        <w:t>)</w:t>
      </w:r>
      <w:r w:rsidR="00314ADE" w:rsidRPr="00314ADE">
        <w:t xml:space="preserve"> exposure</w:t>
      </w:r>
      <w:r w:rsidR="00314ADE">
        <w:t xml:space="preserve"> including pregnant </w:t>
      </w:r>
      <w:r w:rsidR="00172D51">
        <w:t xml:space="preserve">women </w:t>
      </w:r>
      <w:r w:rsidR="00314ADE">
        <w:t xml:space="preserve">and </w:t>
      </w:r>
      <w:r w:rsidR="00EC53BF">
        <w:t>persons</w:t>
      </w:r>
      <w:r w:rsidR="00D01DF2">
        <w:t xml:space="preserve"> </w:t>
      </w:r>
      <w:r w:rsidR="00314ADE">
        <w:t>with cardiovascular disease.</w:t>
      </w:r>
    </w:p>
    <w:p w14:paraId="71057D5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AA639C9" w14:textId="198E6584" w:rsidR="006C7CCC" w:rsidRPr="00E70BDA" w:rsidRDefault="006C7CCC" w:rsidP="0048525F">
      <w:pPr>
        <w:rPr>
          <w:b/>
          <w:bCs/>
          <w:iCs/>
        </w:rPr>
      </w:pPr>
      <w:r w:rsidRPr="0080775D">
        <w:t xml:space="preserve">Carbon </w:t>
      </w:r>
      <w:r w:rsidR="00715324">
        <w:t>monoxide</w:t>
      </w:r>
      <w:r w:rsidR="00715324" w:rsidRPr="0080775D">
        <w:t xml:space="preserve"> </w:t>
      </w:r>
      <w:r w:rsidRPr="0080775D">
        <w:t xml:space="preserve">is rapidly absorbed from the lungs into the blood </w:t>
      </w:r>
      <w:r w:rsidR="0080775D">
        <w:t>binding</w:t>
      </w:r>
      <w:r w:rsidRPr="0080775D">
        <w:t xml:space="preserve"> to </w:t>
      </w:r>
      <w:r w:rsidR="0080775D">
        <w:t xml:space="preserve">haemoglobin to produce a reversible complex known as </w:t>
      </w:r>
      <w:r w:rsidR="0080775D" w:rsidRPr="0080775D">
        <w:t>carboxyhaemoglobin (COHb</w:t>
      </w:r>
      <w:r w:rsidR="0080775D">
        <w:t xml:space="preserve">). </w:t>
      </w:r>
      <w:r w:rsidR="00655BC5">
        <w:t xml:space="preserve">COHb </w:t>
      </w:r>
      <w:r w:rsidR="0080775D">
        <w:t>reduces the</w:t>
      </w:r>
      <w:r w:rsidRPr="0080775D">
        <w:t xml:space="preserve"> oxygen carry</w:t>
      </w:r>
      <w:r w:rsidR="00336EF2">
        <w:t>ing</w:t>
      </w:r>
      <w:r w:rsidRPr="0080775D">
        <w:t xml:space="preserve"> capacity of blood resulting in </w:t>
      </w:r>
      <w:r w:rsidR="00336EF2" w:rsidRPr="0080775D">
        <w:t xml:space="preserve">lack of oxygen </w:t>
      </w:r>
      <w:r w:rsidR="00336EF2">
        <w:t xml:space="preserve">in </w:t>
      </w:r>
      <w:r w:rsidRPr="0080775D">
        <w:t>tissue</w:t>
      </w:r>
      <w:r w:rsidR="00336EF2">
        <w:t>s</w:t>
      </w:r>
      <w:r w:rsidRPr="0080775D">
        <w:t xml:space="preserve"> </w:t>
      </w:r>
      <w:r w:rsidR="00336EF2">
        <w:t>(</w:t>
      </w:r>
      <w:r w:rsidRPr="0080775D">
        <w:t>hypoxia</w:t>
      </w:r>
      <w:r w:rsidR="00EC53BF">
        <w:t>)</w:t>
      </w:r>
      <w:r w:rsidR="00F27143">
        <w:t xml:space="preserve"> resulting in </w:t>
      </w:r>
      <w:r w:rsidRPr="0080775D">
        <w:t>CO-induced toxicity which largely affects the metabolic activity of cell</w:t>
      </w:r>
      <w:r w:rsidR="005C4DE0">
        <w:t>s</w:t>
      </w:r>
      <w:r w:rsidRPr="0080775D">
        <w:t xml:space="preserve"> primarily through hypoxic modes of actions</w:t>
      </w:r>
      <w:r w:rsidR="0080775D">
        <w:t>.</w:t>
      </w:r>
      <w:r w:rsidRPr="0080775D">
        <w:t xml:space="preserve"> </w:t>
      </w:r>
      <w:r w:rsidR="0080775D" w:rsidRPr="0080775D">
        <w:t xml:space="preserve">Carbon </w:t>
      </w:r>
      <w:r w:rsidR="00715324">
        <w:t>monoxide</w:t>
      </w:r>
      <w:r w:rsidR="00715324" w:rsidRPr="0080775D">
        <w:t xml:space="preserve"> </w:t>
      </w:r>
      <w:r w:rsidR="0080775D" w:rsidRPr="0080775D">
        <w:t>will also rapidly diffuse across placental membranes</w:t>
      </w:r>
      <w:r w:rsidR="0080775D">
        <w:t xml:space="preserve"> </w:t>
      </w:r>
      <w:r w:rsidR="005C4DE0">
        <w:t xml:space="preserve">affecting the oxygen supply to </w:t>
      </w:r>
      <w:r w:rsidR="0080775D">
        <w:t>f</w:t>
      </w:r>
      <w:r w:rsidR="00071D7B">
        <w:t>o</w:t>
      </w:r>
      <w:r w:rsidR="0080775D">
        <w:t>etuses</w:t>
      </w:r>
      <w:r w:rsidR="00E70BDA">
        <w:t>.</w:t>
      </w:r>
      <w:r w:rsidR="0080775D" w:rsidRPr="0080775D">
        <w:t xml:space="preserve"> </w:t>
      </w:r>
      <w:r w:rsidR="00E70BDA">
        <w:t>Pregnant woman and persons with underlying cardiovascular disease are particularly susceptible to the effects related to exposure to CO</w:t>
      </w:r>
      <w:r w:rsidR="001732F9">
        <w:t>.</w:t>
      </w:r>
      <w:r w:rsidR="00BF03BD">
        <w:t xml:space="preserve"> </w:t>
      </w:r>
      <w:r w:rsidR="005C4DE0">
        <w:t>COHb is</w:t>
      </w:r>
      <w:r w:rsidR="005C4DE0">
        <w:rPr>
          <w:b/>
          <w:bCs/>
          <w:iCs/>
        </w:rPr>
        <w:t xml:space="preserve"> </w:t>
      </w:r>
      <w:r w:rsidR="00BF03BD">
        <w:t>reduce</w:t>
      </w:r>
      <w:r w:rsidR="00655BC5" w:rsidRPr="00EC30DC">
        <w:rPr>
          <w:bCs/>
          <w:iCs/>
        </w:rPr>
        <w:t>d</w:t>
      </w:r>
      <w:r w:rsidR="00BF03BD">
        <w:t xml:space="preserve"> on removal from CO exposure</w:t>
      </w:r>
      <w:r w:rsidR="00E70BDA" w:rsidRPr="0080775D">
        <w:t xml:space="preserve"> </w:t>
      </w:r>
      <w:r w:rsidRPr="0080775D">
        <w:t>(ACGIH, 2018).</w:t>
      </w:r>
    </w:p>
    <w:p w14:paraId="5603C370" w14:textId="293FDB07" w:rsidR="00314ADE" w:rsidRDefault="00E70BDA" w:rsidP="0048525F">
      <w:pPr>
        <w:rPr>
          <w:b/>
          <w:bCs/>
          <w:iCs/>
        </w:rPr>
      </w:pPr>
      <w:r>
        <w:t>Blood COHb levels in</w:t>
      </w:r>
      <w:r w:rsidRPr="00E70BDA">
        <w:t xml:space="preserve"> healthy</w:t>
      </w:r>
      <w:r w:rsidR="005C4DE0">
        <w:t>,</w:t>
      </w:r>
      <w:r w:rsidRPr="00E70BDA">
        <w:t xml:space="preserve"> unexposed subjects </w:t>
      </w:r>
      <w:r>
        <w:t>are approximately</w:t>
      </w:r>
      <w:r w:rsidR="00E2743E">
        <w:t xml:space="preserve"> 0.4</w:t>
      </w:r>
      <w:r w:rsidR="008453C6">
        <w:t xml:space="preserve"> to </w:t>
      </w:r>
      <w:r w:rsidRPr="00E70BDA">
        <w:t>0.7%</w:t>
      </w:r>
      <w:r w:rsidR="001732F9">
        <w:t xml:space="preserve">. </w:t>
      </w:r>
      <w:r>
        <w:t>Increase in blood COHb levels result in adverse health effects with levels greater than 4% being associated with adverse health effects in the brain, cardio</w:t>
      </w:r>
      <w:r w:rsidR="001732F9">
        <w:t xml:space="preserve">vascular system and foetuses. </w:t>
      </w:r>
      <w:r w:rsidRPr="00E70BDA">
        <w:t xml:space="preserve">Adverse effects on health </w:t>
      </w:r>
      <w:r w:rsidR="00BF03BD">
        <w:t xml:space="preserve">has been observed </w:t>
      </w:r>
      <w:r w:rsidRPr="00E70BDA">
        <w:t xml:space="preserve">in high risk groups at COHb levels </w:t>
      </w:r>
      <w:r w:rsidR="00BF03BD">
        <w:t>greater than 2</w:t>
      </w:r>
      <w:r w:rsidR="008453C6">
        <w:t xml:space="preserve"> to </w:t>
      </w:r>
      <w:r w:rsidR="00BF03BD">
        <w:t xml:space="preserve">3%. </w:t>
      </w:r>
      <w:r w:rsidRPr="00E70BDA">
        <w:t>Blood COHb</w:t>
      </w:r>
      <w:r w:rsidR="00BF03BD">
        <w:t xml:space="preserve"> levels</w:t>
      </w:r>
      <w:r w:rsidRPr="00E70BDA">
        <w:t xml:space="preserve"> of 5% </w:t>
      </w:r>
      <w:r w:rsidR="00BF03BD">
        <w:t xml:space="preserve">are </w:t>
      </w:r>
      <w:r w:rsidRPr="00E70BDA">
        <w:t xml:space="preserve">expected from </w:t>
      </w:r>
      <w:r w:rsidR="00AD11A3">
        <w:t xml:space="preserve">an </w:t>
      </w:r>
      <w:r w:rsidRPr="00E70BDA">
        <w:t>adult, undertaking light work, exposed to 35 ppm for 6</w:t>
      </w:r>
      <w:r w:rsidR="008453C6">
        <w:t xml:space="preserve"> to </w:t>
      </w:r>
      <w:r w:rsidRPr="00E70BDA">
        <w:t xml:space="preserve">8 </w:t>
      </w:r>
      <w:r w:rsidR="00F27143">
        <w:t>h</w:t>
      </w:r>
      <w:r w:rsidR="008453C6">
        <w:t>ours</w:t>
      </w:r>
      <w:r w:rsidR="00D01DF2">
        <w:t xml:space="preserve"> </w:t>
      </w:r>
      <w:r>
        <w:t>(ACGIH,</w:t>
      </w:r>
      <w:r w:rsidR="00D01DF2">
        <w:t> </w:t>
      </w:r>
      <w:r>
        <w:t>2018; DFG, 1992)</w:t>
      </w:r>
      <w:r w:rsidR="0013680C">
        <w:rPr>
          <w:b/>
          <w:bCs/>
          <w:iCs/>
        </w:rPr>
        <w:t>.</w:t>
      </w:r>
      <w:r w:rsidR="00BF03BD">
        <w:t xml:space="preserve"> In rab</w:t>
      </w:r>
      <w:r w:rsidR="00D90249">
        <w:t>bits, exposure to 50 ppm for 4 to</w:t>
      </w:r>
      <w:r w:rsidR="00BF03BD">
        <w:t xml:space="preserve"> 24 </w:t>
      </w:r>
      <w:r w:rsidR="00772632">
        <w:t>h</w:t>
      </w:r>
      <w:r w:rsidR="008453C6">
        <w:t>ours</w:t>
      </w:r>
      <w:r w:rsidR="00772632">
        <w:t xml:space="preserve"> </w:t>
      </w:r>
      <w:r w:rsidR="00BF03BD">
        <w:t>produced CO</w:t>
      </w:r>
      <w:r w:rsidR="00464DFB">
        <w:t>Hb</w:t>
      </w:r>
      <w:r w:rsidR="00BF03BD">
        <w:t xml:space="preserve"> levels of</w:t>
      </w:r>
      <w:r w:rsidR="001C2806">
        <w:t xml:space="preserve"> 4 to 5</w:t>
      </w:r>
      <w:r w:rsidR="003775A4">
        <w:t>% which was reported as the threshold for myocardial damage (SCOEL, 1995).</w:t>
      </w:r>
    </w:p>
    <w:p w14:paraId="696D7D6C" w14:textId="45F0B8E2" w:rsidR="003775A4" w:rsidRPr="003775A4" w:rsidRDefault="003775A4" w:rsidP="003775A4"/>
    <w:p w14:paraId="28717AFE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4882530" w14:textId="186224F2" w:rsidR="003775A4" w:rsidRDefault="00772632" w:rsidP="003775A4">
      <w:pPr>
        <w:rPr>
          <w:rFonts w:cs="Arial"/>
        </w:rPr>
      </w:pPr>
      <w:r>
        <w:rPr>
          <w:rFonts w:cs="Arial"/>
        </w:rPr>
        <w:t>Not</w:t>
      </w:r>
      <w:r w:rsidR="003775A4" w:rsidRPr="003775A4">
        <w:rPr>
          <w:rFonts w:cs="Arial"/>
        </w:rPr>
        <w:t xml:space="preserve"> classified as a carcinogen</w:t>
      </w:r>
      <w:r w:rsidR="003775A4">
        <w:rPr>
          <w:rFonts w:cs="Arial"/>
        </w:rPr>
        <w:t xml:space="preserve">, </w:t>
      </w:r>
      <w:r w:rsidR="003775A4" w:rsidRPr="003775A4">
        <w:rPr>
          <w:rFonts w:cs="Arial"/>
        </w:rPr>
        <w:t>according to the Globally Harmonized System of Classification and Labelling of Chemicals (GHS).</w:t>
      </w:r>
    </w:p>
    <w:p w14:paraId="76DB348D" w14:textId="29E3A9DD" w:rsidR="00772632" w:rsidRPr="003775A4" w:rsidRDefault="00772632" w:rsidP="003775A4">
      <w:pPr>
        <w:rPr>
          <w:rFonts w:cs="Arial"/>
        </w:rPr>
      </w:pPr>
      <w:r>
        <w:rPr>
          <w:rFonts w:cs="Arial"/>
        </w:rPr>
        <w:t>Not</w:t>
      </w:r>
      <w:r w:rsidRPr="003775A4">
        <w:rPr>
          <w:rFonts w:cs="Arial"/>
        </w:rPr>
        <w:t xml:space="preserve"> classified as a </w:t>
      </w:r>
      <w:r>
        <w:rPr>
          <w:rFonts w:cs="Arial"/>
        </w:rPr>
        <w:t xml:space="preserve">skin sensitiser or respiratory sensitiser </w:t>
      </w:r>
      <w:r w:rsidRPr="003775A4">
        <w:rPr>
          <w:rFonts w:cs="Arial"/>
        </w:rPr>
        <w:t xml:space="preserve">according to </w:t>
      </w:r>
      <w:r w:rsidR="001732F9">
        <w:rPr>
          <w:rFonts w:cs="Arial"/>
        </w:rPr>
        <w:t xml:space="preserve">the </w:t>
      </w:r>
      <w:r>
        <w:rPr>
          <w:rFonts w:cs="Arial"/>
        </w:rPr>
        <w:t>GHS</w:t>
      </w:r>
      <w:r w:rsidRPr="003775A4">
        <w:rPr>
          <w:rFonts w:cs="Arial"/>
        </w:rPr>
        <w:t>.</w:t>
      </w:r>
    </w:p>
    <w:p w14:paraId="16075DC9" w14:textId="12947079" w:rsidR="003775A4" w:rsidRPr="004C23F4" w:rsidRDefault="003775A4">
      <w:pPr>
        <w:rPr>
          <w:rFonts w:cs="Arial"/>
        </w:rPr>
        <w:sectPr w:rsidR="003775A4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 xml:space="preserve">Insufficient data exists to </w:t>
      </w:r>
      <w:r w:rsidR="00115885">
        <w:rPr>
          <w:rFonts w:cs="Arial"/>
        </w:rPr>
        <w:t>recommend</w:t>
      </w:r>
      <w:r w:rsidR="00715324">
        <w:rPr>
          <w:rFonts w:cs="Arial"/>
        </w:rPr>
        <w:t xml:space="preserve"> </w:t>
      </w:r>
      <w:r>
        <w:rPr>
          <w:rFonts w:cs="Arial"/>
        </w:rPr>
        <w:t>a skin notation.</w:t>
      </w:r>
    </w:p>
    <w:p w14:paraId="33A5961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27C321E" w14:textId="77777777" w:rsidR="008D026D" w:rsidRPr="003365A5" w:rsidRDefault="00B479A9" w:rsidP="001C2806">
      <w:pPr>
        <w:pStyle w:val="Heading2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A1AEE8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19B9E7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CB3C63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63EA7B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C108C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C108C">
                  <w:t>TWA: 30 ppm (34 mg/m</w:t>
                </w:r>
                <w:r w:rsidR="009C108C">
                  <w:rPr>
                    <w:vertAlign w:val="superscript"/>
                  </w:rPr>
                  <w:t>3</w:t>
                </w:r>
                <w:r w:rsidR="009C108C">
                  <w:t>)</w:t>
                </w:r>
                <w:r w:rsidR="009C108C" w:rsidRPr="009C108C">
                  <w:tab/>
                </w:r>
              </w:sdtContent>
            </w:sdt>
          </w:p>
        </w:tc>
      </w:tr>
      <w:tr w:rsidR="00C978F0" w:rsidRPr="00DA352E" w14:paraId="323A54B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73C7594" w14:textId="77777777" w:rsidR="008453C6" w:rsidRDefault="00314ADE" w:rsidP="00947013">
            <w:pPr>
              <w:pStyle w:val="Tabletextprimarysource"/>
            </w:pPr>
            <w:r>
              <w:t>CO</w:t>
            </w:r>
            <w:r w:rsidR="009C108C">
              <w:t xml:space="preserve"> exerts its main toxic effect via its ability to interfere with oxygen delivery to </w:t>
            </w:r>
            <w:r w:rsidR="00D90249">
              <w:t>tissue</w:t>
            </w:r>
            <w:r w:rsidR="009C108C">
              <w:t xml:space="preserve">. </w:t>
            </w:r>
            <w:r w:rsidR="00D90249">
              <w:t>O</w:t>
            </w:r>
            <w:r w:rsidR="009C108C">
              <w:t>rgans most vulnerable to the effects are those with a hig</w:t>
            </w:r>
            <w:r w:rsidR="0013680C">
              <w:t xml:space="preserve">h metabolic demand for oxygen. </w:t>
            </w:r>
            <w:r w:rsidR="009C108C">
              <w:t>Of these the heart, the central nervous system (CNS) and the foetus can be regarded as the critical organs.</w:t>
            </w:r>
          </w:p>
          <w:p w14:paraId="27C7ACBB" w14:textId="1A3891C2" w:rsidR="008453C6" w:rsidRPr="00DA352E" w:rsidRDefault="008453C6" w:rsidP="00947013">
            <w:pPr>
              <w:pStyle w:val="Tabletextprimarysource"/>
            </w:pPr>
          </w:p>
        </w:tc>
      </w:tr>
      <w:tr w:rsidR="00C978F0" w:rsidRPr="00DA352E" w14:paraId="3446E79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D158C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E01F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E01FE">
                  <w:t>TLV-TWA: 25 ppm (</w:t>
                </w:r>
                <w:r w:rsidR="00580A3D">
                  <w:t>29 mg</w:t>
                </w:r>
                <w:r w:rsidR="00CE01FE">
                  <w:t>/m</w:t>
                </w:r>
                <w:r w:rsidR="00CE01FE">
                  <w:rPr>
                    <w:vertAlign w:val="superscript"/>
                  </w:rPr>
                  <w:t>3</w:t>
                </w:r>
                <w:r w:rsidR="00CE01FE">
                  <w:t>)</w:t>
                </w:r>
              </w:sdtContent>
            </w:sdt>
          </w:p>
        </w:tc>
      </w:tr>
      <w:tr w:rsidR="00C978F0" w:rsidRPr="00DA352E" w14:paraId="5EC8BD0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304369" w14:textId="5A31049E" w:rsidR="00C978F0" w:rsidRDefault="00467A20" w:rsidP="00B41315">
            <w:pPr>
              <w:pStyle w:val="Tabletextprimarysource"/>
            </w:pPr>
            <w:r>
              <w:t xml:space="preserve">TWA </w:t>
            </w:r>
            <w:r w:rsidR="00580A3D">
              <w:t xml:space="preserve">intended to </w:t>
            </w:r>
            <w:r w:rsidR="00B41315">
              <w:t>maintain blood COHb levels below 3.5%; to minimis</w:t>
            </w:r>
            <w:r w:rsidR="00580A3D">
              <w:t xml:space="preserve">e the potential for </w:t>
            </w:r>
            <w:r w:rsidR="00E70BDA">
              <w:t>adverse neurobehavioral changes</w:t>
            </w:r>
            <w:r w:rsidR="00715324">
              <w:t>, to maintain</w:t>
            </w:r>
            <w:r w:rsidR="00E70BDA">
              <w:t xml:space="preserve"> </w:t>
            </w:r>
            <w:r w:rsidR="00580A3D">
              <w:t>cardiovascular work and exercise capacit</w:t>
            </w:r>
            <w:r w:rsidR="00B41315">
              <w:t>ies</w:t>
            </w:r>
            <w:r w:rsidR="00715324">
              <w:t xml:space="preserve">, </w:t>
            </w:r>
            <w:r w:rsidR="00B41315">
              <w:t>and</w:t>
            </w:r>
            <w:r w:rsidR="00580A3D">
              <w:t xml:space="preserve"> provide a margin of safety for </w:t>
            </w:r>
            <w:r w:rsidR="00D90249">
              <w:t xml:space="preserve">susceptible </w:t>
            </w:r>
            <w:r w:rsidR="00947013">
              <w:t>individuals</w:t>
            </w:r>
            <w:r w:rsidR="00B41315">
              <w:t>.</w:t>
            </w:r>
          </w:p>
          <w:p w14:paraId="1996E7AB" w14:textId="7796AEB3" w:rsidR="00B41315" w:rsidRDefault="00467A20" w:rsidP="00DA1798">
            <w:pPr>
              <w:pStyle w:val="Tabletextprimarysource"/>
            </w:pPr>
            <w:r>
              <w:t>Summary of d</w:t>
            </w:r>
            <w:r w:rsidR="00B41315">
              <w:t>ata</w:t>
            </w:r>
            <w:r w:rsidR="00C27EF9">
              <w:t>:</w:t>
            </w:r>
          </w:p>
          <w:p w14:paraId="4D423A66" w14:textId="138AEBD6" w:rsidR="00B41315" w:rsidRDefault="00B41315" w:rsidP="00A33FC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Human </w:t>
            </w:r>
            <w:r w:rsidR="00467A20">
              <w:t>data</w:t>
            </w:r>
            <w:r w:rsidR="00C27EF9">
              <w:t>:</w:t>
            </w:r>
          </w:p>
          <w:p w14:paraId="00C74C80" w14:textId="3E4CB377" w:rsidR="00B41315" w:rsidRDefault="00D03CBE" w:rsidP="00A15F89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80</w:t>
            </w:r>
            <w:r w:rsidR="008453C6">
              <w:t>–</w:t>
            </w:r>
            <w:r>
              <w:t xml:space="preserve">90% of the absorbed </w:t>
            </w:r>
            <w:r w:rsidR="00314ADE">
              <w:t>CO</w:t>
            </w:r>
            <w:r>
              <w:t xml:space="preserve"> binds with haemoglobin, resulting in a reduction in the oxygen-carrying capacity of the blood</w:t>
            </w:r>
          </w:p>
          <w:p w14:paraId="78CE7E1F" w14:textId="4E30AB76" w:rsidR="001D20D8" w:rsidRDefault="00E70BDA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H</w:t>
            </w:r>
            <w:r w:rsidR="001D20D8">
              <w:t>ealthy unexpos</w:t>
            </w:r>
            <w:r w:rsidR="009A4149">
              <w:t xml:space="preserve">ed </w:t>
            </w:r>
            <w:r>
              <w:t>persons</w:t>
            </w:r>
            <w:r w:rsidR="009A4149">
              <w:t xml:space="preserve"> at rest </w:t>
            </w:r>
            <w:r w:rsidR="00947013">
              <w:t>have</w:t>
            </w:r>
            <w:r w:rsidR="009A4149">
              <w:t xml:space="preserve"> blood</w:t>
            </w:r>
            <w:r w:rsidR="001D20D8">
              <w:t xml:space="preserve"> COHb </w:t>
            </w:r>
            <w:r w:rsidR="009A4149">
              <w:t>level</w:t>
            </w:r>
            <w:r>
              <w:t>s</w:t>
            </w:r>
            <w:r w:rsidR="00D90249">
              <w:t xml:space="preserve"> of 0.4</w:t>
            </w:r>
            <w:r w:rsidR="008453C6">
              <w:t>–</w:t>
            </w:r>
            <w:r w:rsidR="001D20D8">
              <w:t>0.7%</w:t>
            </w:r>
          </w:p>
          <w:p w14:paraId="5F09E77B" w14:textId="6B1EB04C" w:rsidR="009A4149" w:rsidRDefault="001D20D8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During pregnancy, increased maternal COHb levels of 0.4</w:t>
            </w:r>
            <w:r w:rsidR="008453C6">
              <w:t>–</w:t>
            </w:r>
            <w:r>
              <w:t xml:space="preserve">2.6% have been reported </w:t>
            </w:r>
          </w:p>
          <w:p w14:paraId="1A024DFA" w14:textId="6A07AC65" w:rsidR="001D20D8" w:rsidRDefault="001D20D8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COHb for the </w:t>
            </w:r>
            <w:r w:rsidR="00467A20">
              <w:t>foetuses</w:t>
            </w:r>
            <w:r>
              <w:t xml:space="preserve"> of </w:t>
            </w:r>
            <w:r w:rsidR="00467A20">
              <w:t>non-smoking</w:t>
            </w:r>
            <w:r>
              <w:t xml:space="preserve"> mo</w:t>
            </w:r>
            <w:r w:rsidR="00D90249">
              <w:t>thers reported a</w:t>
            </w:r>
            <w:r w:rsidR="00947013">
              <w:t>t</w:t>
            </w:r>
            <w:r w:rsidR="008453C6">
              <w:t xml:space="preserve"> 0.7–</w:t>
            </w:r>
            <w:r>
              <w:t>2.5%</w:t>
            </w:r>
          </w:p>
          <w:p w14:paraId="65761FB3" w14:textId="7A523994" w:rsidR="00467A20" w:rsidRDefault="00467A20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Blood COHb levels are dependent on CO exposure concentrations; duration of exposure; size of worker; </w:t>
            </w:r>
            <w:r w:rsidR="0013680C">
              <w:t xml:space="preserve">and </w:t>
            </w:r>
            <w:r>
              <w:t>activity levels</w:t>
            </w:r>
          </w:p>
          <w:p w14:paraId="7FAAF27C" w14:textId="2FD59629" w:rsidR="00467A20" w:rsidRDefault="00467A20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Blood COHb of 5% expected from</w:t>
            </w:r>
            <w:r w:rsidR="0013680C">
              <w:t xml:space="preserve"> an</w:t>
            </w:r>
            <w:r>
              <w:t xml:space="preserve"> adult</w:t>
            </w:r>
            <w:r w:rsidR="00164E2B">
              <w:t>,</w:t>
            </w:r>
            <w:r>
              <w:t xml:space="preserve"> </w:t>
            </w:r>
            <w:r w:rsidR="00164E2B">
              <w:t xml:space="preserve">undertaking light work, </w:t>
            </w:r>
            <w:r>
              <w:t>exposed to 35 ppm for 6</w:t>
            </w:r>
            <w:r w:rsidR="008453C6">
              <w:t>–</w:t>
            </w:r>
            <w:r>
              <w:t>8</w:t>
            </w:r>
            <w:r w:rsidR="00F27143">
              <w:t xml:space="preserve"> h</w:t>
            </w:r>
          </w:p>
          <w:p w14:paraId="5C2584CB" w14:textId="2EBD7499" w:rsidR="00164E2B" w:rsidRPr="00DA352E" w:rsidRDefault="00397B15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Incremental increases in </w:t>
            </w:r>
            <w:r w:rsidR="0013680C">
              <w:t>COHb of</w:t>
            </w:r>
            <w:r w:rsidR="00D01DF2">
              <w:t xml:space="preserve"> </w:t>
            </w:r>
            <w:r w:rsidR="0013680C">
              <w:t>&lt;</w:t>
            </w:r>
            <w:r w:rsidR="00164E2B">
              <w:t xml:space="preserve">5% resulted </w:t>
            </w:r>
            <w:r>
              <w:t>in a</w:t>
            </w:r>
            <w:r w:rsidR="00164E2B">
              <w:t xml:space="preserve"> range of cardiovascular effects in normal volunteers</w:t>
            </w:r>
          </w:p>
          <w:p w14:paraId="2664426E" w14:textId="0CB7D565" w:rsidR="00164E2B" w:rsidRDefault="00397B15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Tunnel workers exposed to an average of 70 </w:t>
            </w:r>
            <w:r w:rsidR="0013680C">
              <w:t>ppm (2 h alternating over 8 h</w:t>
            </w:r>
            <w:r>
              <w:t xml:space="preserve">) had </w:t>
            </w:r>
            <w:r w:rsidR="00947013">
              <w:t xml:space="preserve">an </w:t>
            </w:r>
            <w:r>
              <w:t>average of 5% COHb</w:t>
            </w:r>
            <w:r w:rsidR="00715324">
              <w:t xml:space="preserve"> with none above 10% COHb</w:t>
            </w:r>
            <w:r>
              <w:t xml:space="preserve">. The average exposure of 35 ppm resulted </w:t>
            </w:r>
            <w:r w:rsidR="0013680C">
              <w:t xml:space="preserve">in </w:t>
            </w:r>
            <w:r>
              <w:t>no adverse health effects observed</w:t>
            </w:r>
          </w:p>
          <w:p w14:paraId="6F5531E7" w14:textId="77777777" w:rsidR="006B0E2B" w:rsidRDefault="006B0E2B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COHb levels </w:t>
            </w:r>
            <w:r w:rsidR="00B30EBF">
              <w:t xml:space="preserve">of 10% </w:t>
            </w:r>
            <w:r>
              <w:t xml:space="preserve">associated with </w:t>
            </w:r>
            <w:r w:rsidR="00B30EBF">
              <w:t>symptoms such as headaches while levels of 7% associated with effects on cognitive performance</w:t>
            </w:r>
          </w:p>
          <w:p w14:paraId="326850BF" w14:textId="3C779A2C" w:rsidR="00B30EBF" w:rsidRDefault="00B30EBF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30 ppm continuous exposure: </w:t>
            </w:r>
            <w:r w:rsidR="00C27EF9" w:rsidRPr="00707ACD">
              <w:t>≈</w:t>
            </w:r>
            <w:r>
              <w:t>5% COHb in the pr</w:t>
            </w:r>
            <w:r w:rsidR="00C27EF9">
              <w:t>egnant mother; 6% in the foetus</w:t>
            </w:r>
            <w:r w:rsidR="008453C6">
              <w:t>.</w:t>
            </w:r>
          </w:p>
          <w:p w14:paraId="5E602070" w14:textId="77777777" w:rsidR="00961832" w:rsidRDefault="00961832" w:rsidP="00707ACD">
            <w:pPr>
              <w:pStyle w:val="ListBullet"/>
              <w:numPr>
                <w:ilvl w:val="0"/>
                <w:numId w:val="0"/>
              </w:numPr>
              <w:spacing w:before="0" w:after="80"/>
              <w:ind w:left="726"/>
              <w:contextualSpacing w:val="0"/>
            </w:pPr>
          </w:p>
          <w:p w14:paraId="66EE8387" w14:textId="2865A463" w:rsidR="00B30EBF" w:rsidRDefault="00B30EBF" w:rsidP="00A33FC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09CCADBA" w14:textId="0C96C479" w:rsidR="00B30EBF" w:rsidRDefault="00B30EBF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69% successful pregnancies in rats exposed to 30 ppm</w:t>
            </w:r>
            <w:r w:rsidR="00C27EF9">
              <w:t xml:space="preserve"> dropping to </w:t>
            </w:r>
            <w:r>
              <w:t xml:space="preserve">38% </w:t>
            </w:r>
            <w:r w:rsidR="00C27EF9">
              <w:t>at</w:t>
            </w:r>
            <w:r>
              <w:t xml:space="preserve"> 90 ppm (no further details)</w:t>
            </w:r>
            <w:r w:rsidR="008453C6">
              <w:t>.</w:t>
            </w:r>
          </w:p>
          <w:p w14:paraId="2595FC69" w14:textId="77777777" w:rsidR="00961832" w:rsidRDefault="00961832" w:rsidP="00A33FC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A5CFD54" w14:textId="77777777" w:rsidR="00DB5E61" w:rsidRDefault="00C27EF9" w:rsidP="00A33FC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</w:t>
            </w:r>
            <w:r w:rsidR="00DB5E61">
              <w:t xml:space="preserve">ufficient data available to recommend Skin, </w:t>
            </w:r>
            <w:r w:rsidR="00D90249">
              <w:t>D</w:t>
            </w:r>
            <w:r w:rsidR="00DB5E61">
              <w:t>SEN, or carcinogenicity notations or a TLV–STEL</w:t>
            </w:r>
            <w:r w:rsidR="00A33FC2">
              <w:t>.</w:t>
            </w:r>
          </w:p>
          <w:p w14:paraId="0C316A54" w14:textId="5E5EEAA7" w:rsidR="008453C6" w:rsidRPr="00DA352E" w:rsidRDefault="008453C6" w:rsidP="00A33FC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196832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07BACF" w14:textId="7CEAA94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A4149">
                  <w:t>1</w:t>
                </w:r>
                <w:r w:rsidR="007972A1">
                  <w:t>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A4149">
                  <w:t>MAK: 30 ppm (</w:t>
                </w:r>
                <w:r w:rsidR="00715324">
                  <w:t>33</w:t>
                </w:r>
                <w:r w:rsidR="00715324" w:rsidRPr="009A4149">
                  <w:t xml:space="preserve"> </w:t>
                </w:r>
                <w:r w:rsidR="009A4149" w:rsidRPr="009A4149">
                  <w:t>mg/m</w:t>
                </w:r>
                <w:r w:rsidR="009A4149" w:rsidRPr="001C3D3E">
                  <w:rPr>
                    <w:vertAlign w:val="superscript"/>
                  </w:rPr>
                  <w:t>3</w:t>
                </w:r>
                <w:r w:rsidR="009A4149" w:rsidRPr="009A4149">
                  <w:t>)</w:t>
                </w:r>
              </w:sdtContent>
            </w:sdt>
          </w:p>
        </w:tc>
      </w:tr>
      <w:tr w:rsidR="00C978F0" w:rsidRPr="00DA352E" w14:paraId="6E30840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32FF03" w14:textId="00EC0521" w:rsidR="00C978F0" w:rsidRDefault="009A4149" w:rsidP="003365A5">
            <w:pPr>
              <w:pStyle w:val="Tabletextprimarysource"/>
            </w:pPr>
            <w:r>
              <w:t>MAK recommended to protect both healthy workers and at risk groups</w:t>
            </w:r>
            <w:r w:rsidR="005174E4">
              <w:t xml:space="preserve"> (persons with cardiac or vascular disease and pregnant women)</w:t>
            </w:r>
            <w:r>
              <w:t xml:space="preserve"> from adverse effects associate</w:t>
            </w:r>
            <w:r w:rsidR="00AE28E5">
              <w:t>d</w:t>
            </w:r>
            <w:r>
              <w:t xml:space="preserve"> with</w:t>
            </w:r>
            <w:r w:rsidR="005174E4">
              <w:t xml:space="preserve"> elevated blood COHb levels</w:t>
            </w:r>
            <w:r w:rsidR="00314ADE">
              <w:t>.</w:t>
            </w:r>
          </w:p>
          <w:p w14:paraId="6D6DC944" w14:textId="77777777" w:rsidR="009A4149" w:rsidRDefault="009A4149" w:rsidP="003365A5">
            <w:pPr>
              <w:pStyle w:val="Tabletextprimarysource"/>
            </w:pPr>
            <w:r>
              <w:t>Summary of additional data:</w:t>
            </w:r>
          </w:p>
          <w:p w14:paraId="27CF1D5D" w14:textId="6C162010" w:rsidR="009A4149" w:rsidRDefault="009A4149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COHb levels at 2.7% can intensify the symptoms of clinically manifest angina</w:t>
            </w:r>
          </w:p>
          <w:p w14:paraId="4FA64357" w14:textId="35FA1F24" w:rsidR="005174E4" w:rsidRDefault="005174E4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Adverse effects on health in high risk groups at COHb levels &gt;2</w:t>
            </w:r>
            <w:r w:rsidR="008453C6">
              <w:t>–</w:t>
            </w:r>
            <w:r>
              <w:t xml:space="preserve">3% </w:t>
            </w:r>
          </w:p>
          <w:p w14:paraId="3872302E" w14:textId="0887A9CE" w:rsidR="004E2282" w:rsidRDefault="004E2282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Adverse health effects expected at COHb levels &gt;4% in persons without vascular disease</w:t>
            </w:r>
          </w:p>
          <w:p w14:paraId="0FAF2ACF" w14:textId="77777777" w:rsidR="009A4149" w:rsidRDefault="005174E4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Multiple animal studies demonstrate relationship between exposure, COHb levels and effects</w:t>
            </w:r>
          </w:p>
          <w:p w14:paraId="5514D79C" w14:textId="77777777" w:rsidR="00750F3D" w:rsidRDefault="00750F3D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Exposure to 30 ppm for 8</w:t>
            </w:r>
            <w:r w:rsidR="00C27EF9">
              <w:t>-h</w:t>
            </w:r>
            <w:r w:rsidR="001C3D3E">
              <w:t xml:space="preserve"> shift expect</w:t>
            </w:r>
            <w:r w:rsidR="00D01DF2">
              <w:t>ed</w:t>
            </w:r>
            <w:r w:rsidR="001C3D3E">
              <w:t xml:space="preserve"> to result in no more than </w:t>
            </w:r>
            <w:r>
              <w:t>4% COHb level in healthy persons</w:t>
            </w:r>
            <w:r w:rsidR="00A33FC2">
              <w:t>.</w:t>
            </w:r>
          </w:p>
          <w:p w14:paraId="4E09EF5C" w14:textId="235A2A48" w:rsidR="008453C6" w:rsidRPr="00DA352E" w:rsidRDefault="008453C6" w:rsidP="008453C6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6EC9FA8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46A23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C3D3E">
                  <w:t>1995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C3D3E">
                  <w:t>TWA: 20 ppm (23 mg/m</w:t>
                </w:r>
                <w:r w:rsidR="001C3D3E">
                  <w:rPr>
                    <w:vertAlign w:val="superscript"/>
                  </w:rPr>
                  <w:t>3</w:t>
                </w:r>
                <w:r w:rsidR="001C3D3E">
                  <w:t>); STEL: 100 ppm (117 mg/m</w:t>
                </w:r>
                <w:r w:rsidR="001C3D3E">
                  <w:rPr>
                    <w:vertAlign w:val="superscript"/>
                  </w:rPr>
                  <w:t>3</w:t>
                </w:r>
                <w:r w:rsidR="001C3D3E">
                  <w:t>)</w:t>
                </w:r>
              </w:sdtContent>
            </w:sdt>
          </w:p>
        </w:tc>
      </w:tr>
      <w:tr w:rsidR="00C978F0" w:rsidRPr="00DA352E" w14:paraId="5ECBE64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59C47F5" w14:textId="0FF9A8EC" w:rsidR="00C978F0" w:rsidRDefault="001C3D3E" w:rsidP="003365A5">
            <w:pPr>
              <w:pStyle w:val="Tabletextprimarysource"/>
            </w:pPr>
            <w:r>
              <w:t>TWA recommended to prevent b</w:t>
            </w:r>
            <w:r w:rsidR="00450051">
              <w:t>lood</w:t>
            </w:r>
            <w:r>
              <w:t xml:space="preserve"> </w:t>
            </w:r>
            <w:r w:rsidR="00AE28E5">
              <w:t xml:space="preserve">COHb </w:t>
            </w:r>
            <w:r>
              <w:t xml:space="preserve">concentrations </w:t>
            </w:r>
            <w:r w:rsidR="00AE28E5">
              <w:t>&gt;</w:t>
            </w:r>
            <w:r>
              <w:t>4% which will prevent changes in CNS activity and susceptibility to heart disease.</w:t>
            </w:r>
          </w:p>
          <w:p w14:paraId="67817039" w14:textId="77777777" w:rsidR="001C3D3E" w:rsidRDefault="001C3D3E" w:rsidP="003365A5">
            <w:pPr>
              <w:pStyle w:val="Tabletextprimarysource"/>
            </w:pPr>
            <w:r>
              <w:t>Summary of additional data:</w:t>
            </w:r>
          </w:p>
          <w:p w14:paraId="6BBB1BF6" w14:textId="77777777" w:rsidR="001C3D3E" w:rsidRDefault="001C3D3E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 w:rsidRPr="001C3D3E">
              <w:t>The critical effects of CO are on the brain, cardiovascular system and foetus</w:t>
            </w:r>
          </w:p>
          <w:p w14:paraId="527D1DD4" w14:textId="77777777" w:rsidR="00707ACD" w:rsidRDefault="001C3D3E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50 ppm (59 mg/m</w:t>
            </w:r>
            <w:r w:rsidR="00564A47" w:rsidRPr="00EB4997">
              <w:rPr>
                <w:vertAlign w:val="superscript"/>
              </w:rPr>
              <w:t>3</w:t>
            </w:r>
            <w:r>
              <w:t xml:space="preserve">) </w:t>
            </w:r>
            <w:r w:rsidR="000A0568">
              <w:t>(</w:t>
            </w:r>
            <w:r w:rsidR="00564A47">
              <w:t>r</w:t>
            </w:r>
            <w:r w:rsidR="00E2743E">
              <w:t>abbits, 4</w:t>
            </w:r>
            <w:r w:rsidR="008453C6">
              <w:t>–</w:t>
            </w:r>
            <w:r w:rsidR="000A0568">
              <w:t xml:space="preserve">24 h) </w:t>
            </w:r>
            <w:r>
              <w:t xml:space="preserve">threshold for myocardial damage </w:t>
            </w:r>
            <w:r w:rsidR="00707ACD">
              <w:t xml:space="preserve">which produces </w:t>
            </w:r>
          </w:p>
          <w:p w14:paraId="042CA3BB" w14:textId="1DE0C1F2" w:rsidR="001C3D3E" w:rsidRDefault="0013680C" w:rsidP="00707ACD">
            <w:pPr>
              <w:pStyle w:val="ListBullet"/>
              <w:numPr>
                <w:ilvl w:val="0"/>
                <w:numId w:val="0"/>
              </w:numPr>
              <w:spacing w:before="0" w:after="80"/>
              <w:ind w:left="726"/>
              <w:contextualSpacing w:val="0"/>
            </w:pPr>
            <w:r>
              <w:t>4</w:t>
            </w:r>
            <w:r w:rsidR="008453C6">
              <w:t>–</w:t>
            </w:r>
            <w:r>
              <w:t xml:space="preserve">5% </w:t>
            </w:r>
            <w:r w:rsidR="000A0568">
              <w:t>CO</w:t>
            </w:r>
            <w:r>
              <w:t>Hb</w:t>
            </w:r>
            <w:r w:rsidR="000A0568">
              <w:t xml:space="preserve"> saturation levels</w:t>
            </w:r>
          </w:p>
          <w:p w14:paraId="051D794F" w14:textId="7FF15B86" w:rsidR="001C3D3E" w:rsidRDefault="00564A47" w:rsidP="00707ACD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Rats exposed to 50 ppm (59 mg/m</w:t>
            </w:r>
            <w:r w:rsidRPr="00EB4997">
              <w:rPr>
                <w:vertAlign w:val="superscript"/>
              </w:rPr>
              <w:t>3</w:t>
            </w:r>
            <w:r>
              <w:t>) (1</w:t>
            </w:r>
            <w:r w:rsidR="008453C6">
              <w:t>–</w:t>
            </w:r>
            <w:r w:rsidR="00C27EF9">
              <w:t xml:space="preserve">2 </w:t>
            </w:r>
            <w:proofErr w:type="spellStart"/>
            <w:r w:rsidR="00C27EF9">
              <w:t>mo</w:t>
            </w:r>
            <w:proofErr w:type="spellEnd"/>
            <w:r>
              <w:t>) showed e</w:t>
            </w:r>
            <w:r w:rsidR="001C3D3E">
              <w:t>ffects on brain</w:t>
            </w:r>
            <w:r w:rsidR="00A33FC2">
              <w:t>.</w:t>
            </w:r>
          </w:p>
          <w:p w14:paraId="3F91FE0C" w14:textId="399ADD02" w:rsidR="008453C6" w:rsidRPr="00DA352E" w:rsidRDefault="008453C6" w:rsidP="008453C6">
            <w:pPr>
              <w:pStyle w:val="ListBullet"/>
              <w:numPr>
                <w:ilvl w:val="0"/>
                <w:numId w:val="0"/>
              </w:numPr>
              <w:ind w:left="873"/>
            </w:pPr>
          </w:p>
        </w:tc>
      </w:tr>
      <w:tr w:rsidR="00DA352E" w:rsidRPr="00DA352E" w14:paraId="02A4FA8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F4E1C6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B5E6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DB5E61">
                  <w:t>NA</w:t>
                </w:r>
              </w:sdtContent>
            </w:sdt>
          </w:p>
        </w:tc>
      </w:tr>
      <w:tr w:rsidR="00DA352E" w:rsidRPr="00DA352E" w14:paraId="6D16332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2CF095" w14:textId="77777777" w:rsidR="00DA352E" w:rsidRPr="00DA352E" w:rsidRDefault="00DB5E61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0030B57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B6859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B5E6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B5E61">
                  <w:t>NA</w:t>
                </w:r>
              </w:sdtContent>
            </w:sdt>
          </w:p>
        </w:tc>
      </w:tr>
      <w:tr w:rsidR="00DA352E" w:rsidRPr="00DA352E" w14:paraId="32B6708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7AEA9D6" w14:textId="77777777" w:rsidR="00DA352E" w:rsidRPr="00DA352E" w:rsidRDefault="00DB5E61" w:rsidP="003365A5">
            <w:pPr>
              <w:pStyle w:val="Tabletextprimarysource"/>
            </w:pPr>
            <w:r>
              <w:t>No report</w:t>
            </w:r>
          </w:p>
        </w:tc>
      </w:tr>
    </w:tbl>
    <w:p w14:paraId="1C06CD1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77BCE6A1" w14:textId="77777777" w:rsidTr="00C14296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4BF6EF7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B4D17E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79A957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064D7F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A5CA215" w14:textId="77777777" w:rsidTr="00C14296">
        <w:trPr>
          <w:cantSplit/>
        </w:trPr>
        <w:tc>
          <w:tcPr>
            <w:tcW w:w="1497" w:type="dxa"/>
          </w:tcPr>
          <w:p w14:paraId="24E8A387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0BD64165" w14:textId="77777777" w:rsidR="004966BF" w:rsidRPr="00CE617F" w:rsidRDefault="006D600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1429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59780E1" w14:textId="77777777" w:rsidR="004966BF" w:rsidRPr="004C23F4" w:rsidRDefault="00C1429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4" w:type="dxa"/>
          </w:tcPr>
          <w:p w14:paraId="103812A1" w14:textId="2492986C" w:rsidR="004966BF" w:rsidRDefault="00C14296" w:rsidP="00C14296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C14296">
              <w:rPr>
                <w:rStyle w:val="checkbox"/>
                <w:rFonts w:ascii="Arial" w:hAnsi="Arial" w:cs="Arial"/>
              </w:rPr>
              <w:t>CO at levels producing b</w:t>
            </w:r>
            <w:r w:rsidR="00D90249">
              <w:rPr>
                <w:rStyle w:val="checkbox"/>
                <w:rFonts w:ascii="Arial" w:hAnsi="Arial" w:cs="Arial"/>
              </w:rPr>
              <w:t xml:space="preserve">lood COHb </w:t>
            </w:r>
            <w:r w:rsidR="00E2743E">
              <w:rPr>
                <w:rStyle w:val="checkbox"/>
                <w:rFonts w:ascii="Arial" w:hAnsi="Arial" w:cs="Arial"/>
              </w:rPr>
              <w:t>levels between 2.4</w:t>
            </w:r>
            <w:r w:rsidR="00D90249">
              <w:rPr>
                <w:rStyle w:val="checkbox"/>
                <w:rFonts w:ascii="Arial" w:hAnsi="Arial" w:cs="Arial"/>
              </w:rPr>
              <w:t>%-</w:t>
            </w:r>
            <w:r>
              <w:rPr>
                <w:rStyle w:val="checkbox"/>
                <w:rFonts w:ascii="Arial" w:hAnsi="Arial" w:cs="Arial"/>
              </w:rPr>
              <w:t xml:space="preserve">5.9% exacerbates </w:t>
            </w:r>
            <w:r w:rsidRPr="00C14296">
              <w:rPr>
                <w:rStyle w:val="checkbox"/>
                <w:rFonts w:ascii="Arial" w:hAnsi="Arial" w:cs="Arial"/>
              </w:rPr>
              <w:t>underlying cardiovascular conditions, including increased myocardial ischaemia and cardiac arrhythmias</w:t>
            </w:r>
            <w:r>
              <w:rPr>
                <w:rStyle w:val="checkbox"/>
                <w:rFonts w:ascii="Arial" w:hAnsi="Arial" w:cs="Arial"/>
              </w:rPr>
              <w:t xml:space="preserve"> (</w:t>
            </w:r>
            <w:r w:rsidRPr="00C14296">
              <w:rPr>
                <w:rStyle w:val="checkbox"/>
                <w:rFonts w:ascii="Arial" w:hAnsi="Arial" w:cs="Arial"/>
              </w:rPr>
              <w:t>controlled clinical studies in patients with coronary artery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C14296">
              <w:rPr>
                <w:rStyle w:val="checkbox"/>
                <w:rFonts w:ascii="Arial" w:hAnsi="Arial" w:cs="Arial"/>
              </w:rPr>
              <w:t>disease</w:t>
            </w:r>
            <w:r>
              <w:rPr>
                <w:rStyle w:val="checkbox"/>
                <w:rFonts w:ascii="Arial" w:hAnsi="Arial" w:cs="Arial"/>
              </w:rPr>
              <w:t>;</w:t>
            </w:r>
            <w:r w:rsidRPr="00C14296">
              <w:rPr>
                <w:rStyle w:val="checkbox"/>
                <w:rFonts w:ascii="Arial" w:hAnsi="Arial" w:cs="Arial"/>
              </w:rPr>
              <w:t xml:space="preserve"> acute-duration exposure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522F6AA0" w14:textId="4C06D668" w:rsidR="00C14296" w:rsidRDefault="00C14296" w:rsidP="00C1429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LOAEC: 200 ppm (229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772632">
              <w:rPr>
                <w:rStyle w:val="checkbox"/>
                <w:rFonts w:ascii="Arial" w:hAnsi="Arial" w:cs="Arial"/>
              </w:rPr>
              <w:t xml:space="preserve"> (rats, 72 wk)</w:t>
            </w:r>
            <w:r>
              <w:rPr>
                <w:rStyle w:val="checkbox"/>
                <w:rFonts w:ascii="Arial" w:hAnsi="Arial" w:cs="Arial"/>
              </w:rPr>
              <w:t xml:space="preserve">; </w:t>
            </w:r>
            <w:r w:rsidR="00772632">
              <w:rPr>
                <w:rStyle w:val="checkbox"/>
                <w:rFonts w:ascii="Arial" w:hAnsi="Arial" w:cs="Arial"/>
              </w:rPr>
              <w:t xml:space="preserve">showed </w:t>
            </w:r>
            <w:r>
              <w:rPr>
                <w:rStyle w:val="checkbox"/>
                <w:rFonts w:ascii="Arial" w:hAnsi="Arial" w:cs="Arial"/>
              </w:rPr>
              <w:t>enlargement of the heart</w:t>
            </w:r>
          </w:p>
          <w:p w14:paraId="001A688D" w14:textId="77777777" w:rsidR="00C14296" w:rsidRDefault="00C14296" w:rsidP="00C1429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Multiple studies in animals demonstrate adverse developmental effects of gestational postnatal CO exposure</w:t>
            </w:r>
          </w:p>
          <w:p w14:paraId="10299655" w14:textId="77777777" w:rsidR="00C14296" w:rsidRDefault="00C14296" w:rsidP="00C1429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May damage fertility or the unborn child</w:t>
            </w:r>
          </w:p>
          <w:p w14:paraId="2678FBB2" w14:textId="71A6D749" w:rsidR="00450051" w:rsidRPr="00C14296" w:rsidRDefault="00450051" w:rsidP="00C1429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dermal data identified</w:t>
            </w:r>
            <w:r w:rsidR="00A33FC2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1EC2B115" w14:textId="77777777" w:rsidR="007E2A4B" w:rsidRDefault="007E2A4B"/>
    <w:bookmarkEnd w:id="0"/>
    <w:p w14:paraId="2E1047F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5941ADC7" w14:textId="77777777" w:rsidTr="001732F9">
        <w:trPr>
          <w:trHeight w:val="454"/>
          <w:tblHeader/>
        </w:trPr>
        <w:tc>
          <w:tcPr>
            <w:tcW w:w="6609" w:type="dxa"/>
            <w:vAlign w:val="center"/>
          </w:tcPr>
          <w:p w14:paraId="41A5F10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161C5DA8" w14:textId="77777777" w:rsidR="002E0D61" w:rsidRDefault="00C1429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1"/>
    <w:p w14:paraId="63DB8CF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00C8D9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8BCCC8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E00641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125040E" w14:textId="77777777" w:rsidTr="00812887">
        <w:trPr>
          <w:cantSplit/>
        </w:trPr>
        <w:tc>
          <w:tcPr>
            <w:tcW w:w="3227" w:type="dxa"/>
          </w:tcPr>
          <w:p w14:paraId="2CA18FF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D1D8931" w14:textId="379A7E2A" w:rsidR="00687890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41E4C99" w14:textId="77777777" w:rsidTr="00812887">
        <w:trPr>
          <w:cantSplit/>
        </w:trPr>
        <w:tc>
          <w:tcPr>
            <w:tcW w:w="3227" w:type="dxa"/>
          </w:tcPr>
          <w:p w14:paraId="04194C1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9895211" w14:textId="7BF86850" w:rsidR="007925F0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80E0D1D" w14:textId="77777777" w:rsidTr="00812887">
        <w:trPr>
          <w:cantSplit/>
        </w:trPr>
        <w:tc>
          <w:tcPr>
            <w:tcW w:w="3227" w:type="dxa"/>
          </w:tcPr>
          <w:p w14:paraId="196D4BD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10280A6" w14:textId="222FB2D6" w:rsidR="00AF483F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2637FC76" w14:textId="77777777" w:rsidTr="00812887">
        <w:trPr>
          <w:cantSplit/>
        </w:trPr>
        <w:tc>
          <w:tcPr>
            <w:tcW w:w="3227" w:type="dxa"/>
          </w:tcPr>
          <w:p w14:paraId="3E19DCD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139ECA4" w14:textId="2063EB23" w:rsidR="00687890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63AFE537" w14:textId="77777777" w:rsidTr="00812887">
        <w:trPr>
          <w:cantSplit/>
        </w:trPr>
        <w:tc>
          <w:tcPr>
            <w:tcW w:w="3227" w:type="dxa"/>
          </w:tcPr>
          <w:p w14:paraId="4CDD0D2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74DEDFD" w14:textId="56E9E2C5" w:rsidR="00E41A26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401F26A" w14:textId="77777777" w:rsidTr="00812887">
        <w:trPr>
          <w:cantSplit/>
        </w:trPr>
        <w:tc>
          <w:tcPr>
            <w:tcW w:w="3227" w:type="dxa"/>
          </w:tcPr>
          <w:p w14:paraId="6DF954C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1375D46" w14:textId="28A8464A" w:rsidR="002E0D61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5DD08DB" w14:textId="77777777" w:rsidTr="00812887">
        <w:trPr>
          <w:cantSplit/>
        </w:trPr>
        <w:tc>
          <w:tcPr>
            <w:tcW w:w="3227" w:type="dxa"/>
          </w:tcPr>
          <w:p w14:paraId="29BD97E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978AEF6" w14:textId="3C145C76" w:rsidR="002E0D61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C7DE074" w14:textId="77777777" w:rsidTr="00812887">
        <w:trPr>
          <w:cantSplit/>
        </w:trPr>
        <w:tc>
          <w:tcPr>
            <w:tcW w:w="3227" w:type="dxa"/>
          </w:tcPr>
          <w:p w14:paraId="1BA98C3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2748E24" w14:textId="3A9A1DA1" w:rsidR="002E0D61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0933B6A" w14:textId="77777777" w:rsidTr="00812887">
        <w:trPr>
          <w:cantSplit/>
        </w:trPr>
        <w:tc>
          <w:tcPr>
            <w:tcW w:w="3227" w:type="dxa"/>
          </w:tcPr>
          <w:p w14:paraId="6418B92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382EB8D" w14:textId="46E56BE3" w:rsidR="002E0D61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DB13ADA" w14:textId="77777777" w:rsidTr="00812887">
        <w:trPr>
          <w:cantSplit/>
        </w:trPr>
        <w:tc>
          <w:tcPr>
            <w:tcW w:w="3227" w:type="dxa"/>
          </w:tcPr>
          <w:p w14:paraId="5B5B3E6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674E63B" w14:textId="5C928DCA" w:rsidR="00386093" w:rsidRPr="00DD2F9B" w:rsidRDefault="00103DE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02DAC27" w14:textId="77777777" w:rsidTr="00812887">
        <w:trPr>
          <w:cantSplit/>
        </w:trPr>
        <w:tc>
          <w:tcPr>
            <w:tcW w:w="3227" w:type="dxa"/>
          </w:tcPr>
          <w:p w14:paraId="732B99B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AB58149" w14:textId="07060691" w:rsidR="00386093" w:rsidRPr="00DD2F9B" w:rsidRDefault="00103DE9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2"/>
    <w:p w14:paraId="03323DD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97A591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5A5E36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5B96D6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E4EE5A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025"/>
              <w:gridCol w:w="496"/>
              <w:gridCol w:w="303"/>
              <w:gridCol w:w="303"/>
              <w:gridCol w:w="303"/>
              <w:gridCol w:w="3380"/>
            </w:tblGrid>
            <w:tr w:rsidR="00450051" w:rsidRPr="00450051" w14:paraId="6032CB58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2A77C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B0268C" w14:textId="77777777" w:rsidR="00450051" w:rsidRPr="00464DFB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18"/>
                      <w:szCs w:val="18"/>
                      <w:lang w:eastAsia="en-AU"/>
                    </w:rPr>
                  </w:pPr>
                  <w:r w:rsidRPr="00464DFB">
                    <w:rPr>
                      <w:rFonts w:ascii="Segoe UI" w:eastAsia="Times New Roman" w:hAnsi="Segoe UI" w:cs="Segoe UI"/>
                      <w:b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C3B548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0E5EA0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51074D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91F362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4DC436E7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AFD985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388208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E14805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94BCDC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1E23FA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5728C6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30A49F17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7B293C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E9E386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CA67EB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16CD9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B9AFCD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9A25B0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308D90E5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77FA24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C4072D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5429DC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68E99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296DD5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6764AA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023983B9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FC7171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98C423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A91C26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A9C8CE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8948FF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C24763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0BA5A203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7F131D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D479B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80F0D5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A3E808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094DC7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9A116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50051" w:rsidRPr="00450051" w14:paraId="46DB8476" w14:textId="77777777" w:rsidTr="008453C6">
              <w:trPr>
                <w:trHeight w:val="342"/>
              </w:trPr>
              <w:tc>
                <w:tcPr>
                  <w:tcW w:w="2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44F879" w14:textId="77777777" w:rsidR="00450051" w:rsidRPr="00450051" w:rsidRDefault="00450051" w:rsidP="0045005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FD1A51" w14:textId="77777777" w:rsidR="00450051" w:rsidRPr="00450051" w:rsidRDefault="00450051" w:rsidP="0045005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75FAF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4E7046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361402" w14:textId="77777777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AA5DC0" w14:textId="1639C24A" w:rsidR="00450051" w:rsidRPr="00450051" w:rsidRDefault="00450051" w:rsidP="0045005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5005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A7608B" w:rsidRPr="0010129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 xml:space="preserve">a skin notation is </w:t>
                  </w:r>
                  <w:r w:rsidR="00A7608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 xml:space="preserve">not </w:t>
                  </w:r>
                  <w:r w:rsidR="00A7608B" w:rsidRPr="0010129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warranted</w:t>
                  </w:r>
                </w:p>
              </w:tc>
            </w:tr>
          </w:tbl>
          <w:p w14:paraId="6E758A7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3CC340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FD40BD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BF4782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CB39125" w14:textId="77777777" w:rsidR="00EB3D1B" w:rsidRDefault="00CE01F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74D6F0F2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2CCB9B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E67CC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94EE5A5" w14:textId="2698F5B6" w:rsidR="001B79E5" w:rsidRDefault="00772632" w:rsidP="001B79E5">
                <w:pPr>
                  <w:pStyle w:val="Tablefont"/>
                </w:pPr>
                <w:r>
                  <w:t>28.01</w:t>
                </w:r>
              </w:p>
            </w:tc>
          </w:sdtContent>
        </w:sdt>
      </w:tr>
      <w:tr w:rsidR="00A31D99" w:rsidRPr="004C23F4" w14:paraId="36A8B53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FC917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E657E3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2DF57A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3DBF2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DAF46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6AB9717" w14:textId="77777777" w:rsidTr="00EA6243">
        <w:trPr>
          <w:cantSplit/>
        </w:trPr>
        <w:tc>
          <w:tcPr>
            <w:tcW w:w="4077" w:type="dxa"/>
            <w:vAlign w:val="center"/>
          </w:tcPr>
          <w:p w14:paraId="0D32A27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A8FB8A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BDFABB5" w14:textId="77777777" w:rsidTr="00EA6243">
        <w:trPr>
          <w:cantSplit/>
        </w:trPr>
        <w:tc>
          <w:tcPr>
            <w:tcW w:w="4077" w:type="dxa"/>
            <w:vAlign w:val="center"/>
          </w:tcPr>
          <w:p w14:paraId="1FD01E9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31E9B6" w14:textId="77777777" w:rsidR="00687890" w:rsidRPr="004C23F4" w:rsidRDefault="0045005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7DE4E80D" w14:textId="77777777" w:rsidTr="00EA6243">
        <w:trPr>
          <w:cantSplit/>
        </w:trPr>
        <w:tc>
          <w:tcPr>
            <w:tcW w:w="4077" w:type="dxa"/>
            <w:vAlign w:val="center"/>
          </w:tcPr>
          <w:p w14:paraId="3ECB084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08AD16" w14:textId="5EDBAC86" w:rsidR="00E06F40" w:rsidRPr="00A006A0" w:rsidRDefault="006D600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0051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2632">
                  <w:rPr>
                    <w:rFonts w:ascii="MS Gothic" w:eastAsia="MS Gothic" w:hAnsi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1A72A5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57D213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511248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DB21FD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E0BFD2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C6F790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B837AD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CFB3E0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D872DE5" w14:textId="77777777" w:rsidR="007F1005" w:rsidRDefault="006650FE" w:rsidP="00084859">
      <w:r>
        <w:t xml:space="preserve">American Conference of Industrial Hygienists </w:t>
      </w:r>
      <w:r w:rsidRPr="004C6DCC">
        <w:t>(ACGIH</w:t>
      </w:r>
      <w:r w:rsidRPr="004C6DCC">
        <w:rPr>
          <w:vertAlign w:val="superscript"/>
        </w:rPr>
        <w:t>®</w:t>
      </w:r>
      <w:r w:rsidRPr="004C6DCC">
        <w:t>) (201</w:t>
      </w:r>
      <w:r w:rsidR="00F67BBB" w:rsidRPr="004C6DCC">
        <w:t>8</w:t>
      </w:r>
      <w:r w:rsidRPr="004C6DCC">
        <w:t xml:space="preserve">) </w:t>
      </w:r>
      <w:r>
        <w:t>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5F86922" w14:textId="52CAD909" w:rsidR="007972A1" w:rsidRDefault="007972A1" w:rsidP="00084859">
      <w:r w:rsidRPr="007972A1">
        <w:t>Deutsche Fo</w:t>
      </w:r>
      <w:r>
        <w:t xml:space="preserve">rschungsgemeinschaft </w:t>
      </w:r>
      <w:r w:rsidRPr="004C6DCC">
        <w:t xml:space="preserve">(DFG) (1992) </w:t>
      </w:r>
      <w:r>
        <w:t xml:space="preserve">Carbon </w:t>
      </w:r>
      <w:r w:rsidR="00715324">
        <w:t>Monoxide</w:t>
      </w:r>
      <w:r w:rsidR="00715324" w:rsidRPr="007972A1">
        <w:t xml:space="preserve"> </w:t>
      </w:r>
      <w:r w:rsidRPr="007972A1">
        <w:t>– MAK value documentation.</w:t>
      </w:r>
    </w:p>
    <w:p w14:paraId="75E60701" w14:textId="77777777" w:rsidR="00450051" w:rsidRDefault="00450051" w:rsidP="00084859">
      <w:r w:rsidRPr="00450051">
        <w:t>EU Scientific Committee on Occupation</w:t>
      </w:r>
      <w:r>
        <w:t xml:space="preserve">al Exposure Limits </w:t>
      </w:r>
      <w:r w:rsidRPr="004C6DCC">
        <w:t xml:space="preserve">(SCOEL) (1995) </w:t>
      </w:r>
      <w:r w:rsidRPr="00450051">
        <w:t>Recommendation from the Scientific Committee on Occupational Exposure Limi</w:t>
      </w:r>
      <w:r>
        <w:t>ts for carbon monoxide. SCOEL/SUM/57</w:t>
      </w:r>
      <w:r w:rsidRPr="00450051">
        <w:t>.</w:t>
      </w:r>
    </w:p>
    <w:p w14:paraId="14A7A069" w14:textId="70ECEBC8" w:rsidR="00450051" w:rsidRDefault="00450051" w:rsidP="00084859">
      <w:r w:rsidRPr="00450051">
        <w:t xml:space="preserve">National Industrial Chemicals Notification and </w:t>
      </w:r>
      <w:r>
        <w:t>Assessment Scheme (</w:t>
      </w:r>
      <w:r w:rsidRPr="004C6DCC">
        <w:t xml:space="preserve">NICNAS) (2014) </w:t>
      </w:r>
      <w:r>
        <w:t xml:space="preserve">Carbon </w:t>
      </w:r>
      <w:r w:rsidR="00715324">
        <w:t>monoxide</w:t>
      </w:r>
      <w:r w:rsidR="007325B6">
        <w:rPr>
          <w:rStyle w:val="CommentReference"/>
        </w:rPr>
        <w:t xml:space="preserve">: </w:t>
      </w:r>
      <w:r w:rsidRPr="00450051">
        <w:t>Human health tier II assessment – IMAP report.</w:t>
      </w:r>
    </w:p>
    <w:p w14:paraId="4B4D5546" w14:textId="159C54B9" w:rsidR="00772632" w:rsidRPr="00351FE0" w:rsidRDefault="00772632" w:rsidP="00772632">
      <w:r w:rsidRPr="00181257">
        <w:t xml:space="preserve">US </w:t>
      </w:r>
      <w:r>
        <w:t xml:space="preserve">National Institute for Occupational Safety and Health </w:t>
      </w:r>
      <w:r w:rsidRPr="004C6DCC">
        <w:t xml:space="preserve">(NIOSH) (1994) </w:t>
      </w:r>
      <w:r>
        <w:t xml:space="preserve">Immediately dangerous to life and health concentrations – </w:t>
      </w:r>
      <w:r w:rsidR="001732F9">
        <w:t>carbon monoxide</w:t>
      </w:r>
      <w:r>
        <w:t xml:space="preserve">. </w:t>
      </w:r>
    </w:p>
    <w:p w14:paraId="71070401" w14:textId="0FFB09F9" w:rsidR="00772632" w:rsidRPr="00351FE0" w:rsidRDefault="00772632" w:rsidP="00084859"/>
    <w:sectPr w:rsidR="0077263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4EA3" w14:textId="77777777" w:rsidR="0064123A" w:rsidRDefault="0064123A" w:rsidP="00F43AD5">
      <w:pPr>
        <w:spacing w:after="0" w:line="240" w:lineRule="auto"/>
      </w:pPr>
      <w:r>
        <w:separator/>
      </w:r>
    </w:p>
  </w:endnote>
  <w:endnote w:type="continuationSeparator" w:id="0">
    <w:p w14:paraId="42485417" w14:textId="77777777" w:rsidR="0064123A" w:rsidRDefault="0064123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8174" w14:textId="77777777" w:rsidR="006D6005" w:rsidRDefault="006D6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A3C623B" w14:textId="77777777" w:rsidR="008A36CF" w:rsidRDefault="009C108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Carbon Monoxide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630-08-0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9913E03" w14:textId="13ABE3D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D6005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9BEB" w14:textId="77777777" w:rsidR="006D6005" w:rsidRDefault="006D6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7F78" w14:textId="77777777" w:rsidR="0064123A" w:rsidRDefault="0064123A" w:rsidP="00F43AD5">
      <w:pPr>
        <w:spacing w:after="0" w:line="240" w:lineRule="auto"/>
      </w:pPr>
      <w:r>
        <w:separator/>
      </w:r>
    </w:p>
  </w:footnote>
  <w:footnote w:type="continuationSeparator" w:id="0">
    <w:p w14:paraId="11E74CD5" w14:textId="77777777" w:rsidR="0064123A" w:rsidRDefault="0064123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6C09" w14:textId="77777777" w:rsidR="006D6005" w:rsidRDefault="006D6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C149" w14:textId="77777777" w:rsidR="006D6005" w:rsidRDefault="006D6005" w:rsidP="006D6005">
    <w:pPr>
      <w:pStyle w:val="Header"/>
      <w:jc w:val="right"/>
    </w:pPr>
    <w:sdt>
      <w:sdtPr>
        <w:id w:val="61325870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51109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37FD108" wp14:editId="2982ECA2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393D9" w14:textId="3E2EE48A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B2B2" w14:textId="77777777" w:rsidR="006D6005" w:rsidRDefault="006D60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38D6" w14:textId="77777777" w:rsidR="006D6005" w:rsidRDefault="006D6005" w:rsidP="006D6005">
    <w:pPr>
      <w:pStyle w:val="Header"/>
      <w:jc w:val="right"/>
    </w:pPr>
    <w:sdt>
      <w:sdtPr>
        <w:id w:val="-385106587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9ABF2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48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7CA2888" wp14:editId="6181CB7C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61E31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FAF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447"/>
    <w:rsid w:val="00014C3F"/>
    <w:rsid w:val="00017C82"/>
    <w:rsid w:val="00032B88"/>
    <w:rsid w:val="00046DF5"/>
    <w:rsid w:val="00047E10"/>
    <w:rsid w:val="00052060"/>
    <w:rsid w:val="0005574A"/>
    <w:rsid w:val="00055FE1"/>
    <w:rsid w:val="00056EC2"/>
    <w:rsid w:val="00060B48"/>
    <w:rsid w:val="00067F32"/>
    <w:rsid w:val="00071807"/>
    <w:rsid w:val="00071D7B"/>
    <w:rsid w:val="000803E1"/>
    <w:rsid w:val="00084513"/>
    <w:rsid w:val="00084859"/>
    <w:rsid w:val="00091A72"/>
    <w:rsid w:val="00092D94"/>
    <w:rsid w:val="000A0568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3AD5"/>
    <w:rsid w:val="000E5A54"/>
    <w:rsid w:val="000E63D3"/>
    <w:rsid w:val="000E67CF"/>
    <w:rsid w:val="00103DE9"/>
    <w:rsid w:val="0010461E"/>
    <w:rsid w:val="00106FAA"/>
    <w:rsid w:val="00113443"/>
    <w:rsid w:val="00115885"/>
    <w:rsid w:val="001269A7"/>
    <w:rsid w:val="00131092"/>
    <w:rsid w:val="0013680C"/>
    <w:rsid w:val="00140E6A"/>
    <w:rsid w:val="00146545"/>
    <w:rsid w:val="00146B75"/>
    <w:rsid w:val="0015266D"/>
    <w:rsid w:val="0015288A"/>
    <w:rsid w:val="00155031"/>
    <w:rsid w:val="00160F47"/>
    <w:rsid w:val="00164E2B"/>
    <w:rsid w:val="00172D51"/>
    <w:rsid w:val="001732F9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2806"/>
    <w:rsid w:val="001C3D3E"/>
    <w:rsid w:val="001D20D8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9DA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4ADE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36EF2"/>
    <w:rsid w:val="00347192"/>
    <w:rsid w:val="0034744C"/>
    <w:rsid w:val="00351FE0"/>
    <w:rsid w:val="00352615"/>
    <w:rsid w:val="0035412B"/>
    <w:rsid w:val="003567A8"/>
    <w:rsid w:val="00362895"/>
    <w:rsid w:val="00370DBF"/>
    <w:rsid w:val="003775A4"/>
    <w:rsid w:val="00386093"/>
    <w:rsid w:val="003904A4"/>
    <w:rsid w:val="00391841"/>
    <w:rsid w:val="00391B6D"/>
    <w:rsid w:val="0039433D"/>
    <w:rsid w:val="00394922"/>
    <w:rsid w:val="00397B15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34D2"/>
    <w:rsid w:val="00444482"/>
    <w:rsid w:val="00444B42"/>
    <w:rsid w:val="00445E44"/>
    <w:rsid w:val="00450051"/>
    <w:rsid w:val="004509E2"/>
    <w:rsid w:val="004515EE"/>
    <w:rsid w:val="004529F0"/>
    <w:rsid w:val="00460A03"/>
    <w:rsid w:val="00464DFB"/>
    <w:rsid w:val="00467A20"/>
    <w:rsid w:val="0047158F"/>
    <w:rsid w:val="00472A11"/>
    <w:rsid w:val="00472AAD"/>
    <w:rsid w:val="00474E33"/>
    <w:rsid w:val="00476803"/>
    <w:rsid w:val="0048525F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4362"/>
    <w:rsid w:val="004C58B6"/>
    <w:rsid w:val="004C6DCC"/>
    <w:rsid w:val="004D16A3"/>
    <w:rsid w:val="004D4AA1"/>
    <w:rsid w:val="004D6D68"/>
    <w:rsid w:val="004E2282"/>
    <w:rsid w:val="004E5EDD"/>
    <w:rsid w:val="004F448A"/>
    <w:rsid w:val="004F493D"/>
    <w:rsid w:val="004F65E8"/>
    <w:rsid w:val="0050005E"/>
    <w:rsid w:val="00502B88"/>
    <w:rsid w:val="00506C7B"/>
    <w:rsid w:val="005142C4"/>
    <w:rsid w:val="0051509C"/>
    <w:rsid w:val="005174E4"/>
    <w:rsid w:val="005272E2"/>
    <w:rsid w:val="0053108F"/>
    <w:rsid w:val="00532B56"/>
    <w:rsid w:val="00534B10"/>
    <w:rsid w:val="005446A2"/>
    <w:rsid w:val="00544D2F"/>
    <w:rsid w:val="00551BD8"/>
    <w:rsid w:val="00564A47"/>
    <w:rsid w:val="00580A3D"/>
    <w:rsid w:val="00581055"/>
    <w:rsid w:val="00584A53"/>
    <w:rsid w:val="00591E38"/>
    <w:rsid w:val="005A19C5"/>
    <w:rsid w:val="005A3034"/>
    <w:rsid w:val="005A462D"/>
    <w:rsid w:val="005B253B"/>
    <w:rsid w:val="005B771D"/>
    <w:rsid w:val="005C1AA7"/>
    <w:rsid w:val="005C4DE0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771"/>
    <w:rsid w:val="00636881"/>
    <w:rsid w:val="00636DB7"/>
    <w:rsid w:val="00636EB2"/>
    <w:rsid w:val="0064123A"/>
    <w:rsid w:val="00650905"/>
    <w:rsid w:val="006532ED"/>
    <w:rsid w:val="006549F2"/>
    <w:rsid w:val="00655BC5"/>
    <w:rsid w:val="006567B7"/>
    <w:rsid w:val="00657BFB"/>
    <w:rsid w:val="00661F5E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0E2B"/>
    <w:rsid w:val="006B160A"/>
    <w:rsid w:val="006B4E6C"/>
    <w:rsid w:val="006B50B6"/>
    <w:rsid w:val="006C7CCC"/>
    <w:rsid w:val="006D6005"/>
    <w:rsid w:val="006D79EA"/>
    <w:rsid w:val="006E5D05"/>
    <w:rsid w:val="00701053"/>
    <w:rsid w:val="00701507"/>
    <w:rsid w:val="00707ACD"/>
    <w:rsid w:val="00714021"/>
    <w:rsid w:val="007147FC"/>
    <w:rsid w:val="00715324"/>
    <w:rsid w:val="00716A0F"/>
    <w:rsid w:val="00717D45"/>
    <w:rsid w:val="007208F7"/>
    <w:rsid w:val="007218AF"/>
    <w:rsid w:val="007325B6"/>
    <w:rsid w:val="007365D1"/>
    <w:rsid w:val="00740E0E"/>
    <w:rsid w:val="00747F71"/>
    <w:rsid w:val="00750212"/>
    <w:rsid w:val="00750F3D"/>
    <w:rsid w:val="00754779"/>
    <w:rsid w:val="0075716D"/>
    <w:rsid w:val="00765F14"/>
    <w:rsid w:val="00770E31"/>
    <w:rsid w:val="00772632"/>
    <w:rsid w:val="007770F1"/>
    <w:rsid w:val="00783FB1"/>
    <w:rsid w:val="00785CDD"/>
    <w:rsid w:val="007902CA"/>
    <w:rsid w:val="00791847"/>
    <w:rsid w:val="007925F0"/>
    <w:rsid w:val="007939B3"/>
    <w:rsid w:val="0079509C"/>
    <w:rsid w:val="00796708"/>
    <w:rsid w:val="007972A1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775D"/>
    <w:rsid w:val="00810C6D"/>
    <w:rsid w:val="00812887"/>
    <w:rsid w:val="00826F21"/>
    <w:rsid w:val="00830A6E"/>
    <w:rsid w:val="00834CC8"/>
    <w:rsid w:val="00835E00"/>
    <w:rsid w:val="00837113"/>
    <w:rsid w:val="008414E4"/>
    <w:rsid w:val="00843E21"/>
    <w:rsid w:val="0084508E"/>
    <w:rsid w:val="008453C6"/>
    <w:rsid w:val="00857A8A"/>
    <w:rsid w:val="008630EE"/>
    <w:rsid w:val="00864D13"/>
    <w:rsid w:val="008660AC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38D4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013"/>
    <w:rsid w:val="0095260E"/>
    <w:rsid w:val="009578DD"/>
    <w:rsid w:val="00961124"/>
    <w:rsid w:val="00961832"/>
    <w:rsid w:val="009621B6"/>
    <w:rsid w:val="00974F2D"/>
    <w:rsid w:val="00977524"/>
    <w:rsid w:val="00977E88"/>
    <w:rsid w:val="00984920"/>
    <w:rsid w:val="0099303A"/>
    <w:rsid w:val="009971C2"/>
    <w:rsid w:val="009A1254"/>
    <w:rsid w:val="009A4149"/>
    <w:rsid w:val="009B1C87"/>
    <w:rsid w:val="009B2FF2"/>
    <w:rsid w:val="009B380C"/>
    <w:rsid w:val="009B4843"/>
    <w:rsid w:val="009B6543"/>
    <w:rsid w:val="009C108C"/>
    <w:rsid w:val="009C199D"/>
    <w:rsid w:val="009C278F"/>
    <w:rsid w:val="009C2B94"/>
    <w:rsid w:val="009C5874"/>
    <w:rsid w:val="009D3B5A"/>
    <w:rsid w:val="009E0B71"/>
    <w:rsid w:val="009E0C05"/>
    <w:rsid w:val="009E0D1C"/>
    <w:rsid w:val="009E2214"/>
    <w:rsid w:val="009E355A"/>
    <w:rsid w:val="009E63E2"/>
    <w:rsid w:val="009F05CF"/>
    <w:rsid w:val="009F0F3A"/>
    <w:rsid w:val="009F4384"/>
    <w:rsid w:val="00A01D0C"/>
    <w:rsid w:val="00A0643F"/>
    <w:rsid w:val="00A067EE"/>
    <w:rsid w:val="00A10FCE"/>
    <w:rsid w:val="00A15F89"/>
    <w:rsid w:val="00A16D91"/>
    <w:rsid w:val="00A174CC"/>
    <w:rsid w:val="00A2073D"/>
    <w:rsid w:val="00A20751"/>
    <w:rsid w:val="00A27E2D"/>
    <w:rsid w:val="00A31D99"/>
    <w:rsid w:val="00A32AAD"/>
    <w:rsid w:val="00A33FC2"/>
    <w:rsid w:val="00A357BA"/>
    <w:rsid w:val="00A35ADC"/>
    <w:rsid w:val="00A402A3"/>
    <w:rsid w:val="00A53681"/>
    <w:rsid w:val="00A633D4"/>
    <w:rsid w:val="00A6461A"/>
    <w:rsid w:val="00A7608B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11A3"/>
    <w:rsid w:val="00AE2745"/>
    <w:rsid w:val="00AE28E5"/>
    <w:rsid w:val="00AE2F64"/>
    <w:rsid w:val="00AF0B24"/>
    <w:rsid w:val="00AF42CB"/>
    <w:rsid w:val="00AF483F"/>
    <w:rsid w:val="00AF5E07"/>
    <w:rsid w:val="00AF5F06"/>
    <w:rsid w:val="00B00A25"/>
    <w:rsid w:val="00B1422A"/>
    <w:rsid w:val="00B1765C"/>
    <w:rsid w:val="00B213C4"/>
    <w:rsid w:val="00B30EBF"/>
    <w:rsid w:val="00B402AE"/>
    <w:rsid w:val="00B40C60"/>
    <w:rsid w:val="00B41315"/>
    <w:rsid w:val="00B479A9"/>
    <w:rsid w:val="00B47A47"/>
    <w:rsid w:val="00B52EDF"/>
    <w:rsid w:val="00B541C0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4C7E"/>
    <w:rsid w:val="00BF03BD"/>
    <w:rsid w:val="00BF2406"/>
    <w:rsid w:val="00C14296"/>
    <w:rsid w:val="00C16315"/>
    <w:rsid w:val="00C27EF9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4BE9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3141"/>
    <w:rsid w:val="00CD2BFD"/>
    <w:rsid w:val="00CE01FE"/>
    <w:rsid w:val="00CE5AD6"/>
    <w:rsid w:val="00CE617F"/>
    <w:rsid w:val="00CE78EF"/>
    <w:rsid w:val="00D01DF2"/>
    <w:rsid w:val="00D03CBE"/>
    <w:rsid w:val="00D048F7"/>
    <w:rsid w:val="00D0517E"/>
    <w:rsid w:val="00D140FC"/>
    <w:rsid w:val="00D21D8C"/>
    <w:rsid w:val="00D230CE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5D32"/>
    <w:rsid w:val="00D87570"/>
    <w:rsid w:val="00D90249"/>
    <w:rsid w:val="00D91CB9"/>
    <w:rsid w:val="00D97989"/>
    <w:rsid w:val="00D97D8D"/>
    <w:rsid w:val="00DA1798"/>
    <w:rsid w:val="00DA352E"/>
    <w:rsid w:val="00DA460A"/>
    <w:rsid w:val="00DB5E61"/>
    <w:rsid w:val="00DC0D72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713"/>
    <w:rsid w:val="00E26A07"/>
    <w:rsid w:val="00E2743E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BDA"/>
    <w:rsid w:val="00E804EA"/>
    <w:rsid w:val="00E80A71"/>
    <w:rsid w:val="00E82337"/>
    <w:rsid w:val="00E92499"/>
    <w:rsid w:val="00E949AF"/>
    <w:rsid w:val="00E96077"/>
    <w:rsid w:val="00EA0A06"/>
    <w:rsid w:val="00EA3A2D"/>
    <w:rsid w:val="00EA6243"/>
    <w:rsid w:val="00EA74AB"/>
    <w:rsid w:val="00EB3D1B"/>
    <w:rsid w:val="00EB4997"/>
    <w:rsid w:val="00EC30DC"/>
    <w:rsid w:val="00EC53BF"/>
    <w:rsid w:val="00ED1D89"/>
    <w:rsid w:val="00ED59A2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143"/>
    <w:rsid w:val="00F43AD5"/>
    <w:rsid w:val="00F4402E"/>
    <w:rsid w:val="00F53D20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1BBF1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4131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4D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4D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A49EC"/>
    <w:rsid w:val="001D46FA"/>
    <w:rsid w:val="001E3E2F"/>
    <w:rsid w:val="001F2908"/>
    <w:rsid w:val="006B03CA"/>
    <w:rsid w:val="00700939"/>
    <w:rsid w:val="007878E5"/>
    <w:rsid w:val="00A16D3B"/>
    <w:rsid w:val="00CD772E"/>
    <w:rsid w:val="00D21A9F"/>
    <w:rsid w:val="00D94699"/>
    <w:rsid w:val="00F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C02E-9A4F-4092-B8D2-C252647F998D}">
  <ds:schemaRefs>
    <ds:schemaRef ds:uri="http://purl.org/dc/dcmitype/"/>
    <ds:schemaRef ds:uri="bf54d604-3e62-4e70-ba33-9e9084b96a6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11A11A-C5B3-4861-9B17-923D81DA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A71C5-37E4-40C4-93A3-88AA75FA0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9F812-F555-47F0-BFE1-4468476F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0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2019-06-04T00:56:00Z</dcterms:created>
  <dcterms:modified xsi:type="dcterms:W3CDTF">2019-09-27T02:51:00Z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