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50FE469" w14:textId="77777777" w:rsidR="00BD499F" w:rsidRPr="004C23F4" w:rsidRDefault="00E848A9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="00933CCE">
            <w:rPr>
              <w:rFonts w:ascii="Arial" w:hAnsi="Arial" w:cs="Arial"/>
            </w:rPr>
            <w:t>arbon tetrabromide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5C008D8A" w14:textId="77777777" w:rsidTr="00B76A41">
        <w:trPr>
          <w:cantSplit/>
          <w:tblHeader/>
        </w:trPr>
        <w:tc>
          <w:tcPr>
            <w:tcW w:w="4077" w:type="dxa"/>
          </w:tcPr>
          <w:p w14:paraId="4DBA40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7D5C60F5" w14:textId="77777777" w:rsidR="00F43AD5" w:rsidRPr="00717D45" w:rsidRDefault="00933CCE" w:rsidP="00B76A41">
            <w:pPr>
              <w:pStyle w:val="Tablefont"/>
            </w:pPr>
            <w:r>
              <w:t>558-13-4</w:t>
            </w:r>
          </w:p>
        </w:tc>
      </w:tr>
      <w:tr w:rsidR="00F43AD5" w:rsidRPr="004C23F4" w14:paraId="68190142" w14:textId="77777777" w:rsidTr="00B76A41">
        <w:trPr>
          <w:cantSplit/>
        </w:trPr>
        <w:tc>
          <w:tcPr>
            <w:tcW w:w="4077" w:type="dxa"/>
          </w:tcPr>
          <w:p w14:paraId="1C42CEC3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A02CA55" w14:textId="3F09EC14" w:rsidR="00F43AD5" w:rsidRPr="00717D45" w:rsidRDefault="00A01855" w:rsidP="00B76A41">
            <w:pPr>
              <w:pStyle w:val="Tablefont"/>
            </w:pPr>
            <w:proofErr w:type="spellStart"/>
            <w:r w:rsidRPr="00A01855">
              <w:t>Tetrabromomethane</w:t>
            </w:r>
            <w:proofErr w:type="spellEnd"/>
            <w:r w:rsidR="007F2B28">
              <w:t xml:space="preserve">, </w:t>
            </w:r>
            <w:r w:rsidR="007F2B28" w:rsidRPr="007F2B28">
              <w:t xml:space="preserve">methane </w:t>
            </w:r>
            <w:proofErr w:type="spellStart"/>
            <w:r w:rsidR="007F2B28" w:rsidRPr="007F2B28">
              <w:t>tetrabromide</w:t>
            </w:r>
            <w:proofErr w:type="spellEnd"/>
            <w:r w:rsidR="007F2B28">
              <w:t>,</w:t>
            </w:r>
            <w:r w:rsidR="007F2B28" w:rsidRPr="007F2B28">
              <w:t xml:space="preserve"> </w:t>
            </w:r>
            <w:r w:rsidR="006C539F">
              <w:br/>
            </w:r>
            <w:r w:rsidR="007F2B28" w:rsidRPr="007F2B28">
              <w:t>carbon bromide</w:t>
            </w:r>
          </w:p>
        </w:tc>
      </w:tr>
      <w:tr w:rsidR="00F43AD5" w:rsidRPr="004C23F4" w14:paraId="789D8E4E" w14:textId="77777777" w:rsidTr="00B76A41">
        <w:trPr>
          <w:cantSplit/>
        </w:trPr>
        <w:tc>
          <w:tcPr>
            <w:tcW w:w="4077" w:type="dxa"/>
          </w:tcPr>
          <w:p w14:paraId="22522DC6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45B2D4E1" w14:textId="77777777" w:rsidR="00F43AD5" w:rsidRPr="00717D45" w:rsidRDefault="005228D3" w:rsidP="00B76A41">
            <w:pPr>
              <w:pStyle w:val="Tablefont"/>
            </w:pPr>
            <w:r>
              <w:t>CBr</w:t>
            </w:r>
            <w:r w:rsidRPr="005228D3">
              <w:rPr>
                <w:vertAlign w:val="subscript"/>
              </w:rPr>
              <w:t>4</w:t>
            </w:r>
          </w:p>
        </w:tc>
      </w:tr>
      <w:tr w:rsidR="00F43AD5" w:rsidRPr="004C23F4" w14:paraId="473143B1" w14:textId="77777777" w:rsidTr="00B76A41">
        <w:trPr>
          <w:cantSplit/>
        </w:trPr>
        <w:tc>
          <w:tcPr>
            <w:tcW w:w="4077" w:type="dxa"/>
          </w:tcPr>
          <w:p w14:paraId="4F694CFB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5BB22C3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47FEC7A0" w14:textId="3F0C9E18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C44A4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357BDBEA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143D154D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0666EC17" w14:textId="58BF987A" w:rsidR="002C7AFE" w:rsidRPr="00EB3D1B" w:rsidRDefault="00A0687A" w:rsidP="00017C82">
            <w:pPr>
              <w:pStyle w:val="Tablefont"/>
              <w:rPr>
                <w:b/>
              </w:rPr>
            </w:pPr>
            <w:r w:rsidRPr="00A0687A">
              <w:rPr>
                <w:b/>
              </w:rPr>
              <w:t>0.1 ppm (1.4 mg/m</w:t>
            </w:r>
            <w:r w:rsidRPr="00A0687A">
              <w:rPr>
                <w:b/>
                <w:vertAlign w:val="superscript"/>
              </w:rPr>
              <w:t>3</w:t>
            </w:r>
            <w:r w:rsidRPr="00A0687A">
              <w:rPr>
                <w:b/>
              </w:rPr>
              <w:t xml:space="preserve">) </w:t>
            </w:r>
          </w:p>
        </w:tc>
      </w:tr>
      <w:tr w:rsidR="002C7AFE" w:rsidRPr="004C23F4" w14:paraId="44094CE4" w14:textId="77777777" w:rsidTr="00921DE7">
        <w:trPr>
          <w:cantSplit/>
        </w:trPr>
        <w:tc>
          <w:tcPr>
            <w:tcW w:w="4077" w:type="dxa"/>
            <w:vAlign w:val="center"/>
          </w:tcPr>
          <w:p w14:paraId="6BB06444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690370BF" w14:textId="03460540" w:rsidR="002C7AFE" w:rsidRPr="00EB3D1B" w:rsidRDefault="00771DBD" w:rsidP="00017C82">
            <w:pPr>
              <w:pStyle w:val="Tablefont"/>
              <w:rPr>
                <w:b/>
              </w:rPr>
            </w:pPr>
            <w:r w:rsidRPr="00A0687A">
              <w:rPr>
                <w:b/>
              </w:rPr>
              <w:t>0.3 ppm (4.1 mg/m</w:t>
            </w:r>
            <w:r w:rsidRPr="00A0687A">
              <w:rPr>
                <w:b/>
                <w:vertAlign w:val="superscript"/>
              </w:rPr>
              <w:t>3</w:t>
            </w:r>
            <w:r w:rsidRPr="00A0687A">
              <w:rPr>
                <w:b/>
              </w:rPr>
              <w:t>)</w:t>
            </w:r>
          </w:p>
        </w:tc>
      </w:tr>
      <w:tr w:rsidR="002C7AFE" w:rsidRPr="004C23F4" w14:paraId="27437A40" w14:textId="77777777" w:rsidTr="00921DE7">
        <w:trPr>
          <w:cantSplit/>
        </w:trPr>
        <w:tc>
          <w:tcPr>
            <w:tcW w:w="4077" w:type="dxa"/>
            <w:vAlign w:val="center"/>
          </w:tcPr>
          <w:p w14:paraId="33D7AA2F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73A8A15E" w14:textId="77777777" w:rsidR="002C7AFE" w:rsidRPr="00EB3D1B" w:rsidRDefault="005B170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3FEE786E" w14:textId="77777777" w:rsidTr="00A2073D">
        <w:trPr>
          <w:cantSplit/>
        </w:trPr>
        <w:tc>
          <w:tcPr>
            <w:tcW w:w="4077" w:type="dxa"/>
          </w:tcPr>
          <w:p w14:paraId="62B5C0B1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71AE1F2A" w14:textId="77777777" w:rsidR="002C7AFE" w:rsidRPr="00EB3D1B" w:rsidRDefault="005B1703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0D068230" w14:textId="77777777" w:rsidTr="00921DE7">
        <w:trPr>
          <w:cantSplit/>
        </w:trPr>
        <w:tc>
          <w:tcPr>
            <w:tcW w:w="4077" w:type="dxa"/>
            <w:vAlign w:val="center"/>
          </w:tcPr>
          <w:p w14:paraId="3A8EFCA3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1A7EC98A" w14:textId="77777777" w:rsidR="002C7AFE" w:rsidRPr="00EB3D1B" w:rsidRDefault="005B1703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9F04D2" w:rsidRPr="004C23F4" w14:paraId="37BE6744" w14:textId="77777777" w:rsidTr="002C44A4">
        <w:trPr>
          <w:cantSplit/>
        </w:trPr>
        <w:tc>
          <w:tcPr>
            <w:tcW w:w="4077" w:type="dxa"/>
          </w:tcPr>
          <w:p w14:paraId="4DBD10C0" w14:textId="77777777" w:rsidR="009F04D2" w:rsidRDefault="009F04D2" w:rsidP="002C44A4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6938811F" w14:textId="766AC8D5" w:rsidR="009F04D2" w:rsidRPr="002C44A4" w:rsidRDefault="002C44A4" w:rsidP="00017C82">
            <w:pPr>
              <w:pStyle w:val="Tablefont"/>
            </w:pPr>
            <w:r w:rsidRPr="002C44A4">
              <w:t>The recommended value is quantifiable through available sampling and analysis techniques.</w:t>
            </w:r>
          </w:p>
        </w:tc>
      </w:tr>
    </w:tbl>
    <w:p w14:paraId="1E8C6FDA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0CABB100" w14:textId="139CF389" w:rsidR="006639B4" w:rsidRDefault="007C1723" w:rsidP="000C139A">
      <w:pPr>
        <w:rPr>
          <w:rFonts w:cs="Arial"/>
        </w:rPr>
      </w:pPr>
      <w:r>
        <w:rPr>
          <w:rFonts w:cs="Arial"/>
        </w:rPr>
        <w:t xml:space="preserve">The TWA </w:t>
      </w:r>
      <w:r w:rsidR="00B1424E">
        <w:rPr>
          <w:rFonts w:cs="Arial"/>
        </w:rPr>
        <w:t>of 0.1</w:t>
      </w:r>
      <w:r w:rsidR="004C11A8">
        <w:rPr>
          <w:rFonts w:cs="Arial"/>
        </w:rPr>
        <w:t xml:space="preserve"> </w:t>
      </w:r>
      <w:r w:rsidR="00B1424E">
        <w:rPr>
          <w:rFonts w:cs="Arial"/>
        </w:rPr>
        <w:t xml:space="preserve">ppm </w:t>
      </w:r>
      <w:r w:rsidR="00771DBD">
        <w:rPr>
          <w:rFonts w:cs="Arial"/>
        </w:rPr>
        <w:t xml:space="preserve">and </w:t>
      </w:r>
      <w:r w:rsidR="00771DBD" w:rsidRPr="005664DA">
        <w:rPr>
          <w:rFonts w:cs="Arial"/>
        </w:rPr>
        <w:t xml:space="preserve">STEL of 0.3 ppm </w:t>
      </w:r>
      <w:r w:rsidR="00771DBD">
        <w:rPr>
          <w:rFonts w:cs="Arial"/>
        </w:rPr>
        <w:t xml:space="preserve">are </w:t>
      </w:r>
      <w:r>
        <w:rPr>
          <w:rFonts w:cs="Arial"/>
        </w:rPr>
        <w:t>recommended to protect for irritation of the eyes, skin and upper respiratory tract in exposed workers.</w:t>
      </w:r>
    </w:p>
    <w:p w14:paraId="18897CE2" w14:textId="0AEC1160" w:rsidR="00501C1A" w:rsidRPr="004C23F4" w:rsidRDefault="00501C1A" w:rsidP="000C139A">
      <w:pPr>
        <w:rPr>
          <w:rFonts w:cs="Arial"/>
        </w:rPr>
      </w:pPr>
    </w:p>
    <w:p w14:paraId="31B20652" w14:textId="77777777" w:rsidR="00C7155E" w:rsidRPr="004C23F4" w:rsidRDefault="00F10C97" w:rsidP="003365A5">
      <w:pPr>
        <w:pStyle w:val="Heading2"/>
      </w:pPr>
      <w:r>
        <w:t>Discussion and conclusions</w:t>
      </w:r>
    </w:p>
    <w:p w14:paraId="4438F220" w14:textId="730282BF" w:rsidR="006C539F" w:rsidRDefault="00FC57D5" w:rsidP="006669E4">
      <w:r>
        <w:t>C</w:t>
      </w:r>
      <w:r w:rsidR="007C1723">
        <w:t xml:space="preserve">arbon </w:t>
      </w:r>
      <w:proofErr w:type="spellStart"/>
      <w:r w:rsidR="007C1723">
        <w:t>tetrabromide</w:t>
      </w:r>
      <w:proofErr w:type="spellEnd"/>
      <w:r w:rsidR="007C1723">
        <w:t xml:space="preserve"> is </w:t>
      </w:r>
      <w:r w:rsidR="004C11A8">
        <w:t xml:space="preserve">used </w:t>
      </w:r>
      <w:r w:rsidR="007C1723">
        <w:t>as a chemical intermediate in</w:t>
      </w:r>
      <w:r w:rsidR="007B49ED">
        <w:t xml:space="preserve"> </w:t>
      </w:r>
      <w:r w:rsidR="007C1723">
        <w:t xml:space="preserve">organic synthesis. </w:t>
      </w:r>
    </w:p>
    <w:p w14:paraId="15A94FE8" w14:textId="18D8DF89" w:rsidR="007C1723" w:rsidRDefault="001459EF" w:rsidP="006669E4">
      <w:r>
        <w:t>Toxicological data are limited and n</w:t>
      </w:r>
      <w:r w:rsidR="007C1723">
        <w:t xml:space="preserve">o quantitative data </w:t>
      </w:r>
      <w:r w:rsidR="00FC57D5">
        <w:t xml:space="preserve">for </w:t>
      </w:r>
      <w:r w:rsidR="006C539F">
        <w:t xml:space="preserve">human </w:t>
      </w:r>
      <w:r w:rsidR="007C1723">
        <w:t xml:space="preserve">exposures </w:t>
      </w:r>
      <w:r w:rsidR="004C11A8">
        <w:t>are available. E</w:t>
      </w:r>
      <w:r w:rsidR="007C1723">
        <w:t xml:space="preserve">ffects </w:t>
      </w:r>
      <w:r w:rsidR="006C539F">
        <w:t>reported</w:t>
      </w:r>
      <w:r w:rsidR="00501C1A">
        <w:t xml:space="preserve"> after acute exposures</w:t>
      </w:r>
      <w:r w:rsidR="006C539F">
        <w:t xml:space="preserve"> </w:t>
      </w:r>
      <w:r w:rsidR="007C1723">
        <w:t xml:space="preserve">include </w:t>
      </w:r>
      <w:r w:rsidR="007C1723" w:rsidRPr="007C1723">
        <w:t>upper respiratory irritation and injury to the lungs, liver and kidneys</w:t>
      </w:r>
      <w:r>
        <w:t xml:space="preserve"> in humans</w:t>
      </w:r>
      <w:r w:rsidR="007C1723">
        <w:t>.</w:t>
      </w:r>
      <w:r w:rsidR="00B1424E">
        <w:t xml:space="preserve"> </w:t>
      </w:r>
      <w:r w:rsidR="0021653D">
        <w:t xml:space="preserve">In a </w:t>
      </w:r>
      <w:r w:rsidR="00E94C9C">
        <w:t>six-month</w:t>
      </w:r>
      <w:r w:rsidR="0021653D">
        <w:t xml:space="preserve"> study with rats, guinea pigs and rabbits, </w:t>
      </w:r>
      <w:r w:rsidR="00A146FA">
        <w:t xml:space="preserve">no effects are reported following </w:t>
      </w:r>
      <w:r w:rsidR="0021653D">
        <w:t xml:space="preserve">intermittent exposure </w:t>
      </w:r>
      <w:r w:rsidR="00A146FA">
        <w:t>of</w:t>
      </w:r>
      <w:r w:rsidR="004C11A8">
        <w:t xml:space="preserve"> </w:t>
      </w:r>
      <w:r w:rsidR="0021653D">
        <w:t xml:space="preserve">0.3 to 0.5 </w:t>
      </w:r>
      <w:r w:rsidR="00B1424E">
        <w:t>ppm</w:t>
      </w:r>
      <w:r w:rsidR="00A146FA">
        <w:t xml:space="preserve"> (</w:t>
      </w:r>
      <w:r w:rsidR="005D0EAB">
        <w:t>ACGIH, 2018; HCOTN, 2004</w:t>
      </w:r>
      <w:r w:rsidR="00A146FA">
        <w:t>)</w:t>
      </w:r>
      <w:r w:rsidR="00B1424E">
        <w:t xml:space="preserve">. </w:t>
      </w:r>
      <w:r w:rsidR="004E68FB">
        <w:t xml:space="preserve">In a </w:t>
      </w:r>
      <w:r w:rsidR="00E94C9C">
        <w:t>four-month</w:t>
      </w:r>
      <w:r w:rsidR="004E68FB">
        <w:t xml:space="preserve"> rat study, exposure</w:t>
      </w:r>
      <w:r w:rsidR="00E94C9C">
        <w:t>s</w:t>
      </w:r>
      <w:r w:rsidR="004E68FB">
        <w:t xml:space="preserve"> of</w:t>
      </w:r>
      <w:r w:rsidR="005D0EAB">
        <w:t xml:space="preserve"> 0.07 to 74 ppm for </w:t>
      </w:r>
      <w:r w:rsidR="00155CCB">
        <w:t>four</w:t>
      </w:r>
      <w:r w:rsidR="005D0EAB">
        <w:t xml:space="preserve"> hours per day </w:t>
      </w:r>
      <w:r w:rsidR="004E68FB">
        <w:t>resulted in</w:t>
      </w:r>
      <w:r w:rsidR="005D0EAB">
        <w:t xml:space="preserve"> irritation of eyes and respiratory tract (ACGIH, 2018).</w:t>
      </w:r>
    </w:p>
    <w:p w14:paraId="1B6B4223" w14:textId="252091E4" w:rsidR="006669E4" w:rsidRDefault="006669E4" w:rsidP="006669E4">
      <w:r>
        <w:t xml:space="preserve">Based on the limited information in animals, the current TWA </w:t>
      </w:r>
      <w:r w:rsidR="00A146FA">
        <w:t xml:space="preserve">of 0.1 ppm </w:t>
      </w:r>
      <w:r>
        <w:t>and STEL</w:t>
      </w:r>
      <w:r w:rsidR="00A146FA">
        <w:t xml:space="preserve"> of 0.3 ppm</w:t>
      </w:r>
      <w:r>
        <w:t xml:space="preserve"> are retained to prevent irritation in exposed workers</w:t>
      </w:r>
      <w:r w:rsidR="00AF6E57">
        <w:t>.</w:t>
      </w:r>
      <w:r w:rsidR="00B26126" w:rsidRPr="00B26126">
        <w:rPr>
          <w:rFonts w:cs="Arial"/>
        </w:rPr>
        <w:t xml:space="preserve"> </w:t>
      </w:r>
    </w:p>
    <w:p w14:paraId="7CD4FDCC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2196716" w14:textId="1C0BF4DD" w:rsidR="00752FFA" w:rsidRPr="00A0687A" w:rsidRDefault="00752FFA" w:rsidP="00752FFA">
      <w:pPr>
        <w:rPr>
          <w:rFonts w:cs="Arial"/>
          <w:szCs w:val="20"/>
        </w:rPr>
      </w:pPr>
      <w:r w:rsidRPr="00A0687A">
        <w:t>Not classified as a carcinogen according to the Globally Harmonized System of Classification and Labelling o</w:t>
      </w:r>
      <w:r w:rsidR="00C76F2E">
        <w:t>f</w:t>
      </w:r>
      <w:r w:rsidRPr="00A0687A">
        <w:t xml:space="preserve"> Chemicals (GHS). </w:t>
      </w:r>
    </w:p>
    <w:p w14:paraId="739460B9" w14:textId="77777777" w:rsidR="00752FFA" w:rsidRPr="00A0687A" w:rsidRDefault="00752FFA" w:rsidP="00752FFA">
      <w:pPr>
        <w:rPr>
          <w:rFonts w:ascii="Calibri" w:hAnsi="Calibri" w:cs="Calibri"/>
          <w:sz w:val="22"/>
        </w:rPr>
      </w:pPr>
      <w:r w:rsidRPr="00A0687A">
        <w:t xml:space="preserve">Not classified as a skin </w:t>
      </w:r>
      <w:r w:rsidR="00FC57D5">
        <w:t xml:space="preserve">sensitiser </w:t>
      </w:r>
      <w:r w:rsidRPr="00A0687A">
        <w:t>or respiratory sensitiser according to the GHS</w:t>
      </w:r>
      <w:r w:rsidR="00A81494">
        <w:t>.</w:t>
      </w:r>
    </w:p>
    <w:p w14:paraId="6FBCF74E" w14:textId="5B968849" w:rsidR="0025734A" w:rsidRPr="004C23F4" w:rsidRDefault="006C539F">
      <w:pPr>
        <w:rPr>
          <w:rFonts w:cs="Arial"/>
        </w:rPr>
      </w:pPr>
      <w:r>
        <w:t>There are i</w:t>
      </w:r>
      <w:r w:rsidR="00752FFA" w:rsidRPr="00A0687A">
        <w:t xml:space="preserve">nsufficient </w:t>
      </w:r>
      <w:r w:rsidR="00155CCB">
        <w:t>data</w:t>
      </w:r>
      <w:r w:rsidR="00752FFA" w:rsidRPr="00A0687A">
        <w:t xml:space="preserve"> to recommend a skin notation</w:t>
      </w:r>
      <w:r w:rsidR="00A81494">
        <w:t>.</w:t>
      </w:r>
    </w:p>
    <w:p w14:paraId="3F685596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20A824D9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D9A6C00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7E9AC1B9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582E2DAA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B6AAB2C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206D6C9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A01855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A01855">
                  <w:t>TWA: 0.1 ppm (1.4 mg/m</w:t>
                </w:r>
                <w:r w:rsidR="00A01855" w:rsidRPr="00A01855">
                  <w:rPr>
                    <w:vertAlign w:val="superscript"/>
                  </w:rPr>
                  <w:t>3</w:t>
                </w:r>
                <w:r w:rsidR="00A01855">
                  <w:t>)</w:t>
                </w:r>
                <w:r w:rsidR="00B77B04">
                  <w:t>; STEL: 0.3 ppm (4.1 mg/m</w:t>
                </w:r>
                <w:r w:rsidR="00B77B04" w:rsidRPr="00B77B04">
                  <w:rPr>
                    <w:vertAlign w:val="superscript"/>
                  </w:rPr>
                  <w:t>3</w:t>
                </w:r>
                <w:r w:rsidR="00B77B04">
                  <w:t>)</w:t>
                </w:r>
              </w:sdtContent>
            </w:sdt>
          </w:p>
        </w:tc>
      </w:tr>
      <w:tr w:rsidR="00C978F0" w:rsidRPr="00DA352E" w14:paraId="3CDA04AA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36357BC5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6182DEB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2F1CE45" w14:textId="2F2EB733" w:rsidR="00C978F0" w:rsidRPr="00DA352E" w:rsidRDefault="00DA352E" w:rsidP="00E869F3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  <w:ind w:left="2857" w:hanging="2857"/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A10B5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A10B5">
                  <w:t>TLV-TWA: 0.1 ppm (1.4 mg/m</w:t>
                </w:r>
                <w:r w:rsidR="003A10B5" w:rsidRPr="003A10B5">
                  <w:rPr>
                    <w:vertAlign w:val="superscript"/>
                  </w:rPr>
                  <w:t>3</w:t>
                </w:r>
                <w:r w:rsidR="003A10B5">
                  <w:t xml:space="preserve">); </w:t>
                </w:r>
                <w:r w:rsidR="006C539F">
                  <w:br/>
                </w:r>
                <w:r w:rsidR="00E869F3">
                  <w:t>TLV-STEL: 0.3 ppm (4.1</w:t>
                </w:r>
                <w:r w:rsidR="00155CCB">
                  <w:t> </w:t>
                </w:r>
                <w:r w:rsidR="00E869F3">
                  <w:t>mg/m</w:t>
                </w:r>
                <w:r w:rsidR="00E869F3" w:rsidRPr="00E869F3">
                  <w:rPr>
                    <w:vertAlign w:val="superscript"/>
                  </w:rPr>
                  <w:t>3</w:t>
                </w:r>
                <w:r w:rsidR="00E869F3">
                  <w:t>)</w:t>
                </w:r>
              </w:sdtContent>
            </w:sdt>
          </w:p>
        </w:tc>
      </w:tr>
      <w:tr w:rsidR="00C978F0" w:rsidRPr="00DA352E" w14:paraId="3D7BA9B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4A80945" w14:textId="449936BC" w:rsidR="00C978F0" w:rsidRDefault="00BB1D45" w:rsidP="003365A5">
            <w:pPr>
              <w:pStyle w:val="Tabletextprimarysource"/>
            </w:pPr>
            <w:r>
              <w:t xml:space="preserve">TLV-TWA and TLV-STEL recommended to minimise the potential for </w:t>
            </w:r>
            <w:r w:rsidR="00695803">
              <w:t xml:space="preserve">lacrimation and </w:t>
            </w:r>
            <w:r>
              <w:t>ocular, dermal and upper respiratory tract irritation.</w:t>
            </w:r>
          </w:p>
          <w:p w14:paraId="6D788BA2" w14:textId="77777777" w:rsidR="00BB1D45" w:rsidRDefault="00BB1D45" w:rsidP="003365A5">
            <w:pPr>
              <w:pStyle w:val="Tabletextprimarysource"/>
            </w:pPr>
            <w:r>
              <w:t>Summary of data:</w:t>
            </w:r>
          </w:p>
          <w:p w14:paraId="4491B186" w14:textId="77777777" w:rsidR="00BB1D45" w:rsidRDefault="00BB1D45" w:rsidP="003365A5">
            <w:pPr>
              <w:pStyle w:val="Tabletextprimarysource"/>
            </w:pPr>
            <w:r>
              <w:t>Human data:</w:t>
            </w:r>
          </w:p>
          <w:p w14:paraId="24543C45" w14:textId="77777777" w:rsidR="00BB1D45" w:rsidRDefault="00BB1D45" w:rsidP="008F3718">
            <w:pPr>
              <w:pStyle w:val="ListBullet"/>
              <w:ind w:left="720"/>
            </w:pPr>
            <w:r>
              <w:t>No quantitative exposure data supplied</w:t>
            </w:r>
          </w:p>
          <w:p w14:paraId="4E98EDB2" w14:textId="77777777" w:rsidR="00BB1D45" w:rsidRDefault="00BB1D45" w:rsidP="008F3718">
            <w:pPr>
              <w:pStyle w:val="ListBullet"/>
              <w:ind w:left="720"/>
            </w:pPr>
            <w:r>
              <w:t>Causes lacrimation at low concentrations</w:t>
            </w:r>
          </w:p>
          <w:p w14:paraId="5BE39C34" w14:textId="44D59E97" w:rsidR="00BB1D45" w:rsidRDefault="00BB1D45" w:rsidP="008F3718">
            <w:pPr>
              <w:pStyle w:val="ListBullet"/>
              <w:ind w:left="720"/>
            </w:pPr>
            <w:r>
              <w:t>Acute exposures at high concentrations reported to result in upper respiratory irritation and injury to the lungs, liver and kidneys</w:t>
            </w:r>
          </w:p>
          <w:p w14:paraId="45EC6F3A" w14:textId="28A4D5B1" w:rsidR="00BB1D45" w:rsidRDefault="00BB1D45" w:rsidP="008F3718">
            <w:pPr>
              <w:pStyle w:val="ListBullet"/>
              <w:ind w:left="720"/>
            </w:pPr>
            <w:r>
              <w:t>Effects from chronic exposure to low concentrations primarily result in liver damage</w:t>
            </w:r>
            <w:r w:rsidR="00905950">
              <w:t>.</w:t>
            </w:r>
          </w:p>
          <w:p w14:paraId="1A73D2F9" w14:textId="77777777" w:rsidR="0046582E" w:rsidRDefault="0046582E" w:rsidP="00695803">
            <w:pPr>
              <w:pStyle w:val="Tabletextprimarysource"/>
            </w:pPr>
          </w:p>
          <w:p w14:paraId="68715832" w14:textId="77777777" w:rsidR="00695803" w:rsidRDefault="00695803" w:rsidP="00695803">
            <w:pPr>
              <w:pStyle w:val="Tabletextprimarysource"/>
            </w:pPr>
            <w:r>
              <w:t>Animal data:</w:t>
            </w:r>
          </w:p>
          <w:p w14:paraId="78E8A425" w14:textId="5231EDF5" w:rsidR="006C539F" w:rsidRDefault="00695803" w:rsidP="008F3718">
            <w:pPr>
              <w:pStyle w:val="ListBullet"/>
              <w:ind w:left="720"/>
            </w:pPr>
            <w:r>
              <w:t>Caused severe eye irritation, permanent corneal damage and slight skin irritation in studies with rabbits</w:t>
            </w:r>
          </w:p>
          <w:p w14:paraId="5F5169C7" w14:textId="6082A772" w:rsidR="00695803" w:rsidRDefault="00695803" w:rsidP="002C44A4">
            <w:pPr>
              <w:pStyle w:val="ListBullet"/>
              <w:numPr>
                <w:ilvl w:val="0"/>
                <w:numId w:val="5"/>
              </w:numPr>
              <w:ind w:left="1156"/>
            </w:pPr>
            <w:r>
              <w:t>reported corneal damage reversible if material is washed promptly from the eye</w:t>
            </w:r>
          </w:p>
          <w:p w14:paraId="5153DB8C" w14:textId="0F5E9948" w:rsidR="00695803" w:rsidRDefault="00695803" w:rsidP="008F3718">
            <w:pPr>
              <w:pStyle w:val="ListBullet"/>
              <w:ind w:left="720"/>
            </w:pPr>
            <w:r>
              <w:t>Inhalation study in rats exposed for 7 h/</w:t>
            </w:r>
            <w:r w:rsidR="00B1424E">
              <w:t>d, 5 d/</w:t>
            </w:r>
            <w:proofErr w:type="spellStart"/>
            <w:r w:rsidR="00B1424E">
              <w:t>wk</w:t>
            </w:r>
            <w:proofErr w:type="spellEnd"/>
            <w:r w:rsidR="00B1424E">
              <w:t xml:space="preserve"> for 6 </w:t>
            </w:r>
            <w:proofErr w:type="spellStart"/>
            <w:r w:rsidR="00B1424E">
              <w:t>mo</w:t>
            </w:r>
            <w:proofErr w:type="spellEnd"/>
            <w:r w:rsidR="006669E4">
              <w:t xml:space="preserve"> reported no effect at </w:t>
            </w:r>
            <w:r>
              <w:t>concentration</w:t>
            </w:r>
            <w:r w:rsidR="006669E4">
              <w:t>s</w:t>
            </w:r>
            <w:r w:rsidR="00B1424E">
              <w:t xml:space="preserve"> estimated to be 0.3</w:t>
            </w:r>
            <w:r w:rsidR="00E848A9">
              <w:t>–</w:t>
            </w:r>
            <w:r>
              <w:t xml:space="preserve">0.5 ppm by volume </w:t>
            </w:r>
          </w:p>
          <w:p w14:paraId="191A650D" w14:textId="00E94656" w:rsidR="00695803" w:rsidRDefault="00B1424E" w:rsidP="008F3718">
            <w:pPr>
              <w:pStyle w:val="ListBullet"/>
              <w:ind w:left="720"/>
            </w:pPr>
            <w:r>
              <w:t>Rats exposed to 0.07</w:t>
            </w:r>
            <w:r w:rsidR="00E848A9">
              <w:t>–</w:t>
            </w:r>
            <w:r w:rsidR="00695803">
              <w:t xml:space="preserve">74 ppm </w:t>
            </w:r>
            <w:r w:rsidR="00F83516">
              <w:t xml:space="preserve">for </w:t>
            </w:r>
            <w:r w:rsidR="00695803">
              <w:t>4</w:t>
            </w:r>
            <w:r w:rsidR="00FF7300">
              <w:t xml:space="preserve"> h/d for 4 </w:t>
            </w:r>
            <w:proofErr w:type="spellStart"/>
            <w:r w:rsidR="00FF7300">
              <w:t>m</w:t>
            </w:r>
            <w:r>
              <w:t>o</w:t>
            </w:r>
            <w:proofErr w:type="spellEnd"/>
            <w:r w:rsidR="00FF7300">
              <w:t xml:space="preserve"> </w:t>
            </w:r>
            <w:r w:rsidR="006C539F">
              <w:t xml:space="preserve">reported </w:t>
            </w:r>
            <w:r w:rsidR="00FF7300">
              <w:t>irritation of the eyes and respiratory tract</w:t>
            </w:r>
            <w:r w:rsidR="00E848A9">
              <w:t>.</w:t>
            </w:r>
          </w:p>
          <w:p w14:paraId="24A35960" w14:textId="103BF43D" w:rsidR="00FF7300" w:rsidRDefault="00FF7300" w:rsidP="00FF7300">
            <w:pPr>
              <w:pStyle w:val="Tabletextprimarysource"/>
            </w:pPr>
            <w:r>
              <w:t>Insufficient data to recommend skin, sensitisation or carcinogenicity notations.</w:t>
            </w:r>
          </w:p>
          <w:p w14:paraId="29A86D73" w14:textId="77777777" w:rsidR="0046582E" w:rsidRPr="00DA352E" w:rsidRDefault="0046582E" w:rsidP="00FF7300">
            <w:pPr>
              <w:pStyle w:val="Tabletextprimarysource"/>
            </w:pPr>
          </w:p>
        </w:tc>
      </w:tr>
      <w:tr w:rsidR="00C978F0" w:rsidRPr="00DA352E" w14:paraId="49DC6A09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C2BDD7A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A81EEA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proofErr w:type="spellStart"/>
                <w:r w:rsidR="00A81EEA">
                  <w:t>NA</w:t>
                </w:r>
                <w:proofErr w:type="spellEnd"/>
              </w:sdtContent>
            </w:sdt>
          </w:p>
        </w:tc>
      </w:tr>
      <w:tr w:rsidR="00C978F0" w:rsidRPr="00DA352E" w14:paraId="5978C0B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7DCB782" w14:textId="4D45D1F5" w:rsidR="00C978F0" w:rsidRPr="00DA352E" w:rsidRDefault="00A81EEA" w:rsidP="003365A5">
            <w:pPr>
              <w:pStyle w:val="Tabletextprimarysource"/>
            </w:pPr>
            <w:r>
              <w:t>No report</w:t>
            </w:r>
            <w:r w:rsidR="006C539F">
              <w:t>.</w:t>
            </w:r>
          </w:p>
        </w:tc>
      </w:tr>
      <w:tr w:rsidR="00C978F0" w:rsidRPr="00DA352E" w14:paraId="0A98ABA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885A85D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86DB2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F86DB2">
                  <w:t>NA</w:t>
                </w:r>
                <w:proofErr w:type="spellEnd"/>
              </w:sdtContent>
            </w:sdt>
          </w:p>
        </w:tc>
      </w:tr>
      <w:tr w:rsidR="00C978F0" w:rsidRPr="00DA352E" w14:paraId="1B808CE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DFD5A5E" w14:textId="0B124157" w:rsidR="00C978F0" w:rsidRPr="00DA352E" w:rsidRDefault="001F75BE" w:rsidP="003365A5">
            <w:pPr>
              <w:pStyle w:val="Tabletextprimarysource"/>
            </w:pPr>
            <w:r>
              <w:t>No report</w:t>
            </w:r>
            <w:r w:rsidR="006C539F">
              <w:t>.</w:t>
            </w:r>
          </w:p>
        </w:tc>
      </w:tr>
      <w:tr w:rsidR="00DA352E" w:rsidRPr="00DA352E" w14:paraId="26E44A3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DAB7CED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1F75BE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1F75BE">
                  <w:t>NA</w:t>
                </w:r>
                <w:proofErr w:type="spellEnd"/>
              </w:sdtContent>
            </w:sdt>
          </w:p>
        </w:tc>
      </w:tr>
      <w:tr w:rsidR="00DA352E" w:rsidRPr="00DA352E" w14:paraId="0518F291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1F010491" w14:textId="588948D6" w:rsidR="00DA352E" w:rsidRPr="00DA352E" w:rsidRDefault="001F75BE" w:rsidP="003365A5">
            <w:pPr>
              <w:pStyle w:val="Tabletextprimarysource"/>
            </w:pPr>
            <w:r>
              <w:t>No report</w:t>
            </w:r>
            <w:r w:rsidR="006C539F">
              <w:t>.</w:t>
            </w:r>
          </w:p>
        </w:tc>
      </w:tr>
      <w:tr w:rsidR="00DA352E" w:rsidRPr="00DA352E" w14:paraId="09AA7E8E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91E4785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F379D8">
                  <w:t>2</w:t>
                </w:r>
                <w:r w:rsidR="00E66C93">
                  <w:t>004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7F228A">
                  <w:t>TWA: 0.1 ppm (1.4 mg/m</w:t>
                </w:r>
                <w:r w:rsidR="007F228A" w:rsidRPr="007F228A">
                  <w:rPr>
                    <w:vertAlign w:val="superscript"/>
                  </w:rPr>
                  <w:t>3</w:t>
                </w:r>
                <w:r w:rsidR="007F228A">
                  <w:t>)</w:t>
                </w:r>
              </w:sdtContent>
            </w:sdt>
          </w:p>
        </w:tc>
      </w:tr>
      <w:tr w:rsidR="00DA352E" w:rsidRPr="00DA352E" w14:paraId="466886F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CC5BAC4" w14:textId="5D35E168" w:rsidR="00DA352E" w:rsidRDefault="006C539F" w:rsidP="003365A5">
            <w:pPr>
              <w:pStyle w:val="Tabletextprimarysource"/>
            </w:pPr>
            <w:r>
              <w:t>T</w:t>
            </w:r>
            <w:r w:rsidR="000D1786">
              <w:t xml:space="preserve">oxicological database is considered insufficient to </w:t>
            </w:r>
            <w:r w:rsidR="00E94C9C">
              <w:t>recommend</w:t>
            </w:r>
            <w:r w:rsidR="000D1786">
              <w:t xml:space="preserve"> a health based value.</w:t>
            </w:r>
          </w:p>
          <w:p w14:paraId="789ADF58" w14:textId="77777777" w:rsidR="000D1786" w:rsidRDefault="000D1786" w:rsidP="003365A5">
            <w:pPr>
              <w:pStyle w:val="Tabletextprimarysource"/>
            </w:pPr>
            <w:r>
              <w:t>Summary of additional data:</w:t>
            </w:r>
          </w:p>
          <w:p w14:paraId="687733C5" w14:textId="77777777" w:rsidR="000D1786" w:rsidRDefault="0012575F" w:rsidP="008F3718">
            <w:pPr>
              <w:pStyle w:val="ListBullet"/>
              <w:ind w:left="720"/>
            </w:pPr>
            <w:r>
              <w:t>Mild to advanced degenerative changes, cloudy swelling, necrosis, and fatty changes have been observed in the liv</w:t>
            </w:r>
            <w:r w:rsidR="00B1424E">
              <w:t>ers of rats after exposure to 4</w:t>
            </w:r>
            <w:r w:rsidR="00E848A9">
              <w:t>–</w:t>
            </w:r>
            <w:r w:rsidR="00B1424E">
              <w:t xml:space="preserve">8 ppm for 1 or 2 </w:t>
            </w:r>
            <w:proofErr w:type="spellStart"/>
            <w:r w:rsidR="00B1424E">
              <w:t>w</w:t>
            </w:r>
            <w:r w:rsidR="00DD72EA">
              <w:t>k</w:t>
            </w:r>
            <w:proofErr w:type="spellEnd"/>
            <w:r>
              <w:t xml:space="preserve"> (no further information)</w:t>
            </w:r>
          </w:p>
          <w:p w14:paraId="4009EFB2" w14:textId="3EF49AE0" w:rsidR="0021653D" w:rsidRDefault="0021653D" w:rsidP="008F3718">
            <w:pPr>
              <w:pStyle w:val="ListBullet"/>
              <w:ind w:left="720"/>
            </w:pPr>
            <w:r>
              <w:t>6</w:t>
            </w:r>
            <w:r w:rsidR="00E848A9"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study with rats, guinea pigs, and rabbi</w:t>
            </w:r>
            <w:r w:rsidR="00B1424E">
              <w:t>ts, intermittent exposure to 4</w:t>
            </w:r>
            <w:r w:rsidR="00E848A9">
              <w:t>–</w:t>
            </w:r>
            <w:r>
              <w:t>7 mg/m</w:t>
            </w:r>
            <w:r w:rsidR="0081074E">
              <w:rPr>
                <w:vertAlign w:val="superscript"/>
              </w:rPr>
              <w:t>3</w:t>
            </w:r>
            <w:r w:rsidR="00B1424E">
              <w:t xml:space="preserve"> </w:t>
            </w:r>
            <w:r w:rsidR="00155CCB">
              <w:br/>
            </w:r>
            <w:r w:rsidR="00B1424E">
              <w:t>(0.3</w:t>
            </w:r>
            <w:r w:rsidR="00E848A9">
              <w:t>–</w:t>
            </w:r>
            <w:r>
              <w:t>0.5 ppm) did not induce any effect; considered to be a NOAEL</w:t>
            </w:r>
            <w:r w:rsidR="00B1424E">
              <w:t xml:space="preserve">. </w:t>
            </w:r>
          </w:p>
          <w:p w14:paraId="583D656A" w14:textId="77777777" w:rsidR="0046582E" w:rsidRPr="00DA352E" w:rsidRDefault="0046582E" w:rsidP="002C44A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330ED4C7" w14:textId="77777777" w:rsidR="00A20751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5B05935C" w14:textId="2E70F7BE" w:rsidR="00B1424E" w:rsidRPr="00B1424E" w:rsidRDefault="00B1424E" w:rsidP="00B1424E">
      <w:pPr>
        <w:rPr>
          <w:lang w:eastAsia="en-AU"/>
        </w:rPr>
      </w:pPr>
      <w:r>
        <w:rPr>
          <w:lang w:eastAsia="en-AU"/>
        </w:rPr>
        <w:t>NIL</w:t>
      </w:r>
      <w:r w:rsidR="00501C1A">
        <w:rPr>
          <w:lang w:eastAsia="en-AU"/>
        </w:rPr>
        <w:t>.</w:t>
      </w:r>
    </w:p>
    <w:bookmarkEnd w:id="0"/>
    <w:p w14:paraId="7FF30BAE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3"/>
        <w:gridCol w:w="2423"/>
      </w:tblGrid>
      <w:tr w:rsidR="002E0D61" w14:paraId="0DD69AA3" w14:textId="77777777" w:rsidTr="00186785">
        <w:trPr>
          <w:trHeight w:val="454"/>
          <w:tblHeader/>
        </w:trPr>
        <w:tc>
          <w:tcPr>
            <w:tcW w:w="6603" w:type="dxa"/>
            <w:vAlign w:val="center"/>
          </w:tcPr>
          <w:p w14:paraId="2A141B8E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6071EE7A" w14:textId="77777777" w:rsidR="002E0D61" w:rsidRDefault="00186785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04DF933F" w14:textId="77777777" w:rsidTr="00186785">
        <w:trPr>
          <w:trHeight w:val="454"/>
        </w:trPr>
        <w:tc>
          <w:tcPr>
            <w:tcW w:w="6603" w:type="dxa"/>
            <w:vAlign w:val="center"/>
          </w:tcPr>
          <w:p w14:paraId="7CF70A4C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3" w:type="dxa"/>
                <w:vAlign w:val="center"/>
              </w:tcPr>
              <w:p w14:paraId="2C52F075" w14:textId="77777777" w:rsidR="008A36CF" w:rsidRDefault="00186785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7EFB99C0" w14:textId="77777777" w:rsidTr="00186785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3" w:type="dxa"/>
                <w:vAlign w:val="center"/>
              </w:tcPr>
              <w:p w14:paraId="10208A18" w14:textId="77777777" w:rsidR="008A36CF" w:rsidRPr="006901A2" w:rsidRDefault="00186785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23" w:type="dxa"/>
            <w:vAlign w:val="center"/>
          </w:tcPr>
          <w:p w14:paraId="4B5E62A8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154648F9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572DB97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446A336D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943B490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7F4E47E8" w14:textId="77777777" w:rsidTr="00812887">
        <w:trPr>
          <w:cantSplit/>
        </w:trPr>
        <w:tc>
          <w:tcPr>
            <w:tcW w:w="3227" w:type="dxa"/>
          </w:tcPr>
          <w:p w14:paraId="525F238B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6E376B8" w14:textId="77777777" w:rsidR="00687890" w:rsidRPr="00DD2F9B" w:rsidRDefault="00B55B13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4545B176" w14:textId="77777777" w:rsidTr="00812887">
        <w:trPr>
          <w:cantSplit/>
        </w:trPr>
        <w:tc>
          <w:tcPr>
            <w:tcW w:w="3227" w:type="dxa"/>
          </w:tcPr>
          <w:p w14:paraId="79299207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AD41565" w14:textId="77777777" w:rsidR="007925F0" w:rsidRPr="00DD2F9B" w:rsidRDefault="00B55B13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37FEE531" w14:textId="77777777" w:rsidTr="00812887">
        <w:trPr>
          <w:cantSplit/>
        </w:trPr>
        <w:tc>
          <w:tcPr>
            <w:tcW w:w="3227" w:type="dxa"/>
          </w:tcPr>
          <w:p w14:paraId="1DB5D9AE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646CAB92" w14:textId="77777777" w:rsidR="00AF483F" w:rsidRPr="00DD2F9B" w:rsidRDefault="00042B57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1AD5939D" w14:textId="77777777" w:rsidTr="00812887">
        <w:trPr>
          <w:cantSplit/>
        </w:trPr>
        <w:tc>
          <w:tcPr>
            <w:tcW w:w="3227" w:type="dxa"/>
          </w:tcPr>
          <w:p w14:paraId="48AB6AE2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73303105" w14:textId="77777777" w:rsidR="00687890" w:rsidRPr="00DD2F9B" w:rsidRDefault="003E247A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A25E06F" w14:textId="77777777" w:rsidTr="00812887">
        <w:trPr>
          <w:cantSplit/>
        </w:trPr>
        <w:tc>
          <w:tcPr>
            <w:tcW w:w="3227" w:type="dxa"/>
          </w:tcPr>
          <w:p w14:paraId="0E8CBF30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488F3D0C" w14:textId="77777777" w:rsidR="00E41A26" w:rsidRPr="00DD2F9B" w:rsidRDefault="00B55B13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4632E3C" w14:textId="77777777" w:rsidTr="00812887">
        <w:trPr>
          <w:cantSplit/>
        </w:trPr>
        <w:tc>
          <w:tcPr>
            <w:tcW w:w="3227" w:type="dxa"/>
          </w:tcPr>
          <w:p w14:paraId="5A1FCB74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10CD05C6" w14:textId="77777777" w:rsidR="002E0D61" w:rsidRPr="00DD2F9B" w:rsidRDefault="00B55B13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700157C0" w14:textId="77777777" w:rsidTr="00812887">
        <w:trPr>
          <w:cantSplit/>
        </w:trPr>
        <w:tc>
          <w:tcPr>
            <w:tcW w:w="3227" w:type="dxa"/>
          </w:tcPr>
          <w:p w14:paraId="0BF17B3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4A1057B3" w14:textId="77777777" w:rsidR="002E0D61" w:rsidRPr="00DD2F9B" w:rsidRDefault="00F86DB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658B3DBD" w14:textId="77777777" w:rsidTr="00812887">
        <w:trPr>
          <w:cantSplit/>
        </w:trPr>
        <w:tc>
          <w:tcPr>
            <w:tcW w:w="3227" w:type="dxa"/>
          </w:tcPr>
          <w:p w14:paraId="7E9045E6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7FD69125" w14:textId="77777777" w:rsidR="002E0D61" w:rsidRPr="00DD2F9B" w:rsidRDefault="00F86DB2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0B0F680" w14:textId="77777777" w:rsidTr="00812887">
        <w:trPr>
          <w:cantSplit/>
        </w:trPr>
        <w:tc>
          <w:tcPr>
            <w:tcW w:w="3227" w:type="dxa"/>
          </w:tcPr>
          <w:p w14:paraId="29CC5AE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1FC7D7DD" w14:textId="77777777" w:rsidR="002E0D61" w:rsidRPr="00DD2F9B" w:rsidRDefault="00B55B13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1813EDC5" w14:textId="77777777" w:rsidTr="00812887">
        <w:trPr>
          <w:cantSplit/>
        </w:trPr>
        <w:tc>
          <w:tcPr>
            <w:tcW w:w="3227" w:type="dxa"/>
          </w:tcPr>
          <w:p w14:paraId="2FED75B3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3C92EC4" w14:textId="77777777" w:rsidR="00386093" w:rsidRPr="00DD2F9B" w:rsidRDefault="00DA64B1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3512B5E" w14:textId="77777777" w:rsidTr="00812887">
        <w:trPr>
          <w:cantSplit/>
        </w:trPr>
        <w:tc>
          <w:tcPr>
            <w:tcW w:w="3227" w:type="dxa"/>
          </w:tcPr>
          <w:p w14:paraId="4F956CDE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27E535F" w14:textId="77777777" w:rsidR="00386093" w:rsidRPr="00DD2F9B" w:rsidRDefault="00E476E9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BF9966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410BE4C7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46CCB29E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0548DB3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64E90F59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35ED1FC8" w14:textId="1AEBC21D" w:rsidR="00932DCE" w:rsidRPr="004C23F4" w:rsidRDefault="001023D6" w:rsidP="00F9496B">
            <w:pPr>
              <w:pStyle w:val="Tablefont"/>
            </w:pPr>
            <w:r w:rsidRPr="001023D6">
              <w:t>Insufficient data to assign a skin notation</w:t>
            </w:r>
            <w:r w:rsidR="00501C1A">
              <w:t>.</w:t>
            </w:r>
          </w:p>
        </w:tc>
      </w:tr>
    </w:tbl>
    <w:bookmarkEnd w:id="3"/>
    <w:p w14:paraId="5BFEC569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021FF82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57E8458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4C12E75" w14:textId="77777777" w:rsidR="00EB3D1B" w:rsidRDefault="005B1703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1F7EB141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1E9C4E2C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A62C4F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A2BD523" w14:textId="77777777" w:rsidR="001B79E5" w:rsidRDefault="006333E0" w:rsidP="001B79E5">
                <w:pPr>
                  <w:pStyle w:val="Tablefont"/>
                </w:pPr>
                <w:r>
                  <w:t>331.63</w:t>
                </w:r>
              </w:p>
            </w:tc>
          </w:sdtContent>
        </w:sdt>
      </w:tr>
      <w:tr w:rsidR="00A31D99" w:rsidRPr="004C23F4" w14:paraId="10A32620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D6FB92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721E54AB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2F94B7F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DFA52CB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7472649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EBC4B0A" w14:textId="77777777" w:rsidTr="00EA6243">
        <w:trPr>
          <w:cantSplit/>
        </w:trPr>
        <w:tc>
          <w:tcPr>
            <w:tcW w:w="4077" w:type="dxa"/>
            <w:vAlign w:val="center"/>
          </w:tcPr>
          <w:p w14:paraId="7762DC84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6B2A6F8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6C6DBA9C" w14:textId="77777777" w:rsidTr="00EA6243">
        <w:trPr>
          <w:cantSplit/>
        </w:trPr>
        <w:tc>
          <w:tcPr>
            <w:tcW w:w="4077" w:type="dxa"/>
            <w:vAlign w:val="center"/>
          </w:tcPr>
          <w:p w14:paraId="08979B6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B314696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8820A40" w14:textId="77777777" w:rsidTr="00EA6243">
        <w:trPr>
          <w:cantSplit/>
        </w:trPr>
        <w:tc>
          <w:tcPr>
            <w:tcW w:w="4077" w:type="dxa"/>
            <w:vAlign w:val="center"/>
          </w:tcPr>
          <w:p w14:paraId="489CF5DF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89147F3" w14:textId="77777777" w:rsidR="00E06F40" w:rsidRPr="00A006A0" w:rsidRDefault="00760EEF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FCFEBF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7A810934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669CAE89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3E09A02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7D4DA4BB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34AFEDC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F20183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26B5A753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21E0EBB4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4CBF15FB" w14:textId="77777777" w:rsidR="008B0A92" w:rsidRPr="00351FE0" w:rsidRDefault="008B0A92" w:rsidP="00084859">
      <w:r w:rsidRPr="002022B6">
        <w:t>Health Council of the Netherlands</w:t>
      </w:r>
      <w:r>
        <w:t xml:space="preserve"> (HCOTN) (</w:t>
      </w:r>
      <w:r w:rsidR="006E234F">
        <w:t>2004</w:t>
      </w:r>
      <w:r>
        <w:t xml:space="preserve">) </w:t>
      </w:r>
      <w:r w:rsidR="006E234F">
        <w:t xml:space="preserve">Carbon </w:t>
      </w:r>
      <w:proofErr w:type="spellStart"/>
      <w:r w:rsidR="006E234F">
        <w:t>tetrabromide</w:t>
      </w:r>
      <w:proofErr w:type="spellEnd"/>
      <w:r w:rsidRPr="005F7416">
        <w:t xml:space="preserve">. Health-based </w:t>
      </w:r>
      <w:r w:rsidR="00F6745B">
        <w:t>reassessment of administrative occupational exposure limits</w:t>
      </w:r>
      <w:r w:rsidRPr="005F7416">
        <w:t xml:space="preserve">. The Hague: Health Council of the Netherlands; publication no. </w:t>
      </w:r>
      <w:r w:rsidR="00F5464D">
        <w:t>2000/15OSH/114.</w:t>
      </w:r>
    </w:p>
    <w:sectPr w:rsidR="008B0A92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CC585A" w16cid:durableId="212CBAB1"/>
  <w16cid:commentId w16cid:paraId="6B14E849" w16cid:durableId="212CB890"/>
  <w16cid:commentId w16cid:paraId="1F8CA629" w16cid:durableId="212CBA85"/>
  <w16cid:commentId w16cid:paraId="2110C117" w16cid:durableId="212CB683"/>
  <w16cid:commentId w16cid:paraId="0FDDF1DF" w16cid:durableId="212CB8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07C6B" w14:textId="77777777" w:rsidR="00F80C60" w:rsidRDefault="00F80C60" w:rsidP="00F43AD5">
      <w:pPr>
        <w:spacing w:after="0" w:line="240" w:lineRule="auto"/>
      </w:pPr>
      <w:r>
        <w:separator/>
      </w:r>
    </w:p>
  </w:endnote>
  <w:endnote w:type="continuationSeparator" w:id="0">
    <w:p w14:paraId="06EFDA69" w14:textId="77777777" w:rsidR="00F80C60" w:rsidRDefault="00F80C60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AAFD" w14:textId="77777777" w:rsidR="00760EEF" w:rsidRDefault="00760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C246AA4" w14:textId="77777777" w:rsidR="008A36CF" w:rsidRDefault="007E475D" w:rsidP="0034744C">
        <w:pPr>
          <w:pStyle w:val="Footer"/>
          <w:rPr>
            <w:sz w:val="18"/>
            <w:szCs w:val="18"/>
          </w:rPr>
        </w:pPr>
        <w:r w:rsidRPr="007E475D">
          <w:rPr>
            <w:b/>
            <w:sz w:val="18"/>
            <w:szCs w:val="18"/>
          </w:rPr>
          <w:t xml:space="preserve">Carbon </w:t>
        </w:r>
        <w:proofErr w:type="spellStart"/>
        <w:r w:rsidRPr="007E475D">
          <w:rPr>
            <w:b/>
            <w:sz w:val="18"/>
            <w:szCs w:val="18"/>
          </w:rPr>
          <w:t>tetrabromide</w:t>
        </w:r>
        <w:proofErr w:type="spellEnd"/>
        <w:r w:rsidR="008A36CF">
          <w:rPr>
            <w:b/>
            <w:sz w:val="18"/>
            <w:szCs w:val="18"/>
          </w:rPr>
          <w:t xml:space="preserve"> (</w:t>
        </w:r>
        <w:r w:rsidR="00A01855">
          <w:rPr>
            <w:b/>
            <w:sz w:val="18"/>
            <w:szCs w:val="18"/>
          </w:rPr>
          <w:t>558-13-4</w:t>
        </w:r>
        <w:proofErr w:type="gramStart"/>
        <w:r w:rsidR="008A36CF">
          <w:rPr>
            <w:b/>
            <w:sz w:val="18"/>
            <w:szCs w:val="18"/>
          </w:rPr>
          <w:t>)</w:t>
        </w:r>
        <w:proofErr w:type="gramEnd"/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0C1BCE74" w14:textId="6DBAC756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760EEF">
          <w:rPr>
            <w:noProof/>
            <w:sz w:val="18"/>
            <w:szCs w:val="18"/>
          </w:rPr>
          <w:t>2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44DD2" w14:textId="77777777" w:rsidR="00760EEF" w:rsidRDefault="00760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2EED8" w14:textId="77777777" w:rsidR="00F80C60" w:rsidRDefault="00F80C60" w:rsidP="00F43AD5">
      <w:pPr>
        <w:spacing w:after="0" w:line="240" w:lineRule="auto"/>
      </w:pPr>
      <w:r>
        <w:separator/>
      </w:r>
    </w:p>
  </w:footnote>
  <w:footnote w:type="continuationSeparator" w:id="0">
    <w:p w14:paraId="34835EF2" w14:textId="77777777" w:rsidR="00F80C60" w:rsidRDefault="00F80C60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89C5" w14:textId="77777777" w:rsidR="00760EEF" w:rsidRDefault="00760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8C13" w14:textId="0D6947BC" w:rsidR="00760EEF" w:rsidRDefault="00760EEF" w:rsidP="00760EEF">
    <w:pPr>
      <w:pStyle w:val="Header"/>
      <w:jc w:val="right"/>
    </w:pPr>
    <w:sdt>
      <w:sdtPr>
        <w:id w:val="1106470854"/>
        <w:docPartObj>
          <w:docPartGallery w:val="Watermarks"/>
          <w:docPartUnique/>
        </w:docPartObj>
      </w:sdtPr>
      <w:sdtContent>
        <w:r>
          <w:pict w14:anchorId="0927CF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748E9C2" wp14:editId="36379559">
          <wp:extent cx="2943225" cy="59055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40503" w14:textId="72A4ED3F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F84EE" w14:textId="77777777" w:rsidR="00760EEF" w:rsidRDefault="00760E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51F3" w14:textId="6F4854CE" w:rsidR="00760EEF" w:rsidRDefault="00760EEF" w:rsidP="00760EEF">
    <w:pPr>
      <w:pStyle w:val="Header"/>
      <w:jc w:val="right"/>
    </w:pPr>
    <w:sdt>
      <w:sdtPr>
        <w:id w:val="-1344626936"/>
        <w:docPartObj>
          <w:docPartGallery w:val="Watermarks"/>
          <w:docPartUnique/>
        </w:docPartObj>
      </w:sdtPr>
      <w:sdtContent>
        <w:r>
          <w:pict w14:anchorId="18A19F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0B6E9B2E" wp14:editId="6849B8ED">
          <wp:extent cx="2943225" cy="59055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5486FF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06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C72FB4"/>
    <w:multiLevelType w:val="hybridMultilevel"/>
    <w:tmpl w:val="8D149C7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10B6C"/>
    <w:multiLevelType w:val="hybridMultilevel"/>
    <w:tmpl w:val="A9325F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2B57"/>
    <w:rsid w:val="00045BC3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1524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C7017"/>
    <w:rsid w:val="000D1786"/>
    <w:rsid w:val="000D291C"/>
    <w:rsid w:val="000D650E"/>
    <w:rsid w:val="000E5A54"/>
    <w:rsid w:val="000E63D3"/>
    <w:rsid w:val="000E67CF"/>
    <w:rsid w:val="001023D6"/>
    <w:rsid w:val="0010461E"/>
    <w:rsid w:val="00106FAA"/>
    <w:rsid w:val="00113443"/>
    <w:rsid w:val="0012575F"/>
    <w:rsid w:val="001269A7"/>
    <w:rsid w:val="00130FF4"/>
    <w:rsid w:val="00131092"/>
    <w:rsid w:val="00140E6A"/>
    <w:rsid w:val="001459EF"/>
    <w:rsid w:val="00146545"/>
    <w:rsid w:val="00146B75"/>
    <w:rsid w:val="0015266D"/>
    <w:rsid w:val="0015288A"/>
    <w:rsid w:val="00155CCB"/>
    <w:rsid w:val="00160F47"/>
    <w:rsid w:val="00177CA1"/>
    <w:rsid w:val="00183823"/>
    <w:rsid w:val="00183942"/>
    <w:rsid w:val="00184730"/>
    <w:rsid w:val="00186785"/>
    <w:rsid w:val="001A009E"/>
    <w:rsid w:val="001A1287"/>
    <w:rsid w:val="001A3859"/>
    <w:rsid w:val="001A3C9D"/>
    <w:rsid w:val="001A43F8"/>
    <w:rsid w:val="001B79E5"/>
    <w:rsid w:val="001D4215"/>
    <w:rsid w:val="001D42BB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1F75BE"/>
    <w:rsid w:val="0020338C"/>
    <w:rsid w:val="002046A6"/>
    <w:rsid w:val="00204956"/>
    <w:rsid w:val="00213640"/>
    <w:rsid w:val="0021653D"/>
    <w:rsid w:val="00221547"/>
    <w:rsid w:val="002216FC"/>
    <w:rsid w:val="00222533"/>
    <w:rsid w:val="00222F30"/>
    <w:rsid w:val="00224EE2"/>
    <w:rsid w:val="00227EC7"/>
    <w:rsid w:val="00240654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44A4"/>
    <w:rsid w:val="002C58FF"/>
    <w:rsid w:val="002C7AFE"/>
    <w:rsid w:val="002D05D2"/>
    <w:rsid w:val="002E0D61"/>
    <w:rsid w:val="002E4C7B"/>
    <w:rsid w:val="0030740C"/>
    <w:rsid w:val="00315833"/>
    <w:rsid w:val="003215EE"/>
    <w:rsid w:val="003224BF"/>
    <w:rsid w:val="003241A8"/>
    <w:rsid w:val="003253F0"/>
    <w:rsid w:val="00331881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1EFC"/>
    <w:rsid w:val="00386093"/>
    <w:rsid w:val="003904A4"/>
    <w:rsid w:val="00391841"/>
    <w:rsid w:val="00391B6D"/>
    <w:rsid w:val="00394922"/>
    <w:rsid w:val="003A0E32"/>
    <w:rsid w:val="003A10B5"/>
    <w:rsid w:val="003A2B94"/>
    <w:rsid w:val="003B387D"/>
    <w:rsid w:val="003C0D58"/>
    <w:rsid w:val="003C32FF"/>
    <w:rsid w:val="003D4FA3"/>
    <w:rsid w:val="003E0807"/>
    <w:rsid w:val="003E247A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225"/>
    <w:rsid w:val="004515EE"/>
    <w:rsid w:val="004529F0"/>
    <w:rsid w:val="00460A03"/>
    <w:rsid w:val="0046582E"/>
    <w:rsid w:val="00472A11"/>
    <w:rsid w:val="00472AAD"/>
    <w:rsid w:val="00474E33"/>
    <w:rsid w:val="00476803"/>
    <w:rsid w:val="00485BFD"/>
    <w:rsid w:val="004867A2"/>
    <w:rsid w:val="004873F2"/>
    <w:rsid w:val="00490D4C"/>
    <w:rsid w:val="004939AB"/>
    <w:rsid w:val="00493A35"/>
    <w:rsid w:val="0049527A"/>
    <w:rsid w:val="004966BF"/>
    <w:rsid w:val="00497984"/>
    <w:rsid w:val="004A5088"/>
    <w:rsid w:val="004C11A8"/>
    <w:rsid w:val="004C1E3F"/>
    <w:rsid w:val="004C23F4"/>
    <w:rsid w:val="004C3475"/>
    <w:rsid w:val="004C58B6"/>
    <w:rsid w:val="004D16A3"/>
    <w:rsid w:val="004D4AA1"/>
    <w:rsid w:val="004D6D68"/>
    <w:rsid w:val="004E5EDD"/>
    <w:rsid w:val="004E68FB"/>
    <w:rsid w:val="004F448A"/>
    <w:rsid w:val="004F493D"/>
    <w:rsid w:val="004F65E8"/>
    <w:rsid w:val="0050005E"/>
    <w:rsid w:val="00501C1A"/>
    <w:rsid w:val="00502B88"/>
    <w:rsid w:val="00503E5E"/>
    <w:rsid w:val="005142C4"/>
    <w:rsid w:val="0051509C"/>
    <w:rsid w:val="005228D3"/>
    <w:rsid w:val="005272E2"/>
    <w:rsid w:val="0053108F"/>
    <w:rsid w:val="00532B56"/>
    <w:rsid w:val="00533B97"/>
    <w:rsid w:val="00534B10"/>
    <w:rsid w:val="00537DEC"/>
    <w:rsid w:val="005446A2"/>
    <w:rsid w:val="00544D2F"/>
    <w:rsid w:val="00550725"/>
    <w:rsid w:val="00551BD8"/>
    <w:rsid w:val="005664DA"/>
    <w:rsid w:val="005714AC"/>
    <w:rsid w:val="00581055"/>
    <w:rsid w:val="00591E38"/>
    <w:rsid w:val="005A19C5"/>
    <w:rsid w:val="005A3034"/>
    <w:rsid w:val="005A462D"/>
    <w:rsid w:val="005B1703"/>
    <w:rsid w:val="005B253B"/>
    <w:rsid w:val="005B771D"/>
    <w:rsid w:val="005C5D16"/>
    <w:rsid w:val="005D0EAB"/>
    <w:rsid w:val="005D3193"/>
    <w:rsid w:val="005D4A6E"/>
    <w:rsid w:val="005E6979"/>
    <w:rsid w:val="005E75CB"/>
    <w:rsid w:val="006013C1"/>
    <w:rsid w:val="0060669E"/>
    <w:rsid w:val="00610F2E"/>
    <w:rsid w:val="00611399"/>
    <w:rsid w:val="00624C4E"/>
    <w:rsid w:val="00625200"/>
    <w:rsid w:val="006333E0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669E4"/>
    <w:rsid w:val="0067305D"/>
    <w:rsid w:val="00677D9B"/>
    <w:rsid w:val="006867F3"/>
    <w:rsid w:val="00687890"/>
    <w:rsid w:val="006901A2"/>
    <w:rsid w:val="00690368"/>
    <w:rsid w:val="0069079C"/>
    <w:rsid w:val="00690B53"/>
    <w:rsid w:val="006948FD"/>
    <w:rsid w:val="00695803"/>
    <w:rsid w:val="00695B72"/>
    <w:rsid w:val="006B160A"/>
    <w:rsid w:val="006B4E6C"/>
    <w:rsid w:val="006B50B6"/>
    <w:rsid w:val="006C250A"/>
    <w:rsid w:val="006C539F"/>
    <w:rsid w:val="006D79EA"/>
    <w:rsid w:val="006E234F"/>
    <w:rsid w:val="006E5D05"/>
    <w:rsid w:val="00701053"/>
    <w:rsid w:val="00701507"/>
    <w:rsid w:val="00714021"/>
    <w:rsid w:val="00716A0F"/>
    <w:rsid w:val="00717743"/>
    <w:rsid w:val="00717D45"/>
    <w:rsid w:val="007208F7"/>
    <w:rsid w:val="007218AF"/>
    <w:rsid w:val="007365D1"/>
    <w:rsid w:val="00740E0E"/>
    <w:rsid w:val="00750212"/>
    <w:rsid w:val="00752FFA"/>
    <w:rsid w:val="00754779"/>
    <w:rsid w:val="0075716D"/>
    <w:rsid w:val="00760EEF"/>
    <w:rsid w:val="00765F14"/>
    <w:rsid w:val="00767B88"/>
    <w:rsid w:val="00770E31"/>
    <w:rsid w:val="00771DBD"/>
    <w:rsid w:val="007770F1"/>
    <w:rsid w:val="00783FB1"/>
    <w:rsid w:val="00785CDD"/>
    <w:rsid w:val="007873C8"/>
    <w:rsid w:val="00791847"/>
    <w:rsid w:val="007925F0"/>
    <w:rsid w:val="007939B3"/>
    <w:rsid w:val="0079509C"/>
    <w:rsid w:val="00796708"/>
    <w:rsid w:val="007B1B42"/>
    <w:rsid w:val="007B49ED"/>
    <w:rsid w:val="007C1723"/>
    <w:rsid w:val="007C30EB"/>
    <w:rsid w:val="007E063C"/>
    <w:rsid w:val="007E2A4B"/>
    <w:rsid w:val="007E307D"/>
    <w:rsid w:val="007E475D"/>
    <w:rsid w:val="007E6A4E"/>
    <w:rsid w:val="007E6C94"/>
    <w:rsid w:val="007F1005"/>
    <w:rsid w:val="007F228A"/>
    <w:rsid w:val="007F25E0"/>
    <w:rsid w:val="007F2B28"/>
    <w:rsid w:val="007F5328"/>
    <w:rsid w:val="00804F5A"/>
    <w:rsid w:val="0081074E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B0A92"/>
    <w:rsid w:val="008B403C"/>
    <w:rsid w:val="008B7983"/>
    <w:rsid w:val="008C2511"/>
    <w:rsid w:val="008D026D"/>
    <w:rsid w:val="008D23AB"/>
    <w:rsid w:val="008D4B8B"/>
    <w:rsid w:val="008D5A78"/>
    <w:rsid w:val="008E7B64"/>
    <w:rsid w:val="008F3718"/>
    <w:rsid w:val="008F5DCD"/>
    <w:rsid w:val="00900951"/>
    <w:rsid w:val="00905950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3CC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383A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855"/>
    <w:rsid w:val="00A01D0C"/>
    <w:rsid w:val="00A0643F"/>
    <w:rsid w:val="00A067EE"/>
    <w:rsid w:val="00A0687A"/>
    <w:rsid w:val="00A10FCE"/>
    <w:rsid w:val="00A146FA"/>
    <w:rsid w:val="00A15493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1494"/>
    <w:rsid w:val="00A81EE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AF6E57"/>
    <w:rsid w:val="00B00A25"/>
    <w:rsid w:val="00B1422A"/>
    <w:rsid w:val="00B1424E"/>
    <w:rsid w:val="00B1765C"/>
    <w:rsid w:val="00B213C4"/>
    <w:rsid w:val="00B25261"/>
    <w:rsid w:val="00B26126"/>
    <w:rsid w:val="00B40C60"/>
    <w:rsid w:val="00B479A9"/>
    <w:rsid w:val="00B52EDF"/>
    <w:rsid w:val="00B55B13"/>
    <w:rsid w:val="00B71188"/>
    <w:rsid w:val="00B76311"/>
    <w:rsid w:val="00B76A41"/>
    <w:rsid w:val="00B77B04"/>
    <w:rsid w:val="00B87D4C"/>
    <w:rsid w:val="00B93646"/>
    <w:rsid w:val="00BA0B38"/>
    <w:rsid w:val="00BA1DBB"/>
    <w:rsid w:val="00BA4510"/>
    <w:rsid w:val="00BA529A"/>
    <w:rsid w:val="00BB1D45"/>
    <w:rsid w:val="00BB612A"/>
    <w:rsid w:val="00BD499F"/>
    <w:rsid w:val="00BD56DE"/>
    <w:rsid w:val="00BF2406"/>
    <w:rsid w:val="00C06E43"/>
    <w:rsid w:val="00C12545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76F2E"/>
    <w:rsid w:val="00C850A0"/>
    <w:rsid w:val="00C85A86"/>
    <w:rsid w:val="00C978F0"/>
    <w:rsid w:val="00C97AE5"/>
    <w:rsid w:val="00CA58FE"/>
    <w:rsid w:val="00CA7D5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056B1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300D"/>
    <w:rsid w:val="00D87570"/>
    <w:rsid w:val="00D91CB9"/>
    <w:rsid w:val="00D97989"/>
    <w:rsid w:val="00D97D8D"/>
    <w:rsid w:val="00DA352E"/>
    <w:rsid w:val="00DA64B1"/>
    <w:rsid w:val="00DC7694"/>
    <w:rsid w:val="00DD1BF6"/>
    <w:rsid w:val="00DD2F9B"/>
    <w:rsid w:val="00DD3054"/>
    <w:rsid w:val="00DD72EA"/>
    <w:rsid w:val="00DE2513"/>
    <w:rsid w:val="00DE26E8"/>
    <w:rsid w:val="00DF0C9B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476E9"/>
    <w:rsid w:val="00E51CAF"/>
    <w:rsid w:val="00E60F04"/>
    <w:rsid w:val="00E62AAC"/>
    <w:rsid w:val="00E66C93"/>
    <w:rsid w:val="00E67C2F"/>
    <w:rsid w:val="00E67EF5"/>
    <w:rsid w:val="00E804EA"/>
    <w:rsid w:val="00E80A71"/>
    <w:rsid w:val="00E82337"/>
    <w:rsid w:val="00E848A9"/>
    <w:rsid w:val="00E869F3"/>
    <w:rsid w:val="00E92499"/>
    <w:rsid w:val="00E949AF"/>
    <w:rsid w:val="00E94C9C"/>
    <w:rsid w:val="00E96077"/>
    <w:rsid w:val="00EA0A06"/>
    <w:rsid w:val="00EA6243"/>
    <w:rsid w:val="00EA74AB"/>
    <w:rsid w:val="00EB3D1B"/>
    <w:rsid w:val="00ED1D89"/>
    <w:rsid w:val="00ED66BC"/>
    <w:rsid w:val="00EF233A"/>
    <w:rsid w:val="00EF303E"/>
    <w:rsid w:val="00EF3A40"/>
    <w:rsid w:val="00EF7CFF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79D8"/>
    <w:rsid w:val="00F43AD5"/>
    <w:rsid w:val="00F4402E"/>
    <w:rsid w:val="00F5464D"/>
    <w:rsid w:val="00F56DD0"/>
    <w:rsid w:val="00F6491C"/>
    <w:rsid w:val="00F6745B"/>
    <w:rsid w:val="00F67BBB"/>
    <w:rsid w:val="00F80C60"/>
    <w:rsid w:val="00F83516"/>
    <w:rsid w:val="00F86DB2"/>
    <w:rsid w:val="00F87D92"/>
    <w:rsid w:val="00F90AA7"/>
    <w:rsid w:val="00F92498"/>
    <w:rsid w:val="00F938EC"/>
    <w:rsid w:val="00F9496B"/>
    <w:rsid w:val="00F970C9"/>
    <w:rsid w:val="00FA06A8"/>
    <w:rsid w:val="00FA3DF5"/>
    <w:rsid w:val="00FA741F"/>
    <w:rsid w:val="00FB4E07"/>
    <w:rsid w:val="00FB755A"/>
    <w:rsid w:val="00FC57D5"/>
    <w:rsid w:val="00FC60A2"/>
    <w:rsid w:val="00FD1871"/>
    <w:rsid w:val="00FD3110"/>
    <w:rsid w:val="00FF5C3D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6F26A7AC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BB1D45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0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7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72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72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57B2C"/>
    <w:rsid w:val="007E7810"/>
    <w:rsid w:val="00980285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285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1CD894BCBCF44D9890030338E9353CE2">
    <w:name w:val="1CD894BCBCF44D9890030338E9353CE2"/>
    <w:rsid w:val="00357B2C"/>
    <w:rPr>
      <w:lang w:val="en-US" w:eastAsia="en-US"/>
    </w:rPr>
  </w:style>
  <w:style w:type="paragraph" w:customStyle="1" w:styleId="B9B86420180E4C7A87EE234BCA9B11B5">
    <w:name w:val="B9B86420180E4C7A87EE234BCA9B11B5"/>
    <w:rsid w:val="00357B2C"/>
    <w:rPr>
      <w:lang w:val="en-US" w:eastAsia="en-US"/>
    </w:rPr>
  </w:style>
  <w:style w:type="paragraph" w:customStyle="1" w:styleId="1D6990DFFD49422B96540C5F26BA4FD7">
    <w:name w:val="1D6990DFFD49422B96540C5F26BA4FD7"/>
    <w:rsid w:val="00357B2C"/>
    <w:rPr>
      <w:lang w:val="en-US" w:eastAsia="en-US"/>
    </w:rPr>
  </w:style>
  <w:style w:type="paragraph" w:customStyle="1" w:styleId="8053DA920F0E4FC9A62DE634B2B36A2A">
    <w:name w:val="8053DA920F0E4FC9A62DE634B2B36A2A"/>
    <w:rsid w:val="00980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B6B7-3F78-4332-AC86-891D4538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bf54d604-3e62-4e70-ba33-9e9084b96a66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58D060-594F-4DD6-8153-C5E851A8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2661BC20.dotm</Template>
  <TotalTime>524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88</cp:revision>
  <cp:lastPrinted>2018-10-22T22:41:00Z</cp:lastPrinted>
  <dcterms:created xsi:type="dcterms:W3CDTF">2019-04-14T23:55:00Z</dcterms:created>
  <dcterms:modified xsi:type="dcterms:W3CDTF">2019-09-26T22:06:00Z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