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48F6D5C" w14:textId="77777777" w:rsidR="00BD499F" w:rsidRPr="004C23F4" w:rsidRDefault="00572747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Chloroacetaldehyde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8"/>
        <w:gridCol w:w="5058"/>
      </w:tblGrid>
      <w:tr w:rsidR="00F43AD5" w:rsidRPr="004C23F4" w14:paraId="10E42F66" w14:textId="77777777" w:rsidTr="00B76A41">
        <w:trPr>
          <w:cantSplit/>
          <w:tblHeader/>
        </w:trPr>
        <w:tc>
          <w:tcPr>
            <w:tcW w:w="4077" w:type="dxa"/>
          </w:tcPr>
          <w:p w14:paraId="5D630E6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C2C7729" w14:textId="77777777" w:rsidR="00F43AD5" w:rsidRPr="00717D45" w:rsidRDefault="00BB0EB5" w:rsidP="00B76A41">
            <w:pPr>
              <w:pStyle w:val="Tablefont"/>
            </w:pPr>
            <w:r>
              <w:t>107-20-0</w:t>
            </w:r>
          </w:p>
        </w:tc>
      </w:tr>
      <w:tr w:rsidR="00F43AD5" w:rsidRPr="004C23F4" w14:paraId="168E004B" w14:textId="77777777" w:rsidTr="00B76A41">
        <w:trPr>
          <w:cantSplit/>
        </w:trPr>
        <w:tc>
          <w:tcPr>
            <w:tcW w:w="4077" w:type="dxa"/>
          </w:tcPr>
          <w:p w14:paraId="1CFB04D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4F49892" w14:textId="77777777" w:rsidR="00F43AD5" w:rsidRPr="00717D45" w:rsidRDefault="00BB0EB5" w:rsidP="00B76A41">
            <w:pPr>
              <w:pStyle w:val="Tablefont"/>
            </w:pPr>
            <w:r>
              <w:t>2-chloroacetaldehyde</w:t>
            </w:r>
            <w:r w:rsidR="002F44CD">
              <w:t xml:space="preserve">, </w:t>
            </w:r>
            <w:r w:rsidR="002F44CD" w:rsidRPr="002F44CD">
              <w:t>chloroacetaldehyde monomer, 2-chloro-1-ethanal, monochloroacetaldehyde</w:t>
            </w:r>
          </w:p>
        </w:tc>
      </w:tr>
      <w:tr w:rsidR="00F43AD5" w:rsidRPr="004C23F4" w14:paraId="3681D64A" w14:textId="77777777" w:rsidTr="00B76A41">
        <w:trPr>
          <w:cantSplit/>
        </w:trPr>
        <w:tc>
          <w:tcPr>
            <w:tcW w:w="4077" w:type="dxa"/>
          </w:tcPr>
          <w:p w14:paraId="60ADFC4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DB366F7" w14:textId="77777777" w:rsidR="00F43AD5" w:rsidRPr="00717D45" w:rsidRDefault="00BB0EB5" w:rsidP="00B76A41">
            <w:pPr>
              <w:pStyle w:val="Tablefont"/>
            </w:pPr>
            <w:r>
              <w:t>C</w:t>
            </w:r>
            <w:r w:rsidRPr="00BB0EB5">
              <w:rPr>
                <w:vertAlign w:val="subscript"/>
              </w:rPr>
              <w:t>2</w:t>
            </w:r>
            <w:r>
              <w:t>H</w:t>
            </w:r>
            <w:r w:rsidRPr="00BB0EB5">
              <w:rPr>
                <w:vertAlign w:val="subscript"/>
              </w:rPr>
              <w:t>3</w:t>
            </w:r>
            <w:r>
              <w:t>ClO</w:t>
            </w:r>
          </w:p>
        </w:tc>
      </w:tr>
      <w:tr w:rsidR="00F43AD5" w:rsidRPr="004C23F4" w14:paraId="3F6DEBDE" w14:textId="77777777" w:rsidTr="00B76A41">
        <w:trPr>
          <w:cantSplit/>
        </w:trPr>
        <w:tc>
          <w:tcPr>
            <w:tcW w:w="4077" w:type="dxa"/>
          </w:tcPr>
          <w:p w14:paraId="2E06B671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291D38F" w14:textId="77777777" w:rsidR="00F43AD5" w:rsidRPr="00B40C60" w:rsidRDefault="00B221C6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6FE7218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17DC8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4FEC77F6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1A6C09BE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DBE7DCA" w14:textId="77777777" w:rsidR="002C7AFE" w:rsidRPr="00EB3D1B" w:rsidRDefault="00B221C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78370B6" w14:textId="77777777" w:rsidTr="00921DE7">
        <w:trPr>
          <w:cantSplit/>
        </w:trPr>
        <w:tc>
          <w:tcPr>
            <w:tcW w:w="4077" w:type="dxa"/>
            <w:vAlign w:val="center"/>
          </w:tcPr>
          <w:p w14:paraId="3DC30071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7CF4D45A" w14:textId="77777777" w:rsidR="002C7AFE" w:rsidRPr="00EB3D1B" w:rsidRDefault="00B221C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3E72E2F" w14:textId="77777777" w:rsidTr="00921DE7">
        <w:trPr>
          <w:cantSplit/>
        </w:trPr>
        <w:tc>
          <w:tcPr>
            <w:tcW w:w="4077" w:type="dxa"/>
            <w:vAlign w:val="center"/>
          </w:tcPr>
          <w:p w14:paraId="6887E53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07216F3" w14:textId="77777777" w:rsidR="002C7AFE" w:rsidRPr="00EB3D1B" w:rsidRDefault="00524C2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(3.2 mg/m</w:t>
            </w:r>
            <w:r>
              <w:rPr>
                <w:b/>
                <w:vertAlign w:val="superscript"/>
              </w:rPr>
              <w:t>3</w:t>
            </w:r>
            <w:r w:rsidRPr="00524C23">
              <w:rPr>
                <w:b/>
              </w:rPr>
              <w:t>)</w:t>
            </w:r>
          </w:p>
        </w:tc>
      </w:tr>
      <w:tr w:rsidR="002C7AFE" w:rsidRPr="004C23F4" w14:paraId="3EC7A040" w14:textId="77777777" w:rsidTr="00A2073D">
        <w:trPr>
          <w:cantSplit/>
        </w:trPr>
        <w:tc>
          <w:tcPr>
            <w:tcW w:w="4077" w:type="dxa"/>
          </w:tcPr>
          <w:p w14:paraId="06E3ACF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676F9583" w14:textId="77777777" w:rsidR="002C7AFE" w:rsidRPr="00EB3D1B" w:rsidRDefault="00156D87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2</w:t>
            </w:r>
          </w:p>
        </w:tc>
      </w:tr>
      <w:tr w:rsidR="002C7AFE" w:rsidRPr="004C23F4" w14:paraId="41273417" w14:textId="77777777" w:rsidTr="00921DE7">
        <w:trPr>
          <w:cantSplit/>
        </w:trPr>
        <w:tc>
          <w:tcPr>
            <w:tcW w:w="4077" w:type="dxa"/>
            <w:vAlign w:val="center"/>
          </w:tcPr>
          <w:p w14:paraId="0B5B930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5324ADAA" w14:textId="77777777" w:rsidR="002C7AFE" w:rsidRPr="00EB3D1B" w:rsidRDefault="002D77D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45 ppm</w:t>
            </w:r>
          </w:p>
        </w:tc>
      </w:tr>
      <w:tr w:rsidR="009F04D2" w:rsidRPr="004C23F4" w14:paraId="6EB2F6DD" w14:textId="77777777" w:rsidTr="00035DE2">
        <w:trPr>
          <w:cantSplit/>
        </w:trPr>
        <w:tc>
          <w:tcPr>
            <w:tcW w:w="4077" w:type="dxa"/>
          </w:tcPr>
          <w:p w14:paraId="18062E53" w14:textId="77777777" w:rsidR="009F04D2" w:rsidRDefault="009F04D2" w:rsidP="00035DE2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402BE312" w14:textId="40E94811" w:rsidR="009F04D2" w:rsidRPr="00035DE2" w:rsidRDefault="005B749F" w:rsidP="00A57046">
            <w:pPr>
              <w:pStyle w:val="Tablefont"/>
            </w:pPr>
            <w:r w:rsidRPr="00035DE2">
              <w:t xml:space="preserve">The recommended value is quantifiable through available sampling and analysis techniques. </w:t>
            </w:r>
          </w:p>
        </w:tc>
      </w:tr>
    </w:tbl>
    <w:p w14:paraId="62B5678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50BD5E" w14:textId="77777777" w:rsidR="006639B4" w:rsidRPr="004C23F4" w:rsidRDefault="00772AAF" w:rsidP="000C139A">
      <w:pPr>
        <w:rPr>
          <w:rFonts w:cs="Arial"/>
        </w:rPr>
      </w:pPr>
      <w:r>
        <w:t xml:space="preserve">A </w:t>
      </w:r>
      <w:r w:rsidR="00E444B0">
        <w:t>p</w:t>
      </w:r>
      <w:r w:rsidR="00524C23">
        <w:t>eak limitation of 1 ppm (3.2 mg/m</w:t>
      </w:r>
      <w:r w:rsidR="00524C23" w:rsidRPr="00196B8E">
        <w:rPr>
          <w:vertAlign w:val="superscript"/>
        </w:rPr>
        <w:t>3</w:t>
      </w:r>
      <w:r w:rsidR="00524C23">
        <w:t xml:space="preserve">) is </w:t>
      </w:r>
      <w:r w:rsidR="00AB64AC">
        <w:t xml:space="preserve">recommended </w:t>
      </w:r>
      <w:r w:rsidR="00524C23">
        <w:t xml:space="preserve">to </w:t>
      </w:r>
      <w:r w:rsidR="00035DE2">
        <w:t>protect</w:t>
      </w:r>
      <w:r w:rsidR="00524C23">
        <w:t xml:space="preserve"> for irritation of the eyes, skin, mucous membranes and respiratory tract in exposed workers.</w:t>
      </w:r>
    </w:p>
    <w:p w14:paraId="087DA28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6D00328" w14:textId="77777777" w:rsidR="00E444B0" w:rsidRDefault="001F568D" w:rsidP="00A17DC8">
      <w:r>
        <w:t xml:space="preserve">Chloroacetaldehyde </w:t>
      </w:r>
      <w:r w:rsidR="00932C1C">
        <w:t>is primarily</w:t>
      </w:r>
      <w:r>
        <w:t xml:space="preserve"> used </w:t>
      </w:r>
      <w:r w:rsidR="00035DE2">
        <w:t>in</w:t>
      </w:r>
      <w:r w:rsidR="004F78D2">
        <w:t xml:space="preserve"> the</w:t>
      </w:r>
      <w:r w:rsidR="00035DE2">
        <w:t xml:space="preserve"> synthesis of pharmaceuticals</w:t>
      </w:r>
      <w:r w:rsidR="00932C1C">
        <w:t>.</w:t>
      </w:r>
      <w:r w:rsidR="00C946EC">
        <w:t xml:space="preserve"> </w:t>
      </w:r>
    </w:p>
    <w:p w14:paraId="0515FCA3" w14:textId="45ED5962" w:rsidR="00932C1C" w:rsidRDefault="00E444B0" w:rsidP="00A17DC8">
      <w:r>
        <w:t>I</w:t>
      </w:r>
      <w:r w:rsidR="004F78D2">
        <w:t>n humans</w:t>
      </w:r>
      <w:r>
        <w:t>, exposure</w:t>
      </w:r>
      <w:r w:rsidR="004F78D2">
        <w:t xml:space="preserve"> is</w:t>
      </w:r>
      <w:r w:rsidR="00932C1C">
        <w:t xml:space="preserve"> reported </w:t>
      </w:r>
      <w:r w:rsidR="004F78D2">
        <w:t xml:space="preserve">to cause a </w:t>
      </w:r>
      <w:r w:rsidR="00932C1C">
        <w:t xml:space="preserve">burning sensation in the </w:t>
      </w:r>
      <w:r w:rsidR="003D4CD9">
        <w:t xml:space="preserve">upper respiratory tract and the </w:t>
      </w:r>
      <w:r w:rsidR="00932C1C">
        <w:t>mucous membranes of the nasal and oral passages</w:t>
      </w:r>
      <w:r w:rsidR="00677438">
        <w:t xml:space="preserve">. </w:t>
      </w:r>
      <w:r>
        <w:t>It</w:t>
      </w:r>
      <w:r w:rsidR="00677438">
        <w:t xml:space="preserve"> is also reported to cause</w:t>
      </w:r>
      <w:r w:rsidR="004F78D2">
        <w:t xml:space="preserve"> i</w:t>
      </w:r>
      <w:r w:rsidR="00932C1C">
        <w:t xml:space="preserve">ncreased ventilation rate, bronchial constriction, choking and coughing. </w:t>
      </w:r>
      <w:r w:rsidR="004F78D2">
        <w:t xml:space="preserve">Following </w:t>
      </w:r>
      <w:r>
        <w:t xml:space="preserve">exposure at </w:t>
      </w:r>
      <w:r w:rsidR="00932C1C">
        <w:t>low</w:t>
      </w:r>
      <w:r>
        <w:t xml:space="preserve"> concentrations</w:t>
      </w:r>
      <w:r w:rsidR="00932C1C">
        <w:t xml:space="preserve"> adverse effects</w:t>
      </w:r>
      <w:r w:rsidR="00772AAF">
        <w:t xml:space="preserve"> </w:t>
      </w:r>
      <w:r w:rsidR="00035DE2">
        <w:t>are</w:t>
      </w:r>
      <w:r w:rsidR="00932C1C">
        <w:t xml:space="preserve"> </w:t>
      </w:r>
      <w:r w:rsidR="00564031">
        <w:t>reversible</w:t>
      </w:r>
      <w:r w:rsidR="00DE3A17">
        <w:t>,</w:t>
      </w:r>
      <w:r w:rsidR="00564031">
        <w:t xml:space="preserve"> </w:t>
      </w:r>
      <w:r>
        <w:t xml:space="preserve">returning </w:t>
      </w:r>
      <w:r w:rsidR="005F6C78">
        <w:t xml:space="preserve">on </w:t>
      </w:r>
      <w:r w:rsidR="00932C1C">
        <w:t xml:space="preserve">re-exposure. No airborne concentration data </w:t>
      </w:r>
      <w:r w:rsidR="005F6C78">
        <w:t xml:space="preserve">are </w:t>
      </w:r>
      <w:r w:rsidR="00932C1C">
        <w:t>presented in relation to human studies</w:t>
      </w:r>
      <w:r w:rsidR="00A17DC8">
        <w:t>.</w:t>
      </w:r>
      <w:r w:rsidR="00932C1C">
        <w:t xml:space="preserve"> </w:t>
      </w:r>
      <w:r w:rsidR="00A17DC8">
        <w:t>A NO</w:t>
      </w:r>
      <w:r>
        <w:t>A</w:t>
      </w:r>
      <w:r w:rsidR="00A17DC8">
        <w:t>EL of 1.6</w:t>
      </w:r>
      <w:r w:rsidR="00772AAF">
        <w:t> </w:t>
      </w:r>
      <w:r w:rsidR="00A17DC8">
        <w:t xml:space="preserve">ppm </w:t>
      </w:r>
      <w:r w:rsidR="00A17DC8" w:rsidRPr="00A17DC8">
        <w:t>(5.2 mg/m</w:t>
      </w:r>
      <w:r w:rsidR="00A17DC8" w:rsidRPr="00A17DC8">
        <w:rPr>
          <w:vertAlign w:val="superscript"/>
        </w:rPr>
        <w:t>3</w:t>
      </w:r>
      <w:r w:rsidR="00A17DC8" w:rsidRPr="00A17DC8">
        <w:t xml:space="preserve">) </w:t>
      </w:r>
      <w:r w:rsidR="00A17DC8">
        <w:t xml:space="preserve">for systemic effects </w:t>
      </w:r>
      <w:r w:rsidR="00035DE2">
        <w:t xml:space="preserve">is reported </w:t>
      </w:r>
      <w:r w:rsidR="00A17DC8">
        <w:t>in a sub</w:t>
      </w:r>
      <w:r w:rsidR="005F6C78">
        <w:noBreakHyphen/>
      </w:r>
      <w:r w:rsidR="00A17DC8">
        <w:t>chronic</w:t>
      </w:r>
      <w:r w:rsidR="00A17DC8" w:rsidRPr="00A17DC8">
        <w:t xml:space="preserve"> inhalation study </w:t>
      </w:r>
      <w:r w:rsidR="00035DE2">
        <w:t>of</w:t>
      </w:r>
      <w:r w:rsidR="00035DE2" w:rsidRPr="00A17DC8">
        <w:t xml:space="preserve"> </w:t>
      </w:r>
      <w:r w:rsidR="00A17DC8" w:rsidRPr="00A17DC8">
        <w:t>rats,</w:t>
      </w:r>
      <w:r w:rsidR="00A17DC8">
        <w:t xml:space="preserve"> mice, rabbits and guinea pigs.</w:t>
      </w:r>
      <w:r w:rsidR="00C946EC">
        <w:t xml:space="preserve"> </w:t>
      </w:r>
      <w:r w:rsidR="008018B9">
        <w:t>Exposing rats</w:t>
      </w:r>
      <w:r w:rsidR="00A17DC8">
        <w:t xml:space="preserve"> to 5 ppm (no duration provided) resulted in eye and nasal irritation </w:t>
      </w:r>
      <w:r w:rsidR="00932C1C">
        <w:t>(ACGIH, 2018; DFG, 1999).</w:t>
      </w:r>
    </w:p>
    <w:p w14:paraId="3789AA4B" w14:textId="7D299E83" w:rsidR="00E444B0" w:rsidRDefault="005F6C78" w:rsidP="00A17DC8">
      <w:r>
        <w:t xml:space="preserve">The current </w:t>
      </w:r>
      <w:r w:rsidR="00E444B0">
        <w:t xml:space="preserve">peak limitation of 1 ppm (3.2 </w:t>
      </w:r>
      <w:r w:rsidR="00E444B0" w:rsidRPr="00156D87">
        <w:rPr>
          <w:rFonts w:cs="Arial"/>
        </w:rPr>
        <w:t>mg/m</w:t>
      </w:r>
      <w:r w:rsidR="00E444B0" w:rsidRPr="00156D87">
        <w:rPr>
          <w:rFonts w:cs="Arial"/>
          <w:vertAlign w:val="superscript"/>
        </w:rPr>
        <w:t>3</w:t>
      </w:r>
      <w:r w:rsidR="00E444B0">
        <w:rPr>
          <w:rFonts w:cs="Arial"/>
        </w:rPr>
        <w:t>)</w:t>
      </w:r>
      <w:r w:rsidR="00E444B0" w:rsidRPr="00156D87">
        <w:rPr>
          <w:sz w:val="18"/>
        </w:rPr>
        <w:t xml:space="preserve"> </w:t>
      </w:r>
      <w:r w:rsidR="00E444B0">
        <w:t>is considered protective of respiratory and irritant effects.</w:t>
      </w:r>
    </w:p>
    <w:p w14:paraId="3756D81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9AD9459" w14:textId="77777777" w:rsidR="00BD0C61" w:rsidRPr="00A17DC8" w:rsidRDefault="00524C23" w:rsidP="00BD0C61">
      <w:pPr>
        <w:rPr>
          <w:rFonts w:cs="Arial"/>
          <w:szCs w:val="20"/>
        </w:rPr>
      </w:pPr>
      <w:r w:rsidRPr="00A17DC8">
        <w:t>C</w:t>
      </w:r>
      <w:r w:rsidR="00BD0C61" w:rsidRPr="00A17DC8">
        <w:t xml:space="preserve">lassified as a </w:t>
      </w:r>
      <w:r w:rsidR="00A17DC8" w:rsidRPr="00A17DC8">
        <w:t xml:space="preserve">category 2 </w:t>
      </w:r>
      <w:r w:rsidR="002F1D73" w:rsidRPr="00A17DC8">
        <w:t xml:space="preserve">carcinogen </w:t>
      </w:r>
      <w:r w:rsidR="00BD0C61" w:rsidRPr="00A17DC8">
        <w:t>according to the Globally Harmonized System of Classification and Labelling o</w:t>
      </w:r>
      <w:r w:rsidR="00256054">
        <w:t>f</w:t>
      </w:r>
      <w:r w:rsidR="00BD0C61" w:rsidRPr="00A17DC8">
        <w:t xml:space="preserve"> Chemicals (GHS). </w:t>
      </w:r>
    </w:p>
    <w:p w14:paraId="3320DC92" w14:textId="77777777" w:rsidR="00BD0C61" w:rsidRPr="00524C23" w:rsidRDefault="00BD0C61" w:rsidP="00BD0C61">
      <w:pPr>
        <w:rPr>
          <w:rFonts w:ascii="Calibri" w:hAnsi="Calibri" w:cs="Calibri"/>
          <w:sz w:val="22"/>
        </w:rPr>
      </w:pPr>
      <w:r w:rsidRPr="00524C23">
        <w:t>Not classified as a skin</w:t>
      </w:r>
      <w:r w:rsidR="00AB64AC">
        <w:t xml:space="preserve"> sensitiser</w:t>
      </w:r>
      <w:r w:rsidRPr="00524C23">
        <w:t xml:space="preserve"> or respiratory sensitiser according to the GHS.</w:t>
      </w:r>
    </w:p>
    <w:p w14:paraId="0EBA9666" w14:textId="77777777" w:rsidR="0025734A" w:rsidRPr="004C23F4" w:rsidRDefault="00156D87" w:rsidP="00BD0C61">
      <w:pPr>
        <w:rPr>
          <w:rFonts w:cs="Arial"/>
        </w:rPr>
      </w:pPr>
      <w:r>
        <w:t>Dermal uptake is reported in animals. However, there are insufficient data to recommend a skin notation</w:t>
      </w:r>
      <w:r w:rsidR="00BD0C61" w:rsidRPr="00524C23">
        <w:t>.</w:t>
      </w:r>
    </w:p>
    <w:p w14:paraId="272873D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5F1B09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410596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8C22FE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241FE3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0CC718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CB40262" w14:textId="77777777" w:rsidR="00DE26E8" w:rsidRPr="003365A5" w:rsidRDefault="00DE26E8" w:rsidP="00156D8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6249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444B0">
                  <w:t>Peak limitation</w:t>
                </w:r>
                <w:r w:rsidR="00D62499">
                  <w:t>: 1 ppm (3.2 mg/m</w:t>
                </w:r>
                <w:r w:rsidR="00D62499" w:rsidRPr="00D62499">
                  <w:rPr>
                    <w:vertAlign w:val="superscript"/>
                  </w:rPr>
                  <w:t>3</w:t>
                </w:r>
                <w:r w:rsidR="00D62499">
                  <w:t xml:space="preserve">) </w:t>
                </w:r>
              </w:sdtContent>
            </w:sdt>
          </w:p>
        </w:tc>
      </w:tr>
      <w:tr w:rsidR="00C978F0" w:rsidRPr="00DA352E" w14:paraId="557D101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2BE85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7D7D94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DF554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96B8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96B8E">
                  <w:t>TLV-Ceiling: 1 ppm (3.2 mg/m</w:t>
                </w:r>
                <w:r w:rsidR="00196B8E" w:rsidRPr="00196B8E">
                  <w:rPr>
                    <w:vertAlign w:val="superscript"/>
                  </w:rPr>
                  <w:t>3</w:t>
                </w:r>
                <w:r w:rsidR="00196B8E">
                  <w:t>)</w:t>
                </w:r>
              </w:sdtContent>
            </w:sdt>
          </w:p>
        </w:tc>
      </w:tr>
      <w:tr w:rsidR="00C978F0" w:rsidRPr="00DA352E" w14:paraId="57E095A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B7CAD1" w14:textId="77777777" w:rsidR="00C978F0" w:rsidRDefault="000F34A1" w:rsidP="003365A5">
            <w:pPr>
              <w:pStyle w:val="Tabletextprimarysource"/>
            </w:pPr>
            <w:r>
              <w:t>TLV-Ceiling recommended to minimise the potential for irritation of the eyes, skin, mucous membranes and respiratory tract in exposed workers.</w:t>
            </w:r>
          </w:p>
          <w:p w14:paraId="2BEC9316" w14:textId="77777777" w:rsidR="000F34A1" w:rsidRDefault="000F34A1" w:rsidP="003365A5">
            <w:pPr>
              <w:pStyle w:val="Tabletextprimarysource"/>
            </w:pPr>
            <w:r>
              <w:t>Summary of data:</w:t>
            </w:r>
          </w:p>
          <w:p w14:paraId="2DD380B2" w14:textId="77777777" w:rsidR="00512A30" w:rsidRDefault="00512A30" w:rsidP="00512A30">
            <w:pPr>
              <w:pStyle w:val="Tabletextprimarysource"/>
            </w:pPr>
            <w:r>
              <w:t xml:space="preserve">Analogy with other aldehydes suggests that the recommended TLV-ceiling will not </w:t>
            </w:r>
            <w:r w:rsidR="00491E17">
              <w:t xml:space="preserve">be protective </w:t>
            </w:r>
            <w:r>
              <w:t>for all irritation effects</w:t>
            </w:r>
            <w:r w:rsidR="00C946EC">
              <w:t>.</w:t>
            </w:r>
          </w:p>
          <w:p w14:paraId="25FCEE01" w14:textId="77777777" w:rsidR="000F34A1" w:rsidRDefault="000F34A1" w:rsidP="000F34A1">
            <w:pPr>
              <w:pStyle w:val="Tabletextprimarysource"/>
            </w:pPr>
            <w:r>
              <w:t>Human data:</w:t>
            </w:r>
          </w:p>
          <w:p w14:paraId="73435ED2" w14:textId="77777777" w:rsidR="000F34A1" w:rsidRDefault="00491E17" w:rsidP="00156D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B</w:t>
            </w:r>
            <w:r w:rsidR="0030739A">
              <w:t>urning sensation in the mucous membranes of the nasal and oral passages and the upper respiratory tract, increased ventilation rate, bronchial constriction, choking and coughing</w:t>
            </w:r>
            <w:r w:rsidR="00772AAF">
              <w:t xml:space="preserve"> </w:t>
            </w:r>
            <w:r>
              <w:t xml:space="preserve">reported following </w:t>
            </w:r>
            <w:r w:rsidR="00035DE2">
              <w:t>inhalation</w:t>
            </w:r>
          </w:p>
          <w:p w14:paraId="7A99A2E9" w14:textId="451B93E8" w:rsidR="00E444B0" w:rsidRDefault="00E444B0" w:rsidP="00156D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At low concentrations a</w:t>
            </w:r>
            <w:r w:rsidR="00932C1C">
              <w:t xml:space="preserve">dverse </w:t>
            </w:r>
            <w:r>
              <w:t>effects</w:t>
            </w:r>
            <w:r w:rsidR="00A57046">
              <w:t xml:space="preserve"> were</w:t>
            </w:r>
            <w:r>
              <w:t xml:space="preserve"> </w:t>
            </w:r>
            <w:r w:rsidR="000658A3">
              <w:t xml:space="preserve">reversible </w:t>
            </w:r>
            <w:r w:rsidR="0030739A">
              <w:t>after 5</w:t>
            </w:r>
            <w:r w:rsidR="008018B9">
              <w:t>–</w:t>
            </w:r>
            <w:r w:rsidR="0030739A">
              <w:t xml:space="preserve">10 minutes </w:t>
            </w:r>
            <w:r w:rsidR="00035DE2">
              <w:t xml:space="preserve">following </w:t>
            </w:r>
            <w:r>
              <w:t>removal</w:t>
            </w:r>
          </w:p>
          <w:p w14:paraId="730BB1F6" w14:textId="77777777" w:rsidR="0030739A" w:rsidRDefault="0030739A" w:rsidP="00572747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effects returned </w:t>
            </w:r>
            <w:r w:rsidR="00E444B0">
              <w:t>up</w:t>
            </w:r>
            <w:r>
              <w:t>on re-exposure</w:t>
            </w:r>
          </w:p>
          <w:p w14:paraId="497BA56F" w14:textId="23FAD07C" w:rsidR="00DE3A17" w:rsidRDefault="003B5D18" w:rsidP="00DE3A1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Vapour concentrations producing even a slight irritation in humans potentially injurious</w:t>
            </w:r>
            <w:r w:rsidR="00035DE2">
              <w:t xml:space="preserve"> (n</w:t>
            </w:r>
            <w:r>
              <w:t>o exposure data provided</w:t>
            </w:r>
            <w:r w:rsidR="00035DE2">
              <w:t>)</w:t>
            </w:r>
            <w:r w:rsidR="00AB64AC">
              <w:t>.</w:t>
            </w:r>
          </w:p>
          <w:p w14:paraId="456006CD" w14:textId="77777777" w:rsidR="00DE3A17" w:rsidRDefault="00DE3A17" w:rsidP="003B5D18">
            <w:pPr>
              <w:pStyle w:val="Tabletextprimarysource"/>
            </w:pPr>
          </w:p>
          <w:p w14:paraId="67FFF3C0" w14:textId="62D2A064" w:rsidR="003B5D18" w:rsidRDefault="003B5D18" w:rsidP="003B5D18">
            <w:pPr>
              <w:pStyle w:val="Tabletextprimarysource"/>
            </w:pPr>
            <w:r>
              <w:t>Animal data:</w:t>
            </w:r>
          </w:p>
          <w:p w14:paraId="6136F280" w14:textId="77777777" w:rsidR="003B5D18" w:rsidRDefault="003B5D18" w:rsidP="00156D87">
            <w:pPr>
              <w:pStyle w:val="ListBullet"/>
              <w:spacing w:before="60" w:after="60"/>
              <w:ind w:left="726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2F1D73">
              <w:t>:</w:t>
            </w:r>
            <w:r>
              <w:t xml:space="preserve"> 67 mg/kg </w:t>
            </w:r>
            <w:r w:rsidR="002F1D73">
              <w:t>(</w:t>
            </w:r>
            <w:r>
              <w:t>rabbits</w:t>
            </w:r>
            <w:r w:rsidR="002F1D73">
              <w:t>, dermal)</w:t>
            </w:r>
          </w:p>
          <w:p w14:paraId="14020BF8" w14:textId="77777777" w:rsidR="003B5D18" w:rsidRDefault="003B5D18" w:rsidP="00156D87">
            <w:pPr>
              <w:pStyle w:val="ListBullet"/>
              <w:spacing w:before="60" w:after="60"/>
              <w:ind w:left="726" w:hanging="357"/>
              <w:contextualSpacing w:val="0"/>
            </w:pPr>
            <w:r>
              <w:t xml:space="preserve">Demonstrated acutely toxic effects (lethality) </w:t>
            </w:r>
            <w:r w:rsidRPr="00E444B0">
              <w:rPr>
                <w:i/>
              </w:rPr>
              <w:t>via</w:t>
            </w:r>
            <w:r>
              <w:t xml:space="preserve"> inhalation in mice</w:t>
            </w:r>
          </w:p>
          <w:p w14:paraId="2D91D90D" w14:textId="77777777" w:rsidR="003B5D18" w:rsidRDefault="003B5D18" w:rsidP="00156D87">
            <w:pPr>
              <w:pStyle w:val="ListBullet"/>
              <w:spacing w:before="60" w:after="60"/>
              <w:ind w:left="726" w:hanging="357"/>
              <w:contextualSpacing w:val="0"/>
            </w:pPr>
            <w:r>
              <w:t>Rats, mice, guinea pigs and rabbits e</w:t>
            </w:r>
            <w:r w:rsidR="00E444B0">
              <w:t>xposed 7 h/d, 5 d/wk for 6 mo at 1.6 ppm report</w:t>
            </w:r>
            <w:r>
              <w:t>ed no adverse effects in growth, mortality, haematology, organ weights and gross and microscopic examination</w:t>
            </w:r>
          </w:p>
          <w:p w14:paraId="4F4084CA" w14:textId="1F61AE52" w:rsidR="00AB64AC" w:rsidRDefault="00E444B0" w:rsidP="00156D87">
            <w:pPr>
              <w:pStyle w:val="ListBullet"/>
              <w:spacing w:before="60" w:after="60"/>
              <w:ind w:left="726" w:hanging="357"/>
              <w:contextualSpacing w:val="0"/>
            </w:pPr>
            <w:r>
              <w:t xml:space="preserve">Inhalation at 5 </w:t>
            </w:r>
            <w:r w:rsidR="005F6C78">
              <w:t xml:space="preserve">ppm </w:t>
            </w:r>
            <w:r>
              <w:t xml:space="preserve">in </w:t>
            </w:r>
            <w:r w:rsidR="00512A30">
              <w:t>rats</w:t>
            </w:r>
            <w:r w:rsidR="00156D87">
              <w:t xml:space="preserve"> </w:t>
            </w:r>
            <w:r w:rsidR="005F6C78">
              <w:t xml:space="preserve">caused </w:t>
            </w:r>
            <w:r w:rsidR="00156D87">
              <w:t>eye and nasal irritation and slight growth retardation in males</w:t>
            </w:r>
            <w:r w:rsidR="00AB64AC">
              <w:t>.</w:t>
            </w:r>
          </w:p>
          <w:p w14:paraId="793314A4" w14:textId="77777777" w:rsidR="000F34A1" w:rsidRDefault="00512A30" w:rsidP="003365A5">
            <w:pPr>
              <w:pStyle w:val="Tabletextprimarysource"/>
            </w:pPr>
            <w:r>
              <w:t xml:space="preserve">Positive mutagenicity in </w:t>
            </w:r>
            <w:r w:rsidRPr="00512A30">
              <w:rPr>
                <w:i/>
              </w:rPr>
              <w:t>Salmonella typhimurium</w:t>
            </w:r>
            <w:r>
              <w:rPr>
                <w:i/>
              </w:rPr>
              <w:t xml:space="preserve">; </w:t>
            </w:r>
            <w:r w:rsidRPr="00512A30">
              <w:rPr>
                <w:i/>
              </w:rPr>
              <w:t>Aspergillus nidulans</w:t>
            </w:r>
            <w:r>
              <w:t xml:space="preserve"> and </w:t>
            </w:r>
            <w:r w:rsidRPr="00512A30">
              <w:rPr>
                <w:i/>
              </w:rPr>
              <w:t>Streptomyces</w:t>
            </w:r>
            <w:r w:rsidR="00156D87">
              <w:rPr>
                <w:i/>
              </w:rPr>
              <w:t xml:space="preserve"> </w:t>
            </w:r>
            <w:r w:rsidRPr="00512A30">
              <w:rPr>
                <w:i/>
              </w:rPr>
              <w:t>coelicolor</w:t>
            </w:r>
            <w:r w:rsidR="000B6E86">
              <w:t>.</w:t>
            </w:r>
          </w:p>
          <w:p w14:paraId="37ABE0EC" w14:textId="77777777" w:rsidR="00AB64AC" w:rsidRPr="00DA352E" w:rsidRDefault="00AB64AC" w:rsidP="003365A5">
            <w:pPr>
              <w:pStyle w:val="Tabletextprimarysource"/>
            </w:pPr>
          </w:p>
        </w:tc>
      </w:tr>
      <w:tr w:rsidR="00C978F0" w:rsidRPr="00DA352E" w14:paraId="6799552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DD8F76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94CC8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F44CD">
                  <w:t>Not assigned</w:t>
                </w:r>
              </w:sdtContent>
            </w:sdt>
          </w:p>
        </w:tc>
      </w:tr>
      <w:tr w:rsidR="00C978F0" w:rsidRPr="00DA352E" w14:paraId="2D00887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063E434" w14:textId="77777777" w:rsidR="00C978F0" w:rsidRDefault="00471F43" w:rsidP="003365A5">
            <w:pPr>
              <w:pStyle w:val="Tabletextprimarysource"/>
            </w:pPr>
            <w:r>
              <w:t>No MAK recommended due to carcinogenic and genotoxic potential</w:t>
            </w:r>
            <w:r w:rsidR="00C946EC">
              <w:t>.</w:t>
            </w:r>
          </w:p>
          <w:p w14:paraId="1336531E" w14:textId="77777777" w:rsidR="00471F43" w:rsidRDefault="00471F43" w:rsidP="003365A5">
            <w:pPr>
              <w:pStyle w:val="Tabletextprimarysource"/>
            </w:pPr>
            <w:r>
              <w:t>Summary of additional data:</w:t>
            </w:r>
          </w:p>
          <w:p w14:paraId="261F7088" w14:textId="77777777" w:rsidR="008A22E2" w:rsidRDefault="008A22E2" w:rsidP="00156D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skin sensitisation following </w:t>
            </w:r>
            <w:r w:rsidRPr="008A22E2">
              <w:t>Magnusson-Kligman test on guinea pigs</w:t>
            </w:r>
          </w:p>
          <w:p w14:paraId="1F2CCFF4" w14:textId="77777777" w:rsidR="008A22E2" w:rsidRDefault="008A22E2" w:rsidP="00156D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Genotoxic </w:t>
            </w:r>
            <w:r>
              <w:rPr>
                <w:i/>
              </w:rPr>
              <w:t>in vitro</w:t>
            </w:r>
            <w:r>
              <w:t xml:space="preserve"> and produces DNA adducts with mutagenic effects; genotoxicity </w:t>
            </w:r>
            <w:r>
              <w:rPr>
                <w:i/>
              </w:rPr>
              <w:t>in</w:t>
            </w:r>
            <w:r w:rsidR="003879A2">
              <w:rPr>
                <w:i/>
              </w:rPr>
              <w:t> </w:t>
            </w:r>
            <w:r>
              <w:rPr>
                <w:i/>
              </w:rPr>
              <w:t xml:space="preserve">vitro </w:t>
            </w:r>
            <w:r>
              <w:t>not yet documented</w:t>
            </w:r>
          </w:p>
          <w:p w14:paraId="153298B0" w14:textId="77777777" w:rsidR="00491E17" w:rsidRDefault="008A22E2" w:rsidP="00156D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</w:t>
            </w:r>
            <w:r w:rsidRPr="008A22E2">
              <w:t xml:space="preserve">ncreased incidence of liver tumours found in a </w:t>
            </w:r>
            <w:r>
              <w:t>2</w:t>
            </w:r>
            <w:r w:rsidR="00C946EC">
              <w:t xml:space="preserve"> </w:t>
            </w:r>
            <w:r>
              <w:t>yr</w:t>
            </w:r>
            <w:r w:rsidRPr="008A22E2">
              <w:t xml:space="preserve"> study with male mice </w:t>
            </w:r>
            <w:r>
              <w:t>dosed orally</w:t>
            </w:r>
            <w:r w:rsidR="008018B9">
              <w:t>.</w:t>
            </w:r>
          </w:p>
          <w:p w14:paraId="511851A2" w14:textId="77777777" w:rsidR="008A22E2" w:rsidRPr="00DA352E" w:rsidRDefault="008A22E2" w:rsidP="00156D87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18AD858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87F5A0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E011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E0116">
                  <w:t>NA</w:t>
                </w:r>
              </w:sdtContent>
            </w:sdt>
          </w:p>
        </w:tc>
      </w:tr>
      <w:tr w:rsidR="00C978F0" w:rsidRPr="00DA352E" w14:paraId="6D6F4F5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3E759DD" w14:textId="77777777" w:rsidR="00C978F0" w:rsidRPr="00DA352E" w:rsidRDefault="00DE0116" w:rsidP="003365A5">
            <w:pPr>
              <w:pStyle w:val="Tabletextprimarysource"/>
            </w:pPr>
            <w:r>
              <w:t>No report</w:t>
            </w:r>
            <w:r w:rsidR="00156D87">
              <w:t>.</w:t>
            </w:r>
          </w:p>
        </w:tc>
      </w:tr>
      <w:tr w:rsidR="00DA352E" w:rsidRPr="00DA352E" w14:paraId="054923B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44D26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10A6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410A64">
                  <w:t>NA</w:t>
                </w:r>
              </w:sdtContent>
            </w:sdt>
          </w:p>
        </w:tc>
      </w:tr>
      <w:tr w:rsidR="00DA352E" w:rsidRPr="00DA352E" w14:paraId="3B1362E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1EC234E" w14:textId="77777777" w:rsidR="00DA352E" w:rsidRPr="00DA352E" w:rsidRDefault="00410A64" w:rsidP="003365A5">
            <w:pPr>
              <w:pStyle w:val="Tabletextprimarysource"/>
            </w:pPr>
            <w:r>
              <w:t>No report</w:t>
            </w:r>
            <w:r w:rsidR="00156D87">
              <w:t>.</w:t>
            </w:r>
          </w:p>
        </w:tc>
      </w:tr>
      <w:tr w:rsidR="00DA352E" w:rsidRPr="00DA352E" w14:paraId="486A150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1C5B2D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97A8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97A86">
                  <w:t>NA</w:t>
                </w:r>
              </w:sdtContent>
            </w:sdt>
          </w:p>
        </w:tc>
      </w:tr>
      <w:tr w:rsidR="00DA352E" w:rsidRPr="00DA352E" w14:paraId="3523135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8B4A4CD" w14:textId="77777777" w:rsidR="00DA352E" w:rsidRPr="00DA352E" w:rsidRDefault="00297A86" w:rsidP="003365A5">
            <w:pPr>
              <w:pStyle w:val="Tabletextprimarysource"/>
            </w:pPr>
            <w:r>
              <w:t>No report</w:t>
            </w:r>
            <w:r w:rsidR="00156D87">
              <w:t>.</w:t>
            </w:r>
          </w:p>
        </w:tc>
      </w:tr>
    </w:tbl>
    <w:p w14:paraId="1DAA5D75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BD00B5A" w14:textId="77777777" w:rsidR="007E2A4B" w:rsidRDefault="00156D87">
      <w:r>
        <w:t>NIL.</w:t>
      </w:r>
    </w:p>
    <w:bookmarkEnd w:id="0"/>
    <w:p w14:paraId="675037D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F70DEFA" w14:textId="77777777" w:rsidTr="000B6E86">
        <w:trPr>
          <w:trHeight w:val="454"/>
          <w:tblHeader/>
        </w:trPr>
        <w:tc>
          <w:tcPr>
            <w:tcW w:w="6597" w:type="dxa"/>
            <w:vAlign w:val="center"/>
          </w:tcPr>
          <w:p w14:paraId="0B7BEDA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C590DBD" w14:textId="77777777" w:rsidR="002E0D61" w:rsidRDefault="000B6E8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0415555" w14:textId="77777777" w:rsidTr="000B6E86">
        <w:trPr>
          <w:trHeight w:val="454"/>
        </w:trPr>
        <w:tc>
          <w:tcPr>
            <w:tcW w:w="6597" w:type="dxa"/>
            <w:vAlign w:val="center"/>
          </w:tcPr>
          <w:p w14:paraId="58271C6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F7A41F5" w14:textId="77777777" w:rsidR="008A36CF" w:rsidRDefault="000B6E8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156D87" w14:paraId="56FBBF96" w14:textId="77777777" w:rsidTr="00991E18">
        <w:trPr>
          <w:trHeight w:val="454"/>
        </w:trPr>
        <w:sdt>
          <w:sdtPr>
            <w:rPr>
              <w:b/>
            </w:rPr>
            <w:id w:val="1830936485"/>
            <w:placeholder>
              <w:docPart w:val="9818D6E8818F4C5CA57ECFCC2295E7A7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5736523" w14:textId="77777777" w:rsidR="00156D87" w:rsidRDefault="00156D8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12F1CF7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92C198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1B09FE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FF3706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5A5B148" w14:textId="77777777" w:rsidTr="00812887">
        <w:trPr>
          <w:cantSplit/>
        </w:trPr>
        <w:tc>
          <w:tcPr>
            <w:tcW w:w="3227" w:type="dxa"/>
          </w:tcPr>
          <w:p w14:paraId="3BDD12E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B2B4292" w14:textId="77777777" w:rsidR="00687890" w:rsidRPr="00DD2F9B" w:rsidRDefault="00B16FE0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ADD8243" w14:textId="77777777" w:rsidTr="00812887">
        <w:trPr>
          <w:cantSplit/>
        </w:trPr>
        <w:tc>
          <w:tcPr>
            <w:tcW w:w="3227" w:type="dxa"/>
          </w:tcPr>
          <w:p w14:paraId="308EF39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724D3C7" w14:textId="77777777" w:rsidR="007925F0" w:rsidRPr="00DD2F9B" w:rsidRDefault="00B16FE0" w:rsidP="00DD2F9B">
            <w:pPr>
              <w:pStyle w:val="Tablefont"/>
            </w:pPr>
            <w:r w:rsidRPr="00B16FE0">
              <w:t>Carcinogenicity – category 2</w:t>
            </w:r>
          </w:p>
        </w:tc>
      </w:tr>
      <w:tr w:rsidR="00AF483F" w:rsidRPr="004C23F4" w14:paraId="3CF97AF4" w14:textId="77777777" w:rsidTr="00812887">
        <w:trPr>
          <w:cantSplit/>
        </w:trPr>
        <w:tc>
          <w:tcPr>
            <w:tcW w:w="3227" w:type="dxa"/>
          </w:tcPr>
          <w:p w14:paraId="7EDB1FA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75B19CC" w14:textId="77777777" w:rsidR="00AF483F" w:rsidRPr="00DD2F9B" w:rsidRDefault="00FF448A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183A8821" w14:textId="77777777" w:rsidTr="00812887">
        <w:trPr>
          <w:cantSplit/>
        </w:trPr>
        <w:tc>
          <w:tcPr>
            <w:tcW w:w="3227" w:type="dxa"/>
          </w:tcPr>
          <w:p w14:paraId="49EEC64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83A1B69" w14:textId="77777777" w:rsidR="00687890" w:rsidRPr="00DD2F9B" w:rsidRDefault="001A47C4" w:rsidP="00DD2F9B">
            <w:pPr>
              <w:pStyle w:val="Tablefont"/>
            </w:pPr>
            <w:r w:rsidRPr="001A47C4">
              <w:t>Carcinogenicity – category 2</w:t>
            </w:r>
          </w:p>
        </w:tc>
      </w:tr>
      <w:tr w:rsidR="00E41A26" w:rsidRPr="004C23F4" w14:paraId="04B903A0" w14:textId="77777777" w:rsidTr="00812887">
        <w:trPr>
          <w:cantSplit/>
        </w:trPr>
        <w:tc>
          <w:tcPr>
            <w:tcW w:w="3227" w:type="dxa"/>
          </w:tcPr>
          <w:p w14:paraId="18850C9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33FE174" w14:textId="77777777" w:rsidR="00E41A26" w:rsidRPr="00DD2F9B" w:rsidRDefault="00012E3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F83AD4C" w14:textId="77777777" w:rsidTr="00812887">
        <w:trPr>
          <w:cantSplit/>
        </w:trPr>
        <w:tc>
          <w:tcPr>
            <w:tcW w:w="3227" w:type="dxa"/>
          </w:tcPr>
          <w:p w14:paraId="48CCB47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035156B" w14:textId="77777777" w:rsidR="002E0D61" w:rsidRPr="00DD2F9B" w:rsidRDefault="00B221C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CA5B278" w14:textId="77777777" w:rsidTr="00812887">
        <w:trPr>
          <w:cantSplit/>
        </w:trPr>
        <w:tc>
          <w:tcPr>
            <w:tcW w:w="3227" w:type="dxa"/>
          </w:tcPr>
          <w:p w14:paraId="399C072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1CBA5D5" w14:textId="77777777" w:rsidR="002E0D61" w:rsidRPr="00DD2F9B" w:rsidRDefault="00F20D2D" w:rsidP="00DD2F9B">
            <w:pPr>
              <w:pStyle w:val="Tablefont"/>
            </w:pPr>
            <w:r w:rsidRPr="00F20D2D">
              <w:t>Carcinogenicity – 3</w:t>
            </w:r>
            <w:r w:rsidR="00494CC8">
              <w:t xml:space="preserve">, </w:t>
            </w:r>
            <w:r w:rsidRPr="00F20D2D">
              <w:t>H (skin)</w:t>
            </w:r>
          </w:p>
        </w:tc>
      </w:tr>
      <w:tr w:rsidR="002E0D61" w:rsidRPr="004C23F4" w14:paraId="1705E08F" w14:textId="77777777" w:rsidTr="00812887">
        <w:trPr>
          <w:cantSplit/>
        </w:trPr>
        <w:tc>
          <w:tcPr>
            <w:tcW w:w="3227" w:type="dxa"/>
          </w:tcPr>
          <w:p w14:paraId="2BBC9A7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D7F484E" w14:textId="77777777" w:rsidR="002E0D61" w:rsidRPr="00DD2F9B" w:rsidRDefault="00297A8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9A69FC7" w14:textId="77777777" w:rsidTr="00812887">
        <w:trPr>
          <w:cantSplit/>
        </w:trPr>
        <w:tc>
          <w:tcPr>
            <w:tcW w:w="3227" w:type="dxa"/>
          </w:tcPr>
          <w:p w14:paraId="57848A1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2B37545" w14:textId="77777777" w:rsidR="002E0D61" w:rsidRPr="00DD2F9B" w:rsidRDefault="00993E3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5802410" w14:textId="77777777" w:rsidTr="00812887">
        <w:trPr>
          <w:cantSplit/>
        </w:trPr>
        <w:tc>
          <w:tcPr>
            <w:tcW w:w="3227" w:type="dxa"/>
          </w:tcPr>
          <w:p w14:paraId="584C424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0966A7E" w14:textId="77777777" w:rsidR="00386093" w:rsidRPr="00DD2F9B" w:rsidRDefault="000C465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34A7EA3" w14:textId="77777777" w:rsidTr="00812887">
        <w:trPr>
          <w:cantSplit/>
        </w:trPr>
        <w:tc>
          <w:tcPr>
            <w:tcW w:w="3227" w:type="dxa"/>
          </w:tcPr>
          <w:p w14:paraId="3FF44DC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59D4EE" w14:textId="77777777" w:rsidR="00386093" w:rsidRPr="00DD2F9B" w:rsidRDefault="000C465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BE8F45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2F20E7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18A824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B20B9F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C37475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61" w:type="dxa"/>
              <w:tblLook w:val="04A0" w:firstRow="1" w:lastRow="0" w:firstColumn="1" w:lastColumn="0" w:noHBand="0" w:noVBand="1"/>
            </w:tblPr>
            <w:tblGrid>
              <w:gridCol w:w="3585"/>
              <w:gridCol w:w="1057"/>
              <w:gridCol w:w="1057"/>
              <w:gridCol w:w="3111"/>
            </w:tblGrid>
            <w:tr w:rsidR="000B6E86" w:rsidRPr="000B6E86" w14:paraId="5340D7BB" w14:textId="77777777" w:rsidTr="000B6E86">
              <w:trPr>
                <w:trHeight w:val="331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B3F5DF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EC21F6" w14:textId="77777777" w:rsidR="000B6E86" w:rsidRPr="000B6E86" w:rsidRDefault="000B6E86" w:rsidP="000B6E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DFABD1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CF3569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6E86" w:rsidRPr="000B6E86" w14:paraId="6BD11341" w14:textId="77777777" w:rsidTr="000B6E86">
              <w:trPr>
                <w:trHeight w:val="331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A111EC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33987A4" w14:textId="77777777" w:rsidR="000B6E86" w:rsidRPr="000B6E86" w:rsidRDefault="000B6E86" w:rsidP="000B6E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1570A0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8E7FFE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6E86" w:rsidRPr="000B6E86" w14:paraId="34EAFAD4" w14:textId="77777777" w:rsidTr="000B6E86">
              <w:trPr>
                <w:trHeight w:val="331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DC98AD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DA0C9F" w14:textId="77777777" w:rsidR="000B6E86" w:rsidRPr="000B6E86" w:rsidRDefault="000B6E86" w:rsidP="000B6E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231F8D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7E64BA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6E86" w:rsidRPr="000B6E86" w14:paraId="1C1DAA6B" w14:textId="77777777" w:rsidTr="000B6E86">
              <w:trPr>
                <w:trHeight w:val="331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A566E4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69046F" w14:textId="77777777" w:rsidR="000B6E86" w:rsidRPr="000B6E86" w:rsidRDefault="000B6E86" w:rsidP="000B6E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DBD45D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6EDCE9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6E86" w:rsidRPr="000B6E86" w14:paraId="3A603C61" w14:textId="77777777" w:rsidTr="000B6E86">
              <w:trPr>
                <w:trHeight w:val="331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1F8132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AC2918" w14:textId="77777777" w:rsidR="000B6E86" w:rsidRPr="000B6E86" w:rsidRDefault="000B6E86" w:rsidP="000B6E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B12D99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2F230B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6E86" w:rsidRPr="000B6E86" w14:paraId="19B73833" w14:textId="77777777" w:rsidTr="000B6E86">
              <w:trPr>
                <w:trHeight w:val="331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F937D9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E034CF" w14:textId="77777777" w:rsidR="000B6E86" w:rsidRPr="000B6E86" w:rsidRDefault="000B6E86" w:rsidP="000B6E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56ACC9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2F6EB7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6E86" w:rsidRPr="000B6E86" w14:paraId="000EA512" w14:textId="77777777" w:rsidTr="000B6E86">
              <w:trPr>
                <w:trHeight w:val="331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F3CE93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48B345" w14:textId="77777777" w:rsidR="000B6E86" w:rsidRPr="000B6E86" w:rsidRDefault="000B6E86" w:rsidP="000B6E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123E0C" w14:textId="77777777" w:rsidR="000B6E86" w:rsidRPr="000B6E86" w:rsidRDefault="000B6E86" w:rsidP="000B6E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E34659" w14:textId="77777777" w:rsidR="000B6E86" w:rsidRPr="000B6E86" w:rsidRDefault="000B6E86" w:rsidP="000B6E8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6E8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4CDF43C2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5FB992C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E564DA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D3FB30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FC4073C" w14:textId="77777777" w:rsidR="00EB3D1B" w:rsidRDefault="001A47C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FEDFD1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47EDB7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813847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FCDC801" w14:textId="77777777" w:rsidR="001B79E5" w:rsidRDefault="00866F3F" w:rsidP="001B79E5">
                <w:pPr>
                  <w:pStyle w:val="Tablefont"/>
                </w:pPr>
                <w:r>
                  <w:t>78.50</w:t>
                </w:r>
              </w:p>
            </w:tc>
          </w:sdtContent>
        </w:sdt>
      </w:tr>
      <w:tr w:rsidR="00A31D99" w:rsidRPr="004C23F4" w14:paraId="0117D93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1B5CC2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666CECA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BB76D6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AF44DC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957788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3D37339" w14:textId="77777777" w:rsidTr="00EA6243">
        <w:trPr>
          <w:cantSplit/>
        </w:trPr>
        <w:tc>
          <w:tcPr>
            <w:tcW w:w="4077" w:type="dxa"/>
            <w:vAlign w:val="center"/>
          </w:tcPr>
          <w:p w14:paraId="16EC095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82F260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7CC19BE" w14:textId="77777777" w:rsidTr="00EA6243">
        <w:trPr>
          <w:cantSplit/>
        </w:trPr>
        <w:tc>
          <w:tcPr>
            <w:tcW w:w="4077" w:type="dxa"/>
            <w:vAlign w:val="center"/>
          </w:tcPr>
          <w:p w14:paraId="21F83C0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23CF1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D209507" w14:textId="77777777" w:rsidTr="00EA6243">
        <w:trPr>
          <w:cantSplit/>
        </w:trPr>
        <w:tc>
          <w:tcPr>
            <w:tcW w:w="4077" w:type="dxa"/>
            <w:vAlign w:val="center"/>
          </w:tcPr>
          <w:p w14:paraId="2C0461F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F2E452D" w14:textId="77777777" w:rsidR="00E06F40" w:rsidRPr="00A006A0" w:rsidRDefault="00CC6B2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6022AE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154DA8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C348F0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760A2D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2C16D0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F4FD8C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53D7BC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17FD40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FF5AC0B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ED5EEDF" w14:textId="77777777" w:rsidR="000153FE" w:rsidRDefault="000153FE" w:rsidP="00084859">
      <w:r w:rsidRPr="002022B6">
        <w:t>Deutsche Forschungsgemeinschaft (DFG)</w:t>
      </w:r>
      <w:r>
        <w:t xml:space="preserve"> (1999) Chloroacetaldehyde – MAK value documentation.</w:t>
      </w:r>
    </w:p>
    <w:p w14:paraId="0039C8CB" w14:textId="77777777" w:rsidR="00572947" w:rsidRDefault="00A5214A" w:rsidP="00084859">
      <w:r w:rsidRPr="00A5214A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43D8B6D0" w14:textId="77777777" w:rsidR="002F1D73" w:rsidRDefault="002F1D73" w:rsidP="002F1D73">
      <w:r>
        <w:t>US National Institute for Occupational Safety and Health (NIOSH) (1994) Immediately dangerous to life or health concentrations – Chloroacetaldehyde.</w:t>
      </w:r>
    </w:p>
    <w:p w14:paraId="6BEA23B3" w14:textId="77777777" w:rsidR="00A5214A" w:rsidRPr="00351FE0" w:rsidRDefault="00A5214A" w:rsidP="00084859"/>
    <w:sectPr w:rsidR="00A5214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FED10A" w16cid:durableId="212C7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4B4F" w14:textId="77777777" w:rsidR="00BD6577" w:rsidRDefault="00BD6577" w:rsidP="00F43AD5">
      <w:pPr>
        <w:spacing w:after="0" w:line="240" w:lineRule="auto"/>
      </w:pPr>
      <w:r>
        <w:separator/>
      </w:r>
    </w:p>
  </w:endnote>
  <w:endnote w:type="continuationSeparator" w:id="0">
    <w:p w14:paraId="34D2B86C" w14:textId="77777777" w:rsidR="00BD6577" w:rsidRDefault="00BD657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44E9" w14:textId="77777777" w:rsidR="00CC6B20" w:rsidRDefault="00CC6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00AC5A4" w14:textId="77777777" w:rsidR="008A36CF" w:rsidRDefault="0005519E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Chloroacetaldehyde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107-20-0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84CD5CE" w14:textId="417BC33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C6B20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66A2" w14:textId="77777777" w:rsidR="00CC6B20" w:rsidRDefault="00CC6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B2D95" w14:textId="77777777" w:rsidR="00BD6577" w:rsidRDefault="00BD6577" w:rsidP="00F43AD5">
      <w:pPr>
        <w:spacing w:after="0" w:line="240" w:lineRule="auto"/>
      </w:pPr>
      <w:r>
        <w:separator/>
      </w:r>
    </w:p>
  </w:footnote>
  <w:footnote w:type="continuationSeparator" w:id="0">
    <w:p w14:paraId="65C1B745" w14:textId="77777777" w:rsidR="00BD6577" w:rsidRDefault="00BD657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973A" w14:textId="77777777" w:rsidR="00CC6B20" w:rsidRDefault="00CC6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29C2" w14:textId="77777777" w:rsidR="00CC6B20" w:rsidRDefault="00CC6B20" w:rsidP="00CC6B20">
    <w:pPr>
      <w:pStyle w:val="Header"/>
      <w:jc w:val="right"/>
    </w:pPr>
    <w:sdt>
      <w:sdtPr>
        <w:id w:val="-129255651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7911B3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104D6B7" wp14:editId="31ADD8C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EAAE6" w14:textId="13135799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9E56" w14:textId="77777777" w:rsidR="00CC6B20" w:rsidRDefault="00CC6B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A23E" w14:textId="77777777" w:rsidR="00CC6B20" w:rsidRDefault="00CC6B20" w:rsidP="00CC6B20">
    <w:pPr>
      <w:pStyle w:val="Header"/>
      <w:jc w:val="right"/>
    </w:pPr>
    <w:sdt>
      <w:sdtPr>
        <w:id w:val="947279632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13152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D54E99C" wp14:editId="0D92CB49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E1D25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6C46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E40A5"/>
    <w:multiLevelType w:val="hybridMultilevel"/>
    <w:tmpl w:val="5F2E06B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4A2867"/>
    <w:multiLevelType w:val="hybridMultilevel"/>
    <w:tmpl w:val="44EA49C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B0CCE"/>
    <w:multiLevelType w:val="hybridMultilevel"/>
    <w:tmpl w:val="F5BCE60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B7A42"/>
    <w:multiLevelType w:val="hybridMultilevel"/>
    <w:tmpl w:val="13AE8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E36"/>
    <w:rsid w:val="00013A22"/>
    <w:rsid w:val="00014C3F"/>
    <w:rsid w:val="000153FE"/>
    <w:rsid w:val="00017C82"/>
    <w:rsid w:val="00032B88"/>
    <w:rsid w:val="00035DE2"/>
    <w:rsid w:val="00046DF5"/>
    <w:rsid w:val="00052060"/>
    <w:rsid w:val="0005519E"/>
    <w:rsid w:val="0005574A"/>
    <w:rsid w:val="00055FE1"/>
    <w:rsid w:val="00056EC2"/>
    <w:rsid w:val="00060B48"/>
    <w:rsid w:val="000658A3"/>
    <w:rsid w:val="00067F32"/>
    <w:rsid w:val="00071807"/>
    <w:rsid w:val="000803E1"/>
    <w:rsid w:val="0008330B"/>
    <w:rsid w:val="00084513"/>
    <w:rsid w:val="00084859"/>
    <w:rsid w:val="00092D94"/>
    <w:rsid w:val="000B0868"/>
    <w:rsid w:val="000B3E12"/>
    <w:rsid w:val="000B3E78"/>
    <w:rsid w:val="000B6E86"/>
    <w:rsid w:val="000B7B48"/>
    <w:rsid w:val="000C096D"/>
    <w:rsid w:val="000C139A"/>
    <w:rsid w:val="000C2053"/>
    <w:rsid w:val="000C248C"/>
    <w:rsid w:val="000C4658"/>
    <w:rsid w:val="000C493D"/>
    <w:rsid w:val="000D291C"/>
    <w:rsid w:val="000E5A54"/>
    <w:rsid w:val="000E63D3"/>
    <w:rsid w:val="000E67CF"/>
    <w:rsid w:val="000F34A1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6D87"/>
    <w:rsid w:val="00160F47"/>
    <w:rsid w:val="00177CA1"/>
    <w:rsid w:val="00183823"/>
    <w:rsid w:val="00183942"/>
    <w:rsid w:val="00196B8E"/>
    <w:rsid w:val="001A009E"/>
    <w:rsid w:val="001A1287"/>
    <w:rsid w:val="001A3859"/>
    <w:rsid w:val="001A3C9D"/>
    <w:rsid w:val="001A43F8"/>
    <w:rsid w:val="001A47C4"/>
    <w:rsid w:val="001B522C"/>
    <w:rsid w:val="001B79E5"/>
    <w:rsid w:val="001D56F0"/>
    <w:rsid w:val="001D663B"/>
    <w:rsid w:val="001D7B41"/>
    <w:rsid w:val="001E46DA"/>
    <w:rsid w:val="001E7D80"/>
    <w:rsid w:val="001F4B6C"/>
    <w:rsid w:val="001F568D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6054"/>
    <w:rsid w:val="0025734A"/>
    <w:rsid w:val="00263255"/>
    <w:rsid w:val="00271FA0"/>
    <w:rsid w:val="00275951"/>
    <w:rsid w:val="00276494"/>
    <w:rsid w:val="00277B0C"/>
    <w:rsid w:val="00297A86"/>
    <w:rsid w:val="002B1A2C"/>
    <w:rsid w:val="002C34F2"/>
    <w:rsid w:val="002C58FF"/>
    <w:rsid w:val="002C7AFE"/>
    <w:rsid w:val="002D05D2"/>
    <w:rsid w:val="002D77D0"/>
    <w:rsid w:val="002E0D61"/>
    <w:rsid w:val="002E4C7B"/>
    <w:rsid w:val="002F1D73"/>
    <w:rsid w:val="002F44CD"/>
    <w:rsid w:val="0030739A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D91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879A2"/>
    <w:rsid w:val="003904A4"/>
    <w:rsid w:val="00391841"/>
    <w:rsid w:val="00391B6D"/>
    <w:rsid w:val="00394922"/>
    <w:rsid w:val="003A0E32"/>
    <w:rsid w:val="003A2B94"/>
    <w:rsid w:val="003B387D"/>
    <w:rsid w:val="003B5D18"/>
    <w:rsid w:val="003C0D58"/>
    <w:rsid w:val="003D4CD9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0A64"/>
    <w:rsid w:val="004160E5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1F43"/>
    <w:rsid w:val="00472A11"/>
    <w:rsid w:val="00472AAD"/>
    <w:rsid w:val="00474E33"/>
    <w:rsid w:val="00476803"/>
    <w:rsid w:val="00485BFD"/>
    <w:rsid w:val="004867A2"/>
    <w:rsid w:val="004873F2"/>
    <w:rsid w:val="00490D4C"/>
    <w:rsid w:val="00491E17"/>
    <w:rsid w:val="00493A35"/>
    <w:rsid w:val="00494CC8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4F78D2"/>
    <w:rsid w:val="0050005E"/>
    <w:rsid w:val="00502B88"/>
    <w:rsid w:val="00512A30"/>
    <w:rsid w:val="005142C4"/>
    <w:rsid w:val="0051509C"/>
    <w:rsid w:val="00524C23"/>
    <w:rsid w:val="005272E2"/>
    <w:rsid w:val="0053108F"/>
    <w:rsid w:val="00532B56"/>
    <w:rsid w:val="00534B10"/>
    <w:rsid w:val="005446A2"/>
    <w:rsid w:val="00544D2F"/>
    <w:rsid w:val="0054512B"/>
    <w:rsid w:val="00551BD8"/>
    <w:rsid w:val="00561B04"/>
    <w:rsid w:val="00564031"/>
    <w:rsid w:val="00572747"/>
    <w:rsid w:val="00572947"/>
    <w:rsid w:val="00581055"/>
    <w:rsid w:val="00591E38"/>
    <w:rsid w:val="005A19C5"/>
    <w:rsid w:val="005A3034"/>
    <w:rsid w:val="005A462D"/>
    <w:rsid w:val="005B253B"/>
    <w:rsid w:val="005B749F"/>
    <w:rsid w:val="005B771D"/>
    <w:rsid w:val="005C5D16"/>
    <w:rsid w:val="005D3193"/>
    <w:rsid w:val="005D4A6E"/>
    <w:rsid w:val="005E6979"/>
    <w:rsid w:val="005E75CB"/>
    <w:rsid w:val="005F6C78"/>
    <w:rsid w:val="006013C1"/>
    <w:rsid w:val="0060669E"/>
    <w:rsid w:val="00610F2E"/>
    <w:rsid w:val="00611399"/>
    <w:rsid w:val="00624C4E"/>
    <w:rsid w:val="00625200"/>
    <w:rsid w:val="00632ABA"/>
    <w:rsid w:val="006363A8"/>
    <w:rsid w:val="00636DB7"/>
    <w:rsid w:val="00650905"/>
    <w:rsid w:val="006532ED"/>
    <w:rsid w:val="006549F2"/>
    <w:rsid w:val="006561D8"/>
    <w:rsid w:val="006567B7"/>
    <w:rsid w:val="00657BFB"/>
    <w:rsid w:val="0066333C"/>
    <w:rsid w:val="006639B4"/>
    <w:rsid w:val="006650FE"/>
    <w:rsid w:val="0067305D"/>
    <w:rsid w:val="00677438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0EC6"/>
    <w:rsid w:val="006D79EA"/>
    <w:rsid w:val="006E5D05"/>
    <w:rsid w:val="00701053"/>
    <w:rsid w:val="00701507"/>
    <w:rsid w:val="00714021"/>
    <w:rsid w:val="00716A0F"/>
    <w:rsid w:val="00717B9D"/>
    <w:rsid w:val="00717D45"/>
    <w:rsid w:val="007208F7"/>
    <w:rsid w:val="007218AF"/>
    <w:rsid w:val="007365D1"/>
    <w:rsid w:val="00740966"/>
    <w:rsid w:val="00740E0E"/>
    <w:rsid w:val="00750212"/>
    <w:rsid w:val="00754779"/>
    <w:rsid w:val="0075716D"/>
    <w:rsid w:val="00765F14"/>
    <w:rsid w:val="00770E31"/>
    <w:rsid w:val="00772AAF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3C70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18B9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6F3F"/>
    <w:rsid w:val="00871CD5"/>
    <w:rsid w:val="008745A2"/>
    <w:rsid w:val="008768A8"/>
    <w:rsid w:val="0088798F"/>
    <w:rsid w:val="00887E4B"/>
    <w:rsid w:val="008915C8"/>
    <w:rsid w:val="008A22E2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C1C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0A65"/>
    <w:rsid w:val="00974F2D"/>
    <w:rsid w:val="00977524"/>
    <w:rsid w:val="00977E88"/>
    <w:rsid w:val="00984920"/>
    <w:rsid w:val="0099303A"/>
    <w:rsid w:val="00993E3E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17DC8"/>
    <w:rsid w:val="00A2073D"/>
    <w:rsid w:val="00A20751"/>
    <w:rsid w:val="00A27E2D"/>
    <w:rsid w:val="00A31D99"/>
    <w:rsid w:val="00A357BA"/>
    <w:rsid w:val="00A35ADC"/>
    <w:rsid w:val="00A402A3"/>
    <w:rsid w:val="00A4506C"/>
    <w:rsid w:val="00A5214A"/>
    <w:rsid w:val="00A53681"/>
    <w:rsid w:val="00A57046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64AC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6FE0"/>
    <w:rsid w:val="00B1765C"/>
    <w:rsid w:val="00B213C4"/>
    <w:rsid w:val="00B221C6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0EB5"/>
    <w:rsid w:val="00BB612A"/>
    <w:rsid w:val="00BD0C61"/>
    <w:rsid w:val="00BD499F"/>
    <w:rsid w:val="00BD56DE"/>
    <w:rsid w:val="00BD6577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46EC"/>
    <w:rsid w:val="00C978F0"/>
    <w:rsid w:val="00CA58FE"/>
    <w:rsid w:val="00CB1CB1"/>
    <w:rsid w:val="00CB6BC1"/>
    <w:rsid w:val="00CB6CB8"/>
    <w:rsid w:val="00CC1A68"/>
    <w:rsid w:val="00CC2123"/>
    <w:rsid w:val="00CC6B20"/>
    <w:rsid w:val="00CC724C"/>
    <w:rsid w:val="00CD2BFD"/>
    <w:rsid w:val="00CE5AD6"/>
    <w:rsid w:val="00CE617F"/>
    <w:rsid w:val="00CE78EF"/>
    <w:rsid w:val="00D048F7"/>
    <w:rsid w:val="00D050C1"/>
    <w:rsid w:val="00D0517E"/>
    <w:rsid w:val="00D140FC"/>
    <w:rsid w:val="00D21D8C"/>
    <w:rsid w:val="00D31357"/>
    <w:rsid w:val="00D33220"/>
    <w:rsid w:val="00D334D1"/>
    <w:rsid w:val="00D44C89"/>
    <w:rsid w:val="00D516CD"/>
    <w:rsid w:val="00D62499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0116"/>
    <w:rsid w:val="00DE2513"/>
    <w:rsid w:val="00DE26E8"/>
    <w:rsid w:val="00DE3A17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44B0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1A77"/>
    <w:rsid w:val="00EB3D1B"/>
    <w:rsid w:val="00EC3940"/>
    <w:rsid w:val="00ED1D89"/>
    <w:rsid w:val="00ED66BC"/>
    <w:rsid w:val="00EE7682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D2D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5139"/>
    <w:rsid w:val="00FC60A2"/>
    <w:rsid w:val="00FD1871"/>
    <w:rsid w:val="00FD3110"/>
    <w:rsid w:val="00FF448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513945FA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F34A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C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C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C7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818D6E8818F4C5CA57ECFCC2295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2504-52F2-40D1-94BF-7FB8D5FB22F1}"/>
      </w:docPartPr>
      <w:docPartBody>
        <w:p w:rsidR="00DC0E8A" w:rsidRDefault="00B66ECA" w:rsidP="00B66ECA">
          <w:pPr>
            <w:pStyle w:val="9818D6E8818F4C5CA57ECFCC2295E7A7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4218B"/>
    <w:rsid w:val="00A961D1"/>
    <w:rsid w:val="00B66ECA"/>
    <w:rsid w:val="00D21A9F"/>
    <w:rsid w:val="00DC0E8A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EC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0E3D63BBC37C4201837F1471974011B7">
    <w:name w:val="0E3D63BBC37C4201837F1471974011B7"/>
    <w:rsid w:val="0054218B"/>
    <w:rPr>
      <w:lang w:val="en-US" w:eastAsia="en-US"/>
    </w:rPr>
  </w:style>
  <w:style w:type="paragraph" w:customStyle="1" w:styleId="28946ABF44A4483592E9959B0CE0254A">
    <w:name w:val="28946ABF44A4483592E9959B0CE0254A"/>
    <w:rsid w:val="0054218B"/>
    <w:rPr>
      <w:lang w:val="en-US" w:eastAsia="en-US"/>
    </w:rPr>
  </w:style>
  <w:style w:type="paragraph" w:customStyle="1" w:styleId="9818D6E8818F4C5CA57ECFCC2295E7A7">
    <w:name w:val="9818D6E8818F4C5CA57ECFCC2295E7A7"/>
    <w:rsid w:val="00B66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bf54d604-3e62-4e70-ba33-9e9084b96a6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D76995-346E-4750-9B06-E6A58E98B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29440-F822-46F8-ADD2-8345A2D4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903FA2D1.dotm</Template>
  <TotalTime>1451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63</cp:revision>
  <cp:lastPrinted>2018-10-22T22:41:00Z</cp:lastPrinted>
  <dcterms:created xsi:type="dcterms:W3CDTF">2019-04-14T23:55:00Z</dcterms:created>
  <dcterms:modified xsi:type="dcterms:W3CDTF">2019-09-26T01:03:00Z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