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33A9A59" w14:textId="77777777" w:rsidR="00BD499F" w:rsidRPr="004C23F4" w:rsidRDefault="00493F2B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chloropicrin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3"/>
        <w:gridCol w:w="5053"/>
      </w:tblGrid>
      <w:tr w:rsidR="00F43AD5" w:rsidRPr="004C23F4" w14:paraId="5873E7F5" w14:textId="77777777" w:rsidTr="00B76A41">
        <w:trPr>
          <w:cantSplit/>
          <w:tblHeader/>
        </w:trPr>
        <w:tc>
          <w:tcPr>
            <w:tcW w:w="4077" w:type="dxa"/>
          </w:tcPr>
          <w:p w14:paraId="3A400E9E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67D8569" w14:textId="77777777" w:rsidR="00F43AD5" w:rsidRPr="00717D45" w:rsidRDefault="00493F2B" w:rsidP="00B76A41">
            <w:pPr>
              <w:pStyle w:val="Tablefont"/>
            </w:pPr>
            <w:r>
              <w:t>76-06-2</w:t>
            </w:r>
          </w:p>
        </w:tc>
      </w:tr>
      <w:tr w:rsidR="00F43AD5" w:rsidRPr="004C23F4" w14:paraId="7979B14E" w14:textId="77777777" w:rsidTr="00B76A41">
        <w:trPr>
          <w:cantSplit/>
        </w:trPr>
        <w:tc>
          <w:tcPr>
            <w:tcW w:w="4077" w:type="dxa"/>
          </w:tcPr>
          <w:p w14:paraId="71968189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5F45550" w14:textId="77777777" w:rsidR="00F43AD5" w:rsidRPr="00717D45" w:rsidRDefault="00493F2B" w:rsidP="00B76A41">
            <w:pPr>
              <w:pStyle w:val="Tablefont"/>
            </w:pPr>
            <w:r>
              <w:t>Nitrochloroform, trichloronitromethane, nitrotrichloromethane, acquinite</w:t>
            </w:r>
          </w:p>
        </w:tc>
      </w:tr>
      <w:tr w:rsidR="00F43AD5" w:rsidRPr="004C23F4" w14:paraId="12697903" w14:textId="77777777" w:rsidTr="00B76A41">
        <w:trPr>
          <w:cantSplit/>
        </w:trPr>
        <w:tc>
          <w:tcPr>
            <w:tcW w:w="4077" w:type="dxa"/>
          </w:tcPr>
          <w:p w14:paraId="4C93F5F8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3501604" w14:textId="77777777" w:rsidR="00F43AD5" w:rsidRPr="00717D45" w:rsidRDefault="00493F2B" w:rsidP="00B76A41">
            <w:pPr>
              <w:pStyle w:val="Tablefont"/>
            </w:pPr>
            <w:r>
              <w:t>CCl</w:t>
            </w:r>
            <w:r w:rsidRPr="00493F2B">
              <w:rPr>
                <w:vertAlign w:val="subscript"/>
              </w:rPr>
              <w:t>3</w:t>
            </w:r>
            <w:r>
              <w:t>NO</w:t>
            </w:r>
            <w:r w:rsidRPr="00493F2B">
              <w:rPr>
                <w:vertAlign w:val="subscript"/>
              </w:rPr>
              <w:t>2</w:t>
            </w:r>
          </w:p>
        </w:tc>
      </w:tr>
      <w:tr w:rsidR="00F43AD5" w:rsidRPr="004C23F4" w14:paraId="4B444EF3" w14:textId="77777777" w:rsidTr="00B76A41">
        <w:trPr>
          <w:cantSplit/>
        </w:trPr>
        <w:tc>
          <w:tcPr>
            <w:tcW w:w="4077" w:type="dxa"/>
          </w:tcPr>
          <w:p w14:paraId="73542E98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F8C7A7F" w14:textId="77777777" w:rsidR="00F43AD5" w:rsidRPr="00B40C60" w:rsidRDefault="00493F2B" w:rsidP="00B76A41">
            <w:pPr>
              <w:pStyle w:val="Tablerowheading"/>
              <w:rPr>
                <w:b w:val="0"/>
              </w:rPr>
            </w:pPr>
            <w:r w:rsidRPr="00493F2B">
              <w:rPr>
                <w:b w:val="0"/>
              </w:rPr>
              <w:t>—</w:t>
            </w:r>
          </w:p>
        </w:tc>
      </w:tr>
    </w:tbl>
    <w:p w14:paraId="1695A103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0459F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45A780D7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054EB6AD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37C2C25F" w14:textId="77777777" w:rsidR="002C7AFE" w:rsidRPr="00EB3D1B" w:rsidRDefault="0080459F" w:rsidP="00017C82">
            <w:pPr>
              <w:pStyle w:val="Tablefont"/>
              <w:rPr>
                <w:b/>
              </w:rPr>
            </w:pPr>
            <w:r w:rsidRPr="0080459F">
              <w:rPr>
                <w:b/>
              </w:rPr>
              <w:t>0.1 ppm (0.67 mg/m</w:t>
            </w:r>
            <w:r w:rsidRPr="0080459F">
              <w:rPr>
                <w:b/>
                <w:vertAlign w:val="superscript"/>
              </w:rPr>
              <w:t>3</w:t>
            </w:r>
            <w:r w:rsidRPr="0080459F">
              <w:rPr>
                <w:b/>
              </w:rPr>
              <w:t>)</w:t>
            </w:r>
          </w:p>
        </w:tc>
      </w:tr>
      <w:tr w:rsidR="002C7AFE" w:rsidRPr="004C23F4" w14:paraId="22B28363" w14:textId="77777777" w:rsidTr="00921DE7">
        <w:trPr>
          <w:cantSplit/>
        </w:trPr>
        <w:tc>
          <w:tcPr>
            <w:tcW w:w="4077" w:type="dxa"/>
            <w:vAlign w:val="center"/>
          </w:tcPr>
          <w:p w14:paraId="46069923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062DB62D" w14:textId="77777777" w:rsidR="002C7AFE" w:rsidRPr="00EB3D1B" w:rsidRDefault="00493F2B" w:rsidP="00017C82">
            <w:pPr>
              <w:pStyle w:val="Tablefont"/>
              <w:rPr>
                <w:b/>
              </w:rPr>
            </w:pPr>
            <w:r w:rsidRPr="00493F2B">
              <w:rPr>
                <w:b/>
              </w:rPr>
              <w:t>—</w:t>
            </w:r>
          </w:p>
        </w:tc>
      </w:tr>
      <w:tr w:rsidR="002C7AFE" w:rsidRPr="004C23F4" w14:paraId="4F73E110" w14:textId="77777777" w:rsidTr="00921DE7">
        <w:trPr>
          <w:cantSplit/>
        </w:trPr>
        <w:tc>
          <w:tcPr>
            <w:tcW w:w="4077" w:type="dxa"/>
            <w:vAlign w:val="center"/>
          </w:tcPr>
          <w:p w14:paraId="356738CB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53FA96B1" w14:textId="77777777" w:rsidR="002C7AFE" w:rsidRPr="00EB3D1B" w:rsidRDefault="00493F2B" w:rsidP="00017C82">
            <w:pPr>
              <w:pStyle w:val="Tablefont"/>
              <w:rPr>
                <w:b/>
              </w:rPr>
            </w:pPr>
            <w:r w:rsidRPr="00493F2B">
              <w:rPr>
                <w:b/>
              </w:rPr>
              <w:t>—</w:t>
            </w:r>
          </w:p>
        </w:tc>
      </w:tr>
      <w:tr w:rsidR="002C7AFE" w:rsidRPr="004C23F4" w14:paraId="3148EA36" w14:textId="77777777" w:rsidTr="00A2073D">
        <w:trPr>
          <w:cantSplit/>
        </w:trPr>
        <w:tc>
          <w:tcPr>
            <w:tcW w:w="4077" w:type="dxa"/>
          </w:tcPr>
          <w:p w14:paraId="2B8DF7B5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0064ACE1" w14:textId="77777777" w:rsidR="002C7AFE" w:rsidRPr="00EB3D1B" w:rsidRDefault="00493F2B" w:rsidP="008A36CF">
            <w:pPr>
              <w:pStyle w:val="Tablefont"/>
              <w:rPr>
                <w:b/>
              </w:rPr>
            </w:pPr>
            <w:r w:rsidRPr="00493F2B">
              <w:rPr>
                <w:b/>
              </w:rPr>
              <w:t>—</w:t>
            </w:r>
          </w:p>
        </w:tc>
      </w:tr>
      <w:tr w:rsidR="002C7AFE" w:rsidRPr="004C23F4" w14:paraId="6DA626F4" w14:textId="77777777" w:rsidTr="00921DE7">
        <w:trPr>
          <w:cantSplit/>
        </w:trPr>
        <w:tc>
          <w:tcPr>
            <w:tcW w:w="4077" w:type="dxa"/>
            <w:vAlign w:val="center"/>
          </w:tcPr>
          <w:p w14:paraId="554DF57B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2ACF4C12" w14:textId="77777777" w:rsidR="002C7AFE" w:rsidRPr="00EB3D1B" w:rsidRDefault="00E2440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 ppm</w:t>
            </w:r>
          </w:p>
        </w:tc>
      </w:tr>
      <w:tr w:rsidR="009F04D2" w:rsidRPr="004C23F4" w14:paraId="5F43B983" w14:textId="77777777" w:rsidTr="00917873">
        <w:trPr>
          <w:cantSplit/>
        </w:trPr>
        <w:tc>
          <w:tcPr>
            <w:tcW w:w="4077" w:type="dxa"/>
          </w:tcPr>
          <w:p w14:paraId="1A31455F" w14:textId="77777777" w:rsidR="009F04D2" w:rsidRDefault="009F04D2" w:rsidP="00917873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6F3F022F" w14:textId="6CE80524" w:rsidR="009F04D2" w:rsidRPr="00917873" w:rsidRDefault="004F669F" w:rsidP="001C6738">
            <w:pPr>
              <w:pStyle w:val="Tablefont"/>
            </w:pPr>
            <w:r w:rsidRPr="00917873">
              <w:t xml:space="preserve">The recommended value is quantifiable through available sampling and analysis techniques. </w:t>
            </w:r>
          </w:p>
        </w:tc>
      </w:tr>
    </w:tbl>
    <w:p w14:paraId="4430BAE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C7FAB88" w14:textId="041C2292" w:rsidR="006639B4" w:rsidRPr="004C23F4" w:rsidRDefault="001F7E12" w:rsidP="000C139A">
      <w:pPr>
        <w:rPr>
          <w:rFonts w:cs="Arial"/>
        </w:rPr>
      </w:pPr>
      <w:r>
        <w:rPr>
          <w:rFonts w:cs="Arial"/>
        </w:rPr>
        <w:t xml:space="preserve">A </w:t>
      </w:r>
      <w:r w:rsidR="0080459F">
        <w:rPr>
          <w:rFonts w:cs="Arial"/>
        </w:rPr>
        <w:t xml:space="preserve">TWA of </w:t>
      </w:r>
      <w:r w:rsidR="0080459F" w:rsidRPr="0080459F">
        <w:rPr>
          <w:rFonts w:cs="Arial"/>
        </w:rPr>
        <w:t>0.1 ppm (0.67 mg/</w:t>
      </w:r>
      <w:r w:rsidR="0080459F">
        <w:rPr>
          <w:rFonts w:cs="Arial"/>
        </w:rPr>
        <w:t>m</w:t>
      </w:r>
      <w:r w:rsidR="0080459F" w:rsidRPr="0080459F">
        <w:rPr>
          <w:rFonts w:cs="Arial"/>
          <w:vertAlign w:val="superscript"/>
        </w:rPr>
        <w:t>3</w:t>
      </w:r>
      <w:r w:rsidR="0080459F" w:rsidRPr="0080459F">
        <w:rPr>
          <w:rFonts w:cs="Arial"/>
        </w:rPr>
        <w:t>)</w:t>
      </w:r>
      <w:r w:rsidR="0080459F">
        <w:rPr>
          <w:rFonts w:cs="Arial"/>
        </w:rPr>
        <w:t xml:space="preserve"> is </w:t>
      </w:r>
      <w:r w:rsidR="00104D54">
        <w:rPr>
          <w:rFonts w:cs="Arial"/>
        </w:rPr>
        <w:t xml:space="preserve">recommended </w:t>
      </w:r>
      <w:r w:rsidR="0080459F">
        <w:rPr>
          <w:rFonts w:cs="Arial"/>
        </w:rPr>
        <w:t xml:space="preserve">to protect for </w:t>
      </w:r>
      <w:r w:rsidR="00F26010">
        <w:rPr>
          <w:rFonts w:cs="Arial"/>
        </w:rPr>
        <w:t xml:space="preserve">eye and </w:t>
      </w:r>
      <w:r w:rsidR="001D7ACD">
        <w:rPr>
          <w:rFonts w:cs="Arial"/>
        </w:rPr>
        <w:t>respiratory</w:t>
      </w:r>
      <w:r w:rsidR="00953FB8">
        <w:rPr>
          <w:rFonts w:cs="Arial"/>
        </w:rPr>
        <w:t xml:space="preserve"> </w:t>
      </w:r>
      <w:r w:rsidR="00F26010">
        <w:rPr>
          <w:rFonts w:cs="Arial"/>
        </w:rPr>
        <w:t>irritation</w:t>
      </w:r>
      <w:r w:rsidR="00BA7730">
        <w:rPr>
          <w:rFonts w:cs="Arial"/>
        </w:rPr>
        <w:t xml:space="preserve"> </w:t>
      </w:r>
      <w:r w:rsidR="00CA214C">
        <w:rPr>
          <w:rFonts w:cs="Arial"/>
        </w:rPr>
        <w:t>in exposed workers.</w:t>
      </w:r>
    </w:p>
    <w:p w14:paraId="68E431E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07902A7" w14:textId="50F0AAA5" w:rsidR="00917873" w:rsidRDefault="004E3A15" w:rsidP="00AA522D">
      <w:r>
        <w:t xml:space="preserve">Chloropicrin is </w:t>
      </w:r>
      <w:r w:rsidR="00924BBB">
        <w:t xml:space="preserve">widely used in a range of </w:t>
      </w:r>
      <w:r>
        <w:t>fumigant</w:t>
      </w:r>
      <w:r w:rsidR="00924BBB">
        <w:t>s</w:t>
      </w:r>
      <w:r>
        <w:t>, insecticide</w:t>
      </w:r>
      <w:r w:rsidR="00924BBB">
        <w:t>s</w:t>
      </w:r>
      <w:r>
        <w:t xml:space="preserve"> and fungicide</w:t>
      </w:r>
      <w:r w:rsidR="00924BBB">
        <w:t>s</w:t>
      </w:r>
      <w:r>
        <w:t>.</w:t>
      </w:r>
      <w:r w:rsidR="00AA522D">
        <w:t xml:space="preserve"> </w:t>
      </w:r>
      <w:r w:rsidR="00064EFC">
        <w:t>It was h</w:t>
      </w:r>
      <w:r w:rsidR="00924BBB">
        <w:t>istorically used</w:t>
      </w:r>
      <w:r w:rsidR="00064EFC">
        <w:t xml:space="preserve"> as a war gas and</w:t>
      </w:r>
      <w:r w:rsidR="00AA522D">
        <w:t xml:space="preserve"> is intensely irritating to the eyes</w:t>
      </w:r>
      <w:r w:rsidR="001F7E12">
        <w:t xml:space="preserve">. </w:t>
      </w:r>
    </w:p>
    <w:p w14:paraId="155C7A24" w14:textId="28B94D88" w:rsidR="00AA522D" w:rsidRDefault="00AA522D" w:rsidP="00AA522D">
      <w:r>
        <w:t xml:space="preserve">Limited </w:t>
      </w:r>
      <w:r w:rsidR="00924BBB">
        <w:t>toxicological data</w:t>
      </w:r>
      <w:r>
        <w:t xml:space="preserve"> in humans and animals </w:t>
      </w:r>
      <w:r w:rsidR="00064EFC">
        <w:t xml:space="preserve">are </w:t>
      </w:r>
      <w:r w:rsidR="001F7E12">
        <w:t xml:space="preserve">available. </w:t>
      </w:r>
      <w:r w:rsidR="0080459F">
        <w:t>In humans</w:t>
      </w:r>
      <w:r w:rsidR="002B24B1">
        <w:t>, individual susceptibility leads to varying results following exposure. P</w:t>
      </w:r>
      <w:r>
        <w:t xml:space="preserve">ainful irritation to the eyes </w:t>
      </w:r>
      <w:r w:rsidR="002B24B1">
        <w:t xml:space="preserve">is reported </w:t>
      </w:r>
      <w:r w:rsidR="00917873">
        <w:t>at 0.3 to 0.37 ppm after three</w:t>
      </w:r>
      <w:r>
        <w:t xml:space="preserve"> to 30 seconds</w:t>
      </w:r>
      <w:r w:rsidR="0080459F">
        <w:t xml:space="preserve">, while 4 ppm </w:t>
      </w:r>
      <w:r w:rsidR="00064EFC">
        <w:t xml:space="preserve">causes incapacity </w:t>
      </w:r>
      <w:r w:rsidR="001F7E12">
        <w:t xml:space="preserve">after a few seconds. </w:t>
      </w:r>
      <w:r w:rsidR="0080459F">
        <w:t xml:space="preserve">An acute inhalation study </w:t>
      </w:r>
      <w:r w:rsidR="002B24B1">
        <w:t xml:space="preserve">in rats </w:t>
      </w:r>
      <w:r w:rsidR="0080459F">
        <w:t>report</w:t>
      </w:r>
      <w:r w:rsidR="002B24B1">
        <w:t>s</w:t>
      </w:r>
      <w:r w:rsidR="0080459F">
        <w:t xml:space="preserve"> congestion, haemorrhage, oedema and death following exposure to 340 ppm </w:t>
      </w:r>
      <w:r w:rsidR="002B24B1">
        <w:t xml:space="preserve">for one minute </w:t>
      </w:r>
      <w:r w:rsidR="0080459F">
        <w:t>(ACGIH, 2018</w:t>
      </w:r>
      <w:r w:rsidR="00BA7730">
        <w:t>;</w:t>
      </w:r>
      <w:r w:rsidR="0080459F">
        <w:t xml:space="preserve"> DFG, 2000).</w:t>
      </w:r>
    </w:p>
    <w:p w14:paraId="67E032AB" w14:textId="766F24DE" w:rsidR="001D7ACD" w:rsidRDefault="001D7ACD" w:rsidP="00AA522D">
      <w:r>
        <w:t xml:space="preserve">Based on the available evidence, the current TWA is considered sufficiently low to protect for the identified critical effects. </w:t>
      </w:r>
    </w:p>
    <w:p w14:paraId="17C6622A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30B0A9BE" w14:textId="4A92DFCE" w:rsidR="00493F2B" w:rsidRPr="00AA522D" w:rsidRDefault="00493F2B" w:rsidP="00493F2B">
      <w:pPr>
        <w:rPr>
          <w:rFonts w:cs="Arial"/>
        </w:rPr>
      </w:pPr>
      <w:r w:rsidRPr="00AA522D">
        <w:rPr>
          <w:rFonts w:cs="Arial"/>
        </w:rPr>
        <w:t>Not classified as a carcinogen according to the Globally Harmonized System of Classification and Labelling o</w:t>
      </w:r>
      <w:r w:rsidR="00104D54">
        <w:rPr>
          <w:rFonts w:cs="Arial"/>
        </w:rPr>
        <w:t>f</w:t>
      </w:r>
      <w:r w:rsidRPr="00AA522D">
        <w:rPr>
          <w:rFonts w:cs="Arial"/>
        </w:rPr>
        <w:t xml:space="preserve"> Chemicals (GHS). </w:t>
      </w:r>
    </w:p>
    <w:p w14:paraId="046CB89E" w14:textId="77777777" w:rsidR="00493F2B" w:rsidRPr="00AA522D" w:rsidRDefault="00493F2B" w:rsidP="00493F2B">
      <w:pPr>
        <w:rPr>
          <w:rFonts w:cs="Arial"/>
        </w:rPr>
      </w:pPr>
      <w:r w:rsidRPr="00AA522D">
        <w:rPr>
          <w:rFonts w:cs="Arial"/>
        </w:rPr>
        <w:t>Not classified as a skin</w:t>
      </w:r>
      <w:r w:rsidR="00BA7730">
        <w:rPr>
          <w:rFonts w:cs="Arial"/>
        </w:rPr>
        <w:t xml:space="preserve"> sensitiser</w:t>
      </w:r>
      <w:r w:rsidRPr="00AA522D">
        <w:rPr>
          <w:rFonts w:cs="Arial"/>
        </w:rPr>
        <w:t xml:space="preserve"> or respiratory sensitiser according to the GHS.</w:t>
      </w:r>
    </w:p>
    <w:p w14:paraId="59F329AA" w14:textId="30FA6E06" w:rsidR="0025734A" w:rsidRPr="004C23F4" w:rsidRDefault="00917873" w:rsidP="00493F2B">
      <w:pPr>
        <w:rPr>
          <w:rFonts w:cs="Arial"/>
        </w:rPr>
      </w:pPr>
      <w:r>
        <w:rPr>
          <w:rFonts w:cs="Arial"/>
        </w:rPr>
        <w:t>There are i</w:t>
      </w:r>
      <w:r w:rsidR="00493F2B" w:rsidRPr="00AA522D">
        <w:rPr>
          <w:rFonts w:cs="Arial"/>
        </w:rPr>
        <w:t xml:space="preserve">nsufficient </w:t>
      </w:r>
      <w:r w:rsidR="00BA7730">
        <w:rPr>
          <w:rFonts w:cs="Arial"/>
        </w:rPr>
        <w:t>data</w:t>
      </w:r>
      <w:r w:rsidR="00493F2B" w:rsidRPr="00AA522D">
        <w:rPr>
          <w:rFonts w:cs="Arial"/>
        </w:rPr>
        <w:t xml:space="preserve"> to recommend a skin notation.</w:t>
      </w:r>
    </w:p>
    <w:p w14:paraId="6092354C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4139CF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F78BED0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0750E5F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63D15AB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402D865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5B536C5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93F2B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93F2B">
                  <w:t>0.1 ppm (0.67 mg/m</w:t>
                </w:r>
                <w:r w:rsidR="00493F2B" w:rsidRPr="00493F2B">
                  <w:rPr>
                    <w:vertAlign w:val="superscript"/>
                  </w:rPr>
                  <w:t>3</w:t>
                </w:r>
                <w:r w:rsidR="00493F2B">
                  <w:t>)</w:t>
                </w:r>
              </w:sdtContent>
            </w:sdt>
          </w:p>
        </w:tc>
      </w:tr>
      <w:tr w:rsidR="00C978F0" w:rsidRPr="00DA352E" w14:paraId="0DFAF58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C345057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15A705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FAAAA76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93F2B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493F2B">
                  <w:t>TLV-TWA: 0.1 ppm (0.67 mg/m</w:t>
                </w:r>
                <w:r w:rsidR="00493F2B" w:rsidRPr="00493F2B">
                  <w:rPr>
                    <w:vertAlign w:val="superscript"/>
                  </w:rPr>
                  <w:t>3</w:t>
                </w:r>
                <w:r w:rsidR="00493F2B">
                  <w:t>)</w:t>
                </w:r>
              </w:sdtContent>
            </w:sdt>
          </w:p>
        </w:tc>
      </w:tr>
      <w:tr w:rsidR="00C978F0" w:rsidRPr="00DA352E" w14:paraId="557EE9A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593D295" w14:textId="6D796114" w:rsidR="00C978F0" w:rsidRDefault="004E3A15" w:rsidP="003365A5">
            <w:pPr>
              <w:pStyle w:val="Tabletextprimarysource"/>
            </w:pPr>
            <w:r>
              <w:t>TLV- is recommended to minimise the potential for eye and pulm</w:t>
            </w:r>
            <w:r w:rsidR="00953FB8">
              <w:t>onary irritation and pulmonary o</w:t>
            </w:r>
            <w:r>
              <w:t xml:space="preserve">edema </w:t>
            </w:r>
          </w:p>
          <w:p w14:paraId="13025AFA" w14:textId="77777777" w:rsidR="004E3A15" w:rsidRDefault="004E3A15" w:rsidP="003365A5">
            <w:pPr>
              <w:pStyle w:val="Tabletextprimarysource"/>
            </w:pPr>
            <w:r>
              <w:t>Summary of data:</w:t>
            </w:r>
          </w:p>
          <w:p w14:paraId="3CA5D111" w14:textId="77777777" w:rsidR="00706637" w:rsidRDefault="00706637" w:rsidP="003365A5">
            <w:pPr>
              <w:pStyle w:val="Tabletextprimarysource"/>
            </w:pPr>
            <w:r>
              <w:t>Human data:</w:t>
            </w:r>
          </w:p>
          <w:p w14:paraId="40525A95" w14:textId="72817455" w:rsidR="00706637" w:rsidRDefault="000962E8" w:rsidP="00D03D0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Painfu</w:t>
            </w:r>
            <w:r w:rsidR="001F7E12">
              <w:t>l irritation to the eyes at 0.3</w:t>
            </w:r>
            <w:r w:rsidR="00BA7730">
              <w:t>–</w:t>
            </w:r>
            <w:r w:rsidR="001F7E12">
              <w:t xml:space="preserve">0.37 ppm </w:t>
            </w:r>
            <w:r w:rsidR="00064EFC">
              <w:t>(</w:t>
            </w:r>
            <w:r w:rsidR="001F7E12">
              <w:t>3</w:t>
            </w:r>
            <w:r w:rsidR="00BA7730">
              <w:t>–</w:t>
            </w:r>
            <w:r w:rsidR="001F7E12">
              <w:t>30 sec</w:t>
            </w:r>
            <w:r w:rsidR="00064EFC">
              <w:t>)</w:t>
            </w:r>
          </w:p>
          <w:p w14:paraId="6B8B3092" w14:textId="1E76A3A1" w:rsidR="00064EFC" w:rsidRDefault="000962E8" w:rsidP="00D03D0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15 ppm </w:t>
            </w:r>
            <w:r w:rsidR="001F7E12">
              <w:t xml:space="preserve">not tolerable </w:t>
            </w:r>
            <w:r>
              <w:t xml:space="preserve">by accustomed </w:t>
            </w:r>
            <w:r w:rsidR="00064EFC">
              <w:t>individuals (</w:t>
            </w:r>
            <w:r w:rsidR="00917873">
              <w:rPr>
                <w:rFonts w:cs="Arial"/>
              </w:rPr>
              <w:t>≥</w:t>
            </w:r>
            <w:r w:rsidR="00064EFC">
              <w:t>1 min)</w:t>
            </w:r>
          </w:p>
          <w:p w14:paraId="2AEB2FCC" w14:textId="4B2FC05A" w:rsidR="00BD6F62" w:rsidRDefault="00BD6F62" w:rsidP="00D03D0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4 ppm reported to make a person unfit for activity (“a few seconds”)</w:t>
            </w:r>
          </w:p>
          <w:p w14:paraId="3269E510" w14:textId="55BE8DF1" w:rsidR="000962E8" w:rsidRDefault="001F7E12" w:rsidP="00D03D08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 xml:space="preserve">15 ppm </w:t>
            </w:r>
            <w:r w:rsidR="00BD6F62">
              <w:t xml:space="preserve">for the same period resulted </w:t>
            </w:r>
            <w:r w:rsidR="000962E8">
              <w:t xml:space="preserve">in respiratory tract </w:t>
            </w:r>
            <w:r w:rsidR="00C76844">
              <w:t>injury</w:t>
            </w:r>
            <w:r w:rsidR="00E749F2">
              <w:t>.</w:t>
            </w:r>
            <w:r w:rsidR="00064EFC">
              <w:t xml:space="preserve"> </w:t>
            </w:r>
          </w:p>
          <w:p w14:paraId="520B9F28" w14:textId="77777777" w:rsidR="00BA7730" w:rsidRDefault="00BA7730" w:rsidP="00C76844">
            <w:pPr>
              <w:pStyle w:val="Tabletextprimarysource"/>
            </w:pPr>
          </w:p>
          <w:p w14:paraId="22E5A93C" w14:textId="77777777" w:rsidR="00C76844" w:rsidRDefault="00C76844" w:rsidP="00C76844">
            <w:pPr>
              <w:pStyle w:val="Tabletextprimarysource"/>
            </w:pPr>
            <w:r>
              <w:t>Animal data:</w:t>
            </w:r>
          </w:p>
          <w:p w14:paraId="1A5853AA" w14:textId="78AB1CB3" w:rsidR="00917873" w:rsidRDefault="00C76844" w:rsidP="00D03D0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34</w:t>
            </w:r>
            <w:r w:rsidR="001F7E12">
              <w:t xml:space="preserve">0 ppm lethal to rats </w:t>
            </w:r>
            <w:r w:rsidR="00BD6F62">
              <w:t>(</w:t>
            </w:r>
            <w:r w:rsidR="001F7E12">
              <w:t>1 min</w:t>
            </w:r>
            <w:r w:rsidR="00BD6F62">
              <w:t>)</w:t>
            </w:r>
          </w:p>
          <w:p w14:paraId="5F9A2542" w14:textId="5CC9C57E" w:rsidR="00C76844" w:rsidRDefault="00C76844" w:rsidP="00D03D08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 xml:space="preserve">pathological manifestations are congestion, haemorrhage, </w:t>
            </w:r>
            <w:r w:rsidR="00953FB8">
              <w:t>o</w:t>
            </w:r>
            <w:r>
              <w:t>edema and infiltration of the lung tissue in early stages of inhalation</w:t>
            </w:r>
          </w:p>
          <w:p w14:paraId="76C697BC" w14:textId="77777777" w:rsidR="00BD6F62" w:rsidRDefault="001F7E12" w:rsidP="00D03D0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78 w</w:t>
            </w:r>
            <w:r w:rsidR="00C76844">
              <w:t>k gavage dosing study reported no statistically significant increase of tumour incidenc</w:t>
            </w:r>
            <w:r>
              <w:t>e</w:t>
            </w:r>
            <w:r w:rsidR="00DB2456">
              <w:t xml:space="preserve"> in rats and mice</w:t>
            </w:r>
          </w:p>
          <w:p w14:paraId="16F4DFA7" w14:textId="0B4B56A2" w:rsidR="00A967AF" w:rsidRDefault="001C6738" w:rsidP="00D03D08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proofErr w:type="gramStart"/>
            <w:r>
              <w:t>r</w:t>
            </w:r>
            <w:r w:rsidR="00784241">
              <w:t>esults</w:t>
            </w:r>
            <w:proofErr w:type="gramEnd"/>
            <w:r w:rsidR="00784241">
              <w:t xml:space="preserve"> inconclusive as </w:t>
            </w:r>
            <w:r w:rsidR="00C76844">
              <w:t xml:space="preserve">most </w:t>
            </w:r>
            <w:r w:rsidR="00BD6F62">
              <w:t>rats</w:t>
            </w:r>
            <w:r w:rsidR="00C76844">
              <w:t xml:space="preserve"> did not su</w:t>
            </w:r>
            <w:r w:rsidR="00DB2456">
              <w:t xml:space="preserve">rvive </w:t>
            </w:r>
            <w:r w:rsidR="00C76844">
              <w:t>long</w:t>
            </w:r>
            <w:r w:rsidR="00BD6F62">
              <w:t xml:space="preserve"> enough</w:t>
            </w:r>
            <w:r w:rsidR="00C76844">
              <w:t xml:space="preserve"> </w:t>
            </w:r>
            <w:r w:rsidR="00DB2456">
              <w:t>for late-appearing tumours</w:t>
            </w:r>
            <w:r w:rsidR="00BD6F62">
              <w:t xml:space="preserve"> to manifest</w:t>
            </w:r>
            <w:r w:rsidR="009B01D0">
              <w:t>.</w:t>
            </w:r>
          </w:p>
          <w:p w14:paraId="247BB5ED" w14:textId="77777777" w:rsidR="00E749F2" w:rsidRDefault="00E749F2" w:rsidP="00DB2456">
            <w:pPr>
              <w:pStyle w:val="Tabletextprimarysource"/>
            </w:pPr>
          </w:p>
          <w:p w14:paraId="4B7E71F8" w14:textId="65A5CB78" w:rsidR="00DB2456" w:rsidRDefault="00DB2456" w:rsidP="00DB2456">
            <w:pPr>
              <w:pStyle w:val="Tabletextprimarysource"/>
            </w:pPr>
            <w:r>
              <w:t>Insufficient evidence to recommend a skin or sensitiser notation</w:t>
            </w:r>
            <w:r w:rsidR="001F7E12">
              <w:t>.</w:t>
            </w:r>
          </w:p>
          <w:p w14:paraId="4CE70385" w14:textId="77777777" w:rsidR="00BA7730" w:rsidRPr="00DA352E" w:rsidRDefault="00BA7730" w:rsidP="00DB2456">
            <w:pPr>
              <w:pStyle w:val="Tabletextprimarysource"/>
            </w:pPr>
          </w:p>
        </w:tc>
      </w:tr>
      <w:tr w:rsidR="00C978F0" w:rsidRPr="00DA352E" w14:paraId="368C33F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0D6411A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93F2B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493F2B">
                  <w:t>MAK: 0.1 ppm (0.68 mg/m</w:t>
                </w:r>
                <w:r w:rsidR="00493F2B" w:rsidRPr="00493F2B">
                  <w:rPr>
                    <w:vertAlign w:val="superscript"/>
                  </w:rPr>
                  <w:t>3</w:t>
                </w:r>
                <w:r w:rsidR="00493F2B">
                  <w:t>)</w:t>
                </w:r>
              </w:sdtContent>
            </w:sdt>
          </w:p>
        </w:tc>
      </w:tr>
      <w:tr w:rsidR="00C978F0" w:rsidRPr="00DA352E" w14:paraId="056453F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BB2B3C5" w14:textId="77777777" w:rsidR="00C978F0" w:rsidRDefault="00AA522D" w:rsidP="003365A5">
            <w:pPr>
              <w:pStyle w:val="Tabletextprimarysource"/>
            </w:pPr>
            <w:r>
              <w:t>The MAK is recommended to protect for strong irritant effects.</w:t>
            </w:r>
          </w:p>
          <w:p w14:paraId="51A7697A" w14:textId="77777777" w:rsidR="00AA522D" w:rsidRDefault="00AA522D" w:rsidP="00D03D0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</w:t>
            </w:r>
            <w:r w:rsidRPr="00AA522D">
              <w:t>o animal studies with long</w:t>
            </w:r>
            <w:r w:rsidRPr="00AA522D">
              <w:rPr>
                <w:rFonts w:ascii="Cambria Math" w:hAnsi="Cambria Math" w:cs="Cambria Math"/>
              </w:rPr>
              <w:t>‐</w:t>
            </w:r>
            <w:r w:rsidRPr="00AA522D">
              <w:t xml:space="preserve">term inhalation </w:t>
            </w:r>
          </w:p>
          <w:p w14:paraId="1E865027" w14:textId="77777777" w:rsidR="00AA522D" w:rsidRDefault="00AA522D" w:rsidP="00D03D0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</w:t>
            </w:r>
            <w:r w:rsidRPr="00AA522D">
              <w:t xml:space="preserve">modern studies </w:t>
            </w:r>
            <w:r>
              <w:t>with</w:t>
            </w:r>
            <w:r w:rsidRPr="00AA522D">
              <w:t xml:space="preserve"> reliable air analyses were carried out</w:t>
            </w:r>
            <w:r w:rsidR="001F7E12">
              <w:t>.</w:t>
            </w:r>
          </w:p>
          <w:p w14:paraId="21BDB20D" w14:textId="77777777" w:rsidR="00BA7730" w:rsidRPr="00DA352E" w:rsidRDefault="00BA7730" w:rsidP="00917873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7F9ADA7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4F53FB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93F2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493F2B">
                  <w:t>NA</w:t>
                </w:r>
              </w:sdtContent>
            </w:sdt>
          </w:p>
        </w:tc>
      </w:tr>
      <w:tr w:rsidR="00C978F0" w:rsidRPr="00DA352E" w14:paraId="16CB3DB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2BB4ECF" w14:textId="1B8D1797" w:rsidR="00C978F0" w:rsidRPr="00DA352E" w:rsidRDefault="00493F2B" w:rsidP="003365A5">
            <w:pPr>
              <w:pStyle w:val="Tabletextprimarysource"/>
            </w:pPr>
            <w:r>
              <w:t>No report</w:t>
            </w:r>
            <w:r w:rsidR="00917873">
              <w:t>.</w:t>
            </w:r>
          </w:p>
        </w:tc>
      </w:tr>
      <w:tr w:rsidR="00DA352E" w:rsidRPr="00DA352E" w14:paraId="7DEA6EE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E0C0362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A0EB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5A0EBD">
                  <w:t>NA</w:t>
                </w:r>
              </w:sdtContent>
            </w:sdt>
          </w:p>
        </w:tc>
      </w:tr>
      <w:tr w:rsidR="00DA352E" w:rsidRPr="00DA352E" w14:paraId="18FF88F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5ADD635" w14:textId="4FBA3F39" w:rsidR="00DA352E" w:rsidRPr="00DA352E" w:rsidRDefault="005A0EBD" w:rsidP="003365A5">
            <w:pPr>
              <w:pStyle w:val="Tabletextprimarysource"/>
            </w:pPr>
            <w:r>
              <w:t>No report</w:t>
            </w:r>
            <w:r w:rsidR="00917873">
              <w:t>.</w:t>
            </w:r>
          </w:p>
        </w:tc>
      </w:tr>
      <w:tr w:rsidR="00DA352E" w:rsidRPr="00DA352E" w14:paraId="030914F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E356FA7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5A0EB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5A0EBD">
                  <w:t>NA</w:t>
                </w:r>
              </w:sdtContent>
            </w:sdt>
          </w:p>
        </w:tc>
      </w:tr>
      <w:tr w:rsidR="00DA352E" w:rsidRPr="00DA352E" w14:paraId="3ADA348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E7508AB" w14:textId="01FC76A7" w:rsidR="00DA352E" w:rsidRPr="00DA352E" w:rsidRDefault="005A0EBD" w:rsidP="003365A5">
            <w:pPr>
              <w:pStyle w:val="Tabletextprimarysource"/>
            </w:pPr>
            <w:r>
              <w:t>No report</w:t>
            </w:r>
            <w:r w:rsidR="00917873">
              <w:t>.</w:t>
            </w:r>
          </w:p>
        </w:tc>
      </w:tr>
    </w:tbl>
    <w:p w14:paraId="601F1169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22EBE394" w14:textId="7A7CA345" w:rsidR="007E2A4B" w:rsidRDefault="00917873">
      <w:r>
        <w:t>NIL.</w:t>
      </w:r>
    </w:p>
    <w:bookmarkEnd w:id="0"/>
    <w:p w14:paraId="4E8676F6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F0FD7F2" w14:textId="77777777" w:rsidTr="00AA522D">
        <w:trPr>
          <w:trHeight w:val="454"/>
          <w:tblHeader/>
        </w:trPr>
        <w:tc>
          <w:tcPr>
            <w:tcW w:w="6597" w:type="dxa"/>
            <w:vAlign w:val="center"/>
          </w:tcPr>
          <w:p w14:paraId="178E9F2D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57D32B9" w14:textId="77777777" w:rsidR="002E0D61" w:rsidRDefault="00BA7730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5E15C5A0" w14:textId="77777777" w:rsidTr="00AA522D">
        <w:trPr>
          <w:trHeight w:val="454"/>
        </w:trPr>
        <w:tc>
          <w:tcPr>
            <w:tcW w:w="6597" w:type="dxa"/>
            <w:vAlign w:val="center"/>
          </w:tcPr>
          <w:p w14:paraId="5DDC389A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6474560B" w14:textId="70C9F264" w:rsidR="008A36CF" w:rsidRDefault="00BA7730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7F4BB5DD" w14:textId="77777777" w:rsidTr="00AA522D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044B7EF8" w14:textId="1FE204B1" w:rsidR="008A36CF" w:rsidRPr="006901A2" w:rsidRDefault="009E1CE8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5F529C8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168CE2CA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4F273DA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5E50A78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ECF6214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D12B527" w14:textId="77777777" w:rsidTr="00812887">
        <w:trPr>
          <w:cantSplit/>
        </w:trPr>
        <w:tc>
          <w:tcPr>
            <w:tcW w:w="3227" w:type="dxa"/>
          </w:tcPr>
          <w:p w14:paraId="44536330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E10FEFB" w14:textId="77777777" w:rsidR="00687890" w:rsidRPr="00DD2F9B" w:rsidRDefault="00493F2B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24DF974D" w14:textId="77777777" w:rsidTr="00812887">
        <w:trPr>
          <w:cantSplit/>
        </w:trPr>
        <w:tc>
          <w:tcPr>
            <w:tcW w:w="3227" w:type="dxa"/>
          </w:tcPr>
          <w:p w14:paraId="51BC8E6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9B0F624" w14:textId="77777777" w:rsidR="007925F0" w:rsidRPr="00DD2F9B" w:rsidRDefault="00493F2B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237864FC" w14:textId="77777777" w:rsidTr="00812887">
        <w:trPr>
          <w:cantSplit/>
        </w:trPr>
        <w:tc>
          <w:tcPr>
            <w:tcW w:w="3227" w:type="dxa"/>
          </w:tcPr>
          <w:p w14:paraId="30BC1EB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BF43A96" w14:textId="77777777" w:rsidR="00AF483F" w:rsidRPr="00DD2F9B" w:rsidRDefault="001719B9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302AFF9D" w14:textId="77777777" w:rsidTr="00812887">
        <w:trPr>
          <w:cantSplit/>
        </w:trPr>
        <w:tc>
          <w:tcPr>
            <w:tcW w:w="3227" w:type="dxa"/>
          </w:tcPr>
          <w:p w14:paraId="5CC6DEE1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4613494" w14:textId="77777777" w:rsidR="00687890" w:rsidRPr="00DD2F9B" w:rsidRDefault="001719B9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346D93C4" w14:textId="77777777" w:rsidTr="00812887">
        <w:trPr>
          <w:cantSplit/>
        </w:trPr>
        <w:tc>
          <w:tcPr>
            <w:tcW w:w="3227" w:type="dxa"/>
          </w:tcPr>
          <w:p w14:paraId="7C9CE872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A8E6962" w14:textId="77777777" w:rsidR="00E41A26" w:rsidRPr="00DD2F9B" w:rsidRDefault="001719B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99D63B3" w14:textId="77777777" w:rsidTr="00812887">
        <w:trPr>
          <w:cantSplit/>
        </w:trPr>
        <w:tc>
          <w:tcPr>
            <w:tcW w:w="3227" w:type="dxa"/>
          </w:tcPr>
          <w:p w14:paraId="6ACAA4C3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B1FAF84" w14:textId="77777777" w:rsidR="002E0D61" w:rsidRPr="00DD2F9B" w:rsidRDefault="00487BCA" w:rsidP="00DD2F9B">
            <w:pPr>
              <w:pStyle w:val="Tablefont"/>
            </w:pPr>
            <w:r w:rsidRPr="00487BCA">
              <w:t>Carcinogenicity – A4</w:t>
            </w:r>
          </w:p>
        </w:tc>
      </w:tr>
      <w:tr w:rsidR="002E0D61" w:rsidRPr="004C23F4" w14:paraId="5DB16463" w14:textId="77777777" w:rsidTr="00812887">
        <w:trPr>
          <w:cantSplit/>
        </w:trPr>
        <w:tc>
          <w:tcPr>
            <w:tcW w:w="3227" w:type="dxa"/>
          </w:tcPr>
          <w:p w14:paraId="76069088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4E3AEAF" w14:textId="77777777" w:rsidR="002E0D61" w:rsidRPr="00DD2F9B" w:rsidRDefault="00493F2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7F3ADB5" w14:textId="77777777" w:rsidTr="00812887">
        <w:trPr>
          <w:cantSplit/>
        </w:trPr>
        <w:tc>
          <w:tcPr>
            <w:tcW w:w="3227" w:type="dxa"/>
          </w:tcPr>
          <w:p w14:paraId="79650AB2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4583B9C" w14:textId="77777777" w:rsidR="002E0D61" w:rsidRPr="00DD2F9B" w:rsidRDefault="005A0EB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E086E83" w14:textId="77777777" w:rsidTr="00812887">
        <w:trPr>
          <w:cantSplit/>
        </w:trPr>
        <w:tc>
          <w:tcPr>
            <w:tcW w:w="3227" w:type="dxa"/>
          </w:tcPr>
          <w:p w14:paraId="1A5BD10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F6E859B" w14:textId="77777777" w:rsidR="002E0D61" w:rsidRPr="00DD2F9B" w:rsidRDefault="005A0EB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DF20EAF" w14:textId="77777777" w:rsidTr="00812887">
        <w:trPr>
          <w:cantSplit/>
        </w:trPr>
        <w:tc>
          <w:tcPr>
            <w:tcW w:w="3227" w:type="dxa"/>
          </w:tcPr>
          <w:p w14:paraId="04848451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AD4BA0A" w14:textId="77777777" w:rsidR="00386093" w:rsidRPr="00DD2F9B" w:rsidRDefault="00E24401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8FCE607" w14:textId="77777777" w:rsidTr="00812887">
        <w:trPr>
          <w:cantSplit/>
        </w:trPr>
        <w:tc>
          <w:tcPr>
            <w:tcW w:w="3227" w:type="dxa"/>
          </w:tcPr>
          <w:p w14:paraId="4A2A55EC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52F0C6F" w14:textId="77777777" w:rsidR="00386093" w:rsidRPr="00DD2F9B" w:rsidRDefault="00D43404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15D01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A29CD9F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6355241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0C239EF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3F720EC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46A14594" w14:textId="7977DC4A" w:rsidR="00932DCE" w:rsidRPr="004C23F4" w:rsidRDefault="00AA522D" w:rsidP="00F9496B">
            <w:pPr>
              <w:pStyle w:val="Tablefont"/>
            </w:pPr>
            <w:r>
              <w:t>Insufficient information</w:t>
            </w:r>
            <w:r w:rsidR="00917873">
              <w:t xml:space="preserve"> available.</w:t>
            </w:r>
          </w:p>
        </w:tc>
      </w:tr>
    </w:tbl>
    <w:bookmarkEnd w:id="3"/>
    <w:p w14:paraId="2AB6D5A0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40932433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32E3770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F119522" w14:textId="77777777" w:rsidR="00EB3D1B" w:rsidRDefault="00E24401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67E0931D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C5EA97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D78B087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A190197" w14:textId="77777777" w:rsidR="001B79E5" w:rsidRDefault="00493F2B" w:rsidP="001B79E5">
                <w:pPr>
                  <w:pStyle w:val="Tablefont"/>
                </w:pPr>
                <w:r>
                  <w:t>164.37</w:t>
                </w:r>
              </w:p>
            </w:tc>
          </w:sdtContent>
        </w:sdt>
      </w:tr>
      <w:tr w:rsidR="00A31D99" w:rsidRPr="004C23F4" w14:paraId="095614D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6980921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21A31B2B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96E70B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66A5C3D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9616BB8" w14:textId="77777777" w:rsidR="00687890" w:rsidRPr="004C23F4" w:rsidRDefault="001F7E12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313B9C14" w14:textId="77777777" w:rsidTr="00EA6243">
        <w:trPr>
          <w:cantSplit/>
        </w:trPr>
        <w:tc>
          <w:tcPr>
            <w:tcW w:w="4077" w:type="dxa"/>
            <w:vAlign w:val="center"/>
          </w:tcPr>
          <w:p w14:paraId="0CE64A70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9C26222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3B9156F" w14:textId="77777777" w:rsidTr="00EA6243">
        <w:trPr>
          <w:cantSplit/>
        </w:trPr>
        <w:tc>
          <w:tcPr>
            <w:tcW w:w="4077" w:type="dxa"/>
            <w:vAlign w:val="center"/>
          </w:tcPr>
          <w:p w14:paraId="56DF6A21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3F75D09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395ECC1" w14:textId="77777777" w:rsidTr="00EA6243">
        <w:trPr>
          <w:cantSplit/>
        </w:trPr>
        <w:tc>
          <w:tcPr>
            <w:tcW w:w="4077" w:type="dxa"/>
            <w:vAlign w:val="center"/>
          </w:tcPr>
          <w:p w14:paraId="7E782421" w14:textId="77777777" w:rsidR="00E06F40" w:rsidRPr="00263255" w:rsidRDefault="00E06F40" w:rsidP="00084513">
            <w:pPr>
              <w:pStyle w:val="Tablefont"/>
            </w:pPr>
            <w:r w:rsidRPr="00263255">
              <w:lastRenderedPageBreak/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20EF9E7" w14:textId="77777777" w:rsidR="00E06F40" w:rsidRPr="00A006A0" w:rsidRDefault="0031532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9A8A026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5C97ADC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514AB58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4FE2B21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B5F670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D7B3D17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BE355CC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66002B04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F7F307D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D7404CD" w14:textId="5A2DE284" w:rsidR="0047290F" w:rsidRDefault="0047290F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</w:t>
      </w:r>
      <w:r w:rsidR="00CF2146">
        <w:t>00</w:t>
      </w:r>
      <w:r>
        <w:t xml:space="preserve">) </w:t>
      </w:r>
      <w:proofErr w:type="spellStart"/>
      <w:r>
        <w:t>Chlorpikrin</w:t>
      </w:r>
      <w:proofErr w:type="spellEnd"/>
      <w:r>
        <w:t xml:space="preserve"> (</w:t>
      </w:r>
      <w:proofErr w:type="spellStart"/>
      <w:r>
        <w:t>Trichlornitromethan</w:t>
      </w:r>
      <w:proofErr w:type="spellEnd"/>
      <w:r>
        <w:t>)</w:t>
      </w:r>
      <w:r w:rsidR="00627F3A">
        <w:t xml:space="preserve"> addendum 2000</w:t>
      </w:r>
      <w:r>
        <w:t xml:space="preserve"> – MAK value documentation.</w:t>
      </w:r>
    </w:p>
    <w:p w14:paraId="26E8FAB3" w14:textId="77777777" w:rsidR="00A944D8" w:rsidRPr="00351FE0" w:rsidRDefault="00A944D8" w:rsidP="00084859">
      <w:r w:rsidRPr="00D86E03">
        <w:t>US National Institute for Occupational Safety and Health (</w:t>
      </w:r>
      <w:r w:rsidRPr="001F7E12">
        <w:t>NIOSH) (</w:t>
      </w:r>
      <w:sdt>
        <w:sdtPr>
          <w:id w:val="-1194999823"/>
          <w:placeholder>
            <w:docPart w:val="37E4548090AA4C84B54321F01F4AB2E5"/>
          </w:placeholder>
          <w:temporary/>
          <w:showingPlcHdr/>
        </w:sdtPr>
        <w:sdtEndPr/>
        <w:sdtContent>
          <w:r w:rsidRPr="001F7E12">
            <w:t>1994</w:t>
          </w:r>
        </w:sdtContent>
      </w:sdt>
      <w:r w:rsidRPr="001F7E12">
        <w:t xml:space="preserve">) Immediately </w:t>
      </w:r>
      <w:r>
        <w:t>dangerous to life or health concentrations – chloropicrin.</w:t>
      </w:r>
    </w:p>
    <w:sectPr w:rsidR="00A944D8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20A55" w14:textId="77777777" w:rsidR="00C266E8" w:rsidRDefault="00C266E8" w:rsidP="00F43AD5">
      <w:pPr>
        <w:spacing w:after="0" w:line="240" w:lineRule="auto"/>
      </w:pPr>
      <w:r>
        <w:separator/>
      </w:r>
    </w:p>
  </w:endnote>
  <w:endnote w:type="continuationSeparator" w:id="0">
    <w:p w14:paraId="0721D74E" w14:textId="77777777" w:rsidR="00C266E8" w:rsidRDefault="00C266E8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A6530" w14:textId="77777777" w:rsidR="00CF2146" w:rsidRDefault="00CF2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B33FDC7" w14:textId="77777777" w:rsidR="008A36CF" w:rsidRDefault="00493F2B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Chloropicrin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76-06-2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49B6494" w14:textId="3012F375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1532E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9A5DE" w14:textId="77777777" w:rsidR="00CF2146" w:rsidRDefault="00CF2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F5287" w14:textId="77777777" w:rsidR="00C266E8" w:rsidRDefault="00C266E8" w:rsidP="00F43AD5">
      <w:pPr>
        <w:spacing w:after="0" w:line="240" w:lineRule="auto"/>
      </w:pPr>
      <w:r>
        <w:separator/>
      </w:r>
    </w:p>
  </w:footnote>
  <w:footnote w:type="continuationSeparator" w:id="0">
    <w:p w14:paraId="48A2E4A9" w14:textId="77777777" w:rsidR="00C266E8" w:rsidRDefault="00C266E8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18EF8" w14:textId="77777777" w:rsidR="00CF2146" w:rsidRDefault="00CF2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EA524" w14:textId="77777777" w:rsidR="0031532E" w:rsidRDefault="0031532E" w:rsidP="0031532E">
    <w:pPr>
      <w:pStyle w:val="Header"/>
      <w:jc w:val="right"/>
    </w:pPr>
    <w:sdt>
      <w:sdtPr>
        <w:id w:val="1940557547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61B5A1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7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514220A2" wp14:editId="70EAB66C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EFE47C" w14:textId="5BD5D6CE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3D424" w14:textId="77777777" w:rsidR="00CF2146" w:rsidRDefault="00CF21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D64A9" w14:textId="77777777" w:rsidR="0031532E" w:rsidRDefault="0031532E" w:rsidP="0031532E">
    <w:pPr>
      <w:pStyle w:val="Header"/>
      <w:jc w:val="right"/>
    </w:pPr>
    <w:sdt>
      <w:sdtPr>
        <w:id w:val="1914508725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510B49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8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AFB63F1" wp14:editId="6935BF08">
          <wp:extent cx="2938272" cy="594360"/>
          <wp:effectExtent l="0" t="0" r="0" b="0"/>
          <wp:docPr id="3" name="Picture 3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38B56A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7E6B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9B269F"/>
    <w:multiLevelType w:val="hybridMultilevel"/>
    <w:tmpl w:val="5C00DD8A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4EFC"/>
    <w:rsid w:val="00067F32"/>
    <w:rsid w:val="00071807"/>
    <w:rsid w:val="000803E1"/>
    <w:rsid w:val="00084513"/>
    <w:rsid w:val="00084859"/>
    <w:rsid w:val="00092D94"/>
    <w:rsid w:val="000962E8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7E80"/>
    <w:rsid w:val="000E5A54"/>
    <w:rsid w:val="000E63D3"/>
    <w:rsid w:val="000E67CF"/>
    <w:rsid w:val="0010461E"/>
    <w:rsid w:val="00104D54"/>
    <w:rsid w:val="00106FAA"/>
    <w:rsid w:val="00113443"/>
    <w:rsid w:val="00120D5C"/>
    <w:rsid w:val="001269A7"/>
    <w:rsid w:val="00131092"/>
    <w:rsid w:val="00140E6A"/>
    <w:rsid w:val="00146545"/>
    <w:rsid w:val="00146B75"/>
    <w:rsid w:val="0015266D"/>
    <w:rsid w:val="0015288A"/>
    <w:rsid w:val="00160F47"/>
    <w:rsid w:val="001719B9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C6738"/>
    <w:rsid w:val="001D56F0"/>
    <w:rsid w:val="001D663B"/>
    <w:rsid w:val="001D7ACD"/>
    <w:rsid w:val="001D7B41"/>
    <w:rsid w:val="001E0B68"/>
    <w:rsid w:val="001E46DA"/>
    <w:rsid w:val="001E7D80"/>
    <w:rsid w:val="001F4B6C"/>
    <w:rsid w:val="001F62CB"/>
    <w:rsid w:val="001F6ED0"/>
    <w:rsid w:val="001F72E6"/>
    <w:rsid w:val="001F73C5"/>
    <w:rsid w:val="001F7E12"/>
    <w:rsid w:val="002046A6"/>
    <w:rsid w:val="00204956"/>
    <w:rsid w:val="00212E0D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B24B1"/>
    <w:rsid w:val="002C34F2"/>
    <w:rsid w:val="002C58FF"/>
    <w:rsid w:val="002C7AFE"/>
    <w:rsid w:val="002D05D2"/>
    <w:rsid w:val="002E0D61"/>
    <w:rsid w:val="002E4C7B"/>
    <w:rsid w:val="0030740C"/>
    <w:rsid w:val="0031532E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90F"/>
    <w:rsid w:val="00472A11"/>
    <w:rsid w:val="00472AAD"/>
    <w:rsid w:val="00474E33"/>
    <w:rsid w:val="00476803"/>
    <w:rsid w:val="00485BFD"/>
    <w:rsid w:val="004867A2"/>
    <w:rsid w:val="004873F2"/>
    <w:rsid w:val="00487BCA"/>
    <w:rsid w:val="00490D4C"/>
    <w:rsid w:val="00493A35"/>
    <w:rsid w:val="00493F2B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3A15"/>
    <w:rsid w:val="004E5EDD"/>
    <w:rsid w:val="004F448A"/>
    <w:rsid w:val="004F493D"/>
    <w:rsid w:val="004F65E8"/>
    <w:rsid w:val="004F669F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465F1"/>
    <w:rsid w:val="00551BD8"/>
    <w:rsid w:val="00581055"/>
    <w:rsid w:val="00591E38"/>
    <w:rsid w:val="005A0EBD"/>
    <w:rsid w:val="005A19C5"/>
    <w:rsid w:val="005A3034"/>
    <w:rsid w:val="005A462D"/>
    <w:rsid w:val="005A731E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27F3A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0663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3B0B"/>
    <w:rsid w:val="007770F1"/>
    <w:rsid w:val="00783FB1"/>
    <w:rsid w:val="0078424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59F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35FA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17873"/>
    <w:rsid w:val="00920467"/>
    <w:rsid w:val="00921DE7"/>
    <w:rsid w:val="00924BBB"/>
    <w:rsid w:val="0093041A"/>
    <w:rsid w:val="00930714"/>
    <w:rsid w:val="00931B03"/>
    <w:rsid w:val="009323B9"/>
    <w:rsid w:val="00932DCE"/>
    <w:rsid w:val="0093327E"/>
    <w:rsid w:val="00934028"/>
    <w:rsid w:val="0093760E"/>
    <w:rsid w:val="009454FC"/>
    <w:rsid w:val="00946044"/>
    <w:rsid w:val="0094660B"/>
    <w:rsid w:val="00946A33"/>
    <w:rsid w:val="0095260E"/>
    <w:rsid w:val="00953FB8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01D0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1CE8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44D8"/>
    <w:rsid w:val="00A967AF"/>
    <w:rsid w:val="00A968B0"/>
    <w:rsid w:val="00AA522D"/>
    <w:rsid w:val="00AB2672"/>
    <w:rsid w:val="00AB2817"/>
    <w:rsid w:val="00AB43C4"/>
    <w:rsid w:val="00AC32E7"/>
    <w:rsid w:val="00AC3A9F"/>
    <w:rsid w:val="00AC6D2F"/>
    <w:rsid w:val="00AE2745"/>
    <w:rsid w:val="00AE2F64"/>
    <w:rsid w:val="00AE527D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A7730"/>
    <w:rsid w:val="00BB612A"/>
    <w:rsid w:val="00BD499F"/>
    <w:rsid w:val="00BD56DE"/>
    <w:rsid w:val="00BD6F62"/>
    <w:rsid w:val="00BF2406"/>
    <w:rsid w:val="00C06E43"/>
    <w:rsid w:val="00C16315"/>
    <w:rsid w:val="00C266E8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6844"/>
    <w:rsid w:val="00C850A0"/>
    <w:rsid w:val="00C85A86"/>
    <w:rsid w:val="00C978F0"/>
    <w:rsid w:val="00CA214C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2146"/>
    <w:rsid w:val="00D03D08"/>
    <w:rsid w:val="00D048F7"/>
    <w:rsid w:val="00D0517E"/>
    <w:rsid w:val="00D140FC"/>
    <w:rsid w:val="00D21D8C"/>
    <w:rsid w:val="00D31357"/>
    <w:rsid w:val="00D33220"/>
    <w:rsid w:val="00D334D1"/>
    <w:rsid w:val="00D43404"/>
    <w:rsid w:val="00D44C89"/>
    <w:rsid w:val="00D516CD"/>
    <w:rsid w:val="00D668E6"/>
    <w:rsid w:val="00D70670"/>
    <w:rsid w:val="00D74D80"/>
    <w:rsid w:val="00D76624"/>
    <w:rsid w:val="00D77373"/>
    <w:rsid w:val="00D87570"/>
    <w:rsid w:val="00D91CB9"/>
    <w:rsid w:val="00D97989"/>
    <w:rsid w:val="00D97D8D"/>
    <w:rsid w:val="00DA352E"/>
    <w:rsid w:val="00DB2456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4DEE"/>
    <w:rsid w:val="00E24401"/>
    <w:rsid w:val="00E26A07"/>
    <w:rsid w:val="00E32595"/>
    <w:rsid w:val="00E37CFD"/>
    <w:rsid w:val="00E41A26"/>
    <w:rsid w:val="00E46BCB"/>
    <w:rsid w:val="00E51CAF"/>
    <w:rsid w:val="00E602D5"/>
    <w:rsid w:val="00E60F04"/>
    <w:rsid w:val="00E62AAC"/>
    <w:rsid w:val="00E67C2F"/>
    <w:rsid w:val="00E67EF5"/>
    <w:rsid w:val="00E749F2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26010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  <w14:docId w14:val="0627EC37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0962E8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7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73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73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73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37E4548090AA4C84B54321F01F4AB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63B34-28F1-42AA-9356-05703DE0965B}"/>
      </w:docPartPr>
      <w:docPartBody>
        <w:p w:rsidR="006053F7" w:rsidRDefault="00E454FB" w:rsidP="00E454FB">
          <w:pPr>
            <w:pStyle w:val="37E4548090AA4C84B54321F01F4AB2E5"/>
          </w:pPr>
          <w:r w:rsidRPr="00262278">
            <w:rPr>
              <w:color w:val="00B050"/>
            </w:rPr>
            <w:t>1994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00D49"/>
    <w:rsid w:val="004D1251"/>
    <w:rsid w:val="006053F7"/>
    <w:rsid w:val="00D21A9F"/>
    <w:rsid w:val="00D8664F"/>
    <w:rsid w:val="00E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3F7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723C91576834837ABF3BBA001AE04EB">
    <w:name w:val="B723C91576834837ABF3BBA001AE04EB"/>
    <w:rsid w:val="00100D49"/>
    <w:rPr>
      <w:lang w:val="en-US" w:eastAsia="en-US"/>
    </w:rPr>
  </w:style>
  <w:style w:type="paragraph" w:customStyle="1" w:styleId="C79DE3D472374924B90A5BCF3782F25F">
    <w:name w:val="C79DE3D472374924B90A5BCF3782F25F"/>
    <w:rsid w:val="00100D49"/>
    <w:rPr>
      <w:lang w:val="en-US" w:eastAsia="en-US"/>
    </w:rPr>
  </w:style>
  <w:style w:type="paragraph" w:customStyle="1" w:styleId="37E4548090AA4C84B54321F01F4AB2E5">
    <w:name w:val="37E4548090AA4C84B54321F01F4AB2E5"/>
    <w:rsid w:val="00E454FB"/>
    <w:rPr>
      <w:lang w:val="en-US" w:eastAsia="en-US"/>
    </w:rPr>
  </w:style>
  <w:style w:type="paragraph" w:customStyle="1" w:styleId="70B4823DC92642D390D182441FEC1CBE">
    <w:name w:val="70B4823DC92642D390D182441FEC1CBE"/>
    <w:rsid w:val="00E454FB"/>
    <w:rPr>
      <w:lang w:val="en-US" w:eastAsia="en-US"/>
    </w:rPr>
  </w:style>
  <w:style w:type="paragraph" w:customStyle="1" w:styleId="8A5EF196D6F7460BA871ADF6C1C828C7">
    <w:name w:val="8A5EF196D6F7460BA871ADF6C1C828C7"/>
    <w:rsid w:val="006053F7"/>
  </w:style>
  <w:style w:type="paragraph" w:customStyle="1" w:styleId="BFDBCED2F9F245D2B422DCBD88317C81">
    <w:name w:val="BFDBCED2F9F245D2B422DCBD88317C81"/>
    <w:rsid w:val="00605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f54d604-3e62-4e70-ba33-9e9084b96a6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232CE-7FDF-410F-B038-58F7BF7F5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53001-8A49-4413-84C6-22E0E750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A72DDD68.dotm</Template>
  <TotalTime>48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12</cp:revision>
  <cp:lastPrinted>2018-10-22T22:41:00Z</cp:lastPrinted>
  <dcterms:created xsi:type="dcterms:W3CDTF">2019-09-19T08:05:00Z</dcterms:created>
  <dcterms:modified xsi:type="dcterms:W3CDTF">2019-09-27T01:24:00Z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