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9536601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1F96B66" w14:textId="4F6C389A" w:rsidR="00BD499F" w:rsidRPr="00BC08BD" w:rsidRDefault="00F02D84" w:rsidP="00B40C60">
          <w:pPr>
            <w:pStyle w:val="Heading1"/>
            <w:jc w:val="center"/>
            <w:rPr>
              <w:rFonts w:ascii="Arial" w:hAnsi="Arial" w:cs="Arial"/>
            </w:rPr>
          </w:pPr>
          <w:r w:rsidRPr="00BC08BD">
            <w:rPr>
              <w:rFonts w:ascii="Arial" w:hAnsi="Arial" w:cs="Arial"/>
            </w:rPr>
            <w:t>Gamma-butyrolactone</w:t>
          </w:r>
        </w:p>
      </w:sdtContent>
    </w:sdt>
    <w:bookmarkEnd w:id="0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BC08BD" w14:paraId="0D69E76F" w14:textId="77777777" w:rsidTr="00B76A41">
        <w:trPr>
          <w:cantSplit/>
          <w:tblHeader/>
        </w:trPr>
        <w:tc>
          <w:tcPr>
            <w:tcW w:w="4077" w:type="dxa"/>
          </w:tcPr>
          <w:p w14:paraId="189A0F15" w14:textId="77777777" w:rsidR="00F43AD5" w:rsidRPr="00BC08BD" w:rsidRDefault="00CB1CB1" w:rsidP="00B76A41">
            <w:pPr>
              <w:pStyle w:val="Tablerowright"/>
            </w:pPr>
            <w:r w:rsidRPr="00BC08BD">
              <w:t>CAS number:</w:t>
            </w:r>
          </w:p>
        </w:tc>
        <w:tc>
          <w:tcPr>
            <w:tcW w:w="5165" w:type="dxa"/>
          </w:tcPr>
          <w:p w14:paraId="6941691A" w14:textId="77777777" w:rsidR="00F43AD5" w:rsidRPr="00BC08BD" w:rsidRDefault="00D16089" w:rsidP="00B76A41">
            <w:pPr>
              <w:pStyle w:val="Tablefont"/>
            </w:pPr>
            <w:r w:rsidRPr="00BC08BD">
              <w:t>96-48-0</w:t>
            </w:r>
          </w:p>
        </w:tc>
      </w:tr>
      <w:tr w:rsidR="00F43AD5" w:rsidRPr="00BC08BD" w14:paraId="7247E18A" w14:textId="77777777" w:rsidTr="00B76A41">
        <w:trPr>
          <w:cantSplit/>
        </w:trPr>
        <w:tc>
          <w:tcPr>
            <w:tcW w:w="4077" w:type="dxa"/>
          </w:tcPr>
          <w:p w14:paraId="32E050C3" w14:textId="77777777" w:rsidR="00F43AD5" w:rsidRPr="00BC08BD" w:rsidRDefault="00CB1CB1" w:rsidP="00B76A41">
            <w:pPr>
              <w:pStyle w:val="Tablerowright"/>
            </w:pPr>
            <w:r w:rsidRPr="00BC08BD">
              <w:t>Synonyms:</w:t>
            </w:r>
          </w:p>
        </w:tc>
        <w:tc>
          <w:tcPr>
            <w:tcW w:w="5165" w:type="dxa"/>
          </w:tcPr>
          <w:p w14:paraId="62870E99" w14:textId="0966926D" w:rsidR="00F43AD5" w:rsidRPr="00BC08BD" w:rsidRDefault="00620CB4" w:rsidP="00C916B4">
            <w:pPr>
              <w:pStyle w:val="Tablefont"/>
            </w:pPr>
            <w:r w:rsidRPr="00BC08BD">
              <w:t xml:space="preserve">GBL, </w:t>
            </w:r>
            <w:r w:rsidR="00DB140F" w:rsidRPr="00BC08BD">
              <w:t>o</w:t>
            </w:r>
            <w:r w:rsidR="00BD116E" w:rsidRPr="00BC08BD">
              <w:t>xolan-2-one, 1,4-butanolide, 4-butyrolactone, 1-oxacyclopentane-2-one</w:t>
            </w:r>
          </w:p>
        </w:tc>
      </w:tr>
      <w:tr w:rsidR="00F43AD5" w:rsidRPr="00BC08BD" w14:paraId="7BFD09BB" w14:textId="77777777" w:rsidTr="00B76A41">
        <w:trPr>
          <w:cantSplit/>
        </w:trPr>
        <w:tc>
          <w:tcPr>
            <w:tcW w:w="4077" w:type="dxa"/>
          </w:tcPr>
          <w:p w14:paraId="4AA462CB" w14:textId="77777777" w:rsidR="00F43AD5" w:rsidRPr="00BC08BD" w:rsidRDefault="00CB1CB1" w:rsidP="00B76A41">
            <w:pPr>
              <w:pStyle w:val="Tablerowright"/>
            </w:pPr>
            <w:r w:rsidRPr="00BC08BD">
              <w:t>Chemical formula:</w:t>
            </w:r>
          </w:p>
        </w:tc>
        <w:tc>
          <w:tcPr>
            <w:tcW w:w="5165" w:type="dxa"/>
          </w:tcPr>
          <w:p w14:paraId="1F6EE2BC" w14:textId="6CEAB23D" w:rsidR="00F43AD5" w:rsidRPr="00BC08BD" w:rsidRDefault="004E5B0F" w:rsidP="00B76A41">
            <w:pPr>
              <w:pStyle w:val="Tablefont"/>
            </w:pPr>
            <w:r w:rsidRPr="00BC08BD">
              <w:t>C</w:t>
            </w:r>
            <w:r w:rsidRPr="00BC08BD">
              <w:rPr>
                <w:vertAlign w:val="subscript"/>
              </w:rPr>
              <w:t>4</w:t>
            </w:r>
            <w:r w:rsidRPr="00BC08BD">
              <w:t>H</w:t>
            </w:r>
            <w:r w:rsidRPr="00BC08BD">
              <w:rPr>
                <w:vertAlign w:val="subscript"/>
              </w:rPr>
              <w:t>6</w:t>
            </w:r>
            <w:r w:rsidRPr="00BC08BD">
              <w:t>O</w:t>
            </w:r>
            <w:r w:rsidRPr="00BC08BD">
              <w:rPr>
                <w:vertAlign w:val="subscript"/>
              </w:rPr>
              <w:t>2</w:t>
            </w:r>
          </w:p>
        </w:tc>
      </w:tr>
      <w:tr w:rsidR="00F43AD5" w:rsidRPr="00BC08BD" w14:paraId="49F46787" w14:textId="77777777" w:rsidTr="00B76A41">
        <w:trPr>
          <w:cantSplit/>
        </w:trPr>
        <w:tc>
          <w:tcPr>
            <w:tcW w:w="4077" w:type="dxa"/>
          </w:tcPr>
          <w:p w14:paraId="356B370E" w14:textId="77777777" w:rsidR="00F43AD5" w:rsidRPr="00BC08BD" w:rsidRDefault="00CB1CB1" w:rsidP="00B76A41">
            <w:pPr>
              <w:pStyle w:val="Tablerowright"/>
            </w:pPr>
            <w:r w:rsidRPr="00BC08BD">
              <w:t>Structural formula:</w:t>
            </w:r>
          </w:p>
        </w:tc>
        <w:tc>
          <w:tcPr>
            <w:tcW w:w="5165" w:type="dxa"/>
          </w:tcPr>
          <w:p w14:paraId="6D2BF21E" w14:textId="7484956A" w:rsidR="00F43AD5" w:rsidRPr="00BC08BD" w:rsidRDefault="00146CAB" w:rsidP="00B76A41">
            <w:pPr>
              <w:pStyle w:val="Tablerowheading"/>
              <w:rPr>
                <w:b w:val="0"/>
              </w:rPr>
            </w:pPr>
            <w:r w:rsidRPr="00BC08BD">
              <w:rPr>
                <w:b w:val="0"/>
              </w:rPr>
              <w:t>—</w:t>
            </w:r>
          </w:p>
        </w:tc>
      </w:tr>
    </w:tbl>
    <w:p w14:paraId="40347EFC" w14:textId="249B02C1" w:rsidR="00AE2745" w:rsidRPr="00BC08BD" w:rsidRDefault="00AE2745" w:rsidP="00AE2745">
      <w:pPr>
        <w:pStyle w:val="WES"/>
        <w:tabs>
          <w:tab w:val="left" w:pos="2041"/>
        </w:tabs>
      </w:pPr>
      <w:r w:rsidRPr="00BC08BD">
        <w:tab/>
        <w:t xml:space="preserve">Workplace exposure standard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0462F" w:rsidRPr="00BC08BD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9"/>
        <w:gridCol w:w="5017"/>
      </w:tblGrid>
      <w:tr w:rsidR="002C7AFE" w:rsidRPr="00BC08BD" w14:paraId="72CE8894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38F85453" w14:textId="77777777" w:rsidR="002C7AFE" w:rsidRPr="00BC08BD" w:rsidRDefault="00921DE7" w:rsidP="00921DE7">
            <w:pPr>
              <w:pStyle w:val="Tablerowright"/>
            </w:pPr>
            <w:r w:rsidRPr="00BC08BD">
              <w:t>TWA:</w:t>
            </w:r>
          </w:p>
        </w:tc>
        <w:tc>
          <w:tcPr>
            <w:tcW w:w="5165" w:type="dxa"/>
          </w:tcPr>
          <w:p w14:paraId="29C7D8A2" w14:textId="4A75FFA7" w:rsidR="002C7AFE" w:rsidRPr="00BC08BD" w:rsidRDefault="00523716" w:rsidP="00B72B07">
            <w:pPr>
              <w:pStyle w:val="Tablefont"/>
              <w:rPr>
                <w:b/>
              </w:rPr>
            </w:pPr>
            <w:r w:rsidRPr="00BC08BD">
              <w:rPr>
                <w:b/>
              </w:rPr>
              <w:t>—</w:t>
            </w:r>
          </w:p>
        </w:tc>
      </w:tr>
      <w:tr w:rsidR="002C7AFE" w:rsidRPr="00BC08BD" w14:paraId="5C4F0368" w14:textId="77777777" w:rsidTr="00921DE7">
        <w:trPr>
          <w:cantSplit/>
        </w:trPr>
        <w:tc>
          <w:tcPr>
            <w:tcW w:w="4077" w:type="dxa"/>
            <w:vAlign w:val="center"/>
          </w:tcPr>
          <w:p w14:paraId="785A8BC6" w14:textId="77777777" w:rsidR="002C7AFE" w:rsidRPr="00BC08BD" w:rsidRDefault="002C7AFE" w:rsidP="00921DE7">
            <w:pPr>
              <w:pStyle w:val="Tablerowright"/>
            </w:pPr>
            <w:r w:rsidRPr="00BC08BD">
              <w:t>STEL</w:t>
            </w:r>
            <w:r w:rsidR="00921DE7" w:rsidRPr="00BC08BD">
              <w:t>:</w:t>
            </w:r>
          </w:p>
        </w:tc>
        <w:tc>
          <w:tcPr>
            <w:tcW w:w="5165" w:type="dxa"/>
          </w:tcPr>
          <w:p w14:paraId="44B12E6E" w14:textId="6D0F183D" w:rsidR="002C7AFE" w:rsidRPr="00BC08BD" w:rsidRDefault="00523716" w:rsidP="00017C82">
            <w:pPr>
              <w:pStyle w:val="Tablefont"/>
              <w:rPr>
                <w:b/>
              </w:rPr>
            </w:pPr>
            <w:r w:rsidRPr="00BC08BD">
              <w:rPr>
                <w:b/>
              </w:rPr>
              <w:t>—</w:t>
            </w:r>
          </w:p>
        </w:tc>
      </w:tr>
      <w:tr w:rsidR="002C7AFE" w:rsidRPr="00BC08BD" w14:paraId="498487E5" w14:textId="77777777" w:rsidTr="00921DE7">
        <w:trPr>
          <w:cantSplit/>
        </w:trPr>
        <w:tc>
          <w:tcPr>
            <w:tcW w:w="4077" w:type="dxa"/>
            <w:vAlign w:val="center"/>
          </w:tcPr>
          <w:p w14:paraId="5E4297A1" w14:textId="77777777" w:rsidR="002C7AFE" w:rsidRPr="00BC08BD" w:rsidRDefault="00921DE7" w:rsidP="00921DE7">
            <w:pPr>
              <w:pStyle w:val="Tablerowright"/>
            </w:pPr>
            <w:r w:rsidRPr="00BC08BD">
              <w:t>Peak limitation:</w:t>
            </w:r>
          </w:p>
        </w:tc>
        <w:tc>
          <w:tcPr>
            <w:tcW w:w="5165" w:type="dxa"/>
          </w:tcPr>
          <w:p w14:paraId="3BBFD614" w14:textId="035C84AC" w:rsidR="002C7AFE" w:rsidRPr="00BC08BD" w:rsidRDefault="00146CAB" w:rsidP="00017C82">
            <w:pPr>
              <w:pStyle w:val="Tablefont"/>
              <w:rPr>
                <w:b/>
              </w:rPr>
            </w:pPr>
            <w:r w:rsidRPr="00BC08BD">
              <w:rPr>
                <w:b/>
              </w:rPr>
              <w:t>—</w:t>
            </w:r>
          </w:p>
        </w:tc>
      </w:tr>
      <w:tr w:rsidR="002C7AFE" w:rsidRPr="00BC08BD" w14:paraId="0D8EAE1F" w14:textId="77777777" w:rsidTr="00A2073D">
        <w:trPr>
          <w:cantSplit/>
        </w:trPr>
        <w:tc>
          <w:tcPr>
            <w:tcW w:w="4077" w:type="dxa"/>
          </w:tcPr>
          <w:p w14:paraId="7C5E32BB" w14:textId="77777777" w:rsidR="002C7AFE" w:rsidRPr="00BC08BD" w:rsidRDefault="00A2073D" w:rsidP="003241A8">
            <w:pPr>
              <w:pStyle w:val="Tablerowright"/>
            </w:pPr>
            <w:r w:rsidRPr="00BC08BD">
              <w:rPr>
                <w:b w:val="0"/>
                <w:bCs/>
                <w:color w:val="000000" w:themeColor="text1"/>
              </w:rPr>
              <w:tab/>
            </w:r>
            <w:r w:rsidR="00921DE7" w:rsidRPr="00BC08BD">
              <w:t>Notations:</w:t>
            </w:r>
          </w:p>
        </w:tc>
        <w:tc>
          <w:tcPr>
            <w:tcW w:w="5165" w:type="dxa"/>
          </w:tcPr>
          <w:p w14:paraId="44CD2845" w14:textId="7721C8E1" w:rsidR="002C7AFE" w:rsidRPr="00BC08BD" w:rsidRDefault="003B2FF5" w:rsidP="008A36CF">
            <w:pPr>
              <w:pStyle w:val="Tablefont"/>
              <w:rPr>
                <w:b/>
              </w:rPr>
            </w:pPr>
            <w:r w:rsidRPr="00BC08BD">
              <w:rPr>
                <w:b/>
              </w:rPr>
              <w:t>Sk.</w:t>
            </w:r>
          </w:p>
        </w:tc>
      </w:tr>
      <w:tr w:rsidR="002C7AFE" w:rsidRPr="00BC08BD" w14:paraId="06B6FAF0" w14:textId="77777777" w:rsidTr="00921DE7">
        <w:trPr>
          <w:cantSplit/>
        </w:trPr>
        <w:tc>
          <w:tcPr>
            <w:tcW w:w="4077" w:type="dxa"/>
            <w:vAlign w:val="center"/>
          </w:tcPr>
          <w:p w14:paraId="35BA8094" w14:textId="77777777" w:rsidR="00F10C97" w:rsidRPr="00BC08BD" w:rsidRDefault="00921DE7" w:rsidP="009F04D2">
            <w:pPr>
              <w:pStyle w:val="Tablerowright"/>
            </w:pPr>
            <w:r w:rsidRPr="00BC08BD">
              <w:t>IDLH:</w:t>
            </w:r>
          </w:p>
        </w:tc>
        <w:tc>
          <w:tcPr>
            <w:tcW w:w="5165" w:type="dxa"/>
          </w:tcPr>
          <w:p w14:paraId="4EE372C6" w14:textId="1FA84284" w:rsidR="002C7AFE" w:rsidRPr="00BC08BD" w:rsidRDefault="00146CAB" w:rsidP="00017C82">
            <w:pPr>
              <w:pStyle w:val="Tablefont"/>
              <w:rPr>
                <w:b/>
              </w:rPr>
            </w:pPr>
            <w:r w:rsidRPr="00BC08BD">
              <w:rPr>
                <w:b/>
              </w:rPr>
              <w:t>—</w:t>
            </w:r>
          </w:p>
        </w:tc>
      </w:tr>
      <w:tr w:rsidR="009F04D2" w:rsidRPr="00BC08BD" w14:paraId="29DB80A9" w14:textId="77777777" w:rsidTr="00EB506E">
        <w:trPr>
          <w:cantSplit/>
        </w:trPr>
        <w:tc>
          <w:tcPr>
            <w:tcW w:w="4077" w:type="dxa"/>
          </w:tcPr>
          <w:p w14:paraId="34C576F8" w14:textId="77777777" w:rsidR="009F04D2" w:rsidRPr="00BC08BD" w:rsidRDefault="009F04D2" w:rsidP="00EB506E">
            <w:pPr>
              <w:pStyle w:val="Tablerowright"/>
            </w:pPr>
            <w:r w:rsidRPr="00BC08BD">
              <w:t>Sampling and analysis:</w:t>
            </w:r>
          </w:p>
        </w:tc>
        <w:tc>
          <w:tcPr>
            <w:tcW w:w="5165" w:type="dxa"/>
          </w:tcPr>
          <w:p w14:paraId="1671E143" w14:textId="0E08B6E6" w:rsidR="009F04D2" w:rsidRPr="00BC08BD" w:rsidRDefault="00EB506E" w:rsidP="00017C82">
            <w:pPr>
              <w:pStyle w:val="Tablefont"/>
              <w:rPr>
                <w:b/>
              </w:rPr>
            </w:pPr>
            <w:r w:rsidRPr="00BC08BD">
              <w:rPr>
                <w:b/>
              </w:rPr>
              <w:t>—</w:t>
            </w:r>
          </w:p>
        </w:tc>
      </w:tr>
    </w:tbl>
    <w:p w14:paraId="64E3AB82" w14:textId="77777777" w:rsidR="00CB1CB1" w:rsidRPr="00BC08BD" w:rsidRDefault="00F10C97" w:rsidP="003365A5">
      <w:pPr>
        <w:pStyle w:val="Heading2"/>
      </w:pPr>
      <w:r w:rsidRPr="00BC08BD">
        <w:t>Recommendation and basis for workplace exposure standard</w:t>
      </w:r>
    </w:p>
    <w:p w14:paraId="2A13F6C4" w14:textId="470D531E" w:rsidR="004666FE" w:rsidRPr="00BC08BD" w:rsidRDefault="00516028" w:rsidP="000C139A">
      <w:pPr>
        <w:rPr>
          <w:rFonts w:cs="Arial"/>
        </w:rPr>
      </w:pPr>
      <w:r w:rsidRPr="00BC08BD">
        <w:rPr>
          <w:rFonts w:cs="Arial"/>
        </w:rPr>
        <w:t xml:space="preserve">A TWA is </w:t>
      </w:r>
      <w:r w:rsidR="004666FE" w:rsidRPr="00BC08BD">
        <w:rPr>
          <w:rFonts w:cs="Arial"/>
        </w:rPr>
        <w:t xml:space="preserve">not </w:t>
      </w:r>
      <w:r w:rsidRPr="00BC08BD">
        <w:rPr>
          <w:rFonts w:cs="Arial"/>
        </w:rPr>
        <w:t xml:space="preserve">recommended </w:t>
      </w:r>
      <w:r w:rsidR="004666FE" w:rsidRPr="00BC08BD">
        <w:rPr>
          <w:rFonts w:cs="Arial"/>
        </w:rPr>
        <w:t xml:space="preserve">as a NOAEL for </w:t>
      </w:r>
      <w:r w:rsidR="00523716" w:rsidRPr="00BC08BD">
        <w:rPr>
          <w:rFonts w:cs="Arial"/>
        </w:rPr>
        <w:t>neurotoxicity</w:t>
      </w:r>
      <w:r w:rsidR="004666FE" w:rsidRPr="00BC08BD">
        <w:rPr>
          <w:rFonts w:cs="Arial"/>
        </w:rPr>
        <w:t xml:space="preserve"> cannot be determined due to insufficient human toxicological data.</w:t>
      </w:r>
    </w:p>
    <w:p w14:paraId="4DA45CC0" w14:textId="6AE33923" w:rsidR="00465335" w:rsidRPr="00BC08BD" w:rsidRDefault="00465335" w:rsidP="000C139A">
      <w:pPr>
        <w:rPr>
          <w:rFonts w:cs="Arial"/>
        </w:rPr>
      </w:pPr>
      <w:r w:rsidRPr="00BC08BD"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26ED5980" w14:textId="77777777" w:rsidR="00C7155E" w:rsidRPr="00BC08BD" w:rsidRDefault="00F10C97" w:rsidP="003365A5">
      <w:pPr>
        <w:pStyle w:val="Heading2"/>
      </w:pPr>
      <w:r w:rsidRPr="00BC08BD">
        <w:t>Discussion and conclusions</w:t>
      </w:r>
    </w:p>
    <w:p w14:paraId="7D91BC67" w14:textId="77777777" w:rsidR="00523716" w:rsidRPr="00BC08BD" w:rsidRDefault="00904A7E" w:rsidP="00C60215">
      <w:pPr>
        <w:rPr>
          <w:rFonts w:cs="Arial"/>
        </w:rPr>
      </w:pPr>
      <w:r w:rsidRPr="00BC08BD">
        <w:rPr>
          <w:rFonts w:cs="Arial"/>
        </w:rPr>
        <w:t xml:space="preserve">Gamma-butyrolactone </w:t>
      </w:r>
      <w:r w:rsidR="00620CB4" w:rsidRPr="00BC08BD">
        <w:rPr>
          <w:rFonts w:cs="Arial"/>
        </w:rPr>
        <w:t xml:space="preserve">(GBL) </w:t>
      </w:r>
      <w:r w:rsidRPr="00BC08BD">
        <w:rPr>
          <w:rFonts w:cs="Arial"/>
        </w:rPr>
        <w:t xml:space="preserve">is </w:t>
      </w:r>
      <w:r w:rsidR="00091026" w:rsidRPr="00BC08BD">
        <w:rPr>
          <w:rFonts w:cs="Arial"/>
        </w:rPr>
        <w:t xml:space="preserve">used </w:t>
      </w:r>
      <w:r w:rsidRPr="00BC08BD">
        <w:rPr>
          <w:rFonts w:cs="Arial"/>
        </w:rPr>
        <w:t xml:space="preserve">as a solvent, an additive in drilling oils and chemical colour removers, a stabiliser for some pesticides and </w:t>
      </w:r>
      <w:r w:rsidR="00091026" w:rsidRPr="00BC08BD">
        <w:rPr>
          <w:rFonts w:cs="Arial"/>
        </w:rPr>
        <w:t xml:space="preserve">as a </w:t>
      </w:r>
      <w:r w:rsidRPr="00BC08BD">
        <w:rPr>
          <w:rFonts w:cs="Arial"/>
        </w:rPr>
        <w:t>therapeutic sedative</w:t>
      </w:r>
      <w:r w:rsidR="00465335" w:rsidRPr="00BC08BD">
        <w:rPr>
          <w:rFonts w:cs="Arial"/>
        </w:rPr>
        <w:t xml:space="preserve">. </w:t>
      </w:r>
    </w:p>
    <w:p w14:paraId="193909BF" w14:textId="05B3116C" w:rsidR="003B0413" w:rsidRPr="00BC08BD" w:rsidRDefault="00904A7E" w:rsidP="00C60215">
      <w:r w:rsidRPr="00BC08BD">
        <w:rPr>
          <w:rFonts w:cs="Arial"/>
        </w:rPr>
        <w:t>Critical effects of exposure relate to its neurotoxicity and include</w:t>
      </w:r>
      <w:r w:rsidRPr="00BC08BD">
        <w:t xml:space="preserve"> euphoria, hallucinations, aggression, analgesia, uncontrolled movement </w:t>
      </w:r>
      <w:r w:rsidR="00620CB4" w:rsidRPr="00BC08BD">
        <w:t xml:space="preserve">and </w:t>
      </w:r>
      <w:r w:rsidRPr="00BC08BD">
        <w:t>altered heart</w:t>
      </w:r>
      <w:r w:rsidR="00620CB4" w:rsidRPr="00BC08BD">
        <w:t xml:space="preserve"> and respiratory </w:t>
      </w:r>
      <w:r w:rsidRPr="00BC08BD">
        <w:t>rate</w:t>
      </w:r>
      <w:r w:rsidR="00620CB4" w:rsidRPr="00BC08BD">
        <w:t>s</w:t>
      </w:r>
      <w:r w:rsidRPr="00BC08BD">
        <w:t xml:space="preserve"> </w:t>
      </w:r>
      <w:r w:rsidR="00620CB4" w:rsidRPr="00BC08BD">
        <w:t xml:space="preserve">(DFG, 2011; HCOTN, 2008). </w:t>
      </w:r>
      <w:r w:rsidR="0064731C" w:rsidRPr="00BC08BD">
        <w:t xml:space="preserve">Chronic oral exposure in animals has shown no evidence of carcinogenic activity (DFG, 2011; IARC, 1999). </w:t>
      </w:r>
      <w:r w:rsidR="00483714" w:rsidRPr="00BC08BD">
        <w:t>There is limited</w:t>
      </w:r>
      <w:r w:rsidR="00620CB4" w:rsidRPr="00BC08BD">
        <w:t xml:space="preserve"> substance-specific occupational and </w:t>
      </w:r>
      <w:r w:rsidR="00A4207D" w:rsidRPr="00BC08BD">
        <w:t xml:space="preserve">sub-chronic or chronic </w:t>
      </w:r>
      <w:r w:rsidR="00620CB4" w:rsidRPr="00BC08BD">
        <w:t>toxicological data</w:t>
      </w:r>
      <w:r w:rsidR="001A7E3E" w:rsidRPr="00BC08BD">
        <w:t xml:space="preserve"> in humans</w:t>
      </w:r>
      <w:r w:rsidR="00483714" w:rsidRPr="00BC08BD">
        <w:t xml:space="preserve">. </w:t>
      </w:r>
    </w:p>
    <w:p w14:paraId="0F952611" w14:textId="11E20A3A" w:rsidR="00523716" w:rsidRPr="00BC08BD" w:rsidRDefault="00FD07FF" w:rsidP="00C60215">
      <w:r w:rsidRPr="00BC08BD">
        <w:rPr>
          <w:rFonts w:cs="Arial"/>
        </w:rPr>
        <w:t xml:space="preserve">GBL is rapidly converted to </w:t>
      </w:r>
      <w:r w:rsidRPr="00BC08BD">
        <w:t>γ</w:t>
      </w:r>
      <w:r w:rsidRPr="00BC08BD">
        <w:noBreakHyphen/>
        <w:t xml:space="preserve">hydroxybutyric acid (GHB) upon absorption </w:t>
      </w:r>
      <w:r w:rsidR="003B0413" w:rsidRPr="00BC08BD">
        <w:t>with</w:t>
      </w:r>
      <w:r w:rsidRPr="00BC08BD">
        <w:rPr>
          <w:rFonts w:cs="Arial"/>
        </w:rPr>
        <w:t xml:space="preserve"> reports of recreational abuse </w:t>
      </w:r>
      <w:r w:rsidR="003B0413" w:rsidRPr="00BC08BD">
        <w:rPr>
          <w:rFonts w:cs="Arial"/>
        </w:rPr>
        <w:t>of both compounds</w:t>
      </w:r>
      <w:r w:rsidRPr="00BC08BD">
        <w:rPr>
          <w:rFonts w:cs="Arial"/>
        </w:rPr>
        <w:t xml:space="preserve"> common.</w:t>
      </w:r>
      <w:r w:rsidR="003B0413" w:rsidRPr="00BC08BD">
        <w:rPr>
          <w:rFonts w:cs="Arial"/>
        </w:rPr>
        <w:t xml:space="preserve"> </w:t>
      </w:r>
      <w:r w:rsidR="00483714" w:rsidRPr="00BC08BD">
        <w:t xml:space="preserve">CNS effects </w:t>
      </w:r>
      <w:r w:rsidR="004666FE" w:rsidRPr="00BC08BD">
        <w:t xml:space="preserve">from GHB exposure </w:t>
      </w:r>
      <w:r w:rsidR="00483714" w:rsidRPr="00BC08BD">
        <w:t xml:space="preserve">are </w:t>
      </w:r>
      <w:r w:rsidR="00523716" w:rsidRPr="00BC08BD">
        <w:t>reported</w:t>
      </w:r>
      <w:r w:rsidR="00483714" w:rsidRPr="00BC08BD">
        <w:t xml:space="preserve"> at ap</w:t>
      </w:r>
      <w:r w:rsidR="004666FE" w:rsidRPr="00BC08BD">
        <w:t>proximately 10 </w:t>
      </w:r>
      <w:r w:rsidR="00483714" w:rsidRPr="00BC08BD">
        <w:t>mg</w:t>
      </w:r>
      <w:r w:rsidR="004666FE" w:rsidRPr="00BC08BD">
        <w:t>/kg</w:t>
      </w:r>
      <w:r w:rsidR="00483714" w:rsidRPr="00BC08BD">
        <w:t xml:space="preserve">. </w:t>
      </w:r>
      <w:r w:rsidR="0040195D" w:rsidRPr="00BC08BD">
        <w:t>B</w:t>
      </w:r>
      <w:r w:rsidR="00483714" w:rsidRPr="00BC08BD">
        <w:t xml:space="preserve">y applying </w:t>
      </w:r>
      <w:r w:rsidR="0040195D" w:rsidRPr="00BC08BD">
        <w:t>a</w:t>
      </w:r>
      <w:r w:rsidR="00483714" w:rsidRPr="00BC08BD">
        <w:t xml:space="preserve"> factor of three </w:t>
      </w:r>
      <w:r w:rsidR="0040195D" w:rsidRPr="00BC08BD">
        <w:t xml:space="preserve">for the absence of a NOAEL and an additional factor of three for inter-individual differences, </w:t>
      </w:r>
      <w:r w:rsidR="00F966EC">
        <w:t>the Dutch E</w:t>
      </w:r>
      <w:r w:rsidR="004666FE" w:rsidRPr="00BC08BD">
        <w:t xml:space="preserve">xpert Committee on Occupational </w:t>
      </w:r>
      <w:r w:rsidR="00F966EC">
        <w:t>Safety</w:t>
      </w:r>
      <w:r w:rsidR="004666FE" w:rsidRPr="00BC08BD">
        <w:t xml:space="preserve"> (DECOS) calculated </w:t>
      </w:r>
      <w:r w:rsidR="0040195D" w:rsidRPr="00BC08BD">
        <w:t>a</w:t>
      </w:r>
      <w:r w:rsidR="00C32E74" w:rsidRPr="00BC08BD">
        <w:t>n oral</w:t>
      </w:r>
      <w:r w:rsidR="00483714" w:rsidRPr="00BC08BD">
        <w:t xml:space="preserve"> NOAEL of 1 mg/kg </w:t>
      </w:r>
      <w:r w:rsidR="0040195D" w:rsidRPr="00BC08BD">
        <w:t>for GBL</w:t>
      </w:r>
      <w:r w:rsidR="004666FE" w:rsidRPr="00BC08BD">
        <w:t xml:space="preserve"> (</w:t>
      </w:r>
      <w:r w:rsidR="00483714" w:rsidRPr="00BC08BD">
        <w:t>HCOTN</w:t>
      </w:r>
      <w:r w:rsidR="0040195D" w:rsidRPr="00BC08BD">
        <w:t xml:space="preserve">, </w:t>
      </w:r>
      <w:r w:rsidR="00483714" w:rsidRPr="00BC08BD">
        <w:t>2008)</w:t>
      </w:r>
      <w:r w:rsidR="0040195D" w:rsidRPr="00BC08BD">
        <w:t xml:space="preserve">. </w:t>
      </w:r>
    </w:p>
    <w:p w14:paraId="26B6EC8F" w14:textId="1BC18926" w:rsidR="003B0413" w:rsidRPr="00BC08BD" w:rsidRDefault="00523716" w:rsidP="00C60215">
      <w:r w:rsidRPr="00BC08BD">
        <w:t xml:space="preserve">A STEL of 65 </w:t>
      </w:r>
      <w:r w:rsidRPr="00BC08BD">
        <w:rPr>
          <w:rFonts w:cs="Arial"/>
        </w:rPr>
        <w:t>mg/m</w:t>
      </w:r>
      <w:r w:rsidRPr="00BC08BD">
        <w:rPr>
          <w:rFonts w:cs="Arial"/>
          <w:vertAlign w:val="superscript"/>
        </w:rPr>
        <w:t>3</w:t>
      </w:r>
      <w:r w:rsidRPr="00BC08BD">
        <w:t xml:space="preserve"> was derived by using generic conversion factors using the NOAEL for GBL as the starting point. The TWA of 10 </w:t>
      </w:r>
      <w:r w:rsidRPr="00BC08BD">
        <w:rPr>
          <w:rFonts w:cs="Arial"/>
        </w:rPr>
        <w:t>mg/m</w:t>
      </w:r>
      <w:r w:rsidRPr="00BC08BD">
        <w:rPr>
          <w:rFonts w:cs="Arial"/>
          <w:vertAlign w:val="superscript"/>
        </w:rPr>
        <w:t>3</w:t>
      </w:r>
      <w:r w:rsidRPr="00BC08BD">
        <w:t xml:space="preserve"> was then calculated after applying </w:t>
      </w:r>
      <w:r w:rsidR="00C60215" w:rsidRPr="00BC08BD">
        <w:t xml:space="preserve">a factor of 6.5 to adjust for accumulation and assuming a plasma half-life of 60 minutes (HCOTN, 2008). </w:t>
      </w:r>
    </w:p>
    <w:p w14:paraId="61B637F0" w14:textId="10A3AE7A" w:rsidR="00C60215" w:rsidRPr="00BC08BD" w:rsidRDefault="00C60215" w:rsidP="00C60215">
      <w:r w:rsidRPr="00BC08BD">
        <w:t xml:space="preserve">The approach presented by the HCOTN is not considered sufficiently robust for the purposes of establishing a health-based </w:t>
      </w:r>
      <w:r w:rsidR="0091097E">
        <w:t>workplace exposure standard</w:t>
      </w:r>
      <w:r w:rsidR="00523716" w:rsidRPr="00BC08BD">
        <w:t>. Therefore,</w:t>
      </w:r>
      <w:r w:rsidRPr="00BC08BD">
        <w:t xml:space="preserve"> no recommendation has been </w:t>
      </w:r>
      <w:r w:rsidRPr="00BC08BD">
        <w:lastRenderedPageBreak/>
        <w:t>made regarding a TWA</w:t>
      </w:r>
      <w:r w:rsidR="003B0413" w:rsidRPr="00BC08BD">
        <w:t xml:space="preserve"> or STEL</w:t>
      </w:r>
      <w:r w:rsidR="00523716" w:rsidRPr="00BC08BD">
        <w:t xml:space="preserve"> for GBL</w:t>
      </w:r>
      <w:r w:rsidRPr="00BC08BD">
        <w:t xml:space="preserve">. It is recommended that a detailed assessment of available inhalational, chronic and dermal exposure data be prioritised </w:t>
      </w:r>
      <w:r w:rsidR="00523716" w:rsidRPr="00BC08BD">
        <w:t xml:space="preserve">at the next </w:t>
      </w:r>
      <w:r w:rsidR="00D114FC">
        <w:t xml:space="preserve">scheduled </w:t>
      </w:r>
      <w:r w:rsidR="00523716" w:rsidRPr="00BC08BD">
        <w:t>review</w:t>
      </w:r>
      <w:r w:rsidRPr="00BC08BD">
        <w:t>.</w:t>
      </w:r>
    </w:p>
    <w:p w14:paraId="65F48731" w14:textId="77777777" w:rsidR="004529F0" w:rsidRPr="00BC08BD" w:rsidRDefault="004529F0" w:rsidP="004529F0">
      <w:pPr>
        <w:pStyle w:val="Heading2"/>
      </w:pPr>
      <w:r w:rsidRPr="00BC08BD">
        <w:t>Recommendation for notations</w:t>
      </w:r>
    </w:p>
    <w:p w14:paraId="7561DF2C" w14:textId="63A9EA45" w:rsidR="00B11CDF" w:rsidRPr="00BC08BD" w:rsidRDefault="00B11CDF" w:rsidP="00B11CDF">
      <w:pPr>
        <w:rPr>
          <w:rFonts w:cs="Arial"/>
        </w:rPr>
      </w:pPr>
      <w:r w:rsidRPr="00BC08BD">
        <w:rPr>
          <w:rFonts w:cs="Arial"/>
        </w:rPr>
        <w:t xml:space="preserve">Not classified as a carcinogen according to the Globally Harmonized System of Classification and Labelling </w:t>
      </w:r>
      <w:r w:rsidR="005B7C78" w:rsidRPr="00BC08BD">
        <w:rPr>
          <w:rFonts w:cs="Arial"/>
        </w:rPr>
        <w:t xml:space="preserve">of </w:t>
      </w:r>
      <w:r w:rsidRPr="00BC08BD">
        <w:rPr>
          <w:rFonts w:cs="Arial"/>
        </w:rPr>
        <w:t xml:space="preserve">Chemicals (GHS). </w:t>
      </w:r>
    </w:p>
    <w:p w14:paraId="46BB8E00" w14:textId="65071333" w:rsidR="00B11CDF" w:rsidRPr="00BC08BD" w:rsidRDefault="00B11CDF" w:rsidP="00B11CDF">
      <w:pPr>
        <w:rPr>
          <w:rFonts w:cs="Arial"/>
        </w:rPr>
      </w:pPr>
      <w:r w:rsidRPr="00BC08BD">
        <w:rPr>
          <w:rFonts w:cs="Arial"/>
        </w:rPr>
        <w:t>Not classified as a skin</w:t>
      </w:r>
      <w:r w:rsidR="00510BDC" w:rsidRPr="00BC08BD">
        <w:rPr>
          <w:rFonts w:cs="Arial"/>
        </w:rPr>
        <w:t xml:space="preserve"> sensitiser</w:t>
      </w:r>
      <w:r w:rsidRPr="00BC08BD">
        <w:rPr>
          <w:rFonts w:cs="Arial"/>
        </w:rPr>
        <w:t xml:space="preserve"> or respiratory sensitiser according to the GHS.</w:t>
      </w:r>
    </w:p>
    <w:p w14:paraId="5EAA5E3F" w14:textId="088D506E" w:rsidR="005E6979" w:rsidRPr="00BC08BD" w:rsidRDefault="003B2FF5">
      <w:pPr>
        <w:rPr>
          <w:rFonts w:cs="Arial"/>
        </w:rPr>
        <w:sectPr w:rsidR="005E6979" w:rsidRPr="00BC08BD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BC08BD">
        <w:rPr>
          <w:rFonts w:cs="Arial"/>
        </w:rPr>
        <w:t>A skin notation is recommended as there is evidence GBL can be absorbed through the skin. However, a</w:t>
      </w:r>
      <w:r w:rsidR="00523716" w:rsidRPr="00BC08BD">
        <w:rPr>
          <w:rFonts w:cs="Arial"/>
        </w:rPr>
        <w:t>n a</w:t>
      </w:r>
      <w:r w:rsidR="0033376A" w:rsidRPr="00BC08BD">
        <w:rPr>
          <w:rFonts w:cs="Arial"/>
        </w:rPr>
        <w:t>ssessment of a skin notation has been recommended for priority review based on evidence for systemic toxicity in animals</w:t>
      </w:r>
      <w:r w:rsidR="00AA56D3" w:rsidRPr="00BC08BD">
        <w:rPr>
          <w:rFonts w:cs="Arial"/>
        </w:rPr>
        <w:t xml:space="preserve"> with unknown relevance to exposures in the workplace</w:t>
      </w:r>
      <w:r w:rsidR="0033376A" w:rsidRPr="00BC08BD">
        <w:rPr>
          <w:rFonts w:cs="Arial"/>
        </w:rPr>
        <w:t>.</w:t>
      </w:r>
    </w:p>
    <w:p w14:paraId="48EE718D" w14:textId="77777777" w:rsidR="0034744C" w:rsidRPr="00BC08BD" w:rsidRDefault="005E6979" w:rsidP="005E6979">
      <w:pPr>
        <w:pStyle w:val="Heading1"/>
        <w:rPr>
          <w:rFonts w:ascii="Arial" w:hAnsi="Arial" w:cs="Arial"/>
        </w:rPr>
      </w:pPr>
      <w:r w:rsidRPr="00BC08BD">
        <w:rPr>
          <w:rFonts w:ascii="Arial" w:hAnsi="Arial" w:cs="Arial"/>
        </w:rPr>
        <w:lastRenderedPageBreak/>
        <w:t>Appendix</w:t>
      </w:r>
    </w:p>
    <w:p w14:paraId="7E86FFD1" w14:textId="77777777" w:rsidR="008D026D" w:rsidRPr="00BC08BD" w:rsidRDefault="00B479A9" w:rsidP="003365A5">
      <w:pPr>
        <w:pStyle w:val="Heading3"/>
      </w:pPr>
      <w:r w:rsidRPr="00BC08BD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BC08BD" w14:paraId="507C3176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C10EDB6" w14:textId="77777777" w:rsidR="00C978F0" w:rsidRPr="00BC08BD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BC08BD">
              <w:t>Source</w:t>
            </w:r>
            <w:r w:rsidR="00DA352E" w:rsidRPr="00BC08BD">
              <w:tab/>
              <w:t>Year set</w:t>
            </w:r>
            <w:r w:rsidR="00DA352E" w:rsidRPr="00BC08BD">
              <w:tab/>
              <w:t>Standard</w:t>
            </w:r>
            <w:r w:rsidR="00974F2D" w:rsidRPr="00BC08BD">
              <w:tab/>
            </w:r>
          </w:p>
        </w:tc>
      </w:tr>
      <w:tr w:rsidR="00DE26E8" w:rsidRPr="00BC08BD" w14:paraId="71B3C92B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7826D9C" w14:textId="0761739C" w:rsidR="00DE26E8" w:rsidRPr="00BC08BD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BC08BD">
              <w:t>SWA</w:t>
            </w:r>
            <w:r w:rsidRPr="00BC08BD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46CAB" w:rsidRPr="00BC08BD">
                  <w:t>NA</w:t>
                </w:r>
              </w:sdtContent>
            </w:sdt>
            <w:r w:rsidRPr="00BC08BD">
              <w:tab/>
            </w:r>
            <w:r w:rsidRPr="00BC08BD"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46CAB" w:rsidRPr="00BC08BD">
                  <w:t>NA</w:t>
                </w:r>
              </w:sdtContent>
            </w:sdt>
          </w:p>
        </w:tc>
      </w:tr>
      <w:tr w:rsidR="00C978F0" w:rsidRPr="00BC08BD" w14:paraId="4AF540D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9396C1D" w14:textId="670ABBB3" w:rsidR="00C978F0" w:rsidRPr="00BC08BD" w:rsidRDefault="00C978F0" w:rsidP="003365A5">
            <w:pPr>
              <w:pStyle w:val="Tabletextprimarysource"/>
            </w:pPr>
          </w:p>
        </w:tc>
      </w:tr>
      <w:tr w:rsidR="00C978F0" w:rsidRPr="00BC08BD" w14:paraId="356998B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DC4792D" w14:textId="44815845" w:rsidR="00C978F0" w:rsidRPr="00BC08BD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BC08BD">
              <w:t>ACGIH</w:t>
            </w:r>
            <w:r w:rsidR="00916EC0" w:rsidRPr="00BC08BD">
              <w:t xml:space="preserve"> </w:t>
            </w:r>
            <w:r w:rsidR="00916EC0" w:rsidRPr="00BC08BD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C01D2" w:rsidRPr="00BC08BD">
                  <w:t>NA</w:t>
                </w:r>
              </w:sdtContent>
            </w:sdt>
            <w:r w:rsidR="00916EC0" w:rsidRPr="00BC08BD">
              <w:tab/>
            </w:r>
            <w:r w:rsidR="0051509C" w:rsidRPr="00BC08BD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C01D2" w:rsidRPr="00BC08BD">
                  <w:t>NA</w:t>
                </w:r>
              </w:sdtContent>
            </w:sdt>
          </w:p>
        </w:tc>
      </w:tr>
      <w:tr w:rsidR="00C978F0" w:rsidRPr="00BC08BD" w14:paraId="501C8AB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F14E832" w14:textId="1AEF3D2F" w:rsidR="00C978F0" w:rsidRPr="00BC08BD" w:rsidRDefault="00EC01D2" w:rsidP="003365A5">
            <w:pPr>
              <w:pStyle w:val="Tabletextprimarysource"/>
            </w:pPr>
            <w:r w:rsidRPr="00BC08BD">
              <w:t>No report</w:t>
            </w:r>
            <w:r w:rsidR="00523716" w:rsidRPr="00BC08BD">
              <w:t>.</w:t>
            </w:r>
          </w:p>
        </w:tc>
      </w:tr>
      <w:tr w:rsidR="00C978F0" w:rsidRPr="00BC08BD" w14:paraId="6E1071B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202BCC3" w14:textId="734B9A0C" w:rsidR="00C978F0" w:rsidRPr="00BC08BD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BC08BD">
              <w:t>DFG</w:t>
            </w:r>
            <w:r w:rsidR="00916EC0" w:rsidRPr="00BC08BD">
              <w:t xml:space="preserve"> </w:t>
            </w:r>
            <w:r w:rsidR="00916EC0" w:rsidRPr="00BC08BD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46CAB" w:rsidRPr="00BC08BD">
                  <w:t>2011</w:t>
                </w:r>
              </w:sdtContent>
            </w:sdt>
            <w:r w:rsidR="00916EC0" w:rsidRPr="00BC08BD">
              <w:tab/>
            </w:r>
            <w:r w:rsidR="0051509C" w:rsidRPr="00BC08BD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46CAB" w:rsidRPr="00BC08BD">
                  <w:t>Not assigned</w:t>
                </w:r>
              </w:sdtContent>
            </w:sdt>
          </w:p>
        </w:tc>
      </w:tr>
      <w:tr w:rsidR="00C978F0" w:rsidRPr="00BC08BD" w14:paraId="4A4749AA" w14:textId="77777777" w:rsidTr="008D185C">
        <w:trPr>
          <w:gridAfter w:val="1"/>
          <w:wAfter w:w="8" w:type="pct"/>
        </w:trPr>
        <w:tc>
          <w:tcPr>
            <w:tcW w:w="0" w:type="pct"/>
          </w:tcPr>
          <w:p w14:paraId="404792A3" w14:textId="12BFC68C" w:rsidR="00180295" w:rsidRPr="00BC08BD" w:rsidRDefault="00180295" w:rsidP="00DD7810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 w:rsidRPr="00BC08BD">
              <w:rPr>
                <w:rFonts w:cs="Arial"/>
                <w:color w:val="1C1D1E"/>
                <w:shd w:val="clear" w:color="auto" w:fill="FFFFFF"/>
              </w:rPr>
              <w:t>Summary of data:</w:t>
            </w:r>
          </w:p>
          <w:p w14:paraId="15F0A1BA" w14:textId="555B8E5C" w:rsidR="008D185C" w:rsidRPr="00BC08BD" w:rsidRDefault="00091026" w:rsidP="00DD7810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 w:rsidRPr="00BC08BD">
              <w:rPr>
                <w:rFonts w:cs="Arial"/>
                <w:color w:val="1C1D1E"/>
                <w:shd w:val="clear" w:color="auto" w:fill="FFFFFF"/>
              </w:rPr>
              <w:t>MAK not established because a NOAEL for narcotic or pre-narcotic effects cannot be determined due to insufficient detail in human toxicological data. E</w:t>
            </w:r>
            <w:r w:rsidR="00A654D7" w:rsidRPr="00BC08BD">
              <w:rPr>
                <w:rFonts w:cs="Arial"/>
                <w:color w:val="1C1D1E"/>
                <w:shd w:val="clear" w:color="auto" w:fill="FFFFFF"/>
              </w:rPr>
              <w:t xml:space="preserve">ffects include </w:t>
            </w:r>
            <w:r w:rsidR="00A654D7" w:rsidRPr="00BC08BD">
              <w:t>confusion, euphoria, hallucinations, aggression, analgesia, uncontrolled movement, bradycardia, tachycardia, respiratory depression and unconsciousness.</w:t>
            </w:r>
            <w:r w:rsidR="00582BB9"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</w:p>
          <w:p w14:paraId="5C0F3752" w14:textId="083E68A6" w:rsidR="008D185C" w:rsidRPr="00BC08BD" w:rsidRDefault="009F68D8" w:rsidP="00DD7810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Derivation of a MAK from the lowest reported </w:t>
            </w:r>
            <w:r w:rsidR="00620CB4" w:rsidRPr="00BC08BD">
              <w:rPr>
                <w:rFonts w:cs="Arial"/>
                <w:color w:val="1C1D1E"/>
                <w:shd w:val="clear" w:color="auto" w:fill="FFFFFF"/>
              </w:rPr>
              <w:t>LOEL of 10 mg/kg for</w:t>
            </w:r>
            <w:r w:rsidR="00605063" w:rsidRPr="00BC08BD">
              <w:rPr>
                <w:rFonts w:cs="Arial"/>
                <w:color w:val="1C1D1E"/>
                <w:shd w:val="clear" w:color="auto" w:fill="FFFFFF"/>
              </w:rPr>
              <w:t xml:space="preserve"> body temperature decrease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605063" w:rsidRPr="00BC08BD">
              <w:rPr>
                <w:rFonts w:cs="Arial"/>
                <w:color w:val="1C1D1E"/>
                <w:shd w:val="clear" w:color="auto" w:fill="FFFFFF"/>
              </w:rPr>
              <w:t>(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>rats</w:t>
            </w:r>
            <w:r w:rsidR="00605063" w:rsidRPr="00BC08BD">
              <w:rPr>
                <w:rFonts w:cs="Arial"/>
                <w:color w:val="1C1D1E"/>
                <w:shd w:val="clear" w:color="auto" w:fill="FFFFFF"/>
              </w:rPr>
              <w:t>)</w:t>
            </w:r>
            <w:r w:rsidR="00765BF2"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BC08BD">
              <w:rPr>
                <w:rFonts w:cs="Arial"/>
                <w:iCs/>
                <w:color w:val="1C1D1E"/>
                <w:shd w:val="clear" w:color="auto" w:fill="FFFFFF"/>
              </w:rPr>
              <w:t>by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523716" w:rsidRPr="00BC08BD">
              <w:rPr>
                <w:rFonts w:cs="Arial"/>
                <w:color w:val="1C1D1E"/>
                <w:shd w:val="clear" w:color="auto" w:fill="FFFFFF"/>
              </w:rPr>
              <w:t>ip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BC08BD">
              <w:rPr>
                <w:rFonts w:cs="Arial"/>
                <w:color w:val="1C1D1E"/>
                <w:shd w:val="clear" w:color="auto" w:fill="FFFFFF"/>
              </w:rPr>
              <w:t xml:space="preserve">injection 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>equates to 17.5 mg/m</w:t>
            </w:r>
            <w:r w:rsidRPr="00BC08BD">
              <w:rPr>
                <w:rFonts w:cs="Arial"/>
                <w:color w:val="1C1D1E"/>
                <w:shd w:val="clear" w:color="auto" w:fill="FFFFFF"/>
                <w:vertAlign w:val="superscript"/>
              </w:rPr>
              <w:t>3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 in humans assuming an inhalation rate of 10 m</w:t>
            </w:r>
            <w:r w:rsidRPr="00BC08BD">
              <w:rPr>
                <w:rFonts w:cs="Arial"/>
                <w:color w:val="1C1D1E"/>
                <w:shd w:val="clear" w:color="auto" w:fill="FFFFFF"/>
                <w:vertAlign w:val="superscript"/>
              </w:rPr>
              <w:t>3</w:t>
            </w:r>
            <w:r w:rsidR="00060905" w:rsidRPr="00BC08BD">
              <w:rPr>
                <w:rFonts w:cs="Arial"/>
                <w:color w:val="1C1D1E"/>
                <w:shd w:val="clear" w:color="auto" w:fill="FFFFFF"/>
              </w:rPr>
              <w:t xml:space="preserve"> per 8</w:t>
            </w:r>
            <w:r w:rsidR="003915E2"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060905" w:rsidRPr="00BC08BD">
              <w:rPr>
                <w:rFonts w:cs="Arial"/>
                <w:color w:val="1C1D1E"/>
                <w:shd w:val="clear" w:color="auto" w:fill="FFFFFF"/>
              </w:rPr>
              <w:t>h shift in a 70</w:t>
            </w:r>
            <w:r w:rsidR="003915E2"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kg adult with an interspecies conversion factor of 4 for rats. </w:t>
            </w:r>
          </w:p>
          <w:p w14:paraId="191B7CE1" w14:textId="77777777" w:rsidR="008D185C" w:rsidRPr="00BC08BD" w:rsidRDefault="009F68D8" w:rsidP="00DD7810">
            <w:pPr>
              <w:pStyle w:val="Tabletextprimarysource"/>
            </w:pPr>
            <w:r w:rsidRPr="00BC08BD">
              <w:t xml:space="preserve">No indications in human or </w:t>
            </w:r>
            <w:r w:rsidR="0028649E" w:rsidRPr="00BC08BD">
              <w:t xml:space="preserve">animal studies </w:t>
            </w:r>
            <w:r w:rsidRPr="00BC08BD">
              <w:t xml:space="preserve">for </w:t>
            </w:r>
            <w:r w:rsidR="0028649E" w:rsidRPr="00BC08BD">
              <w:t xml:space="preserve">skin or respiratory </w:t>
            </w:r>
            <w:r w:rsidRPr="00BC08BD">
              <w:t>sensitisation</w:t>
            </w:r>
            <w:r w:rsidR="0028649E" w:rsidRPr="00BC08BD">
              <w:t xml:space="preserve">. </w:t>
            </w:r>
          </w:p>
          <w:p w14:paraId="220E7E1C" w14:textId="01C4E7E1" w:rsidR="0028649E" w:rsidRPr="00BC08BD" w:rsidRDefault="00180295" w:rsidP="00DD7810">
            <w:pPr>
              <w:pStyle w:val="Tabletextprimarysource"/>
            </w:pPr>
            <w:r w:rsidRPr="00BC08BD">
              <w:t>Human data:</w:t>
            </w:r>
          </w:p>
          <w:p w14:paraId="6138BDEE" w14:textId="0AD51210" w:rsidR="00A654D7" w:rsidRPr="00BC08BD" w:rsidRDefault="00B809FC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 xml:space="preserve">Onset of </w:t>
            </w:r>
            <w:r w:rsidR="00DB140F" w:rsidRPr="00BC08BD">
              <w:t xml:space="preserve">acute </w:t>
            </w:r>
            <w:r w:rsidRPr="00BC08BD">
              <w:t xml:space="preserve">intoxication observed at 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>15</w:t>
            </w:r>
            <w:r w:rsidR="003915E2" w:rsidRPr="00BC08BD">
              <w:rPr>
                <w:rFonts w:cs="Arial"/>
                <w:color w:val="1C1D1E"/>
                <w:shd w:val="clear" w:color="auto" w:fill="FFFFFF"/>
              </w:rPr>
              <w:t>–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>20 mg/kg (intravenously) or 20</w:t>
            </w:r>
            <w:r w:rsidR="003915E2" w:rsidRPr="00BC08BD">
              <w:rPr>
                <w:rFonts w:cs="Arial"/>
                <w:color w:val="1C1D1E"/>
                <w:shd w:val="clear" w:color="auto" w:fill="FFFFFF"/>
              </w:rPr>
              <w:t>–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>30 mg/kg (intramuscularly) after 0.5</w:t>
            </w:r>
            <w:r w:rsidR="003915E2" w:rsidRPr="00BC08BD">
              <w:rPr>
                <w:rFonts w:cs="Arial"/>
                <w:color w:val="1C1D1E"/>
                <w:shd w:val="clear" w:color="auto" w:fill="FFFFFF"/>
              </w:rPr>
              <w:t>–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>3 h</w:t>
            </w:r>
          </w:p>
          <w:p w14:paraId="2D2BD93A" w14:textId="75B4C633" w:rsidR="0028649E" w:rsidRPr="00BC08BD" w:rsidRDefault="00180295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  <w:rPr>
                <w:rFonts w:cs="Arial"/>
                <w:color w:val="1C1D1E"/>
                <w:shd w:val="clear" w:color="auto" w:fill="FFFFFF"/>
              </w:rPr>
            </w:pPr>
            <w:r w:rsidRPr="00BC08BD">
              <w:t xml:space="preserve">Volunteers given 2.5 g orally fell asleep within 20 min and exhibited </w:t>
            </w:r>
            <w:r w:rsidR="00523716" w:rsidRPr="00BC08BD">
              <w:t xml:space="preserve">ECG </w:t>
            </w:r>
            <w:r w:rsidRPr="00BC08BD">
              <w:t>profiles comparabl</w:t>
            </w:r>
            <w:r w:rsidR="00B809FC" w:rsidRPr="00BC08BD">
              <w:t>e to sleep under pentobarbital</w:t>
            </w:r>
          </w:p>
          <w:p w14:paraId="121E8411" w14:textId="77777777" w:rsidR="003B2FF5" w:rsidRPr="00BC08BD" w:rsidRDefault="00180295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 xml:space="preserve">Skin penetration rate of </w:t>
            </w:r>
            <w:r w:rsidR="0033376A" w:rsidRPr="00BC08BD">
              <w:t>0.</w:t>
            </w:r>
            <w:r w:rsidRPr="00BC08BD">
              <w:t>11±0.</w:t>
            </w:r>
            <w:r w:rsidR="0033376A" w:rsidRPr="00BC08BD">
              <w:t>0</w:t>
            </w:r>
            <w:r w:rsidRPr="00BC08BD">
              <w:t xml:space="preserve">1 </w:t>
            </w:r>
            <w:r w:rsidR="0033376A" w:rsidRPr="00BC08BD">
              <w:t>m</w:t>
            </w:r>
            <w:r w:rsidRPr="00BC08BD">
              <w:t>g/</w:t>
            </w:r>
            <w:r w:rsidR="0033376A" w:rsidRPr="00BC08BD">
              <w:t>c</w:t>
            </w:r>
            <w:r w:rsidRPr="00BC08BD">
              <w:t>m</w:t>
            </w:r>
            <w:r w:rsidRPr="00BC08BD">
              <w:rPr>
                <w:vertAlign w:val="superscript"/>
              </w:rPr>
              <w:t>2</w:t>
            </w:r>
            <w:r w:rsidRPr="00BC08BD">
              <w:t>/h</w:t>
            </w:r>
            <w:r w:rsidR="00571964" w:rsidRPr="00BC08BD">
              <w:t xml:space="preserve"> </w:t>
            </w:r>
            <w:r w:rsidR="00571964" w:rsidRPr="00BC08BD">
              <w:rPr>
                <w:i/>
              </w:rPr>
              <w:t>in vitro</w:t>
            </w:r>
          </w:p>
          <w:p w14:paraId="5F9AEBAA" w14:textId="77337BBE" w:rsidR="00180295" w:rsidRPr="00BC08BD" w:rsidRDefault="00180295" w:rsidP="00D0738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1</w:t>
            </w:r>
            <w:r w:rsidR="003915E2" w:rsidRPr="00BC08BD">
              <w:t xml:space="preserve"> </w:t>
            </w:r>
            <w:r w:rsidRPr="00BC08BD">
              <w:t>h exposure of 2</w:t>
            </w:r>
            <w:r w:rsidR="009E5C60" w:rsidRPr="00BC08BD">
              <w:t>,</w:t>
            </w:r>
            <w:r w:rsidRPr="00BC08BD">
              <w:t>000 cm</w:t>
            </w:r>
            <w:r w:rsidRPr="00BC08BD">
              <w:rPr>
                <w:vertAlign w:val="superscript"/>
              </w:rPr>
              <w:t>2</w:t>
            </w:r>
            <w:r w:rsidRPr="00BC08BD">
              <w:t xml:space="preserve"> skin in saturated aqueous solution </w:t>
            </w:r>
            <w:r w:rsidRPr="00BC08BD">
              <w:rPr>
                <w:rFonts w:cs="Arial"/>
              </w:rPr>
              <w:t>≡</w:t>
            </w:r>
            <w:r w:rsidRPr="00BC08BD">
              <w:t>2.9 mg/kg</w:t>
            </w:r>
          </w:p>
          <w:p w14:paraId="0DBAF3ED" w14:textId="1E45F470" w:rsidR="008E7661" w:rsidRPr="00BC08BD" w:rsidRDefault="00A654D7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Accidental poisoning common due to recreational abuse</w:t>
            </w:r>
            <w:r w:rsidR="00297D70" w:rsidRPr="00BC08BD">
              <w:t xml:space="preserve"> (</w:t>
            </w:r>
            <w:r w:rsidR="00B809FC" w:rsidRPr="00BC08BD">
              <w:t>unknown concentrations</w:t>
            </w:r>
            <w:r w:rsidR="00297D70" w:rsidRPr="00BC08BD">
              <w:t xml:space="preserve">) </w:t>
            </w:r>
          </w:p>
          <w:p w14:paraId="56DA8251" w14:textId="4CE849EB" w:rsidR="008E7661" w:rsidRPr="00BC08BD" w:rsidRDefault="008E7661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C</w:t>
            </w:r>
            <w:r w:rsidR="00297D70" w:rsidRPr="00BC08BD">
              <w:t xml:space="preserve">hronic oral intake associated with </w:t>
            </w:r>
            <w:r w:rsidR="00297D70" w:rsidRPr="00BC08BD">
              <w:rPr>
                <w:rFonts w:cs="Arial"/>
                <w:color w:val="1C1D1E"/>
                <w:shd w:val="clear" w:color="auto" w:fill="FFFFFF"/>
              </w:rPr>
              <w:t>anxiety, depression, tremor and sleep disorder</w:t>
            </w:r>
          </w:p>
          <w:p w14:paraId="14888326" w14:textId="06689DDB" w:rsidR="008E7661" w:rsidRPr="00BC08BD" w:rsidRDefault="00297D70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60</w:t>
            </w:r>
            <w:r w:rsidR="00E64593" w:rsidRPr="00BC08BD">
              <w:t> </w:t>
            </w:r>
            <w:r w:rsidRPr="00BC08BD">
              <w:t>mg/kg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 required for surgical anaesthesia</w:t>
            </w:r>
          </w:p>
          <w:p w14:paraId="45C42EBF" w14:textId="767C9A18" w:rsidR="00DD7810" w:rsidRPr="00BC08BD" w:rsidRDefault="008E7661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rPr>
                <w:rFonts w:cs="Arial"/>
                <w:color w:val="1C1D1E"/>
                <w:shd w:val="clear" w:color="auto" w:fill="FFFFFF"/>
              </w:rPr>
              <w:t>A</w:t>
            </w:r>
            <w:r w:rsidR="00297D70" w:rsidRPr="00BC08BD">
              <w:rPr>
                <w:rFonts w:cs="Arial"/>
                <w:color w:val="1C1D1E"/>
                <w:shd w:val="clear" w:color="auto" w:fill="FFFFFF"/>
              </w:rPr>
              <w:t>cciden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>tal near-fatal poisoning at 570 </w:t>
            </w:r>
            <w:r w:rsidR="00297D70" w:rsidRPr="00BC08BD">
              <w:rPr>
                <w:rFonts w:cs="Arial"/>
                <w:color w:val="1C1D1E"/>
                <w:shd w:val="clear" w:color="auto" w:fill="FFFFFF"/>
              </w:rPr>
              <w:t>mg/kg in 44</w:t>
            </w:r>
            <w:r w:rsidR="003915E2"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297D70" w:rsidRPr="00BC08BD">
              <w:rPr>
                <w:rFonts w:cs="Arial"/>
                <w:color w:val="1C1D1E"/>
                <w:shd w:val="clear" w:color="auto" w:fill="FFFFFF"/>
              </w:rPr>
              <w:t>yr</w:t>
            </w:r>
            <w:r w:rsidR="003915E2"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297D70" w:rsidRPr="00BC08BD">
              <w:rPr>
                <w:rFonts w:cs="Arial"/>
                <w:color w:val="1C1D1E"/>
                <w:shd w:val="clear" w:color="auto" w:fill="FFFFFF"/>
              </w:rPr>
              <w:t xml:space="preserve">old man </w:t>
            </w:r>
          </w:p>
          <w:p w14:paraId="307212C8" w14:textId="55607949" w:rsidR="0028649E" w:rsidRPr="00BC08BD" w:rsidRDefault="00297D70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  <w:rPr>
                <w:rFonts w:cs="Arial"/>
                <w:color w:val="1C1D1E"/>
                <w:shd w:val="clear" w:color="auto" w:fill="FFFFFF"/>
              </w:rPr>
            </w:pP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Analgesic effects </w:t>
            </w:r>
            <w:r w:rsidR="00B809FC" w:rsidRPr="00BC08BD">
              <w:rPr>
                <w:rFonts w:cs="Arial"/>
                <w:color w:val="1C1D1E"/>
                <w:shd w:val="clear" w:color="auto" w:fill="FFFFFF"/>
              </w:rPr>
              <w:t>in laboratory worker’s skin exposed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B809FC" w:rsidRPr="00BC08BD">
              <w:rPr>
                <w:rFonts w:cs="Arial"/>
                <w:color w:val="1C1D1E"/>
                <w:shd w:val="clear" w:color="auto" w:fill="FFFFFF"/>
              </w:rPr>
              <w:t>to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B809FC" w:rsidRPr="00BC08BD">
              <w:rPr>
                <w:rFonts w:cs="Arial"/>
                <w:color w:val="1C1D1E"/>
                <w:shd w:val="clear" w:color="auto" w:fill="FFFFFF"/>
              </w:rPr>
              <w:t>unspecified large amount</w:t>
            </w:r>
          </w:p>
          <w:p w14:paraId="6896FB52" w14:textId="2A5BD031" w:rsidR="000B23E9" w:rsidRPr="00BC08BD" w:rsidRDefault="00571964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  <w:rPr>
                <w:rFonts w:cs="Arial"/>
                <w:color w:val="1C1D1E"/>
                <w:shd w:val="clear" w:color="auto" w:fill="FFFFFF"/>
              </w:rPr>
            </w:pP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No </w:t>
            </w:r>
            <w:r w:rsidR="00297D70" w:rsidRPr="00BC08BD">
              <w:rPr>
                <w:rFonts w:cs="Arial"/>
                <w:color w:val="1C1D1E"/>
                <w:shd w:val="clear" w:color="auto" w:fill="FFFFFF"/>
              </w:rPr>
              <w:t xml:space="preserve">sensitisation in occlusive application of pure substance to </w:t>
            </w:r>
            <w:r w:rsidR="00B809FC" w:rsidRPr="00BC08BD">
              <w:rPr>
                <w:rFonts w:cs="Arial"/>
                <w:color w:val="1C1D1E"/>
                <w:shd w:val="clear" w:color="auto" w:fill="FFFFFF"/>
              </w:rPr>
              <w:t>skin (unspecified amount) for 5</w:t>
            </w:r>
            <w:r w:rsidR="003915E2"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297D70" w:rsidRPr="00BC08BD">
              <w:rPr>
                <w:rFonts w:cs="Arial"/>
                <w:color w:val="1C1D1E"/>
                <w:shd w:val="clear" w:color="auto" w:fill="FFFFFF"/>
              </w:rPr>
              <w:t>d followed by 2</w:t>
            </w:r>
            <w:r w:rsidR="003915E2" w:rsidRPr="00BC08BD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297D70" w:rsidRPr="00BC08BD">
              <w:rPr>
                <w:rFonts w:cs="Arial"/>
                <w:color w:val="1C1D1E"/>
                <w:shd w:val="clear" w:color="auto" w:fill="FFFFFF"/>
              </w:rPr>
              <w:t>d exposure after 3 wk</w:t>
            </w:r>
          </w:p>
          <w:p w14:paraId="22349C51" w14:textId="25308C1F" w:rsidR="0028649E" w:rsidRPr="00BC08BD" w:rsidRDefault="00297D70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  <w:rPr>
                <w:rFonts w:cs="Arial"/>
                <w:color w:val="1C1D1E"/>
                <w:shd w:val="clear" w:color="auto" w:fill="FFFFFF"/>
              </w:rPr>
            </w:pP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No increased incidences of non-Hodgkin's lymphoma and soft-tissue sarcoma reported in </w:t>
            </w:r>
            <w:r w:rsidR="003915E2" w:rsidRPr="00BC08BD">
              <w:rPr>
                <w:rFonts w:cs="Arial"/>
                <w:color w:val="1C1D1E"/>
                <w:shd w:val="clear" w:color="auto" w:fill="FFFFFF"/>
              </w:rPr>
              <w:t>2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 xml:space="preserve"> case studies of workers wit</w:t>
            </w:r>
            <w:r w:rsidR="00B809FC" w:rsidRPr="00BC08BD">
              <w:rPr>
                <w:rFonts w:cs="Arial"/>
                <w:color w:val="1C1D1E"/>
                <w:shd w:val="clear" w:color="auto" w:fill="FFFFFF"/>
              </w:rPr>
              <w:t>h mixed exposure to herbicides</w:t>
            </w:r>
          </w:p>
          <w:p w14:paraId="61CA315F" w14:textId="43371A28" w:rsidR="0007452E" w:rsidRPr="00BC08BD" w:rsidRDefault="0007452E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  <w:rPr>
                <w:rFonts w:cs="Arial"/>
                <w:color w:val="1C1D1E"/>
                <w:shd w:val="clear" w:color="auto" w:fill="FFFFFF"/>
              </w:rPr>
            </w:pPr>
            <w:r w:rsidRPr="00BC08BD">
              <w:t xml:space="preserve">A skin notation is assigned due to evidence for appreciable skin penetration from an </w:t>
            </w:r>
            <w:r w:rsidRPr="00BC08BD">
              <w:rPr>
                <w:i/>
              </w:rPr>
              <w:t>in</w:t>
            </w:r>
            <w:r w:rsidR="00E64593" w:rsidRPr="00BC08BD">
              <w:rPr>
                <w:i/>
              </w:rPr>
              <w:t> </w:t>
            </w:r>
            <w:r w:rsidRPr="00BC08BD">
              <w:rPr>
                <w:i/>
              </w:rPr>
              <w:t>vitro</w:t>
            </w:r>
            <w:r w:rsidRPr="00BC08BD">
              <w:t xml:space="preserve"> permeability </w:t>
            </w:r>
            <w:r w:rsidRPr="00BC08BD">
              <w:rPr>
                <w:rFonts w:cs="Arial"/>
                <w:color w:val="1C1D1E"/>
                <w:shd w:val="clear" w:color="auto" w:fill="FFFFFF"/>
              </w:rPr>
              <w:t>study</w:t>
            </w:r>
            <w:r w:rsidRPr="00BC08BD">
              <w:t xml:space="preserve"> with human skin. </w:t>
            </w:r>
          </w:p>
          <w:p w14:paraId="38E14BDB" w14:textId="77777777" w:rsidR="00510BDC" w:rsidRPr="00BC08BD" w:rsidRDefault="00510BDC" w:rsidP="001A7E3E">
            <w:pPr>
              <w:pStyle w:val="Tabletextprimarysource"/>
              <w:ind w:left="1156"/>
              <w:contextualSpacing/>
              <w:rPr>
                <w:rFonts w:cs="Arial"/>
                <w:color w:val="1C1D1E"/>
                <w:shd w:val="clear" w:color="auto" w:fill="FFFFFF"/>
              </w:rPr>
            </w:pPr>
          </w:p>
          <w:p w14:paraId="4EED041B" w14:textId="77777777" w:rsidR="000B23E9" w:rsidRPr="00BC08BD" w:rsidRDefault="000B23E9" w:rsidP="00DD7810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 w:rsidRPr="00BC08BD">
              <w:rPr>
                <w:rFonts w:cs="Arial"/>
                <w:color w:val="1C1D1E"/>
                <w:shd w:val="clear" w:color="auto" w:fill="FFFFFF"/>
              </w:rPr>
              <w:t>Animal data:</w:t>
            </w:r>
          </w:p>
          <w:p w14:paraId="1910D10A" w14:textId="527C4F69" w:rsidR="00B809FC" w:rsidRPr="00BC08BD" w:rsidRDefault="00B809FC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 xml:space="preserve">In rats, γ-butyrolactone (GBL) is rapidly and completely absorbed from the </w:t>
            </w:r>
            <w:r w:rsidR="00523716" w:rsidRPr="00BC08BD">
              <w:t>GIT</w:t>
            </w:r>
            <w:r w:rsidRPr="00BC08BD">
              <w:t xml:space="preserve"> and metabolised to γ-hydroxybutyric acid (GHB)</w:t>
            </w:r>
          </w:p>
          <w:p w14:paraId="43CC273F" w14:textId="4CCAA14C" w:rsidR="00060905" w:rsidRPr="00D0738F" w:rsidRDefault="00060905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D0738F">
              <w:t>LC50: 2</w:t>
            </w:r>
            <w:r w:rsidR="00534D57" w:rsidRPr="00D0738F">
              <w:t>,</w:t>
            </w:r>
            <w:r w:rsidRPr="00D0738F">
              <w:t>680</w:t>
            </w:r>
            <w:r w:rsidR="003915E2" w:rsidRPr="00D0738F">
              <w:t>–</w:t>
            </w:r>
            <w:r w:rsidRPr="00D0738F">
              <w:t>5</w:t>
            </w:r>
            <w:r w:rsidR="00534D57" w:rsidRPr="00D0738F">
              <w:t>,</w:t>
            </w:r>
            <w:r w:rsidRPr="00D0738F">
              <w:t>100 mg/m3 (rats, 4 h)</w:t>
            </w:r>
          </w:p>
          <w:p w14:paraId="0B6C0992" w14:textId="1D2BB7AD" w:rsidR="0028649E" w:rsidRPr="00D0738F" w:rsidRDefault="00060905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D0738F">
              <w:t>Dermal LD50</w:t>
            </w:r>
            <w:r w:rsidR="008D185C" w:rsidRPr="00D0738F">
              <w:t>:</w:t>
            </w:r>
            <w:r w:rsidRPr="00D0738F">
              <w:t xml:space="preserve"> &gt;5</w:t>
            </w:r>
            <w:r w:rsidR="00534D57" w:rsidRPr="00D0738F">
              <w:t>,</w:t>
            </w:r>
            <w:r w:rsidRPr="00D0738F">
              <w:t>640 mg/kg (rabbits)</w:t>
            </w:r>
            <w:r w:rsidR="00571964" w:rsidRPr="00D0738F">
              <w:t>; 7% (un</w:t>
            </w:r>
            <w:r w:rsidR="007273F3" w:rsidRPr="00D0738F">
              <w:t>-</w:t>
            </w:r>
            <w:r w:rsidR="00571964" w:rsidRPr="00D0738F">
              <w:t>depilated) and 11% (depilated) skin absorption (rats)</w:t>
            </w:r>
          </w:p>
          <w:p w14:paraId="74A368E4" w14:textId="05FF5A4C" w:rsidR="00605063" w:rsidRPr="00BC08BD" w:rsidRDefault="00605063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NOEL: 11 mg/kg for locomotive effects (mice</w:t>
            </w:r>
            <w:r w:rsidR="00523716" w:rsidRPr="00BC08BD">
              <w:t>; ip</w:t>
            </w:r>
            <w:r w:rsidRPr="00BC08BD">
              <w:t>); “extended climbing time”</w:t>
            </w:r>
          </w:p>
          <w:p w14:paraId="279E7292" w14:textId="3037BF59" w:rsidR="0007452E" w:rsidRPr="00BC08BD" w:rsidRDefault="00605063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LOEL: 10 mg/kg for body temperature decrease (rats</w:t>
            </w:r>
            <w:r w:rsidR="00523716" w:rsidRPr="00BC08BD">
              <w:t>; ip</w:t>
            </w:r>
            <w:r w:rsidRPr="00BC08BD">
              <w:t>); 0.7 °C decrease</w:t>
            </w:r>
            <w:r w:rsidR="0007452E" w:rsidRPr="00D0738F">
              <w:t xml:space="preserve"> </w:t>
            </w:r>
          </w:p>
          <w:p w14:paraId="78E2026F" w14:textId="3A8FF003" w:rsidR="003B2FF5" w:rsidRPr="00BC08BD" w:rsidRDefault="00B94DDB" w:rsidP="00D0738F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 xml:space="preserve">Oral </w:t>
            </w:r>
            <w:r w:rsidR="00060905" w:rsidRPr="00BC08BD">
              <w:t>NOAEL: 131 mg/kg/d for sedative effects in repeat gavage study</w:t>
            </w:r>
            <w:r w:rsidR="00257021">
              <w:t xml:space="preserve"> (</w:t>
            </w:r>
            <w:r w:rsidR="0077393D">
              <w:t>mice</w:t>
            </w:r>
            <w:r w:rsidR="00257021">
              <w:t>)</w:t>
            </w:r>
          </w:p>
          <w:p w14:paraId="34A0A850" w14:textId="731C3879" w:rsidR="003B2FF5" w:rsidRPr="00BC08BD" w:rsidRDefault="00060905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treatment range: 0</w:t>
            </w:r>
            <w:r w:rsidR="003915E2" w:rsidRPr="00BC08BD">
              <w:t>–</w:t>
            </w:r>
            <w:r w:rsidRPr="00BC08BD">
              <w:t>1</w:t>
            </w:r>
            <w:r w:rsidR="00534D57" w:rsidRPr="00BC08BD">
              <w:t>,</w:t>
            </w:r>
            <w:r w:rsidRPr="00BC08BD">
              <w:t>050 mg/kg</w:t>
            </w:r>
            <w:r w:rsidR="007273F3">
              <w:t>/d</w:t>
            </w:r>
            <w:r w:rsidRPr="00BC08BD">
              <w:t xml:space="preserve"> (mice, n=10/sex,</w:t>
            </w:r>
            <w:r w:rsidR="00FC351A">
              <w:t xml:space="preserve"> </w:t>
            </w:r>
            <w:r w:rsidRPr="00BC08BD">
              <w:t>10 wk)</w:t>
            </w:r>
          </w:p>
          <w:p w14:paraId="46D52DB0" w14:textId="74BE9EAB" w:rsidR="003B2FF5" w:rsidRPr="00BC08BD" w:rsidRDefault="00060905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3</w:t>
            </w:r>
            <w:r w:rsidR="000B23E9" w:rsidRPr="00BC08BD">
              <w:t xml:space="preserve"> male</w:t>
            </w:r>
            <w:r w:rsidRPr="00BC08BD">
              <w:t>s</w:t>
            </w:r>
            <w:r w:rsidR="000B23E9" w:rsidRPr="00BC08BD">
              <w:t xml:space="preserve"> and </w:t>
            </w:r>
            <w:r w:rsidRPr="00BC08BD">
              <w:t>1</w:t>
            </w:r>
            <w:r w:rsidR="000B23E9" w:rsidRPr="00BC08BD">
              <w:t xml:space="preserve"> female died</w:t>
            </w:r>
            <w:r w:rsidRPr="00BC08BD">
              <w:t xml:space="preserve"> in highest dose group</w:t>
            </w:r>
          </w:p>
          <w:p w14:paraId="41EE9214" w14:textId="5520A44E" w:rsidR="003B2FF5" w:rsidRPr="00BC08BD" w:rsidRDefault="00D32798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symptoms of inactivity in 525 mg/kg</w:t>
            </w:r>
            <w:r w:rsidR="007273F3">
              <w:t>/d</w:t>
            </w:r>
            <w:r w:rsidRPr="00BC08BD">
              <w:t xml:space="preserve"> group decreased </w:t>
            </w:r>
            <w:r w:rsidR="0028536F" w:rsidRPr="00BC08BD">
              <w:t>after 3</w:t>
            </w:r>
            <w:r w:rsidR="003915E2" w:rsidRPr="00BC08BD">
              <w:t>–</w:t>
            </w:r>
            <w:r w:rsidR="0028536F" w:rsidRPr="00BC08BD">
              <w:t>4</w:t>
            </w:r>
            <w:r w:rsidR="0007452E" w:rsidRPr="00BC08BD">
              <w:t> </w:t>
            </w:r>
            <w:r w:rsidR="0028536F" w:rsidRPr="00BC08BD">
              <w:t>wk</w:t>
            </w:r>
            <w:r w:rsidR="00917474" w:rsidRPr="00BC08BD">
              <w:t xml:space="preserve"> suggesting habituation</w:t>
            </w:r>
          </w:p>
          <w:p w14:paraId="5ED37A54" w14:textId="348ED730" w:rsidR="00D32798" w:rsidRPr="00BC08BD" w:rsidRDefault="0028536F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NOAEL of 112 mg/kg/d in similar 13</w:t>
            </w:r>
            <w:r w:rsidR="003915E2" w:rsidRPr="00BC08BD">
              <w:t xml:space="preserve"> </w:t>
            </w:r>
            <w:r w:rsidRPr="00BC08BD">
              <w:t>wk study with rats</w:t>
            </w:r>
          </w:p>
          <w:p w14:paraId="6AC8D899" w14:textId="66E21018" w:rsidR="003B2FF5" w:rsidRPr="00BC08BD" w:rsidRDefault="00B94DDB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 xml:space="preserve">Oral </w:t>
            </w:r>
            <w:r w:rsidR="0028536F" w:rsidRPr="00BC08BD">
              <w:t xml:space="preserve">NOAEL </w:t>
            </w:r>
            <w:r w:rsidR="0028536F" w:rsidRPr="00D21890">
              <w:t>≈</w:t>
            </w:r>
            <w:r w:rsidR="0028536F" w:rsidRPr="00BC08BD">
              <w:t xml:space="preserve">280 mg/kg/d for body or organ weight change, clinical parameters and </w:t>
            </w:r>
            <w:r w:rsidR="00090AC9" w:rsidRPr="00BC08BD">
              <w:t>histopathological</w:t>
            </w:r>
            <w:r w:rsidR="0028536F" w:rsidRPr="00BC08BD">
              <w:t xml:space="preserve"> parameters in repeat feeding study (dogs, 90 d)</w:t>
            </w:r>
          </w:p>
          <w:p w14:paraId="3BF70354" w14:textId="099069C0" w:rsidR="0028536F" w:rsidRPr="00BC08BD" w:rsidRDefault="00090AC9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no LOAEL determined</w:t>
            </w:r>
          </w:p>
          <w:p w14:paraId="28D7E7C9" w14:textId="5D1A2EFE" w:rsidR="00180295" w:rsidRPr="00BC08BD" w:rsidRDefault="00D32798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No maternal toxicity at 500 mg/kg/d (rats, 9 d) or 5</w:t>
            </w:r>
            <w:r w:rsidR="00534D57" w:rsidRPr="00BC08BD">
              <w:t>,</w:t>
            </w:r>
            <w:r w:rsidRPr="00BC08BD">
              <w:t>000 mg/m</w:t>
            </w:r>
            <w:r w:rsidRPr="001B79ED">
              <w:t>3</w:t>
            </w:r>
            <w:r w:rsidRPr="00BC08BD">
              <w:t xml:space="preserve"> (rabbits, 6 h/d, 12 d) in repeat dose reproductive study</w:t>
            </w:r>
          </w:p>
          <w:p w14:paraId="7CFC6EA4" w14:textId="35BABF47" w:rsidR="00D41BCF" w:rsidRPr="001B79ED" w:rsidRDefault="000B23E9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1B79ED">
              <w:t xml:space="preserve">Negative genotoxicity results for several </w:t>
            </w:r>
            <w:r w:rsidR="00D41BCF" w:rsidRPr="001B79ED">
              <w:t xml:space="preserve">in vivo </w:t>
            </w:r>
            <w:r w:rsidRPr="001B79ED">
              <w:t xml:space="preserve">mammalian and Drosophila melanogaster </w:t>
            </w:r>
            <w:r w:rsidR="00D41BCF" w:rsidRPr="001B79ED">
              <w:t xml:space="preserve">and in vitro mutagenicity studies. </w:t>
            </w:r>
          </w:p>
          <w:p w14:paraId="6C5ABE33" w14:textId="456976E0" w:rsidR="0028649E" w:rsidRPr="00BC08BD" w:rsidRDefault="0028536F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1B79ED">
              <w:t>Long-term</w:t>
            </w:r>
            <w:r w:rsidR="00A11245" w:rsidRPr="001B79ED">
              <w:t xml:space="preserve"> (2 yr)</w:t>
            </w:r>
            <w:r w:rsidRPr="001B79ED">
              <w:t xml:space="preserve"> in vivo studies, e.g. feeding and dermal application studies, show no increase in tumour incidences in mice</w:t>
            </w:r>
          </w:p>
          <w:p w14:paraId="5CBDDD26" w14:textId="043595FD" w:rsidR="003B2FF5" w:rsidRPr="00BC08BD" w:rsidRDefault="00B94DDB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 xml:space="preserve">LOAEL of 262 mg/kg/d for </w:t>
            </w:r>
            <w:r w:rsidR="003B2FF5" w:rsidRPr="00BC08BD">
              <w:t>bw</w:t>
            </w:r>
            <w:r w:rsidRPr="00BC08BD">
              <w:t xml:space="preserve"> change in repeat </w:t>
            </w:r>
            <w:r w:rsidR="00090AC9" w:rsidRPr="00BC08BD">
              <w:t>gavage</w:t>
            </w:r>
            <w:r w:rsidRPr="00BC08BD">
              <w:t xml:space="preserve"> study</w:t>
            </w:r>
          </w:p>
          <w:p w14:paraId="1EBCA745" w14:textId="16C7B6F9" w:rsidR="003B2FF5" w:rsidRPr="00BC08BD" w:rsidRDefault="00B94DDB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treatment range:</w:t>
            </w:r>
            <w:r w:rsidR="003600F3" w:rsidRPr="00BC08BD">
              <w:t xml:space="preserve"> </w:t>
            </w:r>
            <w:r w:rsidRPr="00BC08BD">
              <w:t>0</w:t>
            </w:r>
            <w:r w:rsidR="003915E2" w:rsidRPr="00BC08BD">
              <w:t>–</w:t>
            </w:r>
            <w:r w:rsidRPr="00BC08BD">
              <w:t>525 mg/kg/d (mice,</w:t>
            </w:r>
            <w:r w:rsidR="00090AC9" w:rsidRPr="00BC08BD">
              <w:t xml:space="preserve"> n=50/sex/group,</w:t>
            </w:r>
            <w:r w:rsidRPr="00BC08BD">
              <w:t xml:space="preserve"> 2</w:t>
            </w:r>
            <w:r w:rsidR="003915E2" w:rsidRPr="00BC08BD">
              <w:t xml:space="preserve"> </w:t>
            </w:r>
            <w:r w:rsidRPr="00BC08BD">
              <w:t>yr)</w:t>
            </w:r>
          </w:p>
          <w:p w14:paraId="0FB67990" w14:textId="06C31A72" w:rsidR="003B2FF5" w:rsidRPr="00BC08BD" w:rsidRDefault="00090AC9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bw was 6%</w:t>
            </w:r>
            <w:r w:rsidR="003600F3" w:rsidRPr="00BC08BD">
              <w:t xml:space="preserve"> </w:t>
            </w:r>
            <w:r w:rsidRPr="00BC08BD">
              <w:t>(males) and 14</w:t>
            </w:r>
            <w:r w:rsidR="003915E2" w:rsidRPr="00BC08BD">
              <w:t>–</w:t>
            </w:r>
            <w:r w:rsidRPr="00BC08BD">
              <w:t>17% (females) lower than controls at end of experiment</w:t>
            </w:r>
          </w:p>
          <w:p w14:paraId="03AB5BDA" w14:textId="05DA2C6F" w:rsidR="00B94DDB" w:rsidRPr="00BC08BD" w:rsidRDefault="003B2FF5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p</w:t>
            </w:r>
            <w:r w:rsidR="00090AC9" w:rsidRPr="00BC08BD">
              <w:t>artial sedation and lethargy observed after each dose</w:t>
            </w:r>
          </w:p>
          <w:p w14:paraId="7EA78DE0" w14:textId="77777777" w:rsidR="0007452E" w:rsidRPr="00BC08BD" w:rsidRDefault="0007452E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1B79ED">
              <w:t>Based on negative results in animal studies, the substance is not classified as a carcinogen.</w:t>
            </w:r>
          </w:p>
          <w:p w14:paraId="07E72A1D" w14:textId="7A72080A" w:rsidR="00510BDC" w:rsidRPr="00BC08BD" w:rsidRDefault="00510BDC" w:rsidP="001A7E3E">
            <w:pPr>
              <w:pStyle w:val="Tabletextprimarysource"/>
              <w:ind w:left="1156"/>
              <w:contextualSpacing/>
            </w:pPr>
          </w:p>
        </w:tc>
      </w:tr>
      <w:tr w:rsidR="00C978F0" w:rsidRPr="00BC08BD" w14:paraId="13B2069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BE1E244" w14:textId="3309A036" w:rsidR="00C978F0" w:rsidRPr="00BC08BD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BC08BD">
              <w:t>SCOEL</w:t>
            </w:r>
            <w:r w:rsidR="00916EC0" w:rsidRPr="00BC08BD">
              <w:t xml:space="preserve"> </w:t>
            </w:r>
            <w:r w:rsidR="00916EC0" w:rsidRPr="00BC08BD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2148E" w:rsidRPr="00BC08BD">
                  <w:t>NA</w:t>
                </w:r>
              </w:sdtContent>
            </w:sdt>
            <w:r w:rsidR="00916EC0" w:rsidRPr="00BC08BD">
              <w:tab/>
            </w:r>
            <w:r w:rsidR="0051509C" w:rsidRPr="00BC08BD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02148E" w:rsidRPr="00BC08BD">
                  <w:t>NA</w:t>
                </w:r>
              </w:sdtContent>
            </w:sdt>
          </w:p>
        </w:tc>
      </w:tr>
      <w:tr w:rsidR="00C978F0" w:rsidRPr="00BC08BD" w14:paraId="7E5D68B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FB2EDE6" w14:textId="6C90AF63" w:rsidR="00C978F0" w:rsidRPr="00BC08BD" w:rsidRDefault="0002148E" w:rsidP="003365A5">
            <w:pPr>
              <w:pStyle w:val="Tabletextprimarysource"/>
            </w:pPr>
            <w:r w:rsidRPr="00BC08BD">
              <w:t>No report</w:t>
            </w:r>
            <w:r w:rsidR="00FF0DF5" w:rsidRPr="00BC08BD">
              <w:t>.</w:t>
            </w:r>
          </w:p>
        </w:tc>
      </w:tr>
      <w:tr w:rsidR="00DA352E" w:rsidRPr="00BC08BD" w14:paraId="65078D9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0883935" w14:textId="4A1D2F6B" w:rsidR="00DA352E" w:rsidRPr="00BC08BD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BC08BD">
              <w:t>OARS/AIHA</w:t>
            </w:r>
            <w:r w:rsidR="00916EC0" w:rsidRPr="00BC08BD">
              <w:t xml:space="preserve"> </w:t>
            </w:r>
            <w:r w:rsidR="00916EC0" w:rsidRPr="00BC08BD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35B68" w:rsidRPr="00BC08BD">
                  <w:t>NA</w:t>
                </w:r>
              </w:sdtContent>
            </w:sdt>
            <w:r w:rsidR="00916EC0" w:rsidRPr="00BC08BD">
              <w:tab/>
            </w:r>
            <w:r w:rsidR="0051509C" w:rsidRPr="00BC08BD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335B68" w:rsidRPr="00BC08BD">
                  <w:t>NA</w:t>
                </w:r>
              </w:sdtContent>
            </w:sdt>
          </w:p>
        </w:tc>
      </w:tr>
      <w:tr w:rsidR="00DA352E" w:rsidRPr="00BC08BD" w14:paraId="45B44C0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DCF531C" w14:textId="78B975B2" w:rsidR="00DA352E" w:rsidRPr="00BC08BD" w:rsidRDefault="00335B68" w:rsidP="003365A5">
            <w:pPr>
              <w:pStyle w:val="Tabletextprimarysource"/>
            </w:pPr>
            <w:r w:rsidRPr="00BC08BD">
              <w:t>No report</w:t>
            </w:r>
            <w:r w:rsidR="00FF0DF5" w:rsidRPr="00BC08BD">
              <w:t>.</w:t>
            </w:r>
          </w:p>
        </w:tc>
      </w:tr>
      <w:tr w:rsidR="00DA352E" w:rsidRPr="00BC08BD" w14:paraId="1817D89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0D5E0A5" w14:textId="5F19F400" w:rsidR="00DA352E" w:rsidRPr="00BC08BD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BC08BD">
              <w:t>HCOTN</w:t>
            </w:r>
            <w:r w:rsidR="00916EC0" w:rsidRPr="00BC08BD">
              <w:t xml:space="preserve"> </w:t>
            </w:r>
            <w:r w:rsidR="00916EC0" w:rsidRPr="00BC08BD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E14DB" w:rsidRPr="00BC08BD">
                  <w:t>2008</w:t>
                </w:r>
              </w:sdtContent>
            </w:sdt>
            <w:r w:rsidR="00916EC0" w:rsidRPr="00BC08BD">
              <w:tab/>
            </w:r>
            <w:r w:rsidR="0051509C" w:rsidRPr="00BC08BD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659ED" w:rsidRPr="00BC08BD">
                  <w:t>TWA: 10 mg/m</w:t>
                </w:r>
                <w:r w:rsidR="00E659ED" w:rsidRPr="00BC08BD">
                  <w:rPr>
                    <w:vertAlign w:val="superscript"/>
                  </w:rPr>
                  <w:t>3</w:t>
                </w:r>
                <w:r w:rsidR="00E659ED" w:rsidRPr="00BC08BD">
                  <w:t>; STEL; 65 mg/m</w:t>
                </w:r>
                <w:r w:rsidR="00E659ED" w:rsidRPr="00BC08B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BC08BD" w14:paraId="5BFD7698" w14:textId="77777777" w:rsidTr="001A7E3E">
        <w:trPr>
          <w:gridAfter w:val="1"/>
          <w:wAfter w:w="8" w:type="pct"/>
        </w:trPr>
        <w:tc>
          <w:tcPr>
            <w:tcW w:w="0" w:type="pct"/>
          </w:tcPr>
          <w:p w14:paraId="462A6A93" w14:textId="5D64DA82" w:rsidR="009E3866" w:rsidRPr="00BC08BD" w:rsidRDefault="009E3866" w:rsidP="00586F77">
            <w:pPr>
              <w:pStyle w:val="Tabletextprimarysource"/>
            </w:pPr>
            <w:r w:rsidRPr="00BC08BD">
              <w:t>TWA and STEL recommended to protect for depression of the CNS leading to symptoms including epileptic seizures, loss of consciousness, hallucinations, confusion and euphoria.</w:t>
            </w:r>
          </w:p>
          <w:p w14:paraId="77EDDE38" w14:textId="77777777" w:rsidR="009E3866" w:rsidRPr="00BC08BD" w:rsidRDefault="009E3866" w:rsidP="00586F77">
            <w:pPr>
              <w:pStyle w:val="Tabletextprimarysource"/>
            </w:pPr>
          </w:p>
          <w:p w14:paraId="446938C0" w14:textId="1345CD9E" w:rsidR="00B94DDB" w:rsidRPr="00BC08BD" w:rsidRDefault="00B94DDB" w:rsidP="00586F77">
            <w:pPr>
              <w:pStyle w:val="Tabletextprimarysource"/>
            </w:pPr>
            <w:r w:rsidRPr="00BC08BD">
              <w:t>Summary of additional data:</w:t>
            </w:r>
          </w:p>
          <w:p w14:paraId="73A05E6C" w14:textId="249AC269" w:rsidR="008D185C" w:rsidRPr="00BC08BD" w:rsidRDefault="002B1714" w:rsidP="00586F77">
            <w:pPr>
              <w:pStyle w:val="Tabletextprimarysource"/>
            </w:pPr>
            <w:r w:rsidRPr="00BC08BD">
              <w:t xml:space="preserve">Occupational exposure thresholds based on combination of human oral data for both GBL and GHB due to rapid conversion of GBL to GHB upon absorption. </w:t>
            </w:r>
            <w:r w:rsidR="00B72B07" w:rsidRPr="00BC08BD">
              <w:t>A</w:t>
            </w:r>
            <w:r w:rsidRPr="00BC08BD">
              <w:t xml:space="preserve"> factor of </w:t>
            </w:r>
            <w:r w:rsidR="00FB3245" w:rsidRPr="00BC08BD">
              <w:t xml:space="preserve">10 </w:t>
            </w:r>
            <w:r w:rsidRPr="00BC08BD">
              <w:t xml:space="preserve">is applied </w:t>
            </w:r>
            <w:r w:rsidR="004C1D0B" w:rsidRPr="00BC08BD">
              <w:t xml:space="preserve">to the lowest reported GHB dose at which neurological effects are reported (10 mg/kg) </w:t>
            </w:r>
            <w:r w:rsidRPr="00BC08BD">
              <w:t>to estimate a NOAEL of 1 mg/kg</w:t>
            </w:r>
            <w:r w:rsidR="004C1D0B" w:rsidRPr="00BC08BD">
              <w:t xml:space="preserve">. </w:t>
            </w:r>
          </w:p>
          <w:p w14:paraId="39FAA082" w14:textId="0150E0D9" w:rsidR="0090057C" w:rsidRPr="00BC08BD" w:rsidRDefault="004C1D0B" w:rsidP="00586F77">
            <w:pPr>
              <w:pStyle w:val="Tabletextprimarysource"/>
            </w:pPr>
            <w:r w:rsidRPr="00BC08BD">
              <w:t xml:space="preserve">The </w:t>
            </w:r>
            <w:r w:rsidR="00B94DDB" w:rsidRPr="00BC08BD">
              <w:t xml:space="preserve">systemic </w:t>
            </w:r>
            <w:r w:rsidRPr="00BC08BD">
              <w:t>bioavailability of an absorbed oral dose of GHB is 27%, which is</w:t>
            </w:r>
            <w:r w:rsidR="00B94DDB" w:rsidRPr="00BC08BD">
              <w:t xml:space="preserve"> also assumed for GBL, affords</w:t>
            </w:r>
            <w:r w:rsidRPr="00BC08BD">
              <w:t xml:space="preserve"> a systemic concentration of 0.27 mg/kg at the calculated NOAEL. In the absence of inhalational data for either GBL or GHB, 100% absorption following inhalation is assumed; a 15</w:t>
            </w:r>
            <w:r w:rsidR="003915E2" w:rsidRPr="00BC08BD">
              <w:t xml:space="preserve"> </w:t>
            </w:r>
            <w:r w:rsidRPr="00BC08BD">
              <w:t>min exposure at the NOAEL (corresponding to 0.3 m</w:t>
            </w:r>
            <w:r w:rsidRPr="00BC08BD">
              <w:rPr>
                <w:vertAlign w:val="superscript"/>
              </w:rPr>
              <w:t>3</w:t>
            </w:r>
            <w:r w:rsidRPr="00BC08BD">
              <w:t xml:space="preserve"> inhaled air in a 70</w:t>
            </w:r>
            <w:r w:rsidR="003915E2" w:rsidRPr="00BC08BD">
              <w:t xml:space="preserve"> </w:t>
            </w:r>
            <w:r w:rsidRPr="00BC08BD">
              <w:t xml:space="preserve">kg worker, i.e. </w:t>
            </w:r>
            <w:r w:rsidR="00E96751" w:rsidRPr="00BC08BD">
              <w:t>[0.27 mg/kg</w:t>
            </w:r>
            <w:r w:rsidR="00F40BDC" w:rsidRPr="00BC08BD">
              <w:t>×</w:t>
            </w:r>
            <w:r w:rsidR="00E96751" w:rsidRPr="00BC08BD">
              <w:t>70 </w:t>
            </w:r>
            <w:r w:rsidR="00F40BDC" w:rsidRPr="00BC08BD">
              <w:t>kg]</w:t>
            </w:r>
            <w:r w:rsidRPr="00BC08BD">
              <w:t>/0.3 m</w:t>
            </w:r>
            <w:r w:rsidRPr="00BC08BD">
              <w:rPr>
                <w:vertAlign w:val="superscript"/>
              </w:rPr>
              <w:t>3</w:t>
            </w:r>
            <w:r w:rsidRPr="00BC08BD">
              <w:t xml:space="preserve">) </w:t>
            </w:r>
            <w:r w:rsidR="008D185C" w:rsidRPr="00BC08BD">
              <w:rPr>
                <w:rFonts w:cs="Arial"/>
              </w:rPr>
              <w:t>≡</w:t>
            </w:r>
            <w:r w:rsidRPr="00BC08BD">
              <w:t>65 mg/m</w:t>
            </w:r>
            <w:r w:rsidRPr="00BC08BD">
              <w:rPr>
                <w:vertAlign w:val="superscript"/>
              </w:rPr>
              <w:t>3</w:t>
            </w:r>
            <w:r w:rsidRPr="00BC08BD">
              <w:t>, which is</w:t>
            </w:r>
            <w:r w:rsidR="00F40BDC" w:rsidRPr="00BC08BD">
              <w:t xml:space="preserve"> the basis of the STEL. </w:t>
            </w:r>
            <w:r w:rsidR="0090057C" w:rsidRPr="00BC08BD">
              <w:t xml:space="preserve">Taken together with the </w:t>
            </w:r>
            <w:r w:rsidR="00F40BDC" w:rsidRPr="00BC08BD">
              <w:t xml:space="preserve">longest reported </w:t>
            </w:r>
            <w:r w:rsidR="0060462F" w:rsidRPr="00BC08BD">
              <w:t xml:space="preserve">plasma </w:t>
            </w:r>
            <w:r w:rsidR="00F40BDC" w:rsidRPr="00BC08BD">
              <w:t>half-life</w:t>
            </w:r>
            <w:r w:rsidR="0060462F" w:rsidRPr="00BC08BD">
              <w:t xml:space="preserve"> </w:t>
            </w:r>
            <w:r w:rsidR="00F40BDC" w:rsidRPr="00BC08BD">
              <w:t>of GHB</w:t>
            </w:r>
            <w:r w:rsidRPr="00BC08BD">
              <w:t xml:space="preserve"> </w:t>
            </w:r>
            <w:r w:rsidR="0060462F" w:rsidRPr="00BC08BD">
              <w:t>(60 min)</w:t>
            </w:r>
            <w:r w:rsidR="0090057C" w:rsidRPr="00BC08BD">
              <w:t xml:space="preserve"> </w:t>
            </w:r>
            <w:r w:rsidR="0060462F" w:rsidRPr="00BC08BD">
              <w:t xml:space="preserve">in humans, </w:t>
            </w:r>
            <w:r w:rsidR="0090057C" w:rsidRPr="00BC08BD">
              <w:t>this equates to an internal exposure 6.5 times higher than the NOAEL after an 8</w:t>
            </w:r>
            <w:r w:rsidR="003915E2" w:rsidRPr="00BC08BD">
              <w:t xml:space="preserve"> </w:t>
            </w:r>
            <w:r w:rsidR="0090057C" w:rsidRPr="00BC08BD">
              <w:t>h shift due to systemic accumulation of the substance, hence the TWA of 10 mg/m</w:t>
            </w:r>
            <w:r w:rsidR="0090057C" w:rsidRPr="00BC08BD">
              <w:rPr>
                <w:vertAlign w:val="superscript"/>
              </w:rPr>
              <w:t>3</w:t>
            </w:r>
            <w:r w:rsidR="0090057C" w:rsidRPr="00BC08BD">
              <w:t xml:space="preserve"> is derived by division of the STEL by this factor. </w:t>
            </w:r>
          </w:p>
          <w:p w14:paraId="37A01853" w14:textId="3B4BA9DD" w:rsidR="00F40BDC" w:rsidRPr="00BC08BD" w:rsidRDefault="00B94DDB" w:rsidP="00586F77">
            <w:pPr>
              <w:pStyle w:val="Tabletextprimarysource"/>
            </w:pPr>
            <w:r w:rsidRPr="00BC08BD">
              <w:t>Human data:</w:t>
            </w:r>
          </w:p>
          <w:p w14:paraId="5ECB1D47" w14:textId="49EF9957" w:rsidR="00DB140F" w:rsidRPr="00BC08BD" w:rsidRDefault="00B94DDB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P</w:t>
            </w:r>
            <w:r w:rsidR="0090057C" w:rsidRPr="00BC08BD">
              <w:t>lasma half-life of GHB</w:t>
            </w:r>
            <w:r w:rsidRPr="00BC08BD">
              <w:t xml:space="preserve"> between 30</w:t>
            </w:r>
            <w:r w:rsidR="003915E2" w:rsidRPr="00BC08BD">
              <w:t>–</w:t>
            </w:r>
            <w:r w:rsidR="0090057C" w:rsidRPr="00BC08BD">
              <w:t xml:space="preserve">60 </w:t>
            </w:r>
            <w:r w:rsidRPr="00BC08BD">
              <w:t>min</w:t>
            </w:r>
          </w:p>
          <w:p w14:paraId="28E8D9E4" w14:textId="5EAFCFF9" w:rsidR="00DB140F" w:rsidRPr="00BC08BD" w:rsidRDefault="00DB140F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Intravenous</w:t>
            </w:r>
            <w:r w:rsidR="003600F3" w:rsidRPr="00BC08BD">
              <w:t xml:space="preserve"> and </w:t>
            </w:r>
            <w:r w:rsidRPr="00BC08BD">
              <w:t xml:space="preserve">oral LOEL: 10 mg/kg </w:t>
            </w:r>
            <w:r w:rsidR="008D185C" w:rsidRPr="00BC08BD">
              <w:t xml:space="preserve">GHB </w:t>
            </w:r>
            <w:r w:rsidRPr="00BC08BD">
              <w:t xml:space="preserve">for neurotoxic effects in single dose study </w:t>
            </w:r>
          </w:p>
          <w:p w14:paraId="6B429A48" w14:textId="38E5B459" w:rsidR="00CD12B5" w:rsidRPr="00BC08BD" w:rsidRDefault="0044344B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Additional to neurotoxic effects, other adverse effects include nausea and vomiting, diaphoresis, and urinary and faecal incontinence (unknown dose levels)</w:t>
            </w:r>
            <w:r w:rsidR="00D94492" w:rsidRPr="00BC08BD">
              <w:t>.</w:t>
            </w:r>
          </w:p>
          <w:p w14:paraId="508C4FE6" w14:textId="77777777" w:rsidR="00D94492" w:rsidRPr="00BC08BD" w:rsidRDefault="00D94492" w:rsidP="001A7E3E">
            <w:pPr>
              <w:pStyle w:val="Tabletextprimarysource"/>
              <w:ind w:left="1156"/>
              <w:contextualSpacing/>
            </w:pPr>
          </w:p>
          <w:p w14:paraId="6C2C7C36" w14:textId="0F42D2A5" w:rsidR="00B94DDB" w:rsidRPr="00BC08BD" w:rsidRDefault="00B94DDB" w:rsidP="00CD12B5">
            <w:pPr>
              <w:pStyle w:val="Tabletextprimarysource"/>
            </w:pPr>
            <w:r w:rsidRPr="00BC08BD">
              <w:t>Animal data:</w:t>
            </w:r>
          </w:p>
          <w:p w14:paraId="080A1546" w14:textId="6DFA39B0" w:rsidR="00090AC9" w:rsidRPr="00BC08BD" w:rsidRDefault="00090AC9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Insufficient evidence for classification as carcinogenic in animals based on long-term exposure studies</w:t>
            </w:r>
          </w:p>
          <w:p w14:paraId="5AD1E7DB" w14:textId="7DB4D16F" w:rsidR="00090AC9" w:rsidRPr="00BC08BD" w:rsidRDefault="00090AC9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 xml:space="preserve">Not classified as toxic to reproduction due to inadequacies </w:t>
            </w:r>
            <w:r w:rsidR="0044344B" w:rsidRPr="00BC08BD">
              <w:t xml:space="preserve">(non-standard studies) </w:t>
            </w:r>
            <w:r w:rsidRPr="00BC08BD">
              <w:t>in available data</w:t>
            </w:r>
            <w:r w:rsidR="0044344B" w:rsidRPr="00BC08BD">
              <w:t>:</w:t>
            </w:r>
            <w:r w:rsidRPr="00BC08BD">
              <w:t xml:space="preserve"> </w:t>
            </w:r>
          </w:p>
          <w:p w14:paraId="4EE4E4E8" w14:textId="6E04D883" w:rsidR="00090AC9" w:rsidRPr="00BC08BD" w:rsidRDefault="003B2FF5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r</w:t>
            </w:r>
            <w:r w:rsidR="00586F77" w:rsidRPr="00BC08BD">
              <w:t>educed ovulation observed at the lowest-tested single intra</w:t>
            </w:r>
            <w:r w:rsidR="00090AC9" w:rsidRPr="00BC08BD">
              <w:t>peritoneal dose of 62.</w:t>
            </w:r>
            <w:r w:rsidRPr="00BC08BD">
              <w:t>5 </w:t>
            </w:r>
            <w:r w:rsidR="00090AC9" w:rsidRPr="00BC08BD">
              <w:t>mg/kg (rats)</w:t>
            </w:r>
          </w:p>
          <w:p w14:paraId="1764AA4D" w14:textId="4AF30782" w:rsidR="00090AC9" w:rsidRPr="00BC08BD" w:rsidRDefault="003B2FF5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r</w:t>
            </w:r>
            <w:r w:rsidR="00586F77" w:rsidRPr="00BC08BD">
              <w:t>educed foetal weights reported at 50 mg/kg</w:t>
            </w:r>
            <w:r w:rsidR="0060462F" w:rsidRPr="00BC08BD">
              <w:t xml:space="preserve"> (rats)</w:t>
            </w:r>
          </w:p>
          <w:p w14:paraId="09AC2D14" w14:textId="5AE27837" w:rsidR="0060462F" w:rsidRPr="00BC08BD" w:rsidRDefault="003B2FF5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r</w:t>
            </w:r>
            <w:r w:rsidR="0060462F" w:rsidRPr="00BC08BD">
              <w:t>educed teste</w:t>
            </w:r>
            <w:r w:rsidR="009F6F20">
              <w:t>s</w:t>
            </w:r>
            <w:r w:rsidR="0060462F" w:rsidRPr="00BC08BD">
              <w:t xml:space="preserve"> weight with doses in tap water at </w:t>
            </w:r>
            <w:r w:rsidR="0060462F" w:rsidRPr="00D21890">
              <w:t>&gt;</w:t>
            </w:r>
            <w:r w:rsidR="0060462F" w:rsidRPr="00BC08BD">
              <w:t>550</w:t>
            </w:r>
            <w:r w:rsidR="003915E2" w:rsidRPr="00BC08BD">
              <w:t xml:space="preserve"> </w:t>
            </w:r>
            <w:r w:rsidR="0060462F" w:rsidRPr="00BC08BD">
              <w:t>mg/kg (young male rats)</w:t>
            </w:r>
          </w:p>
          <w:p w14:paraId="139CB19B" w14:textId="77777777" w:rsidR="003B2FF5" w:rsidRPr="00BC08BD" w:rsidRDefault="0044344B" w:rsidP="001B79ED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Weak skin and eye irritant (rabbits)</w:t>
            </w:r>
          </w:p>
          <w:p w14:paraId="6E3361C8" w14:textId="43199ECF" w:rsidR="00586F77" w:rsidRPr="00BC08BD" w:rsidRDefault="003B2FF5" w:rsidP="001B79E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d</w:t>
            </w:r>
            <w:r w:rsidR="00586F77" w:rsidRPr="00BC08BD">
              <w:t>ata on skin sensitisation are too limited to</w:t>
            </w:r>
            <w:r w:rsidR="0044344B" w:rsidRPr="00BC08BD">
              <w:t xml:space="preserve"> assign a notation</w:t>
            </w:r>
          </w:p>
          <w:p w14:paraId="4E15B9FB" w14:textId="790C1498" w:rsidR="003B2FF5" w:rsidRPr="00BC08BD" w:rsidRDefault="00917474" w:rsidP="00D21890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NOAEL: 25 mg/kg for central nervous effects in single dose study</w:t>
            </w:r>
            <w:r w:rsidR="003B2FF5" w:rsidRPr="00BC08BD">
              <w:t xml:space="preserve"> (mice; ip)</w:t>
            </w:r>
          </w:p>
          <w:p w14:paraId="4C411A05" w14:textId="77777777" w:rsidR="003B2FF5" w:rsidRPr="00BC08BD" w:rsidRDefault="00917474" w:rsidP="00D21890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treatment range: 0</w:t>
            </w:r>
            <w:r w:rsidR="003915E2" w:rsidRPr="00BC08BD">
              <w:t>–</w:t>
            </w:r>
            <w:r w:rsidRPr="00BC08BD">
              <w:t>150 mg/kg (mice)</w:t>
            </w:r>
          </w:p>
          <w:p w14:paraId="3C201349" w14:textId="5F7EFC22" w:rsidR="003B2FF5" w:rsidRPr="00BC08BD" w:rsidRDefault="00917474" w:rsidP="00D21890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50 mg/kg had depressing locomotor effect within 20 min followed by stimulation for next 20 min</w:t>
            </w:r>
          </w:p>
          <w:p w14:paraId="23DF08A2" w14:textId="259B9A5E" w:rsidR="00586F77" w:rsidRPr="00BC08BD" w:rsidRDefault="00917474" w:rsidP="00D21890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BC08BD">
              <w:t>higher doses caused severe locomotor and body temperature depression for 1 h</w:t>
            </w:r>
          </w:p>
          <w:p w14:paraId="5F956332" w14:textId="77777777" w:rsidR="00586F77" w:rsidRPr="00BC08BD" w:rsidRDefault="00917474" w:rsidP="00D21890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>Non-</w:t>
            </w:r>
            <w:r w:rsidR="00586F77" w:rsidRPr="00BC08BD">
              <w:t>mutagenic</w:t>
            </w:r>
            <w:r w:rsidRPr="00BC08BD">
              <w:t xml:space="preserve"> based on </w:t>
            </w:r>
            <w:r w:rsidRPr="00D21890">
              <w:rPr>
                <w:i/>
              </w:rPr>
              <w:t>in vitro</w:t>
            </w:r>
            <w:r w:rsidRPr="00BC08BD">
              <w:t xml:space="preserve"> and </w:t>
            </w:r>
            <w:r w:rsidRPr="00D21890">
              <w:rPr>
                <w:i/>
              </w:rPr>
              <w:t>in vivo</w:t>
            </w:r>
            <w:r w:rsidRPr="00BC08BD">
              <w:t xml:space="preserve"> studies</w:t>
            </w:r>
            <w:r w:rsidR="00586F77" w:rsidRPr="00BC08BD">
              <w:t>. However, chromosomal aberrations and sister chromatid exchanges</w:t>
            </w:r>
            <w:r w:rsidRPr="00BC08BD">
              <w:t xml:space="preserve"> observed</w:t>
            </w:r>
            <w:r w:rsidR="00586F77" w:rsidRPr="00BC08BD">
              <w:t xml:space="preserve"> </w:t>
            </w:r>
            <w:r w:rsidR="00586F77" w:rsidRPr="001B79ED">
              <w:rPr>
                <w:i/>
              </w:rPr>
              <w:t>in vitro</w:t>
            </w:r>
            <w:r w:rsidR="00586F77" w:rsidRPr="00BC08BD">
              <w:t xml:space="preserve"> </w:t>
            </w:r>
            <w:r w:rsidR="0033376A" w:rsidRPr="00BC08BD">
              <w:t>in Chinese hamster ovary cells.</w:t>
            </w:r>
          </w:p>
          <w:p w14:paraId="65DCA045" w14:textId="05E93B52" w:rsidR="00D94492" w:rsidRPr="00BC08BD" w:rsidRDefault="00D94492" w:rsidP="001A7E3E">
            <w:pPr>
              <w:pStyle w:val="Tabletextprimarysource"/>
              <w:ind w:left="1156"/>
              <w:contextualSpacing/>
            </w:pPr>
          </w:p>
        </w:tc>
      </w:tr>
    </w:tbl>
    <w:p w14:paraId="25BB84E7" w14:textId="77777777" w:rsidR="00A20751" w:rsidRPr="00BC08BD" w:rsidRDefault="00A20751" w:rsidP="003365A5">
      <w:pPr>
        <w:pStyle w:val="Heading3"/>
      </w:pPr>
      <w:bookmarkStart w:id="2" w:name="SecondSource"/>
      <w:r w:rsidRPr="00BC08BD">
        <w:t xml:space="preserve">Secondary </w:t>
      </w:r>
      <w:r w:rsidR="0088798F" w:rsidRPr="00BC08BD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2"/>
        <w:gridCol w:w="661"/>
        <w:gridCol w:w="6449"/>
      </w:tblGrid>
      <w:tr w:rsidR="004966BF" w:rsidRPr="00BC08BD" w14:paraId="3799FCAB" w14:textId="77777777" w:rsidTr="008D185C">
        <w:trPr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25E66A09" w14:textId="77777777" w:rsidR="004966BF" w:rsidRPr="00BC08BD" w:rsidRDefault="004966BF" w:rsidP="00263255">
            <w:pPr>
              <w:pStyle w:val="Tableheader"/>
            </w:pPr>
            <w:r w:rsidRPr="00BC08BD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137EA620" w14:textId="77777777" w:rsidR="004966BF" w:rsidRPr="00BC08BD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CB7DEB5" w14:textId="77777777" w:rsidR="004966BF" w:rsidRPr="00BC08BD" w:rsidRDefault="004966BF" w:rsidP="00263255">
            <w:pPr>
              <w:pStyle w:val="Tableheader"/>
            </w:pPr>
            <w:r w:rsidRPr="00BC08BD">
              <w:t>Year</w:t>
            </w:r>
          </w:p>
        </w:tc>
        <w:tc>
          <w:tcPr>
            <w:tcW w:w="6449" w:type="dxa"/>
            <w:shd w:val="clear" w:color="auto" w:fill="BFBFBF" w:themeFill="background1" w:themeFillShade="BF"/>
            <w:vAlign w:val="center"/>
          </w:tcPr>
          <w:p w14:paraId="34E7B1BA" w14:textId="77777777" w:rsidR="004966BF" w:rsidRPr="00BC08BD" w:rsidRDefault="004966BF" w:rsidP="00263255">
            <w:pPr>
              <w:pStyle w:val="Tableheader"/>
            </w:pPr>
            <w:r w:rsidRPr="00BC08BD">
              <w:t>Additional information</w:t>
            </w:r>
          </w:p>
        </w:tc>
      </w:tr>
      <w:tr w:rsidR="004966BF" w:rsidRPr="00BC08BD" w14:paraId="5B75553D" w14:textId="77777777" w:rsidTr="008D185C">
        <w:trPr>
          <w:cantSplit/>
        </w:trPr>
        <w:tc>
          <w:tcPr>
            <w:tcW w:w="1494" w:type="dxa"/>
          </w:tcPr>
          <w:p w14:paraId="4D6632D0" w14:textId="77777777" w:rsidR="004966BF" w:rsidRPr="00BC08BD" w:rsidRDefault="004966BF" w:rsidP="00224EE2">
            <w:pPr>
              <w:pStyle w:val="Tablefont"/>
            </w:pPr>
            <w:r w:rsidRPr="00BC08BD">
              <w:t>IARC</w:t>
            </w:r>
          </w:p>
        </w:tc>
        <w:tc>
          <w:tcPr>
            <w:tcW w:w="422" w:type="dxa"/>
          </w:tcPr>
          <w:p w14:paraId="64B82549" w14:textId="09842FBA" w:rsidR="004966BF" w:rsidRPr="00BC08BD" w:rsidRDefault="00D9610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40498" w:rsidRPr="00BC08B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77B458D" w14:textId="03C26FDA" w:rsidR="004966BF" w:rsidRPr="00BC08BD" w:rsidRDefault="0044049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BC08BD">
              <w:rPr>
                <w:rStyle w:val="checkbox"/>
                <w:rFonts w:ascii="Arial" w:hAnsi="Arial" w:cs="Arial"/>
              </w:rPr>
              <w:t>1999</w:t>
            </w:r>
          </w:p>
        </w:tc>
        <w:tc>
          <w:tcPr>
            <w:tcW w:w="6449" w:type="dxa"/>
          </w:tcPr>
          <w:p w14:paraId="01BB9285" w14:textId="149A1CE4" w:rsidR="0060462F" w:rsidRPr="00D21890" w:rsidRDefault="00440498" w:rsidP="00D21890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D21890">
              <w:t>I</w:t>
            </w:r>
            <w:r w:rsidR="0060462F" w:rsidRPr="00D21890">
              <w:t xml:space="preserve">nadequate evidence </w:t>
            </w:r>
            <w:r w:rsidRPr="00D21890">
              <w:t xml:space="preserve">of carcinogenicity </w:t>
            </w:r>
            <w:r w:rsidR="0060462F" w:rsidRPr="00D21890">
              <w:t>in humans</w:t>
            </w:r>
            <w:r w:rsidRPr="00D21890">
              <w:t xml:space="preserve">; </w:t>
            </w:r>
            <w:r w:rsidR="0060462F" w:rsidRPr="00D21890">
              <w:t xml:space="preserve">evidence suggesting lack of carcinogenicity </w:t>
            </w:r>
            <w:r w:rsidRPr="00D21890">
              <w:t>in experimental animals</w:t>
            </w:r>
          </w:p>
          <w:p w14:paraId="1F27F882" w14:textId="4CAE8FD7" w:rsidR="004966BF" w:rsidRPr="00BC08BD" w:rsidRDefault="00440498" w:rsidP="00D21890">
            <w:pPr>
              <w:pStyle w:val="Tabletextprimarysource"/>
              <w:numPr>
                <w:ilvl w:val="0"/>
                <w:numId w:val="1"/>
              </w:numPr>
              <w:ind w:left="714" w:hanging="357"/>
              <w:rPr>
                <w:rStyle w:val="checkbox"/>
                <w:rFonts w:ascii="Arial" w:hAnsi="Arial" w:cs="Arial"/>
              </w:rPr>
            </w:pPr>
            <w:r w:rsidRPr="00D21890">
              <w:t>N</w:t>
            </w:r>
            <w:r w:rsidR="0060462F" w:rsidRPr="00D21890">
              <w:t xml:space="preserve">ot classifiable </w:t>
            </w:r>
            <w:r w:rsidRPr="00D21890">
              <w:t>as carcinogenic in humans</w:t>
            </w:r>
            <w:r w:rsidR="003915E2" w:rsidRPr="00D21890">
              <w:t>.</w:t>
            </w:r>
          </w:p>
        </w:tc>
      </w:tr>
      <w:tr w:rsidR="004966BF" w:rsidRPr="00BC08BD" w14:paraId="5609DCC3" w14:textId="77777777" w:rsidTr="008D185C">
        <w:trPr>
          <w:cantSplit/>
        </w:trPr>
        <w:tc>
          <w:tcPr>
            <w:tcW w:w="1494" w:type="dxa"/>
          </w:tcPr>
          <w:p w14:paraId="54F9ADA8" w14:textId="2C6B3293" w:rsidR="004966BF" w:rsidRPr="00BC08BD" w:rsidRDefault="004966BF" w:rsidP="00224EE2">
            <w:pPr>
              <w:pStyle w:val="Tablefont"/>
            </w:pPr>
            <w:r w:rsidRPr="00BC08BD">
              <w:t>Nordic Council</w:t>
            </w:r>
          </w:p>
        </w:tc>
        <w:tc>
          <w:tcPr>
            <w:tcW w:w="422" w:type="dxa"/>
          </w:tcPr>
          <w:p w14:paraId="0987FB26" w14:textId="5CF3C46D" w:rsidR="004966BF" w:rsidRPr="00BC08BD" w:rsidRDefault="00D9610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0487844"/>
                <w:placeholder>
                  <w:docPart w:val="CA68404C5F6B4780904F09DAAE62489A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40498" w:rsidRPr="00BC08B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0BA909C" w14:textId="79A69F0F" w:rsidR="004966BF" w:rsidRPr="00BC08BD" w:rsidRDefault="0044049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BC08BD">
              <w:rPr>
                <w:rStyle w:val="checkbox"/>
                <w:rFonts w:ascii="Arial" w:hAnsi="Arial" w:cs="Arial"/>
              </w:rPr>
              <w:t>2004</w:t>
            </w:r>
          </w:p>
        </w:tc>
        <w:tc>
          <w:tcPr>
            <w:tcW w:w="6449" w:type="dxa"/>
          </w:tcPr>
          <w:p w14:paraId="48FFD665" w14:textId="50B1B0F9" w:rsidR="00425238" w:rsidRPr="00BC08BD" w:rsidRDefault="00425238" w:rsidP="00D21890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 w:rsidRPr="00BC08BD">
              <w:t xml:space="preserve">Not evaluated as a carcinogen based on studies with mice and rats; supported by </w:t>
            </w:r>
            <w:r w:rsidRPr="00D21890">
              <w:t xml:space="preserve">in silico </w:t>
            </w:r>
            <w:r w:rsidRPr="00BC08BD">
              <w:t>modelling based on structure and short-term genotoxicity tests, which predict no genotoxic- and unlikely non-genotoxic carcinogenicity</w:t>
            </w:r>
          </w:p>
          <w:p w14:paraId="504A862A" w14:textId="5FD0FE93" w:rsidR="004966BF" w:rsidRPr="00BC08BD" w:rsidRDefault="00425238" w:rsidP="00D21890">
            <w:pPr>
              <w:pStyle w:val="Tabletextprimarysource"/>
              <w:numPr>
                <w:ilvl w:val="0"/>
                <w:numId w:val="1"/>
              </w:numPr>
              <w:ind w:left="714" w:hanging="357"/>
              <w:rPr>
                <w:rStyle w:val="checkbox"/>
                <w:rFonts w:ascii="Arial" w:hAnsi="Arial" w:cs="Arial"/>
              </w:rPr>
            </w:pPr>
            <w:r w:rsidRPr="00BC08BD">
              <w:t xml:space="preserve">Non-mutagenic based on </w:t>
            </w:r>
            <w:r w:rsidRPr="001B79ED">
              <w:rPr>
                <w:i/>
              </w:rPr>
              <w:t>in vivo</w:t>
            </w:r>
            <w:r w:rsidRPr="00BC08BD">
              <w:t xml:space="preserve"> results; some positive </w:t>
            </w:r>
            <w:r w:rsidRPr="001B79ED">
              <w:rPr>
                <w:i/>
              </w:rPr>
              <w:t>in vitro</w:t>
            </w:r>
            <w:r w:rsidRPr="00D21890">
              <w:t xml:space="preserve"> </w:t>
            </w:r>
            <w:r w:rsidRPr="00BC08BD">
              <w:t>results are presented but relevance is questioned due to low predictive reliability</w:t>
            </w:r>
            <w:r w:rsidR="003915E2" w:rsidRPr="00BC08BD">
              <w:t>.</w:t>
            </w:r>
          </w:p>
        </w:tc>
      </w:tr>
    </w:tbl>
    <w:bookmarkEnd w:id="2"/>
    <w:p w14:paraId="6FD3244E" w14:textId="77777777" w:rsidR="007E2A4B" w:rsidRPr="00BC08BD" w:rsidRDefault="007E2A4B" w:rsidP="007E2A4B">
      <w:pPr>
        <w:pStyle w:val="Heading3"/>
      </w:pPr>
      <w:r w:rsidRPr="00BC08BD"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:rsidRPr="00BC08BD" w14:paraId="169F6991" w14:textId="77777777" w:rsidTr="00930562">
        <w:trPr>
          <w:trHeight w:val="454"/>
          <w:tblHeader/>
        </w:trPr>
        <w:tc>
          <w:tcPr>
            <w:tcW w:w="6603" w:type="dxa"/>
            <w:vAlign w:val="center"/>
          </w:tcPr>
          <w:p w14:paraId="1224C597" w14:textId="77777777" w:rsidR="002E0D61" w:rsidRPr="00BC08BD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 w:rsidRPr="00BC08BD">
              <w:t>Is the chemical mutagenic</w:t>
            </w:r>
            <w:r w:rsidR="002E0D61" w:rsidRPr="00BC08BD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7BCF212" w14:textId="58D097BD" w:rsidR="002E0D61" w:rsidRPr="00BC08BD" w:rsidRDefault="00930562" w:rsidP="00C3091E">
                <w:pPr>
                  <w:pStyle w:val="Tablefont"/>
                  <w:keepNext/>
                  <w:keepLines/>
                  <w:spacing w:before="40" w:after="40"/>
                </w:pPr>
                <w:r w:rsidRPr="00BC08BD">
                  <w:t>No</w:t>
                </w:r>
              </w:p>
            </w:tc>
          </w:sdtContent>
        </w:sdt>
      </w:tr>
      <w:tr w:rsidR="003B2FF5" w:rsidRPr="00BC08BD" w14:paraId="0DB5ADB7" w14:textId="77777777" w:rsidTr="00EE5EDF">
        <w:trPr>
          <w:trHeight w:val="454"/>
        </w:trPr>
        <w:sdt>
          <w:sdtPr>
            <w:rPr>
              <w:b/>
            </w:rPr>
            <w:id w:val="1830936485"/>
            <w:placeholder>
              <w:docPart w:val="7CE7ED1487F84501BA991A203596A155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0117EB97" w14:textId="5B4367E8" w:rsidR="003B2FF5" w:rsidRPr="00BC08BD" w:rsidRDefault="003B2FF5" w:rsidP="008A36CF">
                <w:pPr>
                  <w:pStyle w:val="Tablefont"/>
                  <w:keepNext/>
                  <w:keepLines/>
                  <w:spacing w:before="40" w:after="40"/>
                </w:pPr>
                <w:r w:rsidRPr="00BC08BD"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</w:tr>
    </w:tbl>
    <w:bookmarkEnd w:id="3"/>
    <w:p w14:paraId="100EA9CA" w14:textId="77777777" w:rsidR="00687890" w:rsidRPr="00BC08BD" w:rsidRDefault="00B479A9" w:rsidP="00474E33">
      <w:pPr>
        <w:pStyle w:val="Heading2"/>
      </w:pPr>
      <w:r w:rsidRPr="00BC08BD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BC08BD" w14:paraId="79AD789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D945864" w14:textId="77777777" w:rsidR="00687890" w:rsidRPr="00BC08BD" w:rsidRDefault="00687890" w:rsidP="00263255">
            <w:pPr>
              <w:pStyle w:val="Tableheader"/>
            </w:pPr>
            <w:bookmarkStart w:id="4" w:name="Notations"/>
            <w:r w:rsidRPr="00BC08BD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F0FBC08" w14:textId="77777777" w:rsidR="00687890" w:rsidRPr="00BC08BD" w:rsidRDefault="00687890" w:rsidP="00F4402E">
            <w:pPr>
              <w:pStyle w:val="Tableheader"/>
              <w:tabs>
                <w:tab w:val="right" w:pos="5272"/>
              </w:tabs>
            </w:pPr>
            <w:r w:rsidRPr="00BC08BD">
              <w:t>Notations</w:t>
            </w:r>
            <w:r w:rsidR="003A2B94" w:rsidRPr="00BC08BD">
              <w:tab/>
            </w:r>
          </w:p>
        </w:tc>
      </w:tr>
      <w:tr w:rsidR="00687890" w:rsidRPr="00BC08BD" w14:paraId="37063561" w14:textId="77777777" w:rsidTr="00812887">
        <w:trPr>
          <w:cantSplit/>
        </w:trPr>
        <w:tc>
          <w:tcPr>
            <w:tcW w:w="3227" w:type="dxa"/>
          </w:tcPr>
          <w:p w14:paraId="0EF81219" w14:textId="77777777" w:rsidR="004079B4" w:rsidRPr="00BC08BD" w:rsidRDefault="00084513" w:rsidP="00F4402E">
            <w:pPr>
              <w:pStyle w:val="Tablefont"/>
            </w:pPr>
            <w:r w:rsidRPr="00BC08BD">
              <w:t>SWA</w:t>
            </w:r>
          </w:p>
        </w:tc>
        <w:tc>
          <w:tcPr>
            <w:tcW w:w="6015" w:type="dxa"/>
          </w:tcPr>
          <w:p w14:paraId="5DDB0972" w14:textId="0F92B683" w:rsidR="00687890" w:rsidRPr="00BC08BD" w:rsidRDefault="00141574" w:rsidP="00DD2F9B">
            <w:pPr>
              <w:pStyle w:val="Tablefont"/>
            </w:pPr>
            <w:r w:rsidRPr="00BC08BD">
              <w:t>NA</w:t>
            </w:r>
          </w:p>
        </w:tc>
      </w:tr>
      <w:tr w:rsidR="007925F0" w:rsidRPr="00BC08BD" w14:paraId="112ABBEA" w14:textId="77777777" w:rsidTr="00812887">
        <w:trPr>
          <w:cantSplit/>
        </w:trPr>
        <w:tc>
          <w:tcPr>
            <w:tcW w:w="3227" w:type="dxa"/>
          </w:tcPr>
          <w:p w14:paraId="043A9159" w14:textId="77777777" w:rsidR="004079B4" w:rsidRPr="00BC08BD" w:rsidRDefault="007925F0" w:rsidP="00F4402E">
            <w:pPr>
              <w:pStyle w:val="Tablefont"/>
            </w:pPr>
            <w:r w:rsidRPr="00BC08BD">
              <w:t>HCIS</w:t>
            </w:r>
          </w:p>
        </w:tc>
        <w:tc>
          <w:tcPr>
            <w:tcW w:w="6015" w:type="dxa"/>
          </w:tcPr>
          <w:p w14:paraId="55E6C545" w14:textId="0E258822" w:rsidR="007925F0" w:rsidRPr="00BC08BD" w:rsidRDefault="00141574" w:rsidP="00DD2F9B">
            <w:pPr>
              <w:pStyle w:val="Tablefont"/>
            </w:pPr>
            <w:r w:rsidRPr="00BC08BD">
              <w:t>NA</w:t>
            </w:r>
          </w:p>
        </w:tc>
      </w:tr>
      <w:tr w:rsidR="00AF483F" w:rsidRPr="00BC08BD" w14:paraId="3DDF34E9" w14:textId="77777777" w:rsidTr="00812887">
        <w:trPr>
          <w:cantSplit/>
        </w:trPr>
        <w:tc>
          <w:tcPr>
            <w:tcW w:w="3227" w:type="dxa"/>
          </w:tcPr>
          <w:p w14:paraId="2F77BD4D" w14:textId="77777777" w:rsidR="00AF483F" w:rsidRPr="00BC08BD" w:rsidRDefault="00AF483F" w:rsidP="00F4402E">
            <w:pPr>
              <w:pStyle w:val="Tablefont"/>
            </w:pPr>
            <w:r w:rsidRPr="00BC08BD">
              <w:t>NICNAS</w:t>
            </w:r>
          </w:p>
        </w:tc>
        <w:tc>
          <w:tcPr>
            <w:tcW w:w="6015" w:type="dxa"/>
          </w:tcPr>
          <w:p w14:paraId="1FA5FCC8" w14:textId="6250C3D1" w:rsidR="00AF483F" w:rsidRPr="00BC08BD" w:rsidRDefault="00A91C2C" w:rsidP="00DD2F9B">
            <w:pPr>
              <w:pStyle w:val="Tablefont"/>
            </w:pPr>
            <w:r w:rsidRPr="00BC08BD">
              <w:t>NA</w:t>
            </w:r>
          </w:p>
        </w:tc>
      </w:tr>
      <w:tr w:rsidR="00687890" w:rsidRPr="00BC08BD" w14:paraId="3D986B8C" w14:textId="77777777" w:rsidTr="00812887">
        <w:trPr>
          <w:cantSplit/>
        </w:trPr>
        <w:tc>
          <w:tcPr>
            <w:tcW w:w="3227" w:type="dxa"/>
          </w:tcPr>
          <w:p w14:paraId="36FDA796" w14:textId="77777777" w:rsidR="004079B4" w:rsidRPr="00BC08BD" w:rsidRDefault="00687890" w:rsidP="00F4402E">
            <w:pPr>
              <w:pStyle w:val="Tablefont"/>
            </w:pPr>
            <w:r w:rsidRPr="00BC08BD">
              <w:t>EU Annex</w:t>
            </w:r>
          </w:p>
        </w:tc>
        <w:tc>
          <w:tcPr>
            <w:tcW w:w="6015" w:type="dxa"/>
          </w:tcPr>
          <w:p w14:paraId="3C12F045" w14:textId="0FAB823A" w:rsidR="00687890" w:rsidRPr="00BC08BD" w:rsidRDefault="00A91C2C" w:rsidP="00DD2F9B">
            <w:pPr>
              <w:pStyle w:val="Tablefont"/>
            </w:pPr>
            <w:r w:rsidRPr="00BC08BD">
              <w:t>NA</w:t>
            </w:r>
          </w:p>
        </w:tc>
      </w:tr>
      <w:tr w:rsidR="00E41A26" w:rsidRPr="00BC08BD" w14:paraId="2968DCED" w14:textId="77777777" w:rsidTr="00812887">
        <w:trPr>
          <w:cantSplit/>
        </w:trPr>
        <w:tc>
          <w:tcPr>
            <w:tcW w:w="3227" w:type="dxa"/>
          </w:tcPr>
          <w:p w14:paraId="1B62A397" w14:textId="77777777" w:rsidR="00E41A26" w:rsidRPr="00BC08BD" w:rsidRDefault="00E41A26" w:rsidP="00F4402E">
            <w:pPr>
              <w:pStyle w:val="Tablefont"/>
            </w:pPr>
            <w:r w:rsidRPr="00BC08BD">
              <w:t>ECHA</w:t>
            </w:r>
          </w:p>
        </w:tc>
        <w:tc>
          <w:tcPr>
            <w:tcW w:w="6015" w:type="dxa"/>
          </w:tcPr>
          <w:p w14:paraId="322AA781" w14:textId="61B2A504" w:rsidR="00E41A26" w:rsidRPr="00BC08BD" w:rsidRDefault="00A91C2C" w:rsidP="00DD2F9B">
            <w:pPr>
              <w:pStyle w:val="Tablefont"/>
            </w:pPr>
            <w:r w:rsidRPr="00BC08BD">
              <w:t>NA</w:t>
            </w:r>
          </w:p>
        </w:tc>
      </w:tr>
      <w:tr w:rsidR="002E0D61" w:rsidRPr="00BC08BD" w14:paraId="7C7B94D5" w14:textId="77777777" w:rsidTr="00812887">
        <w:trPr>
          <w:cantSplit/>
        </w:trPr>
        <w:tc>
          <w:tcPr>
            <w:tcW w:w="3227" w:type="dxa"/>
          </w:tcPr>
          <w:p w14:paraId="36F03A81" w14:textId="77777777" w:rsidR="004079B4" w:rsidRPr="00BC08BD" w:rsidRDefault="002E0D61" w:rsidP="00F4402E">
            <w:pPr>
              <w:pStyle w:val="Tablefont"/>
            </w:pPr>
            <w:r w:rsidRPr="00BC08BD">
              <w:t>ACGIH</w:t>
            </w:r>
          </w:p>
        </w:tc>
        <w:tc>
          <w:tcPr>
            <w:tcW w:w="6015" w:type="dxa"/>
          </w:tcPr>
          <w:p w14:paraId="39012880" w14:textId="6E1AD730" w:rsidR="002E0D61" w:rsidRPr="00BC08BD" w:rsidRDefault="00187C9D" w:rsidP="00DD2F9B">
            <w:pPr>
              <w:pStyle w:val="Tablefont"/>
            </w:pPr>
            <w:r w:rsidRPr="00BC08BD">
              <w:t>NA</w:t>
            </w:r>
          </w:p>
        </w:tc>
      </w:tr>
      <w:tr w:rsidR="002E0D61" w:rsidRPr="00BC08BD" w14:paraId="1EF89136" w14:textId="77777777" w:rsidTr="00812887">
        <w:trPr>
          <w:cantSplit/>
        </w:trPr>
        <w:tc>
          <w:tcPr>
            <w:tcW w:w="3227" w:type="dxa"/>
          </w:tcPr>
          <w:p w14:paraId="2C09A385" w14:textId="77777777" w:rsidR="004079B4" w:rsidRPr="00BC08BD" w:rsidRDefault="002E0D61" w:rsidP="00F4402E">
            <w:pPr>
              <w:pStyle w:val="Tablefont"/>
            </w:pPr>
            <w:r w:rsidRPr="00BC08BD">
              <w:t>DFG</w:t>
            </w:r>
          </w:p>
        </w:tc>
        <w:tc>
          <w:tcPr>
            <w:tcW w:w="6015" w:type="dxa"/>
          </w:tcPr>
          <w:p w14:paraId="08D2EDC7" w14:textId="77777777" w:rsidR="002E0D61" w:rsidRPr="00BC08BD" w:rsidRDefault="00C7496F" w:rsidP="00DD2F9B">
            <w:pPr>
              <w:pStyle w:val="Tablefont"/>
            </w:pPr>
            <w:r w:rsidRPr="00BC08BD">
              <w:t>H (skin)</w:t>
            </w:r>
          </w:p>
        </w:tc>
      </w:tr>
      <w:tr w:rsidR="002E0D61" w:rsidRPr="00BC08BD" w14:paraId="707C88BF" w14:textId="77777777" w:rsidTr="00812887">
        <w:trPr>
          <w:cantSplit/>
        </w:trPr>
        <w:tc>
          <w:tcPr>
            <w:tcW w:w="3227" w:type="dxa"/>
          </w:tcPr>
          <w:p w14:paraId="40E774A6" w14:textId="77777777" w:rsidR="004079B4" w:rsidRPr="00BC08BD" w:rsidRDefault="002E0D61" w:rsidP="00F4402E">
            <w:pPr>
              <w:pStyle w:val="Tablefont"/>
            </w:pPr>
            <w:r w:rsidRPr="00BC08BD">
              <w:t>SCOEL</w:t>
            </w:r>
          </w:p>
        </w:tc>
        <w:tc>
          <w:tcPr>
            <w:tcW w:w="6015" w:type="dxa"/>
          </w:tcPr>
          <w:p w14:paraId="0A72C858" w14:textId="5013515D" w:rsidR="00187C9D" w:rsidRPr="00BC08BD" w:rsidRDefault="00187C9D" w:rsidP="00DD2F9B">
            <w:pPr>
              <w:pStyle w:val="Tablefont"/>
            </w:pPr>
            <w:r w:rsidRPr="00BC08BD">
              <w:t>NA</w:t>
            </w:r>
          </w:p>
        </w:tc>
      </w:tr>
      <w:tr w:rsidR="002E0D61" w:rsidRPr="00BC08BD" w14:paraId="25CD7D58" w14:textId="77777777" w:rsidTr="00812887">
        <w:trPr>
          <w:cantSplit/>
        </w:trPr>
        <w:tc>
          <w:tcPr>
            <w:tcW w:w="3227" w:type="dxa"/>
          </w:tcPr>
          <w:p w14:paraId="7496EABD" w14:textId="77777777" w:rsidR="004079B4" w:rsidRPr="00BC08BD" w:rsidRDefault="002E0D61" w:rsidP="00F4402E">
            <w:pPr>
              <w:pStyle w:val="Tablefont"/>
            </w:pPr>
            <w:r w:rsidRPr="00BC08BD">
              <w:t>HCOTN</w:t>
            </w:r>
          </w:p>
        </w:tc>
        <w:tc>
          <w:tcPr>
            <w:tcW w:w="6015" w:type="dxa"/>
          </w:tcPr>
          <w:p w14:paraId="5CB84F77" w14:textId="11E96199" w:rsidR="002E0D61" w:rsidRPr="00BC08BD" w:rsidRDefault="00425238" w:rsidP="00DD2F9B">
            <w:pPr>
              <w:pStyle w:val="Tablefont"/>
            </w:pPr>
            <w:r w:rsidRPr="00BC08BD">
              <w:t>Skin</w:t>
            </w:r>
          </w:p>
        </w:tc>
      </w:tr>
      <w:tr w:rsidR="00386093" w:rsidRPr="00BC08BD" w14:paraId="65263FC2" w14:textId="77777777" w:rsidTr="00812887">
        <w:trPr>
          <w:cantSplit/>
        </w:trPr>
        <w:tc>
          <w:tcPr>
            <w:tcW w:w="3227" w:type="dxa"/>
          </w:tcPr>
          <w:p w14:paraId="574E6F23" w14:textId="77777777" w:rsidR="004079B4" w:rsidRPr="00BC08BD" w:rsidRDefault="00386093" w:rsidP="00F4402E">
            <w:pPr>
              <w:pStyle w:val="Tablefont"/>
            </w:pPr>
            <w:r w:rsidRPr="00BC08BD">
              <w:t>IARC</w:t>
            </w:r>
          </w:p>
        </w:tc>
        <w:tc>
          <w:tcPr>
            <w:tcW w:w="6015" w:type="dxa"/>
          </w:tcPr>
          <w:p w14:paraId="770A6734" w14:textId="21E9CED5" w:rsidR="00386093" w:rsidRPr="00BC08BD" w:rsidRDefault="00187C9D" w:rsidP="00DD2F9B">
            <w:pPr>
              <w:pStyle w:val="Tablefont"/>
            </w:pPr>
            <w:r w:rsidRPr="00BC08BD">
              <w:t>Carcinogenicity – Group 3</w:t>
            </w:r>
          </w:p>
        </w:tc>
      </w:tr>
      <w:tr w:rsidR="00386093" w:rsidRPr="00BC08BD" w14:paraId="096B743B" w14:textId="77777777" w:rsidTr="00812887">
        <w:trPr>
          <w:cantSplit/>
        </w:trPr>
        <w:tc>
          <w:tcPr>
            <w:tcW w:w="3227" w:type="dxa"/>
          </w:tcPr>
          <w:p w14:paraId="0768D7B6" w14:textId="77777777" w:rsidR="004079B4" w:rsidRPr="00BC08BD" w:rsidRDefault="00386093" w:rsidP="00F4402E">
            <w:pPr>
              <w:pStyle w:val="Tablefont"/>
              <w:keepNext/>
            </w:pPr>
            <w:r w:rsidRPr="00BC08BD">
              <w:t>US NIOSH</w:t>
            </w:r>
          </w:p>
        </w:tc>
        <w:tc>
          <w:tcPr>
            <w:tcW w:w="6015" w:type="dxa"/>
          </w:tcPr>
          <w:p w14:paraId="5C28199D" w14:textId="08B1336C" w:rsidR="00386093" w:rsidRPr="00BC08BD" w:rsidRDefault="00973F7F" w:rsidP="00D87570">
            <w:pPr>
              <w:pStyle w:val="Tablefont"/>
              <w:keepNext/>
            </w:pPr>
            <w:r w:rsidRPr="00BC08BD">
              <w:t>NA</w:t>
            </w:r>
          </w:p>
        </w:tc>
      </w:tr>
    </w:tbl>
    <w:bookmarkEnd w:id="4"/>
    <w:p w14:paraId="7A56A6E4" w14:textId="77777777" w:rsidR="00485BFD" w:rsidRPr="00BC08BD" w:rsidRDefault="00485BFD" w:rsidP="00485BFD">
      <w:pPr>
        <w:pStyle w:val="Tablefooter"/>
      </w:pPr>
      <w:r w:rsidRPr="00BC08BD">
        <w:t>NA = not applicable (a recommendation has not been made by this Agency); —</w:t>
      </w:r>
      <w:r w:rsidR="00D87570" w:rsidRPr="00BC08BD">
        <w:t xml:space="preserve"> = the Agency has assessed available data for this chemical but has not recommended any notations</w:t>
      </w:r>
    </w:p>
    <w:p w14:paraId="694D6027" w14:textId="77777777" w:rsidR="00474E33" w:rsidRPr="00BC08BD" w:rsidRDefault="00474E33" w:rsidP="00474E33">
      <w:pPr>
        <w:pStyle w:val="Heading3"/>
      </w:pPr>
      <w:r w:rsidRPr="00BC08BD"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BC08BD" w14:paraId="27AD085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86EA497" w14:textId="77777777" w:rsidR="00932DCE" w:rsidRPr="00BC08BD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 w:rsidRPr="00BC08BD">
              <w:t>Calculation</w:t>
            </w:r>
            <w:r w:rsidR="00177CA1" w:rsidRPr="00BC08BD">
              <w:tab/>
            </w:r>
          </w:p>
        </w:tc>
      </w:tr>
      <w:tr w:rsidR="00932DCE" w:rsidRPr="00BC08BD" w14:paraId="13FB57E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68" w:type="dxa"/>
              <w:tblLook w:val="04A0" w:firstRow="1" w:lastRow="0" w:firstColumn="1" w:lastColumn="0" w:noHBand="0" w:noVBand="1"/>
            </w:tblPr>
            <w:tblGrid>
              <w:gridCol w:w="4554"/>
              <w:gridCol w:w="491"/>
              <w:gridCol w:w="609"/>
              <w:gridCol w:w="3156"/>
            </w:tblGrid>
            <w:tr w:rsidR="0033376A" w:rsidRPr="00BC08BD" w14:paraId="13CC6BC5" w14:textId="77777777" w:rsidTr="008D185C">
              <w:trPr>
                <w:trHeight w:val="321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1435C1" w14:textId="77777777" w:rsidR="0033376A" w:rsidRPr="00BC08BD" w:rsidRDefault="0033376A" w:rsidP="003337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5F11D1" w14:textId="77777777" w:rsidR="0033376A" w:rsidRPr="00BC08BD" w:rsidRDefault="0033376A" w:rsidP="003337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3B5D90" w14:textId="77777777" w:rsidR="0033376A" w:rsidRPr="00BC08BD" w:rsidRDefault="0033376A" w:rsidP="003337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81209A" w14:textId="77777777" w:rsidR="0033376A" w:rsidRPr="00BC08BD" w:rsidRDefault="0033376A" w:rsidP="003337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3376A" w:rsidRPr="00BC08BD" w14:paraId="6C1E2CA3" w14:textId="77777777" w:rsidTr="008D185C">
              <w:trPr>
                <w:trHeight w:val="321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4F2468" w14:textId="77777777" w:rsidR="0033376A" w:rsidRPr="00BC08BD" w:rsidRDefault="0033376A" w:rsidP="003337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347A55" w14:textId="77777777" w:rsidR="0033376A" w:rsidRPr="00BC08BD" w:rsidRDefault="0033376A" w:rsidP="003337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45CC78" w14:textId="77777777" w:rsidR="0033376A" w:rsidRPr="00BC08BD" w:rsidRDefault="0033376A" w:rsidP="003337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C1FD45" w14:textId="77777777" w:rsidR="0033376A" w:rsidRPr="00BC08BD" w:rsidRDefault="0033376A" w:rsidP="003337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3376A" w:rsidRPr="00BC08BD" w14:paraId="47D36723" w14:textId="77777777" w:rsidTr="008D185C">
              <w:trPr>
                <w:trHeight w:val="321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A34A9F" w14:textId="77777777" w:rsidR="0033376A" w:rsidRPr="00BC08BD" w:rsidRDefault="0033376A" w:rsidP="003337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7294B1" w14:textId="77777777" w:rsidR="0033376A" w:rsidRPr="00BC08BD" w:rsidRDefault="0033376A" w:rsidP="003337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BF4FD2" w14:textId="77777777" w:rsidR="0033376A" w:rsidRPr="00BC08BD" w:rsidRDefault="0033376A" w:rsidP="003337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661F80" w14:textId="77777777" w:rsidR="0033376A" w:rsidRPr="00BC08BD" w:rsidRDefault="0033376A" w:rsidP="003337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3376A" w:rsidRPr="00BC08BD" w14:paraId="4CE61D72" w14:textId="77777777" w:rsidTr="008D185C">
              <w:trPr>
                <w:trHeight w:val="321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288A73" w14:textId="77777777" w:rsidR="0033376A" w:rsidRPr="00BC08BD" w:rsidRDefault="0033376A" w:rsidP="003337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54245B" w14:textId="77777777" w:rsidR="0033376A" w:rsidRPr="00BC08BD" w:rsidRDefault="0033376A" w:rsidP="003337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03BB4F" w14:textId="77777777" w:rsidR="0033376A" w:rsidRPr="00BC08BD" w:rsidRDefault="0033376A" w:rsidP="003337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35901B" w14:textId="77777777" w:rsidR="0033376A" w:rsidRPr="00BC08BD" w:rsidRDefault="0033376A" w:rsidP="003337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3376A" w:rsidRPr="00BC08BD" w14:paraId="61AF1CE7" w14:textId="77777777" w:rsidTr="008D185C">
              <w:trPr>
                <w:trHeight w:val="321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047CC0" w14:textId="77777777" w:rsidR="0033376A" w:rsidRPr="00BC08BD" w:rsidRDefault="0033376A" w:rsidP="003337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E329F86" w14:textId="77777777" w:rsidR="0033376A" w:rsidRPr="00BC08BD" w:rsidRDefault="0033376A" w:rsidP="003337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1EC65A" w14:textId="77777777" w:rsidR="0033376A" w:rsidRPr="00BC08BD" w:rsidRDefault="0033376A" w:rsidP="003337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AC2909" w14:textId="77777777" w:rsidR="0033376A" w:rsidRPr="00BC08BD" w:rsidRDefault="0033376A" w:rsidP="003337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3376A" w:rsidRPr="00BC08BD" w14:paraId="7AC290EF" w14:textId="77777777" w:rsidTr="008D185C">
              <w:trPr>
                <w:trHeight w:val="321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F4B392" w14:textId="77777777" w:rsidR="0033376A" w:rsidRPr="00BC08BD" w:rsidRDefault="0033376A" w:rsidP="003337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7999FDC" w14:textId="77777777" w:rsidR="0033376A" w:rsidRPr="00BC08BD" w:rsidRDefault="0033376A" w:rsidP="003337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96A121" w14:textId="77777777" w:rsidR="0033376A" w:rsidRPr="00BC08BD" w:rsidRDefault="0033376A" w:rsidP="003337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B0192D" w14:textId="77777777" w:rsidR="0033376A" w:rsidRPr="00BC08BD" w:rsidRDefault="0033376A" w:rsidP="0033376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3376A" w:rsidRPr="00BC08BD" w14:paraId="461952FE" w14:textId="77777777" w:rsidTr="008D185C">
              <w:trPr>
                <w:trHeight w:val="321"/>
              </w:trPr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3F2CDE" w14:textId="77777777" w:rsidR="0033376A" w:rsidRPr="00BC08BD" w:rsidRDefault="0033376A" w:rsidP="003337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A906DB" w14:textId="77777777" w:rsidR="0033376A" w:rsidRPr="00BC08BD" w:rsidRDefault="0033376A" w:rsidP="0033376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78E0F6" w14:textId="77777777" w:rsidR="0033376A" w:rsidRPr="00BC08BD" w:rsidRDefault="0033376A" w:rsidP="0033376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2.5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5B42AB" w14:textId="77777777" w:rsidR="0033376A" w:rsidRPr="00BC08BD" w:rsidRDefault="0033376A" w:rsidP="0033376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BC08BD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34253F54" w14:textId="77777777" w:rsidR="00932DCE" w:rsidRPr="00BC08BD" w:rsidRDefault="00932DCE" w:rsidP="00F9496B">
            <w:pPr>
              <w:pStyle w:val="Tablefont"/>
            </w:pPr>
          </w:p>
        </w:tc>
      </w:tr>
    </w:tbl>
    <w:bookmarkEnd w:id="5"/>
    <w:p w14:paraId="2C68F3D8" w14:textId="77777777" w:rsidR="00EB3D1B" w:rsidRPr="00BC08BD" w:rsidRDefault="00EB3D1B" w:rsidP="00EB3D1B">
      <w:pPr>
        <w:pStyle w:val="Heading3"/>
      </w:pPr>
      <w:r w:rsidRPr="00BC08BD"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RPr="00BC08BD" w14:paraId="44404A8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15F69A7" w14:textId="77777777" w:rsidR="00EB3D1B" w:rsidRPr="00BC08BD" w:rsidRDefault="00EB3D1B" w:rsidP="00D87570">
            <w:pPr>
              <w:pStyle w:val="Tablefont"/>
            </w:pPr>
            <w:r w:rsidRPr="00BC08BD">
              <w:t xml:space="preserve">Is there a </w:t>
            </w:r>
            <w:r w:rsidR="006E5D05" w:rsidRPr="00BC08BD">
              <w:t>suitable</w:t>
            </w:r>
            <w:r w:rsidRPr="00BC08BD"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46510BF" w14:textId="3B806296" w:rsidR="00EB3D1B" w:rsidRPr="00BC08BD" w:rsidRDefault="00F90C4D" w:rsidP="00EB3D1B">
                <w:pPr>
                  <w:pStyle w:val="Tablefont"/>
                </w:pPr>
                <w:r w:rsidRPr="00BC08BD">
                  <w:t>No</w:t>
                </w:r>
              </w:p>
            </w:tc>
          </w:sdtContent>
        </w:sdt>
      </w:tr>
    </w:tbl>
    <w:p w14:paraId="7176E58A" w14:textId="77777777" w:rsidR="00687890" w:rsidRPr="00BC08BD" w:rsidRDefault="00B479A9" w:rsidP="00474E33">
      <w:pPr>
        <w:pStyle w:val="Heading2"/>
      </w:pPr>
      <w:r w:rsidRPr="00BC08BD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BC08BD" w14:paraId="5B3A7A2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950E58D" w14:textId="77777777" w:rsidR="001B79E5" w:rsidRPr="00BC08BD" w:rsidRDefault="001B79E5" w:rsidP="00A31D99">
            <w:pPr>
              <w:pStyle w:val="Tablefont"/>
            </w:pPr>
            <w:r w:rsidRPr="00BC08BD"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F834D55" w14:textId="5FD70F45" w:rsidR="001B79E5" w:rsidRPr="00BC08BD" w:rsidRDefault="001D44C2" w:rsidP="001B79E5">
                <w:pPr>
                  <w:pStyle w:val="Tablefont"/>
                </w:pPr>
                <w:r w:rsidRPr="00BC08BD">
                  <w:t>86.09</w:t>
                </w:r>
              </w:p>
            </w:tc>
          </w:sdtContent>
        </w:sdt>
      </w:tr>
      <w:tr w:rsidR="00A31D99" w:rsidRPr="00BC08BD" w14:paraId="3D678FD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D6C7CC2" w14:textId="77777777" w:rsidR="00A31D99" w:rsidRPr="00BC08BD" w:rsidRDefault="00A31D99" w:rsidP="00A31D99">
            <w:pPr>
              <w:pStyle w:val="Tablefont"/>
            </w:pPr>
            <w:r w:rsidRPr="00BC08BD">
              <w:t>Conversion factors at 25</w:t>
            </w:r>
            <w:r w:rsidRPr="00BC08BD">
              <w:rPr>
                <w:rFonts w:cs="Arial"/>
              </w:rPr>
              <w:t>°</w:t>
            </w:r>
            <w:r w:rsidRPr="00BC08BD"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5FB1BD4" w14:textId="4376201B" w:rsidR="00A31D99" w:rsidRPr="00BC08BD" w:rsidRDefault="00A0643F" w:rsidP="00A174CC">
            <w:pPr>
              <w:pStyle w:val="Tablefont"/>
            </w:pPr>
            <w:r w:rsidRPr="00BC08BD"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 w:rsidRPr="00BC08BD">
                  <w:rPr>
                    <w:rStyle w:val="PlaceholderText"/>
                  </w:rPr>
                  <w:t>Number</w:t>
                </w:r>
              </w:sdtContent>
            </w:sdt>
            <w:r w:rsidRPr="00BC08BD">
              <w:t xml:space="preserve"> mg/m</w:t>
            </w:r>
            <w:r w:rsidRPr="00BC08BD">
              <w:rPr>
                <w:vertAlign w:val="superscript"/>
              </w:rPr>
              <w:t>3</w:t>
            </w:r>
            <w:r w:rsidRPr="00BC08BD">
              <w:t>; 1 mg/m</w:t>
            </w:r>
            <w:r w:rsidRPr="00BC08BD">
              <w:rPr>
                <w:vertAlign w:val="superscript"/>
              </w:rPr>
              <w:t>3</w:t>
            </w:r>
            <w:r w:rsidRPr="00BC08BD"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BC08BD">
                  <w:rPr>
                    <w:color w:val="808080"/>
                  </w:rPr>
                  <w:t>Number</w:t>
                </w:r>
              </w:sdtContent>
            </w:sdt>
            <w:r w:rsidRPr="00BC08BD">
              <w:t xml:space="preserve"> ppm</w:t>
            </w:r>
          </w:p>
        </w:tc>
      </w:tr>
      <w:tr w:rsidR="00687890" w:rsidRPr="00BC08BD" w14:paraId="6E231ED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9074197" w14:textId="77777777" w:rsidR="00687890" w:rsidRPr="00BC08BD" w:rsidRDefault="00687890" w:rsidP="00263255">
            <w:pPr>
              <w:pStyle w:val="Tablefont"/>
            </w:pPr>
            <w:r w:rsidRPr="00BC08BD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66C270E" w14:textId="1EFF88F4" w:rsidR="00687890" w:rsidRPr="00BC08BD" w:rsidRDefault="00904A7E" w:rsidP="00717D45">
                <w:pPr>
                  <w:pStyle w:val="Tablefont"/>
                </w:pPr>
                <w:r w:rsidRPr="00BC08BD">
                  <w:sym w:font="Wingdings" w:char="F0FC"/>
                </w:r>
              </w:p>
            </w:tc>
          </w:sdtContent>
        </w:sdt>
      </w:tr>
      <w:tr w:rsidR="00687890" w:rsidRPr="00BC08BD" w14:paraId="5A2E7B67" w14:textId="77777777" w:rsidTr="00EA6243">
        <w:trPr>
          <w:cantSplit/>
        </w:trPr>
        <w:tc>
          <w:tcPr>
            <w:tcW w:w="4077" w:type="dxa"/>
            <w:vAlign w:val="center"/>
          </w:tcPr>
          <w:p w14:paraId="54625D37" w14:textId="77777777" w:rsidR="00687890" w:rsidRPr="00BC08BD" w:rsidRDefault="00687890" w:rsidP="00263255">
            <w:pPr>
              <w:pStyle w:val="Tablefont"/>
            </w:pPr>
            <w:r w:rsidRPr="00BC08BD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C9EFBCB" w14:textId="3E8F8057" w:rsidR="00687890" w:rsidRPr="00BC08BD" w:rsidRDefault="00440498" w:rsidP="00717D45">
                <w:pPr>
                  <w:pStyle w:val="Tablefont"/>
                </w:pPr>
                <w:r w:rsidRPr="00BC08BD">
                  <w:sym w:font="Wingdings" w:char="F0FC"/>
                </w:r>
              </w:p>
            </w:tc>
          </w:sdtContent>
        </w:sdt>
      </w:tr>
      <w:tr w:rsidR="00687890" w:rsidRPr="00BC08BD" w14:paraId="2FED34FC" w14:textId="77777777" w:rsidTr="00EA6243">
        <w:trPr>
          <w:cantSplit/>
        </w:trPr>
        <w:tc>
          <w:tcPr>
            <w:tcW w:w="4077" w:type="dxa"/>
            <w:vAlign w:val="center"/>
          </w:tcPr>
          <w:p w14:paraId="44410465" w14:textId="77777777" w:rsidR="00687890" w:rsidRPr="00BC08BD" w:rsidRDefault="00687890" w:rsidP="00263255">
            <w:pPr>
              <w:pStyle w:val="Tablefont"/>
            </w:pPr>
            <w:r w:rsidRPr="00BC08BD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D5278B3" w14:textId="5C9D0F48" w:rsidR="00687890" w:rsidRPr="00BC08BD" w:rsidRDefault="00687890" w:rsidP="00717D45">
                <w:pPr>
                  <w:pStyle w:val="Tablefont"/>
                </w:pPr>
                <w:r w:rsidRPr="00BC08BD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06F40" w:rsidRPr="00BC08BD" w14:paraId="136498F4" w14:textId="77777777" w:rsidTr="00EA6243">
        <w:trPr>
          <w:cantSplit/>
        </w:trPr>
        <w:tc>
          <w:tcPr>
            <w:tcW w:w="4077" w:type="dxa"/>
            <w:vAlign w:val="center"/>
          </w:tcPr>
          <w:p w14:paraId="3A1665BD" w14:textId="77777777" w:rsidR="00E06F40" w:rsidRPr="00BC08BD" w:rsidRDefault="00E06F40" w:rsidP="00084513">
            <w:pPr>
              <w:pStyle w:val="Tablefont"/>
            </w:pPr>
            <w:r w:rsidRPr="00BC08BD">
              <w:t xml:space="preserve">A biological exposure index has been recommended by </w:t>
            </w:r>
            <w:r w:rsidR="00084513" w:rsidRPr="00BC08BD">
              <w:t>these agencies</w:t>
            </w:r>
            <w:r w:rsidRPr="00BC08BD">
              <w:t>:</w:t>
            </w:r>
          </w:p>
        </w:tc>
        <w:tc>
          <w:tcPr>
            <w:tcW w:w="5165" w:type="dxa"/>
            <w:vAlign w:val="center"/>
          </w:tcPr>
          <w:p w14:paraId="0849D45D" w14:textId="3E1977B2" w:rsidR="00E06F40" w:rsidRPr="00BC08BD" w:rsidRDefault="00D9610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BC08BD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BC08BD">
              <w:t xml:space="preserve"> ACGIH</w:t>
            </w:r>
            <w:r w:rsidR="00E06F40" w:rsidRPr="00BC08BD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BC08BD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BC08BD">
              <w:t xml:space="preserve"> DFG</w:t>
            </w:r>
            <w:r w:rsidR="00E06F40" w:rsidRPr="00BC08BD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BC08BD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BC08BD">
              <w:t xml:space="preserve"> SCOEL</w:t>
            </w:r>
            <w:r w:rsidR="00E06F40" w:rsidRPr="00BC08BD">
              <w:tab/>
            </w:r>
          </w:p>
        </w:tc>
      </w:tr>
    </w:tbl>
    <w:p w14:paraId="154C7FB7" w14:textId="77777777" w:rsidR="007F1005" w:rsidRPr="00BC08BD" w:rsidRDefault="007F1005" w:rsidP="00EB3D1B">
      <w:pPr>
        <w:pStyle w:val="Heading2"/>
        <w:keepLines/>
      </w:pPr>
      <w:r w:rsidRPr="00BC08BD">
        <w:t xml:space="preserve">Workplace exposure </w:t>
      </w:r>
      <w:r w:rsidR="00B479A9" w:rsidRPr="00BC08BD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BC08BD" w14:paraId="54AC21E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2CC565D" w14:textId="77777777" w:rsidR="00224EE2" w:rsidRPr="00BC08BD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 w:rsidRPr="00BC08BD"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41A012E" w14:textId="77777777" w:rsidR="00224EE2" w:rsidRPr="00BC08BD" w:rsidRDefault="00224EE2" w:rsidP="00EB3D1B">
            <w:pPr>
              <w:pStyle w:val="Tableheader"/>
              <w:keepNext/>
              <w:keepLines/>
            </w:pPr>
            <w:r w:rsidRPr="00BC08BD">
              <w:t>Standard</w:t>
            </w:r>
          </w:p>
        </w:tc>
      </w:tr>
      <w:tr w:rsidR="007F1005" w:rsidRPr="00BC08BD" w14:paraId="5C9D8E9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A9E16E6" w14:textId="77777777" w:rsidR="007F1005" w:rsidRPr="00BC08BD" w:rsidRDefault="00131092" w:rsidP="00EB3D1B">
                <w:pPr>
                  <w:pStyle w:val="Tablefont"/>
                  <w:keepLines/>
                </w:pPr>
                <w:r w:rsidRPr="00BC08BD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DE17049" w14:textId="77777777" w:rsidR="007F1005" w:rsidRPr="00BC08BD" w:rsidRDefault="007F1005" w:rsidP="00EB3D1B">
            <w:pPr>
              <w:pStyle w:val="Tablefont"/>
              <w:keepLines/>
            </w:pPr>
          </w:p>
        </w:tc>
      </w:tr>
    </w:tbl>
    <w:bookmarkEnd w:id="6"/>
    <w:p w14:paraId="23740A2E" w14:textId="77777777" w:rsidR="00F87D92" w:rsidRPr="00BC08BD" w:rsidRDefault="00F87D92" w:rsidP="00EF7F78">
      <w:pPr>
        <w:pStyle w:val="Heading2"/>
        <w:tabs>
          <w:tab w:val="right" w:pos="8505"/>
        </w:tabs>
      </w:pPr>
      <w:r w:rsidRPr="00BC08BD">
        <w:t>References</w:t>
      </w:r>
      <w:r w:rsidR="00EF7F78" w:rsidRPr="00BC08BD">
        <w:tab/>
      </w:r>
    </w:p>
    <w:p w14:paraId="35B73997" w14:textId="100A5549" w:rsidR="007F1005" w:rsidRPr="00BC08BD" w:rsidRDefault="006650FE" w:rsidP="00084859">
      <w:r w:rsidRPr="00BC08BD">
        <w:t>American Conference of Industrial Hygienists (ACGIH</w:t>
      </w:r>
      <w:r w:rsidRPr="00BC08BD">
        <w:rPr>
          <w:vertAlign w:val="superscript"/>
        </w:rPr>
        <w:t>®</w:t>
      </w:r>
      <w:r w:rsidRPr="00BC08BD">
        <w:t>) (201</w:t>
      </w:r>
      <w:r w:rsidR="00F67BBB" w:rsidRPr="00BC08BD">
        <w:t>8</w:t>
      </w:r>
      <w:r w:rsidRPr="00BC08BD">
        <w:t>) TLVs</w:t>
      </w:r>
      <w:r w:rsidRPr="00BC08BD">
        <w:rPr>
          <w:vertAlign w:val="superscript"/>
        </w:rPr>
        <w:t>®</w:t>
      </w:r>
      <w:r w:rsidRPr="00BC08BD">
        <w:t xml:space="preserve"> and BEIs</w:t>
      </w:r>
      <w:r w:rsidRPr="00BC08BD">
        <w:rPr>
          <w:vertAlign w:val="superscript"/>
        </w:rPr>
        <w:t>®</w:t>
      </w:r>
      <w:r w:rsidRPr="00BC08BD">
        <w:t xml:space="preserve"> with 7</w:t>
      </w:r>
      <w:r w:rsidRPr="00BC08BD">
        <w:rPr>
          <w:vertAlign w:val="superscript"/>
        </w:rPr>
        <w:t>th</w:t>
      </w:r>
      <w:r w:rsidRPr="00BC08BD">
        <w:t xml:space="preserve"> Edition Documentation, CD-ROM, Single User Version. Copyright 201</w:t>
      </w:r>
      <w:r w:rsidR="00F67BBB" w:rsidRPr="00BC08BD">
        <w:t>8</w:t>
      </w:r>
      <w:r w:rsidRPr="00BC08BD">
        <w:t xml:space="preserve">. Reprinted with permission. See the </w:t>
      </w:r>
      <w:hyperlink r:id="rId17" w:history="1">
        <w:r w:rsidRPr="00BC08BD">
          <w:rPr>
            <w:rStyle w:val="Hyperlink"/>
            <w:i/>
          </w:rPr>
          <w:t>TLVs</w:t>
        </w:r>
        <w:r w:rsidRPr="00BC08BD">
          <w:rPr>
            <w:rStyle w:val="Hyperlink"/>
            <w:i/>
            <w:vertAlign w:val="superscript"/>
          </w:rPr>
          <w:t>®</w:t>
        </w:r>
        <w:r w:rsidRPr="00BC08BD">
          <w:rPr>
            <w:rStyle w:val="Hyperlink"/>
            <w:i/>
          </w:rPr>
          <w:t xml:space="preserve"> and BEIs</w:t>
        </w:r>
        <w:r w:rsidRPr="00BC08BD">
          <w:rPr>
            <w:rStyle w:val="Hyperlink"/>
            <w:i/>
            <w:vertAlign w:val="superscript"/>
          </w:rPr>
          <w:t>®</w:t>
        </w:r>
        <w:r w:rsidRPr="00BC08BD">
          <w:rPr>
            <w:rStyle w:val="Hyperlink"/>
            <w:i/>
          </w:rPr>
          <w:t xml:space="preserve"> Guidelines section</w:t>
        </w:r>
      </w:hyperlink>
      <w:r w:rsidRPr="00BC08BD">
        <w:t xml:space="preserve"> on the ACGIH website.</w:t>
      </w:r>
    </w:p>
    <w:p w14:paraId="777686B7" w14:textId="1BE7478F" w:rsidR="0083781F" w:rsidRPr="00BC08BD" w:rsidRDefault="0083781F" w:rsidP="00084859">
      <w:r w:rsidRPr="00BC08BD">
        <w:t>Deutsche Forschungsgemeinschaft (DFG) (2011) gamma-Butyrolacton – MAK value documentation</w:t>
      </w:r>
      <w:r w:rsidR="00917474" w:rsidRPr="00BC08BD">
        <w:t xml:space="preserve"> German language edition</w:t>
      </w:r>
      <w:r w:rsidRPr="00BC08BD">
        <w:t>.</w:t>
      </w:r>
    </w:p>
    <w:p w14:paraId="48171C22" w14:textId="2326CEE1" w:rsidR="00E83E91" w:rsidRPr="00BC08BD" w:rsidRDefault="00E83E91" w:rsidP="00084859">
      <w:r w:rsidRPr="00BC08BD">
        <w:t xml:space="preserve">Health Council of the Netherlands (HCOTN) (2008) Gamma-Butyrolactone. Health-based recommended occupational exposure limit. The Hague: Health Council of the Netherlands; publication no. </w:t>
      </w:r>
      <w:r w:rsidR="00BD1CEC" w:rsidRPr="00BC08BD">
        <w:t>2008/13OSH</w:t>
      </w:r>
      <w:r w:rsidRPr="00BC08BD">
        <w:t>.</w:t>
      </w:r>
    </w:p>
    <w:p w14:paraId="22DB5020" w14:textId="27BA8011" w:rsidR="00CD136A" w:rsidRPr="00BC08BD" w:rsidRDefault="0071462A" w:rsidP="00084859">
      <w:r w:rsidRPr="00BC08BD">
        <w:t>International Agency for Research on Cancer (IARC) (1999) Volume 71 re-evaluation of some organic chemicals, hydrazine and hydrogen peroxide. IARC Monographs on the evaluation of the carcinogenic risk to humans.</w:t>
      </w:r>
    </w:p>
    <w:p w14:paraId="2E92FC5D" w14:textId="4E82B083" w:rsidR="00440498" w:rsidRPr="00BC08BD" w:rsidRDefault="00AA56D3" w:rsidP="00440498">
      <w:r w:rsidRPr="00BC08BD">
        <w:t>Nordic Expert Group for Criteria Documentation of Health Risks of Chemicals (2004) 135. γ-Butyrolactone (GBL). NR 2004;7.</w:t>
      </w:r>
    </w:p>
    <w:sectPr w:rsidR="00440498" w:rsidRPr="00BC08BD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A3AF84" w16cid:durableId="212A1B62"/>
  <w16cid:commentId w16cid:paraId="2FDBE032" w16cid:durableId="212A1E04"/>
  <w16cid:commentId w16cid:paraId="1C423643" w16cid:durableId="212A1D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A5C33" w14:textId="77777777" w:rsidR="00E95C9D" w:rsidRDefault="00E95C9D" w:rsidP="00F43AD5">
      <w:pPr>
        <w:spacing w:after="0" w:line="240" w:lineRule="auto"/>
      </w:pPr>
      <w:r>
        <w:separator/>
      </w:r>
    </w:p>
  </w:endnote>
  <w:endnote w:type="continuationSeparator" w:id="0">
    <w:p w14:paraId="2175A439" w14:textId="77777777" w:rsidR="00E95C9D" w:rsidRDefault="00E95C9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71D0" w14:textId="77777777" w:rsidR="00D96100" w:rsidRDefault="00D96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7665326" w14:textId="74D9A0AC" w:rsidR="008A36CF" w:rsidRDefault="00137247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gamma-Butyrolactone</w:t>
        </w:r>
        <w:r w:rsidR="008A36CF">
          <w:rPr>
            <w:b/>
            <w:sz w:val="18"/>
            <w:szCs w:val="18"/>
          </w:rPr>
          <w:t xml:space="preserve"> (</w:t>
        </w:r>
        <w:r w:rsidR="00345EB6">
          <w:rPr>
            <w:b/>
            <w:sz w:val="18"/>
            <w:szCs w:val="18"/>
          </w:rPr>
          <w:t>96-48-0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B90C408" w14:textId="48B8FFA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96100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3156C" w14:textId="77777777" w:rsidR="00D96100" w:rsidRDefault="00D96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9C0FD" w14:textId="77777777" w:rsidR="00E95C9D" w:rsidRDefault="00E95C9D" w:rsidP="00F43AD5">
      <w:pPr>
        <w:spacing w:after="0" w:line="240" w:lineRule="auto"/>
      </w:pPr>
      <w:r>
        <w:separator/>
      </w:r>
    </w:p>
  </w:footnote>
  <w:footnote w:type="continuationSeparator" w:id="0">
    <w:p w14:paraId="3970E6FA" w14:textId="77777777" w:rsidR="00E95C9D" w:rsidRDefault="00E95C9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2ED78" w14:textId="77777777" w:rsidR="00D96100" w:rsidRDefault="00D96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51EE" w14:textId="77777777" w:rsidR="00D96100" w:rsidRDefault="00D96100" w:rsidP="00D96100">
    <w:pPr>
      <w:pStyle w:val="Header"/>
      <w:jc w:val="right"/>
    </w:pPr>
    <w:sdt>
      <w:sdtPr>
        <w:id w:val="-129255651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29B66D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bookmarkStart w:id="1" w:name="_GoBack"/>
    <w:r>
      <w:rPr>
        <w:noProof/>
        <w:lang w:eastAsia="en-AU"/>
      </w:rPr>
      <w:drawing>
        <wp:inline distT="0" distB="0" distL="0" distR="0" wp14:anchorId="5F73F139" wp14:editId="7DFA08C5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p w14:paraId="73E68B5C" w14:textId="5275969F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31AF" w14:textId="77777777" w:rsidR="00D96100" w:rsidRDefault="00D961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F609" w14:textId="77777777" w:rsidR="00D96100" w:rsidRDefault="00D96100" w:rsidP="00D96100">
    <w:pPr>
      <w:pStyle w:val="Header"/>
      <w:jc w:val="right"/>
    </w:pPr>
    <w:sdt>
      <w:sdtPr>
        <w:id w:val="1646847300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6F086B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433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491A9AF" wp14:editId="4327866D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3F980F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2128"/>
    <w:multiLevelType w:val="hybridMultilevel"/>
    <w:tmpl w:val="4732BFBC"/>
    <w:lvl w:ilvl="0" w:tplc="0C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4A10616"/>
    <w:multiLevelType w:val="hybridMultilevel"/>
    <w:tmpl w:val="9DFA1F7C"/>
    <w:lvl w:ilvl="0" w:tplc="42040D1E">
      <w:start w:val="56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83726"/>
    <w:multiLevelType w:val="hybridMultilevel"/>
    <w:tmpl w:val="0BE838CA"/>
    <w:lvl w:ilvl="0" w:tplc="45DEDC86">
      <w:start w:val="5640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148E"/>
    <w:rsid w:val="00032B88"/>
    <w:rsid w:val="00046DF5"/>
    <w:rsid w:val="00052060"/>
    <w:rsid w:val="0005574A"/>
    <w:rsid w:val="00055FE1"/>
    <w:rsid w:val="00056EC2"/>
    <w:rsid w:val="00060905"/>
    <w:rsid w:val="00060B48"/>
    <w:rsid w:val="00067F32"/>
    <w:rsid w:val="00071807"/>
    <w:rsid w:val="0007452E"/>
    <w:rsid w:val="000803E1"/>
    <w:rsid w:val="00084513"/>
    <w:rsid w:val="00084859"/>
    <w:rsid w:val="00090AC9"/>
    <w:rsid w:val="00091026"/>
    <w:rsid w:val="00092D94"/>
    <w:rsid w:val="000A3DED"/>
    <w:rsid w:val="000B0868"/>
    <w:rsid w:val="000B23E9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0C40"/>
    <w:rsid w:val="00113443"/>
    <w:rsid w:val="001269A7"/>
    <w:rsid w:val="00131092"/>
    <w:rsid w:val="001368BE"/>
    <w:rsid w:val="00137247"/>
    <w:rsid w:val="00140E6A"/>
    <w:rsid w:val="00141574"/>
    <w:rsid w:val="00146545"/>
    <w:rsid w:val="00146B75"/>
    <w:rsid w:val="00146CAB"/>
    <w:rsid w:val="0015266D"/>
    <w:rsid w:val="0015288A"/>
    <w:rsid w:val="00160F47"/>
    <w:rsid w:val="00177CA1"/>
    <w:rsid w:val="00180295"/>
    <w:rsid w:val="001824EF"/>
    <w:rsid w:val="00183823"/>
    <w:rsid w:val="00183942"/>
    <w:rsid w:val="00187C9D"/>
    <w:rsid w:val="001A009E"/>
    <w:rsid w:val="001A1287"/>
    <w:rsid w:val="001A3859"/>
    <w:rsid w:val="001A3C9D"/>
    <w:rsid w:val="001A43F8"/>
    <w:rsid w:val="001A7E3E"/>
    <w:rsid w:val="001B79E5"/>
    <w:rsid w:val="001B79ED"/>
    <w:rsid w:val="001D44C2"/>
    <w:rsid w:val="001D56F0"/>
    <w:rsid w:val="001D584C"/>
    <w:rsid w:val="001D663B"/>
    <w:rsid w:val="001D7B41"/>
    <w:rsid w:val="001E3473"/>
    <w:rsid w:val="001E46DA"/>
    <w:rsid w:val="001E7D80"/>
    <w:rsid w:val="001F2E65"/>
    <w:rsid w:val="001F4B6C"/>
    <w:rsid w:val="001F62CB"/>
    <w:rsid w:val="001F6ED0"/>
    <w:rsid w:val="001F72E6"/>
    <w:rsid w:val="001F73C5"/>
    <w:rsid w:val="002046A6"/>
    <w:rsid w:val="00204956"/>
    <w:rsid w:val="00207BF3"/>
    <w:rsid w:val="0021015D"/>
    <w:rsid w:val="00213640"/>
    <w:rsid w:val="00214202"/>
    <w:rsid w:val="00221547"/>
    <w:rsid w:val="002216FC"/>
    <w:rsid w:val="00222533"/>
    <w:rsid w:val="00222F30"/>
    <w:rsid w:val="00224EE2"/>
    <w:rsid w:val="00227EC7"/>
    <w:rsid w:val="00232BCA"/>
    <w:rsid w:val="00244AD1"/>
    <w:rsid w:val="002463BC"/>
    <w:rsid w:val="002465CE"/>
    <w:rsid w:val="00257021"/>
    <w:rsid w:val="0025734A"/>
    <w:rsid w:val="00263255"/>
    <w:rsid w:val="00276494"/>
    <w:rsid w:val="00277B0C"/>
    <w:rsid w:val="0028536F"/>
    <w:rsid w:val="0028649E"/>
    <w:rsid w:val="00297D70"/>
    <w:rsid w:val="002B1714"/>
    <w:rsid w:val="002B1A2C"/>
    <w:rsid w:val="002C34F2"/>
    <w:rsid w:val="002C58FF"/>
    <w:rsid w:val="002C7AFE"/>
    <w:rsid w:val="002D05D2"/>
    <w:rsid w:val="002D52C7"/>
    <w:rsid w:val="002E0D61"/>
    <w:rsid w:val="002E4C7B"/>
    <w:rsid w:val="002F6ADB"/>
    <w:rsid w:val="00300328"/>
    <w:rsid w:val="0030740C"/>
    <w:rsid w:val="00315833"/>
    <w:rsid w:val="003215EE"/>
    <w:rsid w:val="003224BF"/>
    <w:rsid w:val="003241A8"/>
    <w:rsid w:val="003253F0"/>
    <w:rsid w:val="0033376A"/>
    <w:rsid w:val="003337DA"/>
    <w:rsid w:val="00334EFB"/>
    <w:rsid w:val="00335B68"/>
    <w:rsid w:val="00335CDE"/>
    <w:rsid w:val="003365A5"/>
    <w:rsid w:val="00345EB6"/>
    <w:rsid w:val="00347192"/>
    <w:rsid w:val="0034744C"/>
    <w:rsid w:val="00351FE0"/>
    <w:rsid w:val="00352615"/>
    <w:rsid w:val="0035412B"/>
    <w:rsid w:val="003567A8"/>
    <w:rsid w:val="003600F3"/>
    <w:rsid w:val="00362895"/>
    <w:rsid w:val="00370DBF"/>
    <w:rsid w:val="00386093"/>
    <w:rsid w:val="003904A4"/>
    <w:rsid w:val="003915E2"/>
    <w:rsid w:val="00391841"/>
    <w:rsid w:val="00391B6D"/>
    <w:rsid w:val="00394922"/>
    <w:rsid w:val="003A0E32"/>
    <w:rsid w:val="003A2B94"/>
    <w:rsid w:val="003B0413"/>
    <w:rsid w:val="003B2FF5"/>
    <w:rsid w:val="003B387D"/>
    <w:rsid w:val="003B3CA3"/>
    <w:rsid w:val="003C0D58"/>
    <w:rsid w:val="003C69D6"/>
    <w:rsid w:val="003D4FA3"/>
    <w:rsid w:val="003E0807"/>
    <w:rsid w:val="003E51FB"/>
    <w:rsid w:val="003E6B39"/>
    <w:rsid w:val="003F07E1"/>
    <w:rsid w:val="0040195D"/>
    <w:rsid w:val="004019FF"/>
    <w:rsid w:val="004030BC"/>
    <w:rsid w:val="00403F7D"/>
    <w:rsid w:val="00404CAA"/>
    <w:rsid w:val="00406785"/>
    <w:rsid w:val="004079B4"/>
    <w:rsid w:val="004157E0"/>
    <w:rsid w:val="00417A56"/>
    <w:rsid w:val="00420957"/>
    <w:rsid w:val="00422A10"/>
    <w:rsid w:val="00425238"/>
    <w:rsid w:val="00430179"/>
    <w:rsid w:val="00440498"/>
    <w:rsid w:val="004414B5"/>
    <w:rsid w:val="0044344B"/>
    <w:rsid w:val="00444482"/>
    <w:rsid w:val="00444B42"/>
    <w:rsid w:val="00445E44"/>
    <w:rsid w:val="00446E49"/>
    <w:rsid w:val="004476F6"/>
    <w:rsid w:val="004509E2"/>
    <w:rsid w:val="004515EE"/>
    <w:rsid w:val="004529F0"/>
    <w:rsid w:val="00460A03"/>
    <w:rsid w:val="00465335"/>
    <w:rsid w:val="004666FE"/>
    <w:rsid w:val="00472A11"/>
    <w:rsid w:val="00472AAD"/>
    <w:rsid w:val="00474E33"/>
    <w:rsid w:val="00476803"/>
    <w:rsid w:val="00483714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D0B"/>
    <w:rsid w:val="004C1E3F"/>
    <w:rsid w:val="004C23F4"/>
    <w:rsid w:val="004C3475"/>
    <w:rsid w:val="004C58B6"/>
    <w:rsid w:val="004D16A3"/>
    <w:rsid w:val="004D4AA1"/>
    <w:rsid w:val="004D6168"/>
    <w:rsid w:val="004D6D68"/>
    <w:rsid w:val="004E5B0F"/>
    <w:rsid w:val="004E5EDD"/>
    <w:rsid w:val="004F27D2"/>
    <w:rsid w:val="004F448A"/>
    <w:rsid w:val="004F493D"/>
    <w:rsid w:val="004F65E8"/>
    <w:rsid w:val="0050005E"/>
    <w:rsid w:val="00502B88"/>
    <w:rsid w:val="00510751"/>
    <w:rsid w:val="00510BDC"/>
    <w:rsid w:val="005142C4"/>
    <w:rsid w:val="0051509C"/>
    <w:rsid w:val="00516028"/>
    <w:rsid w:val="00523716"/>
    <w:rsid w:val="005272E2"/>
    <w:rsid w:val="0053108F"/>
    <w:rsid w:val="00532B56"/>
    <w:rsid w:val="00534B10"/>
    <w:rsid w:val="00534D57"/>
    <w:rsid w:val="005446A2"/>
    <w:rsid w:val="00544D2F"/>
    <w:rsid w:val="00551BD8"/>
    <w:rsid w:val="0056444A"/>
    <w:rsid w:val="00571964"/>
    <w:rsid w:val="00573ED2"/>
    <w:rsid w:val="00581055"/>
    <w:rsid w:val="00582BB9"/>
    <w:rsid w:val="00586F77"/>
    <w:rsid w:val="00591E38"/>
    <w:rsid w:val="00596A71"/>
    <w:rsid w:val="005A19C5"/>
    <w:rsid w:val="005A3034"/>
    <w:rsid w:val="005A462D"/>
    <w:rsid w:val="005B253B"/>
    <w:rsid w:val="005B771D"/>
    <w:rsid w:val="005B7991"/>
    <w:rsid w:val="005B7C78"/>
    <w:rsid w:val="005C5D16"/>
    <w:rsid w:val="005D3193"/>
    <w:rsid w:val="005D4A6E"/>
    <w:rsid w:val="005E6979"/>
    <w:rsid w:val="005E75CB"/>
    <w:rsid w:val="006013C1"/>
    <w:rsid w:val="0060462F"/>
    <w:rsid w:val="00605063"/>
    <w:rsid w:val="0060669E"/>
    <w:rsid w:val="00610F2E"/>
    <w:rsid w:val="00611399"/>
    <w:rsid w:val="00620CB4"/>
    <w:rsid w:val="00624C4E"/>
    <w:rsid w:val="00625200"/>
    <w:rsid w:val="006363A8"/>
    <w:rsid w:val="00636DB7"/>
    <w:rsid w:val="0064731C"/>
    <w:rsid w:val="00650905"/>
    <w:rsid w:val="00652644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53F4"/>
    <w:rsid w:val="00701053"/>
    <w:rsid w:val="00701507"/>
    <w:rsid w:val="00702C7B"/>
    <w:rsid w:val="00714021"/>
    <w:rsid w:val="0071462A"/>
    <w:rsid w:val="00716A0F"/>
    <w:rsid w:val="00717D45"/>
    <w:rsid w:val="007208F7"/>
    <w:rsid w:val="007218AF"/>
    <w:rsid w:val="007273F3"/>
    <w:rsid w:val="007365D1"/>
    <w:rsid w:val="00740E0E"/>
    <w:rsid w:val="00750212"/>
    <w:rsid w:val="00754779"/>
    <w:rsid w:val="0075716D"/>
    <w:rsid w:val="00757CBE"/>
    <w:rsid w:val="0076140A"/>
    <w:rsid w:val="00765BF2"/>
    <w:rsid w:val="00765F14"/>
    <w:rsid w:val="00770E31"/>
    <w:rsid w:val="0077393D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14DB"/>
    <w:rsid w:val="007E2A4B"/>
    <w:rsid w:val="007E307D"/>
    <w:rsid w:val="007E6A4E"/>
    <w:rsid w:val="007E6C94"/>
    <w:rsid w:val="007F1005"/>
    <w:rsid w:val="007F25E0"/>
    <w:rsid w:val="007F3CDB"/>
    <w:rsid w:val="007F5328"/>
    <w:rsid w:val="00804F5A"/>
    <w:rsid w:val="00810C6D"/>
    <w:rsid w:val="00812887"/>
    <w:rsid w:val="008244DB"/>
    <w:rsid w:val="00826F21"/>
    <w:rsid w:val="00834CC8"/>
    <w:rsid w:val="00835E00"/>
    <w:rsid w:val="00837113"/>
    <w:rsid w:val="0083781F"/>
    <w:rsid w:val="008414E4"/>
    <w:rsid w:val="00842803"/>
    <w:rsid w:val="00843E21"/>
    <w:rsid w:val="0084508E"/>
    <w:rsid w:val="00857A8A"/>
    <w:rsid w:val="008630EE"/>
    <w:rsid w:val="00864D13"/>
    <w:rsid w:val="00871CD5"/>
    <w:rsid w:val="008745A2"/>
    <w:rsid w:val="008768A8"/>
    <w:rsid w:val="008802CF"/>
    <w:rsid w:val="0088798F"/>
    <w:rsid w:val="00887E4B"/>
    <w:rsid w:val="008915C8"/>
    <w:rsid w:val="008A36CF"/>
    <w:rsid w:val="008A3BC4"/>
    <w:rsid w:val="008B2867"/>
    <w:rsid w:val="008B403C"/>
    <w:rsid w:val="008B7983"/>
    <w:rsid w:val="008C2511"/>
    <w:rsid w:val="008D026D"/>
    <w:rsid w:val="008D185C"/>
    <w:rsid w:val="008D23AB"/>
    <w:rsid w:val="008D4B8B"/>
    <w:rsid w:val="008D5A78"/>
    <w:rsid w:val="008E7661"/>
    <w:rsid w:val="008E7B64"/>
    <w:rsid w:val="008F5DCD"/>
    <w:rsid w:val="0090057C"/>
    <w:rsid w:val="00900951"/>
    <w:rsid w:val="00904A7E"/>
    <w:rsid w:val="0091097E"/>
    <w:rsid w:val="009118A6"/>
    <w:rsid w:val="00916909"/>
    <w:rsid w:val="00916EC0"/>
    <w:rsid w:val="00917474"/>
    <w:rsid w:val="00920467"/>
    <w:rsid w:val="00921DE7"/>
    <w:rsid w:val="0093041A"/>
    <w:rsid w:val="00930562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46DD1"/>
    <w:rsid w:val="00950341"/>
    <w:rsid w:val="0095260E"/>
    <w:rsid w:val="009578DD"/>
    <w:rsid w:val="00961124"/>
    <w:rsid w:val="009621B6"/>
    <w:rsid w:val="00964D60"/>
    <w:rsid w:val="00973F7F"/>
    <w:rsid w:val="00974F2D"/>
    <w:rsid w:val="00977524"/>
    <w:rsid w:val="00977E88"/>
    <w:rsid w:val="00984920"/>
    <w:rsid w:val="0099303A"/>
    <w:rsid w:val="009971C2"/>
    <w:rsid w:val="009A1254"/>
    <w:rsid w:val="009B2FF2"/>
    <w:rsid w:val="009B342C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3866"/>
    <w:rsid w:val="009E5C60"/>
    <w:rsid w:val="009E63E2"/>
    <w:rsid w:val="009F04D2"/>
    <w:rsid w:val="009F05CF"/>
    <w:rsid w:val="009F0F3A"/>
    <w:rsid w:val="009F68D8"/>
    <w:rsid w:val="009F6F20"/>
    <w:rsid w:val="00A01D0C"/>
    <w:rsid w:val="00A0643F"/>
    <w:rsid w:val="00A067EE"/>
    <w:rsid w:val="00A10FCE"/>
    <w:rsid w:val="00A11245"/>
    <w:rsid w:val="00A13B71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207D"/>
    <w:rsid w:val="00A51A2A"/>
    <w:rsid w:val="00A53681"/>
    <w:rsid w:val="00A633D4"/>
    <w:rsid w:val="00A6461A"/>
    <w:rsid w:val="00A654D7"/>
    <w:rsid w:val="00A84504"/>
    <w:rsid w:val="00A8672F"/>
    <w:rsid w:val="00A91C2C"/>
    <w:rsid w:val="00A93057"/>
    <w:rsid w:val="00A968B0"/>
    <w:rsid w:val="00AA56D3"/>
    <w:rsid w:val="00AB2672"/>
    <w:rsid w:val="00AB2817"/>
    <w:rsid w:val="00AB43C4"/>
    <w:rsid w:val="00AC32E7"/>
    <w:rsid w:val="00AC3A9F"/>
    <w:rsid w:val="00AC3DAC"/>
    <w:rsid w:val="00AC6D2F"/>
    <w:rsid w:val="00AE2745"/>
    <w:rsid w:val="00AE2F64"/>
    <w:rsid w:val="00AF42CB"/>
    <w:rsid w:val="00AF483F"/>
    <w:rsid w:val="00AF5E07"/>
    <w:rsid w:val="00AF5F06"/>
    <w:rsid w:val="00B00A25"/>
    <w:rsid w:val="00B11CDF"/>
    <w:rsid w:val="00B1422A"/>
    <w:rsid w:val="00B164D5"/>
    <w:rsid w:val="00B1765C"/>
    <w:rsid w:val="00B213C4"/>
    <w:rsid w:val="00B23AB7"/>
    <w:rsid w:val="00B27DDD"/>
    <w:rsid w:val="00B40C60"/>
    <w:rsid w:val="00B479A9"/>
    <w:rsid w:val="00B52EDF"/>
    <w:rsid w:val="00B57196"/>
    <w:rsid w:val="00B71188"/>
    <w:rsid w:val="00B71372"/>
    <w:rsid w:val="00B72B07"/>
    <w:rsid w:val="00B76A41"/>
    <w:rsid w:val="00B809FC"/>
    <w:rsid w:val="00B87D4C"/>
    <w:rsid w:val="00B93646"/>
    <w:rsid w:val="00B94DDB"/>
    <w:rsid w:val="00BA0B38"/>
    <w:rsid w:val="00BA1DBB"/>
    <w:rsid w:val="00BA1F6A"/>
    <w:rsid w:val="00BA4510"/>
    <w:rsid w:val="00BA529A"/>
    <w:rsid w:val="00BB612A"/>
    <w:rsid w:val="00BC08BD"/>
    <w:rsid w:val="00BC5D4E"/>
    <w:rsid w:val="00BD116E"/>
    <w:rsid w:val="00BD1CEC"/>
    <w:rsid w:val="00BD499F"/>
    <w:rsid w:val="00BD56DE"/>
    <w:rsid w:val="00BF2406"/>
    <w:rsid w:val="00C06E43"/>
    <w:rsid w:val="00C07664"/>
    <w:rsid w:val="00C14695"/>
    <w:rsid w:val="00C16315"/>
    <w:rsid w:val="00C3091E"/>
    <w:rsid w:val="00C32E74"/>
    <w:rsid w:val="00C40FF1"/>
    <w:rsid w:val="00C419E2"/>
    <w:rsid w:val="00C5020E"/>
    <w:rsid w:val="00C57452"/>
    <w:rsid w:val="00C60215"/>
    <w:rsid w:val="00C61EDF"/>
    <w:rsid w:val="00C6239D"/>
    <w:rsid w:val="00C6594B"/>
    <w:rsid w:val="00C67FFB"/>
    <w:rsid w:val="00C7155E"/>
    <w:rsid w:val="00C71D1E"/>
    <w:rsid w:val="00C71D7D"/>
    <w:rsid w:val="00C74833"/>
    <w:rsid w:val="00C7496F"/>
    <w:rsid w:val="00C850A0"/>
    <w:rsid w:val="00C85A86"/>
    <w:rsid w:val="00C916B4"/>
    <w:rsid w:val="00C91EE3"/>
    <w:rsid w:val="00C978F0"/>
    <w:rsid w:val="00CA58FE"/>
    <w:rsid w:val="00CB1CB1"/>
    <w:rsid w:val="00CB6607"/>
    <w:rsid w:val="00CB6BC1"/>
    <w:rsid w:val="00CB6CB8"/>
    <w:rsid w:val="00CC1A68"/>
    <w:rsid w:val="00CC2123"/>
    <w:rsid w:val="00CD12B5"/>
    <w:rsid w:val="00CD136A"/>
    <w:rsid w:val="00CD2BFD"/>
    <w:rsid w:val="00CE5AD6"/>
    <w:rsid w:val="00CE617F"/>
    <w:rsid w:val="00CE78EF"/>
    <w:rsid w:val="00D048F7"/>
    <w:rsid w:val="00D0511C"/>
    <w:rsid w:val="00D0517E"/>
    <w:rsid w:val="00D0738F"/>
    <w:rsid w:val="00D114FC"/>
    <w:rsid w:val="00D140FC"/>
    <w:rsid w:val="00D16089"/>
    <w:rsid w:val="00D21890"/>
    <w:rsid w:val="00D21D8C"/>
    <w:rsid w:val="00D31357"/>
    <w:rsid w:val="00D32798"/>
    <w:rsid w:val="00D33220"/>
    <w:rsid w:val="00D334D1"/>
    <w:rsid w:val="00D3686E"/>
    <w:rsid w:val="00D41BCF"/>
    <w:rsid w:val="00D44C89"/>
    <w:rsid w:val="00D516CD"/>
    <w:rsid w:val="00D5746D"/>
    <w:rsid w:val="00D6481B"/>
    <w:rsid w:val="00D668E6"/>
    <w:rsid w:val="00D70548"/>
    <w:rsid w:val="00D70670"/>
    <w:rsid w:val="00D74D80"/>
    <w:rsid w:val="00D76624"/>
    <w:rsid w:val="00D87570"/>
    <w:rsid w:val="00D91CB9"/>
    <w:rsid w:val="00D94492"/>
    <w:rsid w:val="00D96100"/>
    <w:rsid w:val="00D97989"/>
    <w:rsid w:val="00D97D8D"/>
    <w:rsid w:val="00DA352E"/>
    <w:rsid w:val="00DB140F"/>
    <w:rsid w:val="00DC7694"/>
    <w:rsid w:val="00DD1BF6"/>
    <w:rsid w:val="00DD2F9B"/>
    <w:rsid w:val="00DD7810"/>
    <w:rsid w:val="00DE2513"/>
    <w:rsid w:val="00DE26E8"/>
    <w:rsid w:val="00DF6F36"/>
    <w:rsid w:val="00E0084C"/>
    <w:rsid w:val="00E00F47"/>
    <w:rsid w:val="00E025AB"/>
    <w:rsid w:val="00E02B23"/>
    <w:rsid w:val="00E03F0E"/>
    <w:rsid w:val="00E06F40"/>
    <w:rsid w:val="00E07CE8"/>
    <w:rsid w:val="00E1660E"/>
    <w:rsid w:val="00E2044F"/>
    <w:rsid w:val="00E23FF3"/>
    <w:rsid w:val="00E26A07"/>
    <w:rsid w:val="00E32595"/>
    <w:rsid w:val="00E37CFD"/>
    <w:rsid w:val="00E41A26"/>
    <w:rsid w:val="00E46BCB"/>
    <w:rsid w:val="00E51CAF"/>
    <w:rsid w:val="00E525D0"/>
    <w:rsid w:val="00E564C7"/>
    <w:rsid w:val="00E60F04"/>
    <w:rsid w:val="00E62AAC"/>
    <w:rsid w:val="00E64593"/>
    <w:rsid w:val="00E659ED"/>
    <w:rsid w:val="00E67C2F"/>
    <w:rsid w:val="00E67EF5"/>
    <w:rsid w:val="00E804EA"/>
    <w:rsid w:val="00E80A71"/>
    <w:rsid w:val="00E82337"/>
    <w:rsid w:val="00E83E91"/>
    <w:rsid w:val="00E92499"/>
    <w:rsid w:val="00E949AF"/>
    <w:rsid w:val="00E95C9D"/>
    <w:rsid w:val="00E96077"/>
    <w:rsid w:val="00E96751"/>
    <w:rsid w:val="00EA0A06"/>
    <w:rsid w:val="00EA6243"/>
    <w:rsid w:val="00EA74AB"/>
    <w:rsid w:val="00EB3D1B"/>
    <w:rsid w:val="00EB506E"/>
    <w:rsid w:val="00EC01D2"/>
    <w:rsid w:val="00ED1D89"/>
    <w:rsid w:val="00ED66BC"/>
    <w:rsid w:val="00EF233A"/>
    <w:rsid w:val="00EF303E"/>
    <w:rsid w:val="00EF3A40"/>
    <w:rsid w:val="00EF7F78"/>
    <w:rsid w:val="00F01B08"/>
    <w:rsid w:val="00F01C4D"/>
    <w:rsid w:val="00F02D84"/>
    <w:rsid w:val="00F053FA"/>
    <w:rsid w:val="00F07061"/>
    <w:rsid w:val="00F10C97"/>
    <w:rsid w:val="00F11C71"/>
    <w:rsid w:val="00F16019"/>
    <w:rsid w:val="00F20407"/>
    <w:rsid w:val="00F20E68"/>
    <w:rsid w:val="00F22093"/>
    <w:rsid w:val="00F236DF"/>
    <w:rsid w:val="00F40BDC"/>
    <w:rsid w:val="00F43AD5"/>
    <w:rsid w:val="00F4402E"/>
    <w:rsid w:val="00F52479"/>
    <w:rsid w:val="00F5279E"/>
    <w:rsid w:val="00F56DD0"/>
    <w:rsid w:val="00F6491C"/>
    <w:rsid w:val="00F67BBB"/>
    <w:rsid w:val="00F87D92"/>
    <w:rsid w:val="00F90AA7"/>
    <w:rsid w:val="00F90C4D"/>
    <w:rsid w:val="00F92498"/>
    <w:rsid w:val="00F9496B"/>
    <w:rsid w:val="00F966EC"/>
    <w:rsid w:val="00F970C9"/>
    <w:rsid w:val="00FA06A8"/>
    <w:rsid w:val="00FA3DF5"/>
    <w:rsid w:val="00FA741F"/>
    <w:rsid w:val="00FB3245"/>
    <w:rsid w:val="00FB4E07"/>
    <w:rsid w:val="00FB755A"/>
    <w:rsid w:val="00FC351A"/>
    <w:rsid w:val="00FC60A2"/>
    <w:rsid w:val="00FD07FF"/>
    <w:rsid w:val="00FD1871"/>
    <w:rsid w:val="00FD3110"/>
    <w:rsid w:val="00FF0DF5"/>
    <w:rsid w:val="00FF5C3D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7553974A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C74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96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96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96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907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0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867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3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04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15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60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60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32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10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76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A68404C5F6B4780904F09DAAE62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9F3A-3709-4B4B-A8CF-1DE054402F6A}"/>
      </w:docPartPr>
      <w:docPartBody>
        <w:p w:rsidR="00D21A9F" w:rsidRDefault="00D21A9F">
          <w:pPr>
            <w:pStyle w:val="CA68404C5F6B4780904F09DAAE62489A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7CE7ED1487F84501BA991A203596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0EC8-DAB7-4CE8-B74F-D3372C2CAF19}"/>
      </w:docPartPr>
      <w:docPartBody>
        <w:p w:rsidR="003015BA" w:rsidRDefault="00AF77C9" w:rsidP="00AF77C9">
          <w:pPr>
            <w:pStyle w:val="7CE7ED1487F84501BA991A203596A155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015BA"/>
    <w:rsid w:val="00535F12"/>
    <w:rsid w:val="00690691"/>
    <w:rsid w:val="00791758"/>
    <w:rsid w:val="00873BA4"/>
    <w:rsid w:val="00AF77C9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7C9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DD52936BF2C46A185D878325BF5780A">
    <w:name w:val="EDD52936BF2C46A185D878325BF5780A"/>
    <w:rsid w:val="00873BA4"/>
    <w:rPr>
      <w:lang w:val="en-US" w:eastAsia="en-US"/>
    </w:rPr>
  </w:style>
  <w:style w:type="paragraph" w:customStyle="1" w:styleId="BDC531FD8EAB40668FCC63C772CD2B8B">
    <w:name w:val="BDC531FD8EAB40668FCC63C772CD2B8B"/>
    <w:rsid w:val="00873BA4"/>
    <w:rPr>
      <w:lang w:val="en-US" w:eastAsia="en-US"/>
    </w:rPr>
  </w:style>
  <w:style w:type="paragraph" w:customStyle="1" w:styleId="A89EF7AC3F9B4F3781C5FD1760CF12AB">
    <w:name w:val="A89EF7AC3F9B4F3781C5FD1760CF12AB"/>
    <w:rsid w:val="00873BA4"/>
    <w:rPr>
      <w:lang w:val="en-US" w:eastAsia="en-US"/>
    </w:rPr>
  </w:style>
  <w:style w:type="paragraph" w:customStyle="1" w:styleId="BD0FCB232C0248C19F5D4626A311843A">
    <w:name w:val="BD0FCB232C0248C19F5D4626A311843A"/>
    <w:rsid w:val="00873BA4"/>
    <w:rPr>
      <w:lang w:val="en-US" w:eastAsia="en-US"/>
    </w:rPr>
  </w:style>
  <w:style w:type="paragraph" w:customStyle="1" w:styleId="A57D6AFB4D1241F684A7027EBF7767D1">
    <w:name w:val="A57D6AFB4D1241F684A7027EBF7767D1"/>
    <w:rsid w:val="00873BA4"/>
    <w:rPr>
      <w:lang w:val="en-US" w:eastAsia="en-US"/>
    </w:rPr>
  </w:style>
  <w:style w:type="paragraph" w:customStyle="1" w:styleId="1155DA5662E94B55929FF62CB246A0C7">
    <w:name w:val="1155DA5662E94B55929FF62CB246A0C7"/>
    <w:rsid w:val="00791758"/>
  </w:style>
  <w:style w:type="paragraph" w:customStyle="1" w:styleId="251D52B36A3A44F9AD4199E019770B88">
    <w:name w:val="251D52B36A3A44F9AD4199E019770B88"/>
    <w:rsid w:val="00791758"/>
  </w:style>
  <w:style w:type="paragraph" w:customStyle="1" w:styleId="7B957084E1AA47DD9260C6E73F4E9CA1">
    <w:name w:val="7B957084E1AA47DD9260C6E73F4E9CA1"/>
    <w:rsid w:val="00690691"/>
  </w:style>
  <w:style w:type="paragraph" w:customStyle="1" w:styleId="948C667C69E441C7837DE612588C1AD2">
    <w:name w:val="948C667C69E441C7837DE612588C1AD2"/>
    <w:rsid w:val="00690691"/>
  </w:style>
  <w:style w:type="paragraph" w:customStyle="1" w:styleId="A17AAB4B681A4AC6BF8D03C820B52F18">
    <w:name w:val="A17AAB4B681A4AC6BF8D03C820B52F18"/>
    <w:rsid w:val="00690691"/>
  </w:style>
  <w:style w:type="paragraph" w:customStyle="1" w:styleId="7CE7ED1487F84501BA991A203596A155">
    <w:name w:val="7CE7ED1487F84501BA991A203596A155"/>
    <w:rsid w:val="00AF7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E31EB-D11A-4877-B01F-6A09D025D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0CAA9-2C73-4667-8B2E-5F91BF5F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903FA2D1.dotm</Template>
  <TotalTime>1788</TotalTime>
  <Pages>7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103</cp:revision>
  <cp:lastPrinted>2018-10-22T22:41:00Z</cp:lastPrinted>
  <dcterms:created xsi:type="dcterms:W3CDTF">2019-04-14T23:55:00Z</dcterms:created>
  <dcterms:modified xsi:type="dcterms:W3CDTF">2019-09-26T01:08:00Z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