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</w:sdtPr>
      <w:sdtEndPr/>
      <w:sdtContent>
        <w:p w14:paraId="232CAFB4" w14:textId="77777777" w:rsidR="00BD499F" w:rsidRPr="004C23F4" w:rsidRDefault="00EB2882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2 - Nitrotoluene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3"/>
        <w:gridCol w:w="5053"/>
      </w:tblGrid>
      <w:tr w:rsidR="00F43AD5" w:rsidRPr="004C23F4" w14:paraId="3148DBA7" w14:textId="77777777" w:rsidTr="00FD34FE">
        <w:trPr>
          <w:cantSplit/>
          <w:tblHeader/>
        </w:trPr>
        <w:tc>
          <w:tcPr>
            <w:tcW w:w="3973" w:type="dxa"/>
          </w:tcPr>
          <w:p w14:paraId="045D45B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3" w:type="dxa"/>
          </w:tcPr>
          <w:p w14:paraId="09482F3D" w14:textId="77777777" w:rsidR="00F43AD5" w:rsidRPr="00717D45" w:rsidRDefault="00EB2882" w:rsidP="00B76A41">
            <w:pPr>
              <w:pStyle w:val="Tablefont"/>
            </w:pPr>
            <w:r w:rsidRPr="00EB2882">
              <w:t>88-72-2</w:t>
            </w:r>
          </w:p>
        </w:tc>
      </w:tr>
      <w:tr w:rsidR="00F43AD5" w:rsidRPr="007B2553" w14:paraId="38A3803B" w14:textId="77777777" w:rsidTr="00FD34FE">
        <w:trPr>
          <w:cantSplit/>
        </w:trPr>
        <w:tc>
          <w:tcPr>
            <w:tcW w:w="3973" w:type="dxa"/>
          </w:tcPr>
          <w:p w14:paraId="531F5AC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3" w:type="dxa"/>
          </w:tcPr>
          <w:p w14:paraId="74E963B8" w14:textId="4FCB0F49" w:rsidR="00F43AD5" w:rsidRPr="00FE24A9" w:rsidRDefault="00295DED" w:rsidP="00B76A41">
            <w:pPr>
              <w:pStyle w:val="Tablefont"/>
              <w:rPr>
                <w:lang w:val="it-IT"/>
              </w:rPr>
            </w:pPr>
            <w:r w:rsidRPr="00FE24A9">
              <w:rPr>
                <w:i/>
                <w:lang w:val="it-IT"/>
              </w:rPr>
              <w:t>o</w:t>
            </w:r>
            <w:r w:rsidRPr="00FE24A9">
              <w:rPr>
                <w:lang w:val="it-IT"/>
              </w:rPr>
              <w:t xml:space="preserve">-Nitrotoluene; </w:t>
            </w:r>
            <w:r w:rsidRPr="00FE24A9">
              <w:rPr>
                <w:i/>
                <w:lang w:val="it-IT"/>
              </w:rPr>
              <w:t>o</w:t>
            </w:r>
            <w:r w:rsidRPr="00FE24A9">
              <w:rPr>
                <w:lang w:val="it-IT"/>
              </w:rPr>
              <w:t>-methylnitrobenzene</w:t>
            </w:r>
            <w:r w:rsidR="00FD34FE">
              <w:rPr>
                <w:lang w:val="it-IT"/>
              </w:rPr>
              <w:t>;</w:t>
            </w:r>
            <w:r w:rsidRPr="00FE24A9">
              <w:rPr>
                <w:lang w:val="it-IT"/>
              </w:rPr>
              <w:t xml:space="preserve"> 2</w:t>
            </w:r>
            <w:r w:rsidRPr="00FE24A9">
              <w:rPr>
                <w:lang w:val="it-IT"/>
              </w:rPr>
              <w:noBreakHyphen/>
              <w:t xml:space="preserve">methylnitrobenzene; </w:t>
            </w:r>
            <w:r w:rsidR="006B5FD3" w:rsidRPr="00FE24A9">
              <w:rPr>
                <w:lang w:val="it-IT"/>
              </w:rPr>
              <w:t>nitrophenylmethane; nitrotoluol</w:t>
            </w:r>
          </w:p>
        </w:tc>
      </w:tr>
      <w:tr w:rsidR="00F43AD5" w:rsidRPr="004C23F4" w14:paraId="5D0F436C" w14:textId="77777777" w:rsidTr="00FD34FE">
        <w:trPr>
          <w:cantSplit/>
        </w:trPr>
        <w:tc>
          <w:tcPr>
            <w:tcW w:w="3973" w:type="dxa"/>
          </w:tcPr>
          <w:p w14:paraId="737B30F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3" w:type="dxa"/>
          </w:tcPr>
          <w:p w14:paraId="58129C9E" w14:textId="25887BF5" w:rsidR="00F43AD5" w:rsidRPr="00717D45" w:rsidRDefault="00577D99" w:rsidP="00B76A41">
            <w:pPr>
              <w:pStyle w:val="Tablefont"/>
            </w:pPr>
            <w:r>
              <w:rPr>
                <w:rFonts w:cs="Arial"/>
                <w:color w:val="545454"/>
                <w:shd w:val="clear" w:color="auto" w:fill="FFFFFF"/>
              </w:rPr>
              <w:t>C</w:t>
            </w:r>
            <w:r w:rsidRPr="00EA413B">
              <w:rPr>
                <w:rFonts w:cs="Arial"/>
                <w:color w:val="545454"/>
                <w:shd w:val="clear" w:color="auto" w:fill="FFFFFF"/>
                <w:vertAlign w:val="subscript"/>
              </w:rPr>
              <w:t>7</w:t>
            </w:r>
            <w:r>
              <w:rPr>
                <w:rFonts w:cs="Arial"/>
                <w:color w:val="545454"/>
                <w:shd w:val="clear" w:color="auto" w:fill="FFFFFF"/>
              </w:rPr>
              <w:t>H</w:t>
            </w:r>
            <w:r w:rsidRPr="00EA413B">
              <w:rPr>
                <w:rFonts w:cs="Arial"/>
                <w:color w:val="545454"/>
                <w:shd w:val="clear" w:color="auto" w:fill="FFFFFF"/>
                <w:vertAlign w:val="subscript"/>
              </w:rPr>
              <w:t>7</w:t>
            </w:r>
            <w:r>
              <w:rPr>
                <w:rFonts w:cs="Arial"/>
                <w:color w:val="545454"/>
                <w:shd w:val="clear" w:color="auto" w:fill="FFFFFF"/>
              </w:rPr>
              <w:t>NO</w:t>
            </w:r>
            <w:r w:rsidRPr="00EA413B">
              <w:rPr>
                <w:rFonts w:cs="Arial"/>
                <w:color w:val="545454"/>
                <w:shd w:val="clear" w:color="auto" w:fill="FFFFFF"/>
                <w:vertAlign w:val="subscript"/>
              </w:rPr>
              <w:t>2</w:t>
            </w:r>
          </w:p>
        </w:tc>
      </w:tr>
    </w:tbl>
    <w:p w14:paraId="0D306635" w14:textId="5D3ABDC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B2553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65B91BCC" w14:textId="77777777" w:rsidTr="00E877EE">
        <w:trPr>
          <w:cantSplit/>
          <w:tblHeader/>
        </w:trPr>
        <w:tc>
          <w:tcPr>
            <w:tcW w:w="3997" w:type="dxa"/>
            <w:vAlign w:val="center"/>
          </w:tcPr>
          <w:p w14:paraId="14CDA44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9" w:type="dxa"/>
          </w:tcPr>
          <w:p w14:paraId="3023BA91" w14:textId="7108EB30" w:rsidR="002C7AFE" w:rsidRPr="00EA413B" w:rsidRDefault="509D176D" w:rsidP="509D176D">
            <w:pPr>
              <w:pStyle w:val="Tablefont"/>
              <w:rPr>
                <w:b/>
                <w:bCs/>
              </w:rPr>
            </w:pPr>
            <w:r w:rsidRPr="00FA424A">
              <w:rPr>
                <w:b/>
                <w:bCs/>
              </w:rPr>
              <w:t>0.45</w:t>
            </w:r>
            <w:r w:rsidR="00FE24A9" w:rsidRPr="00FA424A">
              <w:rPr>
                <w:b/>
                <w:bCs/>
              </w:rPr>
              <w:t xml:space="preserve"> </w:t>
            </w:r>
            <w:r w:rsidRPr="00FA424A">
              <w:rPr>
                <w:b/>
                <w:bCs/>
              </w:rPr>
              <w:t>ppb</w:t>
            </w:r>
            <w:r w:rsidRPr="509D176D">
              <w:rPr>
                <w:b/>
                <w:bCs/>
              </w:rPr>
              <w:t xml:space="preserve"> (2.54 </w:t>
            </w:r>
            <w:r w:rsidRPr="509D176D">
              <w:rPr>
                <w:rFonts w:cs="Arial"/>
                <w:b/>
                <w:bCs/>
              </w:rPr>
              <w:t>µ</w:t>
            </w:r>
            <w:r w:rsidRPr="509D176D">
              <w:rPr>
                <w:b/>
                <w:bCs/>
              </w:rPr>
              <w:t>g/m</w:t>
            </w:r>
            <w:r w:rsidRPr="509D176D">
              <w:rPr>
                <w:b/>
                <w:bCs/>
                <w:vertAlign w:val="superscript"/>
              </w:rPr>
              <w:t>3</w:t>
            </w:r>
            <w:r w:rsidRPr="509D176D">
              <w:rPr>
                <w:b/>
                <w:bCs/>
              </w:rPr>
              <w:t>)</w:t>
            </w:r>
          </w:p>
        </w:tc>
      </w:tr>
      <w:tr w:rsidR="002C7AFE" w:rsidRPr="004C23F4" w14:paraId="100D4F30" w14:textId="77777777" w:rsidTr="00E877EE">
        <w:trPr>
          <w:cantSplit/>
        </w:trPr>
        <w:tc>
          <w:tcPr>
            <w:tcW w:w="3997" w:type="dxa"/>
            <w:vAlign w:val="center"/>
          </w:tcPr>
          <w:p w14:paraId="096C5A1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9" w:type="dxa"/>
          </w:tcPr>
          <w:p w14:paraId="1CCA1827" w14:textId="22CF5EF6" w:rsidR="002C7AFE" w:rsidRPr="00EB3D1B" w:rsidRDefault="00FA424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C2FB50C" w14:textId="77777777" w:rsidTr="00E877EE">
        <w:trPr>
          <w:cantSplit/>
        </w:trPr>
        <w:tc>
          <w:tcPr>
            <w:tcW w:w="3997" w:type="dxa"/>
            <w:vAlign w:val="center"/>
          </w:tcPr>
          <w:p w14:paraId="69A38EB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9" w:type="dxa"/>
          </w:tcPr>
          <w:p w14:paraId="42A62D96" w14:textId="5ECA458A" w:rsidR="002C7AFE" w:rsidRPr="00EB3D1B" w:rsidRDefault="00FA424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F4C2B04" w14:textId="77777777" w:rsidTr="00E877EE">
        <w:trPr>
          <w:cantSplit/>
        </w:trPr>
        <w:tc>
          <w:tcPr>
            <w:tcW w:w="3997" w:type="dxa"/>
          </w:tcPr>
          <w:p w14:paraId="4D417A3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9" w:type="dxa"/>
          </w:tcPr>
          <w:p w14:paraId="63FB006C" w14:textId="5717977F" w:rsidR="002C7AFE" w:rsidRPr="00EB3D1B" w:rsidRDefault="00295DE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1B</w:t>
            </w:r>
          </w:p>
        </w:tc>
      </w:tr>
      <w:tr w:rsidR="002C7AFE" w:rsidRPr="004C23F4" w14:paraId="038B765E" w14:textId="77777777" w:rsidTr="00E877EE">
        <w:trPr>
          <w:cantSplit/>
        </w:trPr>
        <w:tc>
          <w:tcPr>
            <w:tcW w:w="3997" w:type="dxa"/>
            <w:vAlign w:val="center"/>
          </w:tcPr>
          <w:p w14:paraId="62011443" w14:textId="1E89B5A9" w:rsidR="00F10C97" w:rsidRPr="002C58FF" w:rsidRDefault="00921DE7" w:rsidP="00E877EE">
            <w:pPr>
              <w:pStyle w:val="Tablerowright"/>
            </w:pPr>
            <w:r>
              <w:t>IDLH:</w:t>
            </w:r>
          </w:p>
        </w:tc>
        <w:tc>
          <w:tcPr>
            <w:tcW w:w="5029" w:type="dxa"/>
          </w:tcPr>
          <w:p w14:paraId="5E732CD3" w14:textId="0CE5423E" w:rsidR="002C7AFE" w:rsidRPr="00EB3D1B" w:rsidRDefault="00FA424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E877EE" w:rsidRPr="004C23F4" w14:paraId="5D42DF0B" w14:textId="77777777" w:rsidTr="00DE1268">
        <w:trPr>
          <w:cantSplit/>
        </w:trPr>
        <w:tc>
          <w:tcPr>
            <w:tcW w:w="9026" w:type="dxa"/>
            <w:gridSpan w:val="2"/>
            <w:vAlign w:val="center"/>
          </w:tcPr>
          <w:p w14:paraId="026AFB99" w14:textId="3222FF4C" w:rsidR="00E877EE" w:rsidRDefault="00E877EE" w:rsidP="00017C82">
            <w:pPr>
              <w:pStyle w:val="Tablefont"/>
              <w:rPr>
                <w:b/>
              </w:rPr>
            </w:pPr>
            <w:r w:rsidRPr="005173A9">
              <w:rPr>
                <w:b/>
              </w:rPr>
              <w:t>Sampling and analysis:</w:t>
            </w:r>
            <w: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238708A14FE647D99B0B641C534BB8A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There </w:t>
                </w:r>
                <w:proofErr w:type="gramStart"/>
                <w:r>
                  <w:rPr>
                    <w:rStyle w:val="WESstatus"/>
                    <w:color w:val="auto"/>
                  </w:rPr>
                  <w:t>is</w:t>
                </w:r>
                <w:proofErr w:type="gramEnd"/>
                <w:r>
                  <w:rPr>
                    <w:rStyle w:val="WESstatus"/>
                    <w:color w:val="auto"/>
                  </w:rPr>
                  <w:t xml:space="preserve"> uncertainty regarding quantification of the recommended value with available sampling and/or analysis techniques.</w:t>
                </w:r>
              </w:sdtContent>
            </w:sdt>
          </w:p>
        </w:tc>
      </w:tr>
    </w:tbl>
    <w:p w14:paraId="1848B43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8366112" w14:textId="4B623A2C" w:rsidR="00E31465" w:rsidRDefault="00E31465" w:rsidP="00E31465">
      <w:pPr>
        <w:rPr>
          <w:rFonts w:cs="Arial"/>
        </w:rPr>
      </w:pPr>
      <w:r w:rsidRPr="00E31465">
        <w:rPr>
          <w:rFonts w:cs="Arial"/>
        </w:rPr>
        <w:t xml:space="preserve">A TWA of </w:t>
      </w:r>
      <w:r w:rsidR="00EA413B">
        <w:rPr>
          <w:rFonts w:cs="Arial"/>
        </w:rPr>
        <w:t>0.45</w:t>
      </w:r>
      <w:r w:rsidR="00EA413B" w:rsidRPr="00E31465">
        <w:rPr>
          <w:rFonts w:cs="Arial"/>
        </w:rPr>
        <w:t xml:space="preserve"> ppb</w:t>
      </w:r>
      <w:r w:rsidR="00EA413B">
        <w:rPr>
          <w:rFonts w:cs="Arial"/>
        </w:rPr>
        <w:t xml:space="preserve"> </w:t>
      </w:r>
      <w:r w:rsidRPr="00E31465">
        <w:rPr>
          <w:rFonts w:cs="Arial"/>
        </w:rPr>
        <w:t>(</w:t>
      </w:r>
      <w:r w:rsidR="00EA413B">
        <w:rPr>
          <w:rFonts w:cs="Arial"/>
        </w:rPr>
        <w:t xml:space="preserve">2.54 </w:t>
      </w:r>
      <w:r w:rsidR="00EA413B" w:rsidRPr="00E31465">
        <w:rPr>
          <w:rFonts w:cs="Arial"/>
        </w:rPr>
        <w:t>µg/m</w:t>
      </w:r>
      <w:r w:rsidR="00EA413B" w:rsidRPr="00E31465">
        <w:rPr>
          <w:rFonts w:cs="Arial"/>
          <w:vertAlign w:val="superscript"/>
        </w:rPr>
        <w:t>3</w:t>
      </w:r>
      <w:r w:rsidRPr="00E31465">
        <w:rPr>
          <w:rFonts w:cs="Arial"/>
        </w:rPr>
        <w:t xml:space="preserve">) is recommended to protect </w:t>
      </w:r>
      <w:r w:rsidR="00967A4A">
        <w:rPr>
          <w:rFonts w:cs="Arial"/>
        </w:rPr>
        <w:t>for</w:t>
      </w:r>
      <w:r w:rsidR="00967A4A" w:rsidRPr="00E31465">
        <w:rPr>
          <w:rFonts w:cs="Arial"/>
        </w:rPr>
        <w:t xml:space="preserve"> </w:t>
      </w:r>
      <w:r w:rsidRPr="00E31465">
        <w:rPr>
          <w:rFonts w:cs="Arial"/>
        </w:rPr>
        <w:t xml:space="preserve">excess cancers in </w:t>
      </w:r>
      <w:r w:rsidR="00FA74ED">
        <w:rPr>
          <w:rFonts w:cs="Arial"/>
        </w:rPr>
        <w:t>exposed workers.</w:t>
      </w:r>
    </w:p>
    <w:p w14:paraId="1936C722" w14:textId="6AEA8C78" w:rsidR="003B71AA" w:rsidRPr="00E31465" w:rsidRDefault="00FD34FE" w:rsidP="00E31465">
      <w:pPr>
        <w:rPr>
          <w:rFonts w:cs="Arial"/>
        </w:rPr>
      </w:pPr>
      <w:r w:rsidRPr="00FD34FE">
        <w:rPr>
          <w:rFonts w:cs="Arial"/>
        </w:rPr>
        <w:t>Given the limited data available</w:t>
      </w:r>
      <w:r>
        <w:rPr>
          <w:rFonts w:cs="Arial"/>
        </w:rPr>
        <w:t xml:space="preserve"> about inhalation exposure</w:t>
      </w:r>
      <w:r w:rsidRPr="00FD34FE">
        <w:rPr>
          <w:rFonts w:cs="Arial"/>
        </w:rPr>
        <w:t xml:space="preserve"> from the primary sources, it is recommended that a review of additional sources be conducted at the next scheduled review. </w:t>
      </w:r>
    </w:p>
    <w:p w14:paraId="658223C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54DF3BE" w14:textId="01F23B37" w:rsidR="006B3517" w:rsidRDefault="006B3517" w:rsidP="509D176D">
      <w:pPr>
        <w:rPr>
          <w:rFonts w:cs="Arial"/>
        </w:rPr>
      </w:pPr>
      <w:r>
        <w:rPr>
          <w:rFonts w:cs="Arial"/>
        </w:rPr>
        <w:t xml:space="preserve">2-Nitrotoluene </w:t>
      </w:r>
      <w:r w:rsidR="00AA21C6">
        <w:rPr>
          <w:rFonts w:cs="Arial"/>
        </w:rPr>
        <w:t>is used in the manufacture of agricultural chemicals and rubber and in the manufacture of various dyes for wool, silk leather and cotton.</w:t>
      </w:r>
    </w:p>
    <w:p w14:paraId="6A5D57C5" w14:textId="7BB336E5" w:rsidR="006B7B97" w:rsidRDefault="509D176D" w:rsidP="509D176D">
      <w:pPr>
        <w:rPr>
          <w:rFonts w:cs="Arial"/>
        </w:rPr>
      </w:pPr>
      <w:r w:rsidRPr="509D176D">
        <w:rPr>
          <w:rFonts w:cs="Arial"/>
        </w:rPr>
        <w:t xml:space="preserve">Based on evidence in animals, 2-nitrotoluene </w:t>
      </w:r>
      <w:r w:rsidRPr="00FA424A">
        <w:rPr>
          <w:rFonts w:cs="Arial"/>
        </w:rPr>
        <w:t xml:space="preserve">is </w:t>
      </w:r>
      <w:r w:rsidR="00FE24A9">
        <w:rPr>
          <w:rFonts w:cs="Arial"/>
        </w:rPr>
        <w:t>characterised as</w:t>
      </w:r>
      <w:r w:rsidRPr="509D176D">
        <w:rPr>
          <w:rFonts w:cs="Arial"/>
        </w:rPr>
        <w:t xml:space="preserve"> a </w:t>
      </w:r>
      <w:r w:rsidR="004C2086">
        <w:rPr>
          <w:rFonts w:cs="Arial"/>
        </w:rPr>
        <w:t>no</w:t>
      </w:r>
      <w:r w:rsidR="00B91EC6">
        <w:rPr>
          <w:rFonts w:cs="Arial"/>
        </w:rPr>
        <w:t>n</w:t>
      </w:r>
      <w:r w:rsidR="004C2086">
        <w:rPr>
          <w:rFonts w:cs="Arial"/>
        </w:rPr>
        <w:t>-threshold</w:t>
      </w:r>
      <w:r w:rsidR="00C8481A">
        <w:rPr>
          <w:rFonts w:cs="Arial"/>
        </w:rPr>
        <w:t xml:space="preserve"> based</w:t>
      </w:r>
      <w:r w:rsidR="004C2086">
        <w:rPr>
          <w:rFonts w:cs="Arial"/>
        </w:rPr>
        <w:t xml:space="preserve"> </w:t>
      </w:r>
      <w:r w:rsidRPr="509D176D">
        <w:rPr>
          <w:rFonts w:cs="Arial"/>
        </w:rPr>
        <w:t xml:space="preserve">genotoxic carcinogen </w:t>
      </w:r>
      <w:r w:rsidR="004C2086">
        <w:rPr>
          <w:rFonts w:cs="Arial"/>
        </w:rPr>
        <w:t xml:space="preserve">by the </w:t>
      </w:r>
      <w:r w:rsidR="00FA424A" w:rsidRPr="509D176D">
        <w:rPr>
          <w:rFonts w:cs="Arial"/>
        </w:rPr>
        <w:t>ACGIH</w:t>
      </w:r>
      <w:r w:rsidR="00FA424A">
        <w:rPr>
          <w:rFonts w:cs="Arial"/>
        </w:rPr>
        <w:t xml:space="preserve"> (</w:t>
      </w:r>
      <w:r w:rsidR="00FA424A" w:rsidRPr="509D176D">
        <w:rPr>
          <w:rFonts w:cs="Arial"/>
        </w:rPr>
        <w:t>2018</w:t>
      </w:r>
      <w:r w:rsidR="00FA424A">
        <w:rPr>
          <w:rFonts w:cs="Arial"/>
        </w:rPr>
        <w:t xml:space="preserve">), </w:t>
      </w:r>
      <w:bookmarkStart w:id="0" w:name="_Hlk11686447"/>
      <w:r w:rsidR="00FA424A" w:rsidRPr="509D176D">
        <w:rPr>
          <w:rFonts w:cs="Arial"/>
        </w:rPr>
        <w:t xml:space="preserve">DFG </w:t>
      </w:r>
      <w:r w:rsidR="00FA424A">
        <w:rPr>
          <w:rFonts w:cs="Arial"/>
        </w:rPr>
        <w:t>(</w:t>
      </w:r>
      <w:r w:rsidR="00FA424A" w:rsidRPr="509D176D">
        <w:rPr>
          <w:rFonts w:cs="Arial"/>
        </w:rPr>
        <w:t>1993</w:t>
      </w:r>
      <w:r w:rsidR="00FA424A">
        <w:rPr>
          <w:rFonts w:cs="Arial"/>
        </w:rPr>
        <w:t>),</w:t>
      </w:r>
      <w:r w:rsidR="00FA424A" w:rsidRPr="509D176D">
        <w:rPr>
          <w:rFonts w:cs="Arial"/>
        </w:rPr>
        <w:t xml:space="preserve"> NICNAS</w:t>
      </w:r>
      <w:r w:rsidR="00FA424A">
        <w:rPr>
          <w:rFonts w:cs="Arial"/>
        </w:rPr>
        <w:t xml:space="preserve"> (</w:t>
      </w:r>
      <w:r w:rsidR="00FA424A" w:rsidRPr="509D176D">
        <w:rPr>
          <w:rFonts w:cs="Arial"/>
        </w:rPr>
        <w:t>201</w:t>
      </w:r>
      <w:r w:rsidR="00FA424A">
        <w:rPr>
          <w:rFonts w:cs="Arial"/>
        </w:rPr>
        <w:t>3) and</w:t>
      </w:r>
      <w:bookmarkEnd w:id="0"/>
      <w:r w:rsidR="00FA424A" w:rsidRPr="509D176D">
        <w:rPr>
          <w:rFonts w:cs="Arial"/>
        </w:rPr>
        <w:t xml:space="preserve"> </w:t>
      </w:r>
      <w:r w:rsidR="00CE775D" w:rsidRPr="509D176D">
        <w:rPr>
          <w:rFonts w:cs="Arial"/>
        </w:rPr>
        <w:t>US</w:t>
      </w:r>
      <w:r w:rsidR="00CE775D">
        <w:rPr>
          <w:rFonts w:cs="Arial"/>
        </w:rPr>
        <w:t xml:space="preserve"> </w:t>
      </w:r>
      <w:r w:rsidR="00CE775D" w:rsidRPr="509D176D">
        <w:rPr>
          <w:rFonts w:cs="Arial"/>
        </w:rPr>
        <w:t xml:space="preserve">EPA </w:t>
      </w:r>
      <w:r w:rsidR="00CE775D">
        <w:rPr>
          <w:rFonts w:cs="Arial"/>
        </w:rPr>
        <w:t>(</w:t>
      </w:r>
      <w:r w:rsidR="00CE775D" w:rsidRPr="509D176D">
        <w:rPr>
          <w:rFonts w:cs="Arial"/>
        </w:rPr>
        <w:t>2008</w:t>
      </w:r>
      <w:r w:rsidR="00FA424A">
        <w:rPr>
          <w:rFonts w:cs="Arial"/>
        </w:rPr>
        <w:t xml:space="preserve">). </w:t>
      </w:r>
      <w:r w:rsidR="002968BA" w:rsidRPr="002968BA">
        <w:rPr>
          <w:rFonts w:cs="Arial"/>
        </w:rPr>
        <w:t xml:space="preserve">Based on evidence in animals, it </w:t>
      </w:r>
      <w:proofErr w:type="gramStart"/>
      <w:r w:rsidR="002968BA" w:rsidRPr="002968BA">
        <w:rPr>
          <w:rFonts w:cs="Arial"/>
        </w:rPr>
        <w:t>is considered to be</w:t>
      </w:r>
      <w:proofErr w:type="gramEnd"/>
      <w:r w:rsidR="002968BA" w:rsidRPr="002968BA">
        <w:rPr>
          <w:rFonts w:cs="Arial"/>
        </w:rPr>
        <w:t xml:space="preserve"> a carcinogen with potential to cause cancer in humans</w:t>
      </w:r>
      <w:r w:rsidR="00C438E1">
        <w:rPr>
          <w:rFonts w:cs="Arial"/>
        </w:rPr>
        <w:t xml:space="preserve"> (</w:t>
      </w:r>
      <w:r w:rsidR="00C438E1" w:rsidRPr="509D176D">
        <w:rPr>
          <w:rFonts w:cs="Arial"/>
        </w:rPr>
        <w:t>DFG</w:t>
      </w:r>
      <w:r w:rsidR="00C438E1">
        <w:rPr>
          <w:rFonts w:cs="Arial"/>
        </w:rPr>
        <w:t>,</w:t>
      </w:r>
      <w:r w:rsidR="00C438E1" w:rsidRPr="509D176D">
        <w:rPr>
          <w:rFonts w:cs="Arial"/>
        </w:rPr>
        <w:t xml:space="preserve"> 1993</w:t>
      </w:r>
      <w:r w:rsidR="00C438E1">
        <w:rPr>
          <w:rFonts w:cs="Arial"/>
        </w:rPr>
        <w:t>;</w:t>
      </w:r>
      <w:r w:rsidR="00C438E1" w:rsidRPr="509D176D">
        <w:rPr>
          <w:rFonts w:cs="Arial"/>
        </w:rPr>
        <w:t xml:space="preserve"> NICNAS</w:t>
      </w:r>
      <w:r w:rsidR="00C438E1">
        <w:rPr>
          <w:rFonts w:cs="Arial"/>
        </w:rPr>
        <w:t xml:space="preserve">, </w:t>
      </w:r>
      <w:r w:rsidR="00C438E1" w:rsidRPr="509D176D">
        <w:rPr>
          <w:rFonts w:cs="Arial"/>
        </w:rPr>
        <w:t>201</w:t>
      </w:r>
      <w:r w:rsidR="00C438E1">
        <w:rPr>
          <w:rFonts w:cs="Arial"/>
        </w:rPr>
        <w:t>3).</w:t>
      </w:r>
      <w:r w:rsidR="002968BA" w:rsidRPr="002968BA">
        <w:rPr>
          <w:rFonts w:cs="Arial"/>
        </w:rPr>
        <w:t xml:space="preserve"> </w:t>
      </w:r>
      <w:r w:rsidR="00FA424A">
        <w:rPr>
          <w:rFonts w:cs="Arial"/>
        </w:rPr>
        <w:t>H</w:t>
      </w:r>
      <w:r w:rsidRPr="509D176D">
        <w:rPr>
          <w:rFonts w:cs="Arial"/>
        </w:rPr>
        <w:t xml:space="preserve">owever, the mode of action </w:t>
      </w:r>
      <w:r w:rsidR="002968BA">
        <w:rPr>
          <w:rFonts w:cs="Arial"/>
        </w:rPr>
        <w:t xml:space="preserve">for tumour formation </w:t>
      </w:r>
      <w:r w:rsidRPr="509D176D">
        <w:rPr>
          <w:rFonts w:cs="Arial"/>
        </w:rPr>
        <w:t>is unknown (US</w:t>
      </w:r>
      <w:r w:rsidR="004C2086">
        <w:rPr>
          <w:rFonts w:cs="Arial"/>
        </w:rPr>
        <w:t xml:space="preserve"> </w:t>
      </w:r>
      <w:r w:rsidRPr="509D176D">
        <w:rPr>
          <w:rFonts w:cs="Arial"/>
        </w:rPr>
        <w:t>EPA</w:t>
      </w:r>
      <w:r w:rsidR="00CE775D">
        <w:rPr>
          <w:rFonts w:cs="Arial"/>
        </w:rPr>
        <w:t>,</w:t>
      </w:r>
      <w:r w:rsidRPr="509D176D">
        <w:rPr>
          <w:rFonts w:cs="Arial"/>
        </w:rPr>
        <w:t xml:space="preserve"> 2008). </w:t>
      </w:r>
    </w:p>
    <w:p w14:paraId="4CA3DE50" w14:textId="01C9743B" w:rsidR="006639B4" w:rsidRDefault="509D176D" w:rsidP="509D176D">
      <w:pPr>
        <w:rPr>
          <w:rFonts w:cs="Arial"/>
        </w:rPr>
      </w:pPr>
      <w:r w:rsidRPr="509D176D">
        <w:rPr>
          <w:rFonts w:cs="Arial"/>
        </w:rPr>
        <w:t xml:space="preserve">The recommended TWA </w:t>
      </w:r>
      <w:r w:rsidR="000D169C">
        <w:rPr>
          <w:rFonts w:cs="Arial"/>
        </w:rPr>
        <w:t>of 0.45</w:t>
      </w:r>
      <w:r w:rsidR="000D169C" w:rsidRPr="00E31465">
        <w:rPr>
          <w:rFonts w:cs="Arial"/>
        </w:rPr>
        <w:t xml:space="preserve"> ppb</w:t>
      </w:r>
      <w:r w:rsidR="000D169C">
        <w:rPr>
          <w:rFonts w:cs="Arial"/>
        </w:rPr>
        <w:t xml:space="preserve"> </w:t>
      </w:r>
      <w:r w:rsidR="00FD34FE">
        <w:rPr>
          <w:rFonts w:cs="Arial"/>
        </w:rPr>
        <w:t>is</w:t>
      </w:r>
      <w:r w:rsidRPr="509D176D">
        <w:rPr>
          <w:rFonts w:cs="Arial"/>
        </w:rPr>
        <w:t xml:space="preserve"> derived </w:t>
      </w:r>
      <w:r w:rsidR="000D169C">
        <w:t xml:space="preserve">at a minimal cancer risk level </w:t>
      </w:r>
      <w:r w:rsidR="00CE775D">
        <w:rPr>
          <w:rFonts w:cs="Arial"/>
        </w:rPr>
        <w:t>using</w:t>
      </w:r>
      <w:r w:rsidRPr="509D176D">
        <w:rPr>
          <w:rFonts w:cs="Arial"/>
        </w:rPr>
        <w:t xml:space="preserve"> a cancer slope factor</w:t>
      </w:r>
      <w:r w:rsidR="000D169C">
        <w:rPr>
          <w:rFonts w:cs="Arial"/>
        </w:rPr>
        <w:t>. This value is based on</w:t>
      </w:r>
      <w:r w:rsidRPr="509D176D">
        <w:rPr>
          <w:rFonts w:cs="Arial"/>
        </w:rPr>
        <w:t xml:space="preserve"> dose-response data from oral exposure </w:t>
      </w:r>
      <w:r w:rsidR="002D7D8C">
        <w:rPr>
          <w:rFonts w:cs="Arial"/>
        </w:rPr>
        <w:t xml:space="preserve">in </w:t>
      </w:r>
      <w:r w:rsidRPr="509D176D">
        <w:rPr>
          <w:rFonts w:cs="Arial"/>
        </w:rPr>
        <w:t xml:space="preserve">animal studies </w:t>
      </w:r>
      <w:r w:rsidR="00706761">
        <w:rPr>
          <w:rFonts w:cs="Arial"/>
        </w:rPr>
        <w:t xml:space="preserve">and </w:t>
      </w:r>
      <w:r w:rsidRPr="509D176D">
        <w:rPr>
          <w:rFonts w:cs="Arial"/>
        </w:rPr>
        <w:t>adjusted to account for differences humans and experimental animals (US</w:t>
      </w:r>
      <w:r w:rsidR="00CE775D">
        <w:rPr>
          <w:rFonts w:cs="Arial"/>
        </w:rPr>
        <w:t> </w:t>
      </w:r>
      <w:r w:rsidRPr="509D176D">
        <w:rPr>
          <w:rFonts w:cs="Arial"/>
        </w:rPr>
        <w:t>EPA, 2008).</w:t>
      </w:r>
    </w:p>
    <w:p w14:paraId="2CD1C342" w14:textId="0FA4A1EC" w:rsidR="00B91EC6" w:rsidRPr="00B91EC6" w:rsidRDefault="00EB3E4C" w:rsidP="00B91EC6">
      <w:pPr>
        <w:rPr>
          <w:rFonts w:cs="Arial"/>
        </w:rPr>
      </w:pPr>
      <w:r>
        <w:rPr>
          <w:rFonts w:cs="Arial"/>
        </w:rPr>
        <w:t xml:space="preserve">It is noted that </w:t>
      </w:r>
      <w:r w:rsidR="003F70EE">
        <w:rPr>
          <w:rFonts w:cs="Arial"/>
        </w:rPr>
        <w:t xml:space="preserve">oral </w:t>
      </w:r>
      <w:r>
        <w:rPr>
          <w:rFonts w:cs="Arial"/>
        </w:rPr>
        <w:t>exposure</w:t>
      </w:r>
      <w:r w:rsidR="003B71AA">
        <w:rPr>
          <w:rFonts w:cs="Arial"/>
        </w:rPr>
        <w:t xml:space="preserve"> may </w:t>
      </w:r>
      <w:r w:rsidRPr="00EB3E4C">
        <w:rPr>
          <w:rFonts w:cs="Arial"/>
        </w:rPr>
        <w:t>enhance the genotoxicity of 2-nitrotoluene</w:t>
      </w:r>
      <w:r w:rsidR="00FA74ED">
        <w:rPr>
          <w:rFonts w:cs="Arial"/>
        </w:rPr>
        <w:t>,</w:t>
      </w:r>
      <w:r w:rsidRPr="00EB3E4C">
        <w:rPr>
          <w:rFonts w:cs="Arial"/>
        </w:rPr>
        <w:t xml:space="preserve"> </w:t>
      </w:r>
      <w:r w:rsidR="003B71AA">
        <w:rPr>
          <w:rFonts w:cs="Arial"/>
        </w:rPr>
        <w:t xml:space="preserve">likely due to </w:t>
      </w:r>
      <w:r w:rsidRPr="00EB3E4C">
        <w:rPr>
          <w:rFonts w:cs="Arial"/>
        </w:rPr>
        <w:t>action of intestinal bacteria</w:t>
      </w:r>
      <w:r w:rsidR="003B71AA">
        <w:rPr>
          <w:rFonts w:cs="Arial"/>
        </w:rPr>
        <w:t xml:space="preserve">. </w:t>
      </w:r>
      <w:r w:rsidR="003F70EE">
        <w:rPr>
          <w:rFonts w:cs="Arial"/>
        </w:rPr>
        <w:t>Therefore</w:t>
      </w:r>
      <w:r w:rsidR="003B71AA">
        <w:rPr>
          <w:rFonts w:cs="Arial"/>
        </w:rPr>
        <w:t xml:space="preserve">, the TWA </w:t>
      </w:r>
      <w:r w:rsidR="00B81669">
        <w:rPr>
          <w:rFonts w:cs="Arial"/>
        </w:rPr>
        <w:t xml:space="preserve">based on oral studies </w:t>
      </w:r>
      <w:r w:rsidR="003B71AA">
        <w:rPr>
          <w:rFonts w:cs="Arial"/>
        </w:rPr>
        <w:t>is conservative</w:t>
      </w:r>
      <w:r w:rsidR="003F70EE">
        <w:rPr>
          <w:rFonts w:cs="Arial"/>
        </w:rPr>
        <w:t xml:space="preserve"> for inhalation</w:t>
      </w:r>
      <w:r w:rsidR="00B81669">
        <w:rPr>
          <w:rFonts w:cs="Arial"/>
        </w:rPr>
        <w:t>al exposure</w:t>
      </w:r>
      <w:r w:rsidR="003B71AA">
        <w:rPr>
          <w:rFonts w:cs="Arial"/>
        </w:rPr>
        <w:t xml:space="preserve"> </w:t>
      </w:r>
      <w:r w:rsidR="003F70EE">
        <w:rPr>
          <w:rFonts w:cs="Arial"/>
        </w:rPr>
        <w:t xml:space="preserve">because </w:t>
      </w:r>
      <w:r w:rsidR="003B71AA">
        <w:rPr>
          <w:rFonts w:cs="Arial"/>
        </w:rPr>
        <w:t xml:space="preserve">2-nitrotoluene will bypass </w:t>
      </w:r>
      <w:r w:rsidR="00B81669">
        <w:rPr>
          <w:rFonts w:cs="Arial"/>
        </w:rPr>
        <w:t>the potential effect of bacteria</w:t>
      </w:r>
      <w:r w:rsidR="00B91EC6">
        <w:rPr>
          <w:rFonts w:cs="Arial"/>
        </w:rPr>
        <w:t>,</w:t>
      </w:r>
      <w:r w:rsidR="003B71AA">
        <w:rPr>
          <w:rFonts w:cs="Arial"/>
        </w:rPr>
        <w:t xml:space="preserve"> resulting in a less potent genotoxic effect.</w:t>
      </w:r>
    </w:p>
    <w:p w14:paraId="6EDB80D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5E9C89C" w14:textId="62F7C6A8" w:rsidR="00857957" w:rsidRPr="00857957" w:rsidRDefault="00EA413B" w:rsidP="00857957">
      <w:pPr>
        <w:rPr>
          <w:rFonts w:cs="Arial"/>
        </w:rPr>
      </w:pPr>
      <w:r>
        <w:rPr>
          <w:rFonts w:cs="Arial"/>
        </w:rPr>
        <w:t>C</w:t>
      </w:r>
      <w:r w:rsidR="00857957" w:rsidRPr="00857957">
        <w:rPr>
          <w:rFonts w:cs="Arial"/>
        </w:rPr>
        <w:t>lassified as a category 1</w:t>
      </w:r>
      <w:r w:rsidR="005C57B9">
        <w:rPr>
          <w:rFonts w:cs="Arial"/>
        </w:rPr>
        <w:t>B</w:t>
      </w:r>
      <w:r w:rsidR="00857957" w:rsidRPr="00857957">
        <w:rPr>
          <w:rFonts w:cs="Arial"/>
        </w:rPr>
        <w:t xml:space="preserve"> carcinogen according to the Globally Harmoni</w:t>
      </w:r>
      <w:r w:rsidR="00FA424A">
        <w:rPr>
          <w:rFonts w:cs="Arial"/>
        </w:rPr>
        <w:t>z</w:t>
      </w:r>
      <w:r w:rsidR="00857957" w:rsidRPr="00857957">
        <w:rPr>
          <w:rFonts w:cs="Arial"/>
        </w:rPr>
        <w:t xml:space="preserve">ed System of Classification and Labelling on Chemicals (GHS). </w:t>
      </w:r>
    </w:p>
    <w:p w14:paraId="24C1FE16" w14:textId="5E9223AE" w:rsidR="00857957" w:rsidRPr="00857957" w:rsidRDefault="00EA413B" w:rsidP="00857957">
      <w:pPr>
        <w:rPr>
          <w:rFonts w:cs="Arial"/>
        </w:rPr>
      </w:pPr>
      <w:r>
        <w:rPr>
          <w:rFonts w:cs="Arial"/>
        </w:rPr>
        <w:lastRenderedPageBreak/>
        <w:t>Not</w:t>
      </w:r>
      <w:r w:rsidR="005C57B9">
        <w:rPr>
          <w:rFonts w:cs="Arial"/>
        </w:rPr>
        <w:t xml:space="preserve"> </w:t>
      </w:r>
      <w:r w:rsidR="00857957" w:rsidRPr="00857957">
        <w:rPr>
          <w:rFonts w:cs="Arial"/>
        </w:rPr>
        <w:t>classified as a skin</w:t>
      </w:r>
      <w:r w:rsidR="00FA424A">
        <w:rPr>
          <w:rFonts w:cs="Arial"/>
        </w:rPr>
        <w:t xml:space="preserve"> sensitiser</w:t>
      </w:r>
      <w:r w:rsidR="00857957" w:rsidRPr="00857957">
        <w:rPr>
          <w:rFonts w:cs="Arial"/>
        </w:rPr>
        <w:t xml:space="preserve"> </w:t>
      </w:r>
      <w:r w:rsidR="005C57B9">
        <w:rPr>
          <w:rFonts w:cs="Arial"/>
        </w:rPr>
        <w:t xml:space="preserve">or respiratory </w:t>
      </w:r>
      <w:r w:rsidR="00857957" w:rsidRPr="00857957">
        <w:rPr>
          <w:rFonts w:cs="Arial"/>
        </w:rPr>
        <w:t>sensitiser according to the GHS.</w:t>
      </w:r>
    </w:p>
    <w:p w14:paraId="413D5DBF" w14:textId="7EDF3830" w:rsidR="00857957" w:rsidRPr="00857957" w:rsidRDefault="00FD34FE" w:rsidP="00857957">
      <w:pPr>
        <w:rPr>
          <w:rFonts w:cs="Arial"/>
        </w:rPr>
      </w:pPr>
      <w:r>
        <w:rPr>
          <w:rFonts w:cs="Arial"/>
        </w:rPr>
        <w:t>There are i</w:t>
      </w:r>
      <w:r w:rsidR="005C57B9">
        <w:rPr>
          <w:rFonts w:cs="Arial"/>
        </w:rPr>
        <w:t>n</w:t>
      </w:r>
      <w:r w:rsidR="00857957" w:rsidRPr="00857957">
        <w:rPr>
          <w:rFonts w:cs="Arial"/>
        </w:rPr>
        <w:t xml:space="preserve">sufficient </w:t>
      </w:r>
      <w:r>
        <w:rPr>
          <w:rFonts w:cs="Arial"/>
        </w:rPr>
        <w:t>data</w:t>
      </w:r>
      <w:r w:rsidR="00857957" w:rsidRPr="00857957">
        <w:rPr>
          <w:rFonts w:cs="Arial"/>
        </w:rPr>
        <w:t xml:space="preserve"> </w:t>
      </w:r>
      <w:r w:rsidR="005C57B9">
        <w:rPr>
          <w:rFonts w:cs="Arial"/>
        </w:rPr>
        <w:t>to re</w:t>
      </w:r>
      <w:r w:rsidR="00295DED">
        <w:rPr>
          <w:rFonts w:cs="Arial"/>
        </w:rPr>
        <w:t>commendation a skin notation</w:t>
      </w:r>
      <w:r w:rsidR="00857957" w:rsidRPr="00857957">
        <w:rPr>
          <w:rFonts w:cs="Arial"/>
        </w:rPr>
        <w:t>.</w:t>
      </w:r>
    </w:p>
    <w:p w14:paraId="6A42345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bookmarkStart w:id="1" w:name="_GoBack"/>
      <w:bookmarkEnd w:id="1"/>
    </w:p>
    <w:p w14:paraId="08DFB4A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922D8A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31612CA" w14:textId="77777777" w:rsidTr="00FD34FE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8DDE13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03DC357" w14:textId="77777777" w:rsidTr="00FD34FE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0DB8302" w14:textId="2324ACA3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 w:rsidRPr="00FD34FE">
                  <w:rPr>
                    <w:rStyle w:val="PlaceholderText"/>
                    <w:i w:val="0"/>
                    <w:color w:val="auto"/>
                  </w:rPr>
                  <w:t>Year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62DD2">
                  <w:t>TWA: 2 ppm (11</w:t>
                </w:r>
                <w:r w:rsidR="002D7D8C">
                  <w:t xml:space="preserve"> </w:t>
                </w:r>
                <w:r w:rsidR="00762DD2">
                  <w:t>mg/m</w:t>
                </w:r>
                <w:r w:rsidR="00762DD2">
                  <w:rPr>
                    <w:vertAlign w:val="superscript"/>
                  </w:rPr>
                  <w:t>3</w:t>
                </w:r>
                <w:r w:rsidR="00762DD2">
                  <w:t>)</w:t>
                </w:r>
              </w:sdtContent>
            </w:sdt>
          </w:p>
        </w:tc>
      </w:tr>
      <w:tr w:rsidR="00C978F0" w:rsidRPr="00DA352E" w14:paraId="1A9F4A4E" w14:textId="77777777" w:rsidTr="00FD34FE">
        <w:trPr>
          <w:gridAfter w:val="1"/>
          <w:wAfter w:w="8" w:type="pct"/>
          <w:cantSplit/>
        </w:trPr>
        <w:tc>
          <w:tcPr>
            <w:tcW w:w="4992" w:type="pct"/>
          </w:tcPr>
          <w:p w14:paraId="2C7B8B6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B02307D" w14:textId="77777777" w:rsidTr="00FD34F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BF2570B" w14:textId="7378CA0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62DD2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194112592"/>
                    <w:placeholder>
                      <w:docPart w:val="52487D2DE58448BB95AC3F4347567CDA"/>
                    </w:placeholder>
                  </w:sdtPr>
                  <w:sdtEndPr/>
                  <w:sdtContent>
                    <w:r w:rsidR="00762DD2">
                      <w:t>TLV-TWA: 2 ppm (11</w:t>
                    </w:r>
                    <w:r w:rsidR="00E931EA">
                      <w:t xml:space="preserve"> </w:t>
                    </w:r>
                    <w:r w:rsidR="00762DD2">
                      <w:t>mg/m</w:t>
                    </w:r>
                    <w:r w:rsidR="00762DD2">
                      <w:rPr>
                        <w:vertAlign w:val="superscript"/>
                      </w:rPr>
                      <w:t>3</w:t>
                    </w:r>
                    <w:r w:rsidR="00762DD2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11809331" w14:textId="77777777" w:rsidTr="00FD34FE">
        <w:trPr>
          <w:gridAfter w:val="1"/>
          <w:wAfter w:w="8" w:type="pct"/>
          <w:cantSplit/>
        </w:trPr>
        <w:tc>
          <w:tcPr>
            <w:tcW w:w="4992" w:type="pct"/>
          </w:tcPr>
          <w:p w14:paraId="2E0B100A" w14:textId="4AA6478E" w:rsidR="00C978F0" w:rsidRDefault="00762DD2" w:rsidP="003365A5">
            <w:pPr>
              <w:pStyle w:val="Tabletextprimarysource"/>
            </w:pPr>
            <w:r>
              <w:t xml:space="preserve">TLV-TWA is </w:t>
            </w:r>
            <w:r w:rsidR="00B91EC6">
              <w:t>intended to protect for methemoglobinemia and resultant anoxia and cyanosis in workers exposed to</w:t>
            </w:r>
            <w:r>
              <w:t xml:space="preserve"> </w:t>
            </w:r>
            <w:r w:rsidR="00B91EC6">
              <w:t>2-, 3- and 4-nitrotoluene</w:t>
            </w:r>
            <w:r w:rsidR="00E54A0C">
              <w:t>.</w:t>
            </w:r>
          </w:p>
          <w:p w14:paraId="7973274C" w14:textId="77777777" w:rsidR="00E54A0C" w:rsidRDefault="00E54A0C" w:rsidP="003365A5">
            <w:pPr>
              <w:pStyle w:val="Tabletextprimarysource"/>
            </w:pPr>
            <w:r>
              <w:t>Summary of information:</w:t>
            </w:r>
          </w:p>
          <w:p w14:paraId="51B77C61" w14:textId="18935157" w:rsidR="00E54A0C" w:rsidRDefault="00E54A0C" w:rsidP="00FD34FE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contextualSpacing w:val="0"/>
            </w:pPr>
            <w:r>
              <w:t>Human data</w:t>
            </w:r>
            <w:r w:rsidR="00CC6322">
              <w:t>:</w:t>
            </w:r>
          </w:p>
          <w:p w14:paraId="072B7321" w14:textId="77777777" w:rsidR="00804DA2" w:rsidRDefault="00804DA2" w:rsidP="00FD34FE">
            <w:pPr>
              <w:pStyle w:val="ListBullet"/>
              <w:spacing w:after="80"/>
              <w:ind w:left="720"/>
              <w:contextualSpacing w:val="0"/>
            </w:pPr>
            <w:r>
              <w:t>Limited data available</w:t>
            </w:r>
          </w:p>
          <w:p w14:paraId="28EC5CF5" w14:textId="77777777" w:rsidR="00E54A0C" w:rsidRDefault="00E54A0C" w:rsidP="00FD34FE">
            <w:pPr>
              <w:pStyle w:val="ListBullet"/>
              <w:spacing w:after="80"/>
              <w:ind w:left="720"/>
              <w:contextualSpacing w:val="0"/>
            </w:pPr>
            <w:r>
              <w:t>Capable of forming methemoglobin as aromatic, nitrogen-containing compounds</w:t>
            </w:r>
          </w:p>
          <w:p w14:paraId="0EB6DDAD" w14:textId="77777777" w:rsidR="00804DA2" w:rsidRDefault="00804DA2" w:rsidP="00FD34FE">
            <w:pPr>
              <w:pStyle w:val="ListBullet"/>
              <w:spacing w:after="80"/>
              <w:ind w:left="720"/>
              <w:contextualSpacing w:val="0"/>
            </w:pPr>
            <w:r>
              <w:t>Cases of poisoning are not common</w:t>
            </w:r>
          </w:p>
          <w:p w14:paraId="1862F1F1" w14:textId="6EC99F19" w:rsidR="00804DA2" w:rsidRDefault="00804DA2" w:rsidP="00FD34FE">
            <w:pPr>
              <w:pStyle w:val="ListBullet"/>
              <w:spacing w:after="80"/>
              <w:ind w:left="720"/>
              <w:contextualSpacing w:val="0"/>
            </w:pPr>
            <w:r>
              <w:t>Considered only slightly toxic</w:t>
            </w:r>
            <w:r w:rsidR="00295DED">
              <w:t xml:space="preserve"> in comparison to nitrobenzene</w:t>
            </w:r>
            <w:r w:rsidR="006B5FD3">
              <w:t xml:space="preserve">, based on </w:t>
            </w:r>
            <w:proofErr w:type="spellStart"/>
            <w:r w:rsidR="006B5FD3">
              <w:t>anemiagenic</w:t>
            </w:r>
            <w:proofErr w:type="spellEnd"/>
            <w:r w:rsidR="006B5FD3">
              <w:t xml:space="preserve"> </w:t>
            </w:r>
            <w:r w:rsidR="00EA413B">
              <w:t>potential</w:t>
            </w:r>
            <w:r>
              <w:t xml:space="preserve"> </w:t>
            </w:r>
          </w:p>
          <w:p w14:paraId="58078490" w14:textId="3A35ACAB" w:rsidR="00477D86" w:rsidRPr="00777BE6" w:rsidRDefault="00804DA2" w:rsidP="00FD34FE">
            <w:pPr>
              <w:pStyle w:val="ListBullet"/>
              <w:spacing w:after="80"/>
              <w:ind w:left="720"/>
              <w:contextualSpacing w:val="0"/>
            </w:pPr>
            <w:r>
              <w:t>TLV-TWA based on aniline</w:t>
            </w:r>
            <w:r w:rsidR="00995D5E">
              <w:t xml:space="preserve"> </w:t>
            </w:r>
            <w:r w:rsidR="006B5FD3">
              <w:t xml:space="preserve">by structural analogy </w:t>
            </w:r>
            <w:r w:rsidR="00995D5E">
              <w:t>(no further information provided)</w:t>
            </w:r>
            <w:r w:rsidR="00FD34FE">
              <w:t>.</w:t>
            </w:r>
          </w:p>
          <w:p w14:paraId="3F4E9778" w14:textId="6A75F7DE" w:rsidR="00804DA2" w:rsidRPr="007D2A04" w:rsidRDefault="00804DA2" w:rsidP="00FD34FE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contextualSpacing w:val="0"/>
            </w:pPr>
            <w:r w:rsidRPr="007D2A04">
              <w:t>Animal</w:t>
            </w:r>
            <w:r w:rsidR="006B5FD3" w:rsidRPr="007D2A04">
              <w:t xml:space="preserve"> data</w:t>
            </w:r>
            <w:r w:rsidR="00CC6322" w:rsidRPr="007D2A04">
              <w:t>:</w:t>
            </w:r>
          </w:p>
          <w:p w14:paraId="4B4609F7" w14:textId="77777777" w:rsidR="00FD34FE" w:rsidRDefault="509D176D" w:rsidP="00FD34FE">
            <w:pPr>
              <w:pStyle w:val="ListBullet"/>
              <w:spacing w:after="80"/>
              <w:ind w:left="720"/>
              <w:contextualSpacing w:val="0"/>
            </w:pPr>
            <w:r w:rsidRPr="007D2A04">
              <w:t>Compar</w:t>
            </w:r>
            <w:r>
              <w:t xml:space="preserve">ative study of the three nitrotoluene isomers (2-, 3- and 4-) in the diet of rats and mice </w:t>
            </w:r>
            <w:r w:rsidRPr="00FA424A">
              <w:t>(</w:t>
            </w:r>
            <w:r w:rsidR="00777BE6" w:rsidRPr="00FA424A">
              <w:t>13 wk</w:t>
            </w:r>
            <w:r w:rsidRPr="00FA424A">
              <w:t>)</w:t>
            </w:r>
            <w:r w:rsidRPr="00777BE6">
              <w:t xml:space="preserve"> </w:t>
            </w:r>
            <w:r>
              <w:t>reported more pronounced effects for exposure to 2-</w:t>
            </w:r>
            <w:r w:rsidR="00FD34FE">
              <w:t>n</w:t>
            </w:r>
            <w:r>
              <w:t>itrolouene (2</w:t>
            </w:r>
            <w:r w:rsidR="00B81669">
              <w:t>,</w:t>
            </w:r>
            <w:r>
              <w:t>500 ppm) including toxicities in the liver, spleen and kidneys</w:t>
            </w:r>
          </w:p>
          <w:p w14:paraId="4515A98A" w14:textId="6524158F" w:rsidR="00804DA2" w:rsidRDefault="00FD34FE" w:rsidP="00FD34FE">
            <w:pPr>
              <w:pStyle w:val="ListBullet"/>
              <w:numPr>
                <w:ilvl w:val="0"/>
                <w:numId w:val="26"/>
              </w:numPr>
              <w:spacing w:after="80"/>
              <w:contextualSpacing w:val="0"/>
            </w:pPr>
            <w:r>
              <w:t>l</w:t>
            </w:r>
            <w:r w:rsidR="509D176D">
              <w:t>iver weights increased at 625</w:t>
            </w:r>
            <w:r w:rsidR="00B81669">
              <w:t> </w:t>
            </w:r>
            <w:r w:rsidR="509D176D">
              <w:t>ppm</w:t>
            </w:r>
          </w:p>
          <w:p w14:paraId="6B15EFE4" w14:textId="2C5EAA8C" w:rsidR="00995D5E" w:rsidRDefault="00995D5E" w:rsidP="00FD34FE">
            <w:pPr>
              <w:pStyle w:val="ListBullet"/>
              <w:spacing w:after="80"/>
              <w:ind w:left="720"/>
              <w:contextualSpacing w:val="0"/>
            </w:pPr>
            <w:r>
              <w:t xml:space="preserve">The same study reported </w:t>
            </w:r>
            <w:r w:rsidR="000068F8">
              <w:t xml:space="preserve">peritoneal </w:t>
            </w:r>
            <w:r>
              <w:t>mesothelioma in male rats fed 5</w:t>
            </w:r>
            <w:r w:rsidR="00B81669">
              <w:t>,</w:t>
            </w:r>
            <w:r>
              <w:t>00</w:t>
            </w:r>
            <w:r w:rsidR="00A736C7">
              <w:t>0</w:t>
            </w:r>
            <w:r>
              <w:t xml:space="preserve"> ppm</w:t>
            </w:r>
          </w:p>
          <w:p w14:paraId="7772BA5F" w14:textId="07509A22" w:rsidR="004F095B" w:rsidRDefault="00CC6322" w:rsidP="00FD34FE">
            <w:pPr>
              <w:pStyle w:val="ListBullet"/>
              <w:spacing w:after="80"/>
              <w:ind w:left="720"/>
              <w:contextualSpacing w:val="0"/>
            </w:pPr>
            <w:r>
              <w:t xml:space="preserve">Three isomers not mutagenic in </w:t>
            </w:r>
            <w:r>
              <w:rPr>
                <w:i/>
              </w:rPr>
              <w:t xml:space="preserve">Salmonella typhimurium </w:t>
            </w:r>
            <w:r>
              <w:t>strains.</w:t>
            </w:r>
          </w:p>
          <w:p w14:paraId="6AB4BB1C" w14:textId="77777777" w:rsidR="00A56E47" w:rsidRDefault="00A56E47" w:rsidP="00706761">
            <w:pPr>
              <w:pStyle w:val="ListBullet"/>
              <w:numPr>
                <w:ilvl w:val="0"/>
                <w:numId w:val="0"/>
              </w:numPr>
            </w:pPr>
          </w:p>
          <w:p w14:paraId="00C83FE5" w14:textId="1D47E8A5" w:rsidR="00A56E47" w:rsidRDefault="00A56E47" w:rsidP="00FD34FE">
            <w:pPr>
              <w:pStyle w:val="ListBullet"/>
              <w:numPr>
                <w:ilvl w:val="0"/>
                <w:numId w:val="0"/>
              </w:numPr>
            </w:pPr>
            <w:r>
              <w:t xml:space="preserve">Skin notation recommended due to structural similarity to nitrobenzene and aniline, which </w:t>
            </w:r>
            <w:r w:rsidRPr="00777BE6">
              <w:t>induce cyanosis upon dermal contact</w:t>
            </w:r>
            <w:r>
              <w:t>. However, no quantitative data on dermal absorption of nitrotoluene is available.</w:t>
            </w:r>
          </w:p>
          <w:p w14:paraId="43A0F916" w14:textId="1B286335" w:rsidR="00D559D0" w:rsidRPr="00DA352E" w:rsidRDefault="00D559D0" w:rsidP="00D559D0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43FA2E44" w14:textId="77777777" w:rsidTr="00FD34F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C9B7C3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106AC">
                  <w:t>1993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106AC">
                  <w:t>MAK: NA</w:t>
                </w:r>
              </w:sdtContent>
            </w:sdt>
          </w:p>
        </w:tc>
      </w:tr>
      <w:tr w:rsidR="00C978F0" w:rsidRPr="00DA352E" w14:paraId="23FFA175" w14:textId="77777777" w:rsidTr="00FD34FE">
        <w:trPr>
          <w:gridAfter w:val="1"/>
          <w:wAfter w:w="8" w:type="pct"/>
        </w:trPr>
        <w:tc>
          <w:tcPr>
            <w:tcW w:w="4992" w:type="pct"/>
          </w:tcPr>
          <w:p w14:paraId="6FCDB513" w14:textId="21BAC369" w:rsidR="00C978F0" w:rsidRDefault="006106AC" w:rsidP="00FD34FE">
            <w:pPr>
              <w:pStyle w:val="Tabletextprimarysource"/>
              <w:spacing w:before="80" w:after="80"/>
            </w:pPr>
            <w:r>
              <w:t xml:space="preserve">No MAK value </w:t>
            </w:r>
            <w:r w:rsidR="0070363D">
              <w:t xml:space="preserve">recommended </w:t>
            </w:r>
            <w:r w:rsidR="00B61E3E">
              <w:t>because</w:t>
            </w:r>
            <w:r w:rsidR="0070363D">
              <w:t xml:space="preserve"> the substance is </w:t>
            </w:r>
            <w:r w:rsidR="00E931EA">
              <w:t>characterised</w:t>
            </w:r>
            <w:r w:rsidR="0070363D">
              <w:t xml:space="preserve"> carcinogenic</w:t>
            </w:r>
            <w:r w:rsidR="00CC6322">
              <w:t>.</w:t>
            </w:r>
          </w:p>
          <w:p w14:paraId="41A899F4" w14:textId="77777777" w:rsidR="0070363D" w:rsidRDefault="0070363D" w:rsidP="00FD34FE">
            <w:pPr>
              <w:pStyle w:val="Tabletextprimarysource"/>
              <w:spacing w:before="80" w:after="80"/>
            </w:pPr>
            <w:r>
              <w:t>Summary of additional information:</w:t>
            </w:r>
          </w:p>
          <w:p w14:paraId="7C270FD0" w14:textId="730FB469" w:rsidR="004463E5" w:rsidRDefault="00A56E47" w:rsidP="00FD34FE">
            <w:pPr>
              <w:pStyle w:val="ListBullet"/>
              <w:spacing w:after="80"/>
              <w:ind w:left="720"/>
              <w:contextualSpacing w:val="0"/>
            </w:pPr>
            <w:r>
              <w:t>L</w:t>
            </w:r>
            <w:r w:rsidR="004463E5">
              <w:t>ow acute toxicity</w:t>
            </w:r>
          </w:p>
          <w:p w14:paraId="0196872B" w14:textId="3C891F26" w:rsidR="00E2139D" w:rsidRDefault="00A56E47" w:rsidP="00FD34FE">
            <w:pPr>
              <w:pStyle w:val="ListBullet"/>
              <w:spacing w:after="80"/>
              <w:ind w:left="720"/>
              <w:contextualSpacing w:val="0"/>
            </w:pPr>
            <w:r>
              <w:t>M</w:t>
            </w:r>
            <w:r w:rsidR="00E2139D">
              <w:t>ain s</w:t>
            </w:r>
            <w:r w:rsidR="00CC6322">
              <w:t xml:space="preserve">ymptoms are intoxication of the CNS </w:t>
            </w:r>
            <w:r w:rsidR="00E2139D">
              <w:t xml:space="preserve">and </w:t>
            </w:r>
            <w:proofErr w:type="spellStart"/>
            <w:r w:rsidR="00FD34FE">
              <w:t>metHb</w:t>
            </w:r>
            <w:proofErr w:type="spellEnd"/>
            <w:r w:rsidR="00E2139D">
              <w:t xml:space="preserve"> formation</w:t>
            </w:r>
          </w:p>
          <w:p w14:paraId="39CDAF10" w14:textId="737CCA25" w:rsidR="00477D86" w:rsidRDefault="00A56E47" w:rsidP="00FD34FE">
            <w:pPr>
              <w:pStyle w:val="ListBullet"/>
              <w:spacing w:after="80"/>
              <w:ind w:left="720"/>
              <w:contextualSpacing w:val="0"/>
            </w:pPr>
            <w:r>
              <w:t>D</w:t>
            </w:r>
            <w:r w:rsidR="00E2139D">
              <w:t>oes not irritate the skin or eyes</w:t>
            </w:r>
            <w:r w:rsidR="00477D86">
              <w:t>.</w:t>
            </w:r>
          </w:p>
          <w:p w14:paraId="5FE59D35" w14:textId="13038415" w:rsidR="0070363D" w:rsidRDefault="0070363D" w:rsidP="00FD34FE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contextualSpacing w:val="0"/>
            </w:pPr>
            <w:r>
              <w:t>Human data</w:t>
            </w:r>
            <w:r w:rsidR="00CC6322">
              <w:t>:</w:t>
            </w:r>
          </w:p>
          <w:p w14:paraId="06CCD110" w14:textId="1563E960" w:rsidR="00B61E3E" w:rsidRDefault="00A56E47" w:rsidP="00FD34FE">
            <w:pPr>
              <w:pStyle w:val="ListBullet"/>
              <w:spacing w:after="80"/>
              <w:ind w:left="720"/>
              <w:contextualSpacing w:val="0"/>
            </w:pPr>
            <w:r>
              <w:t>L</w:t>
            </w:r>
            <w:r w:rsidR="00B61E3E">
              <w:t xml:space="preserve">imited </w:t>
            </w:r>
            <w:r w:rsidR="004463E5">
              <w:t xml:space="preserve">reliable </w:t>
            </w:r>
            <w:r w:rsidR="00B61E3E">
              <w:t>data available</w:t>
            </w:r>
          </w:p>
          <w:p w14:paraId="7A7D03AA" w14:textId="34FCCC23" w:rsidR="004463E5" w:rsidRDefault="00A56E47" w:rsidP="00FD34FE">
            <w:pPr>
              <w:pStyle w:val="ListBullet"/>
              <w:spacing w:after="80"/>
              <w:ind w:left="720"/>
              <w:contextualSpacing w:val="0"/>
            </w:pPr>
            <w:r>
              <w:t>R</w:t>
            </w:r>
            <w:r w:rsidR="004463E5">
              <w:t xml:space="preserve">eported from a 1955 chemical industry document (no further details provided): </w:t>
            </w:r>
          </w:p>
          <w:p w14:paraId="29027B15" w14:textId="77777777" w:rsidR="004463E5" w:rsidRDefault="004463E5" w:rsidP="00FD34FE">
            <w:pPr>
              <w:pStyle w:val="ListBullet"/>
              <w:numPr>
                <w:ilvl w:val="0"/>
                <w:numId w:val="26"/>
              </w:numPr>
              <w:spacing w:after="80"/>
              <w:contextualSpacing w:val="0"/>
            </w:pPr>
            <w:r>
              <w:t>1,140 mg/m</w:t>
            </w:r>
            <w:r>
              <w:rPr>
                <w:vertAlign w:val="superscript"/>
              </w:rPr>
              <w:t xml:space="preserve">3 </w:t>
            </w:r>
            <w:r w:rsidRPr="004463E5">
              <w:t>(60 min)</w:t>
            </w:r>
            <w:r>
              <w:t xml:space="preserve"> leads to marked toxic effects </w:t>
            </w:r>
          </w:p>
          <w:p w14:paraId="5F38A4E0" w14:textId="42C4D555" w:rsidR="00B61E3E" w:rsidRDefault="00FD34FE" w:rsidP="00FD34FE">
            <w:pPr>
              <w:pStyle w:val="ListBullet"/>
              <w:numPr>
                <w:ilvl w:val="0"/>
                <w:numId w:val="26"/>
              </w:numPr>
              <w:spacing w:after="80"/>
              <w:contextualSpacing w:val="0"/>
            </w:pPr>
            <w:r>
              <w:t>b</w:t>
            </w:r>
            <w:r w:rsidR="004463E5">
              <w:t xml:space="preserve">rief exposure </w:t>
            </w:r>
            <w:r>
              <w:t>at</w:t>
            </w:r>
            <w:r w:rsidR="004463E5">
              <w:t xml:space="preserve"> 228 mg/m</w:t>
            </w:r>
            <w:r w:rsidR="004463E5">
              <w:rPr>
                <w:vertAlign w:val="superscript"/>
              </w:rPr>
              <w:t>3</w:t>
            </w:r>
            <w:r w:rsidR="004463E5">
              <w:t xml:space="preserve"> </w:t>
            </w:r>
            <w:r w:rsidR="002D7D8C">
              <w:t>caused</w:t>
            </w:r>
            <w:r w:rsidR="004463E5">
              <w:t xml:space="preserve"> symptoms of illness</w:t>
            </w:r>
          </w:p>
          <w:p w14:paraId="5C7AB1B8" w14:textId="0A593C38" w:rsidR="00477D86" w:rsidRDefault="004463E5" w:rsidP="00FD34FE">
            <w:pPr>
              <w:pStyle w:val="ListBullet"/>
              <w:numPr>
                <w:ilvl w:val="0"/>
                <w:numId w:val="26"/>
              </w:numPr>
              <w:spacing w:after="80"/>
              <w:contextualSpacing w:val="0"/>
            </w:pPr>
            <w:r>
              <w:t>5.7 mg/m</w:t>
            </w:r>
            <w:r>
              <w:rPr>
                <w:vertAlign w:val="superscript"/>
              </w:rPr>
              <w:t>3</w:t>
            </w:r>
            <w:r>
              <w:t xml:space="preserve"> considered a threshold</w:t>
            </w:r>
            <w:r w:rsidR="00477D86">
              <w:t>.</w:t>
            </w:r>
          </w:p>
          <w:p w14:paraId="52772F16" w14:textId="12FB1E67" w:rsidR="004463E5" w:rsidRDefault="004463E5" w:rsidP="00FD34FE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contextualSpacing w:val="0"/>
            </w:pPr>
            <w:r>
              <w:t>Animal data</w:t>
            </w:r>
            <w:r w:rsidR="00CC6322">
              <w:t>:</w:t>
            </w:r>
          </w:p>
          <w:p w14:paraId="415649FD" w14:textId="61302065" w:rsidR="004463E5" w:rsidRDefault="00A56E47" w:rsidP="00FD34FE">
            <w:pPr>
              <w:pStyle w:val="ListBullet"/>
              <w:spacing w:after="80"/>
              <w:ind w:left="720"/>
              <w:contextualSpacing w:val="0"/>
            </w:pPr>
            <w:r>
              <w:t>C</w:t>
            </w:r>
            <w:r w:rsidR="002E6B38">
              <w:t>hamber study:</w:t>
            </w:r>
            <w:r w:rsidR="00187EE9">
              <w:t xml:space="preserve"> 1,086 mg/m</w:t>
            </w:r>
            <w:r w:rsidR="00187EE9">
              <w:rPr>
                <w:vertAlign w:val="superscript"/>
              </w:rPr>
              <w:t>3</w:t>
            </w:r>
            <w:r w:rsidR="00187EE9">
              <w:t xml:space="preserve"> </w:t>
            </w:r>
            <w:r w:rsidR="00CC6322">
              <w:t xml:space="preserve">(rat, 8 h); </w:t>
            </w:r>
            <w:r w:rsidR="002E6B38">
              <w:t xml:space="preserve">no symptoms reported </w:t>
            </w:r>
          </w:p>
          <w:p w14:paraId="26615770" w14:textId="137BE847" w:rsidR="002E6B38" w:rsidRDefault="002E6B38" w:rsidP="00FD34FE">
            <w:pPr>
              <w:pStyle w:val="ListBullet"/>
              <w:spacing w:after="80"/>
              <w:ind w:left="720"/>
              <w:contextualSpacing w:val="0"/>
            </w:pPr>
            <w:r>
              <w:lastRenderedPageBreak/>
              <w:t>LD</w:t>
            </w:r>
            <w:r>
              <w:rPr>
                <w:vertAlign w:val="subscript"/>
              </w:rPr>
              <w:t>50</w:t>
            </w:r>
            <w:r w:rsidR="00CC6322">
              <w:t xml:space="preserve">: </w:t>
            </w:r>
            <w:r>
              <w:t>890 mg/kg (rats</w:t>
            </w:r>
            <w:r w:rsidR="00CC6322">
              <w:t>, oral</w:t>
            </w:r>
            <w:r>
              <w:t>)</w:t>
            </w:r>
          </w:p>
          <w:p w14:paraId="7F642612" w14:textId="598FC72A" w:rsidR="00783EA3" w:rsidRDefault="00783EA3" w:rsidP="00FD34FE">
            <w:pPr>
              <w:pStyle w:val="ListBullet"/>
              <w:spacing w:after="80"/>
              <w:ind w:left="720"/>
              <w:contextualSpacing w:val="0"/>
            </w:pPr>
            <w:r>
              <w:t xml:space="preserve">NOEL in rats </w:t>
            </w:r>
            <w:r w:rsidR="00CC6322">
              <w:rPr>
                <w:rFonts w:cs="Arial"/>
              </w:rPr>
              <w:t>≈</w:t>
            </w:r>
            <w:r>
              <w:t>180 mg/kg/d (liver effects)</w:t>
            </w:r>
          </w:p>
          <w:p w14:paraId="34352B65" w14:textId="04446D33" w:rsidR="00477D86" w:rsidRDefault="00783EA3" w:rsidP="00FD34FE">
            <w:pPr>
              <w:pStyle w:val="ListBullet"/>
              <w:spacing w:after="80"/>
              <w:ind w:left="720"/>
              <w:contextualSpacing w:val="0"/>
            </w:pPr>
            <w:r>
              <w:t>NOEL in female mice 631 mg/kg/d</w:t>
            </w:r>
            <w:r w:rsidR="00CC6322">
              <w:t>;</w:t>
            </w:r>
            <w:r>
              <w:t xml:space="preserve"> male mice 106 mg/kg/d</w:t>
            </w:r>
            <w:r w:rsidR="00477D86">
              <w:t>.</w:t>
            </w:r>
          </w:p>
          <w:p w14:paraId="13970F2C" w14:textId="02DABC4A" w:rsidR="00946360" w:rsidRDefault="00946360" w:rsidP="00FD34FE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contextualSpacing w:val="0"/>
            </w:pPr>
            <w:r>
              <w:t>Carcinogenicity</w:t>
            </w:r>
            <w:r w:rsidR="006D06BC">
              <w:t xml:space="preserve"> notation</w:t>
            </w:r>
            <w:r w:rsidR="00CC6322">
              <w:t>:</w:t>
            </w:r>
          </w:p>
          <w:p w14:paraId="252DB7A5" w14:textId="0E57C00D" w:rsidR="005E19C5" w:rsidRPr="00477D86" w:rsidRDefault="00A56E47" w:rsidP="00FD34FE">
            <w:pPr>
              <w:pStyle w:val="ListBullet"/>
              <w:spacing w:after="80"/>
              <w:ind w:left="720"/>
              <w:contextualSpacing w:val="0"/>
            </w:pPr>
            <w:r>
              <w:t>F</w:t>
            </w:r>
            <w:r w:rsidR="00477D86">
              <w:t>eeding study: m</w:t>
            </w:r>
            <w:r w:rsidR="00D424E4" w:rsidRPr="00477D86">
              <w:t>esothelioma</w:t>
            </w:r>
            <w:r w:rsidR="00C707F6" w:rsidRPr="00477D86">
              <w:t xml:space="preserve"> (</w:t>
            </w:r>
            <w:r w:rsidR="00C707F6" w:rsidRPr="00477D86">
              <w:rPr>
                <w:i/>
              </w:rPr>
              <w:t>tunica vaginalis</w:t>
            </w:r>
            <w:r w:rsidR="00C707F6" w:rsidRPr="00477D86">
              <w:t>)</w:t>
            </w:r>
            <w:r w:rsidR="00D424E4" w:rsidRPr="00477D86">
              <w:t xml:space="preserve"> in</w:t>
            </w:r>
            <w:r w:rsidR="00477D86">
              <w:t xml:space="preserve"> 3/</w:t>
            </w:r>
            <w:r w:rsidR="007D20FE" w:rsidRPr="00477D86">
              <w:t>19</w:t>
            </w:r>
            <w:r w:rsidR="00D424E4" w:rsidRPr="00477D86">
              <w:t xml:space="preserve"> male rat</w:t>
            </w:r>
            <w:r w:rsidR="002D3631" w:rsidRPr="00477D86">
              <w:t>s</w:t>
            </w:r>
            <w:r w:rsidR="00477D86">
              <w:t xml:space="preserve"> (353 mg/kg, </w:t>
            </w:r>
            <w:r w:rsidR="007D20FE" w:rsidRPr="00477D86">
              <w:t>13 w</w:t>
            </w:r>
            <w:r w:rsidR="002D7D8C" w:rsidRPr="00477D86">
              <w:t>k</w:t>
            </w:r>
            <w:r w:rsidR="007D20FE" w:rsidRPr="00477D86">
              <w:t>)</w:t>
            </w:r>
          </w:p>
          <w:p w14:paraId="4A810E0C" w14:textId="576F61C7" w:rsidR="003271C0" w:rsidRDefault="00A56E47" w:rsidP="00FD34FE">
            <w:pPr>
              <w:pStyle w:val="ListBullet"/>
              <w:spacing w:after="80"/>
              <w:ind w:left="720"/>
              <w:contextualSpacing w:val="0"/>
            </w:pPr>
            <w:r>
              <w:t>M</w:t>
            </w:r>
            <w:r w:rsidR="003271C0" w:rsidRPr="00477D86">
              <w:t xml:space="preserve">esothelioma </w:t>
            </w:r>
            <w:r w:rsidR="00AB3233">
              <w:t>is a</w:t>
            </w:r>
            <w:r w:rsidR="00C707F6">
              <w:t xml:space="preserve"> rare condition</w:t>
            </w:r>
            <w:r w:rsidR="0080683A">
              <w:t xml:space="preserve"> also associated with exposure to </w:t>
            </w:r>
            <w:r w:rsidR="0080683A">
              <w:rPr>
                <w:i/>
              </w:rPr>
              <w:t>o-</w:t>
            </w:r>
            <w:r w:rsidR="0080683A">
              <w:t xml:space="preserve">toluidine, a structurally similar compound, </w:t>
            </w:r>
            <w:r w:rsidR="00CC6322">
              <w:t>indicating</w:t>
            </w:r>
            <w:r w:rsidR="0080683A">
              <w:t xml:space="preserve"> a common </w:t>
            </w:r>
            <w:r w:rsidR="00CC6322">
              <w:t>mechanism of tumour development</w:t>
            </w:r>
            <w:r w:rsidR="003271C0">
              <w:t>.</w:t>
            </w:r>
          </w:p>
          <w:p w14:paraId="6DD3730A" w14:textId="0BC354FF" w:rsidR="00946360" w:rsidRDefault="002D7D8C" w:rsidP="00FD34FE">
            <w:pPr>
              <w:pStyle w:val="Tabletextprimarysource"/>
              <w:spacing w:before="80" w:after="80"/>
              <w:rPr>
                <w:i/>
              </w:rPr>
            </w:pPr>
            <w:r>
              <w:t>Germ cell mutagen cat</w:t>
            </w:r>
            <w:r w:rsidR="00A56E47">
              <w:t>egory</w:t>
            </w:r>
            <w:r>
              <w:t xml:space="preserve"> 3B based on evidence </w:t>
            </w:r>
            <w:r w:rsidR="00946360">
              <w:t xml:space="preserve">of genotoxicity </w:t>
            </w:r>
            <w:r w:rsidR="006D06BC">
              <w:t>(uns</w:t>
            </w:r>
            <w:r w:rsidR="00D559D0">
              <w:t xml:space="preserve">cheduled DNA synthesis) in rats </w:t>
            </w:r>
            <w:r w:rsidR="006D06BC">
              <w:rPr>
                <w:i/>
              </w:rPr>
              <w:t>in vivo</w:t>
            </w:r>
            <w:r w:rsidR="003271C0">
              <w:rPr>
                <w:i/>
              </w:rPr>
              <w:t>.</w:t>
            </w:r>
          </w:p>
          <w:p w14:paraId="015E917A" w14:textId="0726929E" w:rsidR="00EF45F2" w:rsidRPr="00DA352E" w:rsidRDefault="00EF45F2" w:rsidP="00FD34FE">
            <w:pPr>
              <w:pStyle w:val="Tabletextprimarysource"/>
              <w:spacing w:before="80" w:after="80"/>
            </w:pPr>
          </w:p>
        </w:tc>
      </w:tr>
      <w:tr w:rsidR="00C978F0" w:rsidRPr="00DA352E" w14:paraId="0E6E3344" w14:textId="77777777" w:rsidTr="00FD34F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E1B87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F296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F2960">
                  <w:t>NA</w:t>
                </w:r>
                <w:proofErr w:type="spellEnd"/>
              </w:sdtContent>
            </w:sdt>
          </w:p>
        </w:tc>
      </w:tr>
      <w:tr w:rsidR="00C978F0" w:rsidRPr="00DA352E" w14:paraId="161D3D4E" w14:textId="77777777" w:rsidTr="00FD34FE">
        <w:trPr>
          <w:gridAfter w:val="1"/>
          <w:wAfter w:w="8" w:type="pct"/>
          <w:cantSplit/>
        </w:trPr>
        <w:tc>
          <w:tcPr>
            <w:tcW w:w="4992" w:type="pct"/>
          </w:tcPr>
          <w:p w14:paraId="34B16FDD" w14:textId="3DFFE266" w:rsidR="00C978F0" w:rsidRPr="00DA352E" w:rsidRDefault="00BF2960" w:rsidP="003365A5">
            <w:pPr>
              <w:pStyle w:val="Tabletextprimarysource"/>
            </w:pPr>
            <w:r>
              <w:t>No report</w:t>
            </w:r>
            <w:r w:rsidR="00153013">
              <w:t>.</w:t>
            </w:r>
          </w:p>
        </w:tc>
      </w:tr>
      <w:tr w:rsidR="00DA352E" w:rsidRPr="00DA352E" w14:paraId="066BD82D" w14:textId="77777777" w:rsidTr="00FD34F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C5842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F296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F2960">
                  <w:t>NA</w:t>
                </w:r>
                <w:proofErr w:type="spellEnd"/>
              </w:sdtContent>
            </w:sdt>
          </w:p>
        </w:tc>
      </w:tr>
      <w:tr w:rsidR="00DA352E" w:rsidRPr="00DA352E" w14:paraId="24919C0D" w14:textId="77777777" w:rsidTr="00FD34FE">
        <w:trPr>
          <w:gridAfter w:val="1"/>
          <w:wAfter w:w="8" w:type="pct"/>
          <w:cantSplit/>
        </w:trPr>
        <w:tc>
          <w:tcPr>
            <w:tcW w:w="4992" w:type="pct"/>
          </w:tcPr>
          <w:p w14:paraId="7250E5ED" w14:textId="1C9D49B5" w:rsidR="00DA352E" w:rsidRPr="00DA352E" w:rsidRDefault="00BF2960" w:rsidP="003365A5">
            <w:pPr>
              <w:pStyle w:val="Tabletextprimarysource"/>
            </w:pPr>
            <w:r>
              <w:t>No report</w:t>
            </w:r>
            <w:r w:rsidR="00153013">
              <w:t>.</w:t>
            </w:r>
          </w:p>
        </w:tc>
      </w:tr>
      <w:tr w:rsidR="00DA352E" w:rsidRPr="00DA352E" w14:paraId="39DD19EB" w14:textId="77777777" w:rsidTr="00FD34F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11C686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E287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F2960">
                  <w:t>NA</w:t>
                </w:r>
                <w:proofErr w:type="spellEnd"/>
              </w:sdtContent>
            </w:sdt>
          </w:p>
        </w:tc>
      </w:tr>
      <w:tr w:rsidR="00DA352E" w:rsidRPr="00DA352E" w14:paraId="70387614" w14:textId="77777777" w:rsidTr="00FD34FE">
        <w:trPr>
          <w:gridAfter w:val="1"/>
          <w:wAfter w:w="8" w:type="pct"/>
          <w:cantSplit/>
        </w:trPr>
        <w:tc>
          <w:tcPr>
            <w:tcW w:w="4992" w:type="pct"/>
          </w:tcPr>
          <w:p w14:paraId="72382D8D" w14:textId="592178BF" w:rsidR="00DA352E" w:rsidRPr="00DA352E" w:rsidRDefault="001E2878" w:rsidP="003365A5">
            <w:pPr>
              <w:pStyle w:val="Tabletextprimarysource"/>
            </w:pPr>
            <w:r>
              <w:t>No report</w:t>
            </w:r>
            <w:r w:rsidR="00153013">
              <w:t>.</w:t>
            </w:r>
          </w:p>
        </w:tc>
      </w:tr>
    </w:tbl>
    <w:p w14:paraId="4116C0D8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7C41E34" w14:textId="77777777" w:rsidTr="509D176D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0F107BF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9C2E5B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4F40B6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16556E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24EB334" w14:textId="77777777" w:rsidTr="509D176D">
        <w:trPr>
          <w:cantSplit/>
        </w:trPr>
        <w:tc>
          <w:tcPr>
            <w:tcW w:w="1497" w:type="dxa"/>
          </w:tcPr>
          <w:p w14:paraId="69C7B0DE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2CD917C8" w14:textId="77777777" w:rsidR="004966BF" w:rsidRPr="00CE617F" w:rsidRDefault="00906BB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C41E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F72130C" w14:textId="77777777" w:rsidR="004966BF" w:rsidRPr="004C23F4" w:rsidRDefault="003C41E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4" w:type="dxa"/>
          </w:tcPr>
          <w:p w14:paraId="76518075" w14:textId="77777777" w:rsidR="00DA75CC" w:rsidRPr="00DA75CC" w:rsidRDefault="00DA75CC" w:rsidP="00DA75CC">
            <w:pPr>
              <w:pStyle w:val="ListBullet"/>
              <w:rPr>
                <w:rFonts w:cs="Arial"/>
              </w:rPr>
            </w:pPr>
            <w:r w:rsidRPr="00DA75CC">
              <w:rPr>
                <w:rFonts w:cs="Arial"/>
              </w:rPr>
              <w:t>The main critical effects to human health are genotoxicity, carcinogenicity and potential</w:t>
            </w:r>
            <w:r>
              <w:rPr>
                <w:rFonts w:cs="Arial"/>
              </w:rPr>
              <w:t xml:space="preserve"> reproductive/fertility effects</w:t>
            </w:r>
          </w:p>
          <w:p w14:paraId="2FBA0530" w14:textId="097E17FC" w:rsidR="004966BF" w:rsidRPr="003C41E8" w:rsidRDefault="00FA424A" w:rsidP="003C41E8">
            <w:pPr>
              <w:pStyle w:val="ListBullet"/>
              <w:rPr>
                <w:rFonts w:cs="Arial"/>
              </w:rPr>
            </w:pPr>
            <w:r>
              <w:t>Acute toxicity studies d</w:t>
            </w:r>
            <w:r w:rsidR="003C41E8">
              <w:t xml:space="preserve">id not </w:t>
            </w:r>
            <w:r w:rsidR="000D169C">
              <w:t xml:space="preserve">cause </w:t>
            </w:r>
            <w:r w:rsidR="003C41E8">
              <w:t xml:space="preserve">either mortality or toxicity following exposure </w:t>
            </w:r>
            <w:r w:rsidR="00FD34FE">
              <w:t>at</w:t>
            </w:r>
            <w:r w:rsidR="003C41E8">
              <w:t xml:space="preserve"> 5,000 mg/kg in </w:t>
            </w:r>
            <w:r w:rsidR="00CC6322">
              <w:t>rats or 2,000 mg/kg in rabbits</w:t>
            </w:r>
          </w:p>
          <w:p w14:paraId="0E65BF82" w14:textId="5B8B3E54" w:rsidR="003C41E8" w:rsidRDefault="00CC6322" w:rsidP="003C41E8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t>M</w:t>
            </w:r>
            <w:r w:rsidR="00DA75CC">
              <w:t>utagenic in somatic cells</w:t>
            </w:r>
            <w:r w:rsidR="00DA75CC" w:rsidRPr="003C41E8">
              <w:rPr>
                <w:rStyle w:val="checkbox"/>
                <w:rFonts w:ascii="Arial" w:hAnsi="Arial" w:cs="Arial"/>
              </w:rPr>
              <w:t xml:space="preserve"> </w:t>
            </w:r>
            <w:r w:rsidR="003C41E8" w:rsidRPr="003C41E8">
              <w:rPr>
                <w:rStyle w:val="checkbox"/>
                <w:rFonts w:ascii="Arial" w:hAnsi="Arial" w:cs="Arial"/>
              </w:rPr>
              <w:t>classified as a Category 2 Mutagenic Substance</w:t>
            </w:r>
          </w:p>
          <w:p w14:paraId="70709320" w14:textId="43CC4DA4" w:rsidR="00DA75CC" w:rsidRPr="00477D86" w:rsidRDefault="509D176D" w:rsidP="509D176D">
            <w:pPr>
              <w:pStyle w:val="ListBullet"/>
              <w:rPr>
                <w:rFonts w:cs="Arial"/>
              </w:rPr>
            </w:pPr>
            <w:r w:rsidRPr="509D176D">
              <w:rPr>
                <w:rStyle w:val="checkbox"/>
                <w:rFonts w:ascii="Arial" w:hAnsi="Arial" w:cs="Arial"/>
              </w:rPr>
              <w:t xml:space="preserve">LOAEL for chronic toxicity 625 ppm </w:t>
            </w:r>
            <w:r>
              <w:t>(</w:t>
            </w:r>
            <w:r w:rsidRPr="00477D86">
              <w:t>25</w:t>
            </w:r>
            <w:r w:rsidR="00D2696D" w:rsidRPr="00477D86">
              <w:t xml:space="preserve"> </w:t>
            </w:r>
            <w:r w:rsidR="004A3D63" w:rsidRPr="00477D86">
              <w:t>mg/kg/d</w:t>
            </w:r>
            <w:r w:rsidRPr="00477D86">
              <w:t xml:space="preserve"> and 30 mg/kg</w:t>
            </w:r>
            <w:r w:rsidR="004A3D63" w:rsidRPr="00477D86">
              <w:t>/d</w:t>
            </w:r>
            <w:r w:rsidRPr="00477D86">
              <w:t xml:space="preserve"> in males and females, respectively) based on lesions observed in liver, bone marrow, spleen and lung </w:t>
            </w:r>
          </w:p>
          <w:p w14:paraId="29C9159B" w14:textId="00A2FA94" w:rsidR="00DA75CC" w:rsidRPr="004C23F4" w:rsidRDefault="509D176D" w:rsidP="509D176D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477D86">
              <w:rPr>
                <w:rStyle w:val="checkbox"/>
                <w:rFonts w:ascii="Arial" w:hAnsi="Arial" w:cs="Arial"/>
              </w:rPr>
              <w:t>NOAEL for reproductive toxicity in rats was 179 mg/kg/d.</w:t>
            </w:r>
          </w:p>
        </w:tc>
      </w:tr>
      <w:tr w:rsidR="004966BF" w:rsidRPr="004C23F4" w14:paraId="05296A95" w14:textId="77777777" w:rsidTr="509D176D">
        <w:trPr>
          <w:cantSplit/>
        </w:trPr>
        <w:tc>
          <w:tcPr>
            <w:tcW w:w="1497" w:type="dxa"/>
          </w:tcPr>
          <w:p w14:paraId="403D87D7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4" w:type="dxa"/>
          </w:tcPr>
          <w:p w14:paraId="1391148E" w14:textId="77777777" w:rsidR="004966BF" w:rsidRPr="00CE617F" w:rsidRDefault="00906BB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815D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FCE5012" w14:textId="77777777" w:rsidR="004966BF" w:rsidRPr="004C23F4" w:rsidRDefault="00F815D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2008</w:t>
            </w:r>
          </w:p>
        </w:tc>
        <w:tc>
          <w:tcPr>
            <w:tcW w:w="6444" w:type="dxa"/>
          </w:tcPr>
          <w:p w14:paraId="68E29D20" w14:textId="77777777" w:rsidR="00D87E5D" w:rsidRDefault="00D87E5D" w:rsidP="00D87E5D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D87E5D">
              <w:rPr>
                <w:rStyle w:val="checkbox"/>
                <w:rFonts w:ascii="Arial" w:hAnsi="Arial" w:cs="Arial"/>
              </w:rPr>
              <w:t>Strong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D87E5D">
              <w:rPr>
                <w:rStyle w:val="checkbox"/>
                <w:rFonts w:ascii="Arial" w:hAnsi="Arial" w:cs="Arial"/>
              </w:rPr>
              <w:t>evidence for</w:t>
            </w:r>
            <w:r>
              <w:rPr>
                <w:rStyle w:val="checkbox"/>
                <w:rFonts w:ascii="Arial" w:hAnsi="Arial" w:cs="Arial"/>
              </w:rPr>
              <w:t xml:space="preserve"> genotoxic</w:t>
            </w:r>
            <w:r w:rsidRPr="00D87E5D">
              <w:rPr>
                <w:rStyle w:val="checkbox"/>
                <w:rFonts w:ascii="Arial" w:hAnsi="Arial" w:cs="Arial"/>
              </w:rPr>
              <w:t xml:space="preserve"> carcinogenicity in rats and mice</w:t>
            </w:r>
          </w:p>
          <w:p w14:paraId="58B2C59E" w14:textId="659C3871" w:rsidR="00D87E5D" w:rsidRPr="00D87E5D" w:rsidRDefault="00D87E5D" w:rsidP="00D87E5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t>Evidence that oral exposure might enhance the genotoxicity of 2</w:t>
            </w:r>
            <w:r w:rsidR="004A3D63">
              <w:noBreakHyphen/>
            </w:r>
            <w:r>
              <w:t>nitrotoluene because of action of intestinal bacteria</w:t>
            </w:r>
          </w:p>
          <w:p w14:paraId="7DB43385" w14:textId="6B7BF445" w:rsidR="007A58DE" w:rsidRPr="00F84B4E" w:rsidRDefault="509D176D" w:rsidP="003271C0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509D176D">
              <w:rPr>
                <w:rStyle w:val="checkbox"/>
                <w:rFonts w:ascii="Arial" w:hAnsi="Arial" w:cs="Arial"/>
              </w:rPr>
              <w:t>Provisional oral slope factor of 2.2 x 10</w:t>
            </w:r>
            <w:r w:rsidRPr="509D176D">
              <w:rPr>
                <w:rStyle w:val="checkbox"/>
                <w:rFonts w:ascii="Arial" w:hAnsi="Arial" w:cs="Arial"/>
                <w:vertAlign w:val="superscript"/>
              </w:rPr>
              <w:t>-1</w:t>
            </w:r>
            <w:r w:rsidRPr="509D176D">
              <w:rPr>
                <w:rStyle w:val="checkbox"/>
                <w:rFonts w:ascii="Arial" w:hAnsi="Arial" w:cs="Arial"/>
              </w:rPr>
              <w:t xml:space="preserve"> (mg/kg</w:t>
            </w:r>
            <w:r w:rsidR="00FA424A">
              <w:rPr>
                <w:rStyle w:val="checkbox"/>
                <w:rFonts w:ascii="Arial" w:hAnsi="Arial" w:cs="Arial"/>
              </w:rPr>
              <w:t>/d)</w:t>
            </w:r>
            <w:r w:rsidR="00FA424A" w:rsidRPr="00FA424A">
              <w:rPr>
                <w:rStyle w:val="checkbox"/>
                <w:rFonts w:ascii="Arial" w:hAnsi="Arial" w:cs="Arial"/>
                <w:vertAlign w:val="superscript"/>
              </w:rPr>
              <w:t>-1</w:t>
            </w:r>
            <w:r w:rsidRPr="509D176D">
              <w:rPr>
                <w:rStyle w:val="checkbox"/>
                <w:rFonts w:ascii="Arial" w:hAnsi="Arial" w:cs="Arial"/>
              </w:rPr>
              <w:t xml:space="preserve"> based on dose-response data from a dietary study in rats </w:t>
            </w:r>
            <w:r w:rsidR="003271C0">
              <w:rPr>
                <w:rStyle w:val="checkbox"/>
                <w:rFonts w:ascii="Arial" w:hAnsi="Arial" w:cs="Arial"/>
              </w:rPr>
              <w:t>(24 mo) reporting</w:t>
            </w:r>
            <w:r w:rsidRPr="509D176D">
              <w:rPr>
                <w:rStyle w:val="checkbox"/>
                <w:rFonts w:ascii="Arial" w:hAnsi="Arial" w:cs="Arial"/>
              </w:rPr>
              <w:t xml:space="preserve"> incidences of subcutaneous skin fibroma</w:t>
            </w:r>
            <w:r w:rsidR="00FA424A">
              <w:rPr>
                <w:rStyle w:val="checkbox"/>
                <w:rFonts w:ascii="Arial" w:hAnsi="Arial" w:cs="Arial"/>
              </w:rPr>
              <w:t xml:space="preserve"> or</w:t>
            </w:r>
            <w:r w:rsidR="00477D86">
              <w:rPr>
                <w:rStyle w:val="checkbox"/>
                <w:rFonts w:ascii="Arial" w:hAnsi="Arial" w:cs="Arial"/>
              </w:rPr>
              <w:t xml:space="preserve"> fibrosarcoma</w:t>
            </w:r>
            <w:r w:rsidRPr="509D176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2"/>
    <w:p w14:paraId="623A7F22" w14:textId="77777777" w:rsidR="007E2A4B" w:rsidRDefault="007E2A4B" w:rsidP="00FD34FE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2"/>
        <w:gridCol w:w="2414"/>
      </w:tblGrid>
      <w:tr w:rsidR="002E0D61" w14:paraId="78C01C4F" w14:textId="77777777" w:rsidTr="00FD34FE">
        <w:trPr>
          <w:trHeight w:val="454"/>
        </w:trPr>
        <w:tc>
          <w:tcPr>
            <w:tcW w:w="6771" w:type="dxa"/>
            <w:vAlign w:val="center"/>
          </w:tcPr>
          <w:p w14:paraId="792C1B7B" w14:textId="77777777" w:rsidR="002E0D61" w:rsidRDefault="00B1422A" w:rsidP="00FD34FE">
            <w:pPr>
              <w:pStyle w:val="Tablefont"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2C273F9C" w14:textId="77777777" w:rsidR="002E0D61" w:rsidRDefault="000C3A09" w:rsidP="00FD34FE">
                <w:pPr>
                  <w:pStyle w:val="Tablefont"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0B35E3BC" w14:textId="77777777" w:rsidTr="00FD34FE">
        <w:trPr>
          <w:trHeight w:val="454"/>
        </w:trPr>
        <w:tc>
          <w:tcPr>
            <w:tcW w:w="6771" w:type="dxa"/>
            <w:vAlign w:val="center"/>
          </w:tcPr>
          <w:p w14:paraId="7D0AFE54" w14:textId="77777777" w:rsidR="008A36CF" w:rsidRDefault="008A36CF" w:rsidP="00FD34FE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29CBD1A1" w14:textId="77777777" w:rsidR="008A36CF" w:rsidRDefault="000C3A09" w:rsidP="00FD34FE">
                <w:pPr>
                  <w:pStyle w:val="Tablefont"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6E15683" w14:textId="77777777" w:rsidTr="00FD34F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771" w:type="dxa"/>
                <w:vAlign w:val="center"/>
              </w:tcPr>
              <w:p w14:paraId="2D6E5966" w14:textId="77777777" w:rsidR="008A36CF" w:rsidRPr="006901A2" w:rsidRDefault="000C3A09" w:rsidP="00FD34FE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71" w:type="dxa"/>
            <w:vAlign w:val="center"/>
          </w:tcPr>
          <w:p w14:paraId="7D685712" w14:textId="77777777" w:rsidR="008A36CF" w:rsidRDefault="008A36CF" w:rsidP="00FD34FE">
            <w:pPr>
              <w:pStyle w:val="Tablefont"/>
              <w:keepLines/>
              <w:spacing w:before="40" w:after="40"/>
            </w:pPr>
          </w:p>
        </w:tc>
      </w:tr>
      <w:tr w:rsidR="008A36CF" w14:paraId="1ACAD80A" w14:textId="77777777" w:rsidTr="00FD34FE">
        <w:trPr>
          <w:trHeight w:val="454"/>
        </w:trPr>
        <w:tc>
          <w:tcPr>
            <w:tcW w:w="6771" w:type="dxa"/>
            <w:vAlign w:val="center"/>
          </w:tcPr>
          <w:p w14:paraId="2DC09491" w14:textId="77777777" w:rsidR="008A36CF" w:rsidRDefault="008A36CF" w:rsidP="00FD34FE">
            <w:pPr>
              <w:pStyle w:val="Tablefont"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50104243" w14:textId="77777777" w:rsidR="008A36CF" w:rsidRDefault="000C3A09" w:rsidP="00FD34FE">
                <w:pPr>
                  <w:pStyle w:val="Tablefont"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132FD1F3" w14:textId="77777777" w:rsidTr="00FD34FE">
        <w:trPr>
          <w:trHeight w:val="454"/>
        </w:trPr>
        <w:sdt>
          <w:sdtPr>
            <w:alias w:val="Dropdown"/>
            <w:tag w:val="Dropdown"/>
            <w:id w:val="-1733531363"/>
            <w:placeholder>
              <w:docPart w:val="7B0BAA2441D5427984E6018FB38900E7"/>
            </w:placeholder>
            <w:comboBox>
              <w:listItem w:value="Choose an item."/>
              <w:listItem w:displayText="Cancer slope factor (1/(mg/kg/day))" w:value="Cancer slope factor (1/(mg/kg/day))"/>
              <w:listItem w:displayText="Inhalation unit risk value (1/(µg/m³))" w:value="Inhalation unit risk value (1/(µg/m³))"/>
            </w:comboBox>
          </w:sdtPr>
          <w:sdtEndPr/>
          <w:sdtContent>
            <w:tc>
              <w:tcPr>
                <w:tcW w:w="6771" w:type="dxa"/>
                <w:vAlign w:val="center"/>
              </w:tcPr>
              <w:p w14:paraId="72CEA6FC" w14:textId="264E3A76" w:rsidR="008A36CF" w:rsidRDefault="000C3A09" w:rsidP="00FD34FE">
                <w:pPr>
                  <w:pStyle w:val="Tablefont"/>
                  <w:keepLines/>
                  <w:spacing w:before="40" w:after="40"/>
                </w:pPr>
                <w:r>
                  <w:t>Cancer slope factor (1/(mg/kg/day))</w:t>
                </w:r>
              </w:p>
            </w:tc>
          </w:sdtContent>
        </w:sdt>
        <w:sdt>
          <w:sdtPr>
            <w:alias w:val="SlopeFactor"/>
            <w:tag w:val="SlopeFactor"/>
            <w:id w:val="-1925646767"/>
            <w:placeholder>
              <w:docPart w:val="5C1D38B030D146B59436754F8399D502"/>
            </w:placeholder>
          </w:sdtPr>
          <w:sdtEndPr/>
          <w:sdtContent>
            <w:tc>
              <w:tcPr>
                <w:tcW w:w="2471" w:type="dxa"/>
                <w:vAlign w:val="center"/>
              </w:tcPr>
              <w:p w14:paraId="7CE909F4" w14:textId="1C9AEF9A" w:rsidR="008A36CF" w:rsidRDefault="00F815D7" w:rsidP="00FD34FE">
                <w:pPr>
                  <w:pStyle w:val="Tablefont"/>
                  <w:keepLines/>
                  <w:spacing w:before="40" w:after="40"/>
                </w:pPr>
                <w:r>
                  <w:t>2.2 x 10</w:t>
                </w:r>
                <w:r>
                  <w:rPr>
                    <w:vertAlign w:val="superscript"/>
                  </w:rPr>
                  <w:t>-1</w:t>
                </w:r>
              </w:p>
            </w:tc>
          </w:sdtContent>
        </w:sdt>
      </w:tr>
      <w:tr w:rsidR="008A36CF" w14:paraId="38FB482B" w14:textId="77777777" w:rsidTr="00FD34FE">
        <w:trPr>
          <w:trHeight w:val="454"/>
        </w:trPr>
        <w:tc>
          <w:tcPr>
            <w:tcW w:w="6771" w:type="dxa"/>
            <w:vAlign w:val="center"/>
          </w:tcPr>
          <w:p w14:paraId="2C9617F1" w14:textId="77777777" w:rsidR="008A36CF" w:rsidRDefault="008A36CF" w:rsidP="00FD34FE">
            <w:pPr>
              <w:pStyle w:val="Tablefont"/>
              <w:keepLines/>
              <w:spacing w:before="40" w:after="40"/>
            </w:pPr>
            <w:r>
              <w:t>Calculated TWA value (</w:t>
            </w:r>
            <w:r>
              <w:rPr>
                <w:rFonts w:cs="Arial"/>
              </w:rPr>
              <w:t>µ</w:t>
            </w:r>
            <w:r>
              <w:t>g/m</w:t>
            </w:r>
            <w:r w:rsidRPr="008A36CF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471" w:type="dxa"/>
            <w:vAlign w:val="center"/>
          </w:tcPr>
          <w:p w14:paraId="15214907" w14:textId="77777777" w:rsidR="008A36CF" w:rsidRDefault="00F815D7" w:rsidP="00FD34FE">
            <w:pPr>
              <w:pStyle w:val="Tablefont"/>
              <w:keepLines/>
              <w:spacing w:before="40" w:after="40"/>
            </w:pPr>
            <w:r>
              <w:t>2.54</w:t>
            </w:r>
          </w:p>
        </w:tc>
      </w:tr>
    </w:tbl>
    <w:bookmarkEnd w:id="3"/>
    <w:p w14:paraId="1B0C5D0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FC0004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45ACE35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AA5A53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0EBC096" w14:textId="77777777" w:rsidTr="00812887">
        <w:trPr>
          <w:cantSplit/>
        </w:trPr>
        <w:tc>
          <w:tcPr>
            <w:tcW w:w="3227" w:type="dxa"/>
          </w:tcPr>
          <w:p w14:paraId="33D780B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D715C38" w14:textId="3BB14F9F" w:rsidR="00687890" w:rsidRPr="00DD2F9B" w:rsidRDefault="00856AB1" w:rsidP="00DD2F9B">
            <w:pPr>
              <w:pStyle w:val="Tablefont"/>
            </w:pPr>
            <w:r>
              <w:t>Carc. 1B</w:t>
            </w:r>
          </w:p>
        </w:tc>
      </w:tr>
      <w:tr w:rsidR="007925F0" w:rsidRPr="004C23F4" w14:paraId="1727C6EE" w14:textId="77777777" w:rsidTr="00812887">
        <w:trPr>
          <w:cantSplit/>
        </w:trPr>
        <w:tc>
          <w:tcPr>
            <w:tcW w:w="3227" w:type="dxa"/>
          </w:tcPr>
          <w:p w14:paraId="5F48183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BD64BD3" w14:textId="47D1D531" w:rsidR="007925F0" w:rsidRPr="00DD2F9B" w:rsidRDefault="00A670AD" w:rsidP="003C41E8">
            <w:pPr>
              <w:pStyle w:val="Tablefont"/>
            </w:pPr>
            <w:r>
              <w:t>Carcinogenicity – category 1B</w:t>
            </w:r>
          </w:p>
        </w:tc>
      </w:tr>
      <w:tr w:rsidR="00AF483F" w:rsidRPr="004C23F4" w14:paraId="0BD734BA" w14:textId="77777777" w:rsidTr="00812887">
        <w:trPr>
          <w:cantSplit/>
        </w:trPr>
        <w:tc>
          <w:tcPr>
            <w:tcW w:w="3227" w:type="dxa"/>
          </w:tcPr>
          <w:p w14:paraId="6C0753E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029BA26" w14:textId="57EC9423" w:rsidR="00AF483F" w:rsidRPr="00DD2F9B" w:rsidRDefault="003C41E8" w:rsidP="00DD2F9B">
            <w:pPr>
              <w:pStyle w:val="Tablefont"/>
            </w:pPr>
            <w:r>
              <w:t>Carc. Cat. 2</w:t>
            </w:r>
          </w:p>
        </w:tc>
      </w:tr>
      <w:tr w:rsidR="00687890" w:rsidRPr="004C23F4" w14:paraId="319FA02B" w14:textId="77777777" w:rsidTr="00812887">
        <w:trPr>
          <w:cantSplit/>
        </w:trPr>
        <w:tc>
          <w:tcPr>
            <w:tcW w:w="3227" w:type="dxa"/>
          </w:tcPr>
          <w:p w14:paraId="5A0E6CD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672EA9E" w14:textId="13CE5905" w:rsidR="00687890" w:rsidRPr="00DD2F9B" w:rsidRDefault="002E11B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A47D9BA" w14:textId="77777777" w:rsidTr="00812887">
        <w:trPr>
          <w:cantSplit/>
        </w:trPr>
        <w:tc>
          <w:tcPr>
            <w:tcW w:w="3227" w:type="dxa"/>
          </w:tcPr>
          <w:p w14:paraId="53D0535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A19C92E" w14:textId="063D388D" w:rsidR="00E41A26" w:rsidRPr="00DD2F9B" w:rsidRDefault="00856AB1" w:rsidP="00DD2F9B">
            <w:pPr>
              <w:pStyle w:val="Tablefont"/>
            </w:pPr>
            <w:r>
              <w:t xml:space="preserve">NA </w:t>
            </w:r>
          </w:p>
        </w:tc>
      </w:tr>
      <w:tr w:rsidR="002E0D61" w:rsidRPr="004C23F4" w14:paraId="62145B43" w14:textId="77777777" w:rsidTr="00812887">
        <w:trPr>
          <w:cantSplit/>
        </w:trPr>
        <w:tc>
          <w:tcPr>
            <w:tcW w:w="3227" w:type="dxa"/>
          </w:tcPr>
          <w:p w14:paraId="4178A3B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C2C7F16" w14:textId="4A46E5AF" w:rsidR="002E0D61" w:rsidRPr="00DD2F9B" w:rsidRDefault="00477D86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485D21A4" w14:textId="77777777" w:rsidTr="00812887">
        <w:trPr>
          <w:cantSplit/>
        </w:trPr>
        <w:tc>
          <w:tcPr>
            <w:tcW w:w="3227" w:type="dxa"/>
          </w:tcPr>
          <w:p w14:paraId="41FE053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91BBE37" w14:textId="40B30974" w:rsidR="002E0D61" w:rsidRPr="00DD2F9B" w:rsidRDefault="006D06BC" w:rsidP="006D06BC">
            <w:pPr>
              <w:pStyle w:val="Tablefont"/>
            </w:pPr>
            <w:r>
              <w:t xml:space="preserve">Carcinogenicity </w:t>
            </w:r>
            <w:r w:rsidR="00856AB1">
              <w:t xml:space="preserve">– 2 </w:t>
            </w:r>
          </w:p>
        </w:tc>
      </w:tr>
      <w:tr w:rsidR="002E0D61" w:rsidRPr="004C23F4" w14:paraId="1394DB0C" w14:textId="77777777" w:rsidTr="00812887">
        <w:trPr>
          <w:cantSplit/>
        </w:trPr>
        <w:tc>
          <w:tcPr>
            <w:tcW w:w="3227" w:type="dxa"/>
          </w:tcPr>
          <w:p w14:paraId="37E06C5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AA192E" w14:textId="3CD8C4A0" w:rsidR="002E0D61" w:rsidRPr="00DD2F9B" w:rsidRDefault="00856AB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61D9A2" w14:textId="77777777" w:rsidTr="00812887">
        <w:trPr>
          <w:cantSplit/>
        </w:trPr>
        <w:tc>
          <w:tcPr>
            <w:tcW w:w="3227" w:type="dxa"/>
          </w:tcPr>
          <w:p w14:paraId="50A40CF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0921CA6" w14:textId="28612608" w:rsidR="002E0D61" w:rsidRPr="00DD2F9B" w:rsidRDefault="002E11B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99A5076" w14:textId="77777777" w:rsidTr="00812887">
        <w:trPr>
          <w:cantSplit/>
        </w:trPr>
        <w:tc>
          <w:tcPr>
            <w:tcW w:w="3227" w:type="dxa"/>
          </w:tcPr>
          <w:p w14:paraId="04E6E0B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8477D30" w14:textId="21D8C25C" w:rsidR="00386093" w:rsidRPr="00DD2F9B" w:rsidRDefault="002E11B6" w:rsidP="00DD2F9B">
            <w:pPr>
              <w:pStyle w:val="Tablefont"/>
            </w:pPr>
            <w:r>
              <w:t>Carcinogenicity – Group 3</w:t>
            </w:r>
          </w:p>
        </w:tc>
      </w:tr>
      <w:tr w:rsidR="00386093" w:rsidRPr="004C23F4" w14:paraId="43103811" w14:textId="77777777" w:rsidTr="00812887">
        <w:trPr>
          <w:cantSplit/>
        </w:trPr>
        <w:tc>
          <w:tcPr>
            <w:tcW w:w="3227" w:type="dxa"/>
          </w:tcPr>
          <w:p w14:paraId="100D974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4718BE1" w14:textId="57B4EF2B" w:rsidR="00386093" w:rsidRPr="00DD2F9B" w:rsidRDefault="002E11B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6043AB6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F149133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F515F64" w14:textId="77777777" w:rsidTr="007B6AF0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3131D2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344FDE9" w14:textId="77777777" w:rsidTr="007B6AF0">
        <w:trPr>
          <w:cantSplit/>
          <w:tblHeader/>
        </w:trPr>
        <w:tc>
          <w:tcPr>
            <w:tcW w:w="5000" w:type="pct"/>
            <w:vAlign w:val="center"/>
          </w:tcPr>
          <w:p w14:paraId="2FC56874" w14:textId="068F7D51" w:rsidR="00932DCE" w:rsidRPr="004C23F4" w:rsidRDefault="00A56E47" w:rsidP="00F9496B">
            <w:pPr>
              <w:pStyle w:val="Tablefont"/>
            </w:pPr>
            <w:r w:rsidRPr="00A56E47">
              <w:t>Insufficient data to assign a skin notation.</w:t>
            </w:r>
          </w:p>
        </w:tc>
      </w:tr>
    </w:tbl>
    <w:bookmarkEnd w:id="5"/>
    <w:p w14:paraId="48CDB05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14:paraId="3C4266B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5F27AC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25E0715" w14:textId="43BA4CCA" w:rsidR="00EB3D1B" w:rsidRDefault="00EA413B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14:paraId="5A6BCCF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9AC57B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4A28F3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B5E3F3A" w14:textId="2DC95FD2" w:rsidR="001B79E5" w:rsidRDefault="00EA413B" w:rsidP="001B79E5">
                <w:pPr>
                  <w:pStyle w:val="Tablefont"/>
                </w:pPr>
                <w:r>
                  <w:t>137.14</w:t>
                </w:r>
              </w:p>
            </w:tc>
          </w:sdtContent>
        </w:sdt>
      </w:tr>
      <w:tr w:rsidR="00A31D99" w:rsidRPr="004C23F4" w14:paraId="6F37AD2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AE7B9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7C86E2E" w14:textId="4080B94A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8481A">
                  <w:t>5.6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8481A" w:rsidRPr="00FD34FE">
                  <w:t>0.18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D08C62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5F9C3B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9D5757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1D1C217" w14:textId="77777777" w:rsidTr="00EA6243">
        <w:trPr>
          <w:cantSplit/>
        </w:trPr>
        <w:tc>
          <w:tcPr>
            <w:tcW w:w="4077" w:type="dxa"/>
            <w:vAlign w:val="center"/>
          </w:tcPr>
          <w:p w14:paraId="44A6912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51C180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D63CF62" w14:textId="77777777" w:rsidTr="00EA6243">
        <w:trPr>
          <w:cantSplit/>
        </w:trPr>
        <w:tc>
          <w:tcPr>
            <w:tcW w:w="4077" w:type="dxa"/>
            <w:vAlign w:val="center"/>
          </w:tcPr>
          <w:p w14:paraId="470FE37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972B4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8AF59B6" w14:textId="77777777" w:rsidTr="00EA6243">
        <w:trPr>
          <w:cantSplit/>
        </w:trPr>
        <w:tc>
          <w:tcPr>
            <w:tcW w:w="4077" w:type="dxa"/>
            <w:vAlign w:val="center"/>
          </w:tcPr>
          <w:p w14:paraId="4917A9D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BDC2CCC" w14:textId="77777777" w:rsidR="00E06F40" w:rsidRPr="00A006A0" w:rsidRDefault="00906BB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A117F86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EDB18F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C55FA7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97594D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04559F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659FCB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54201A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0F989EA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D0B9BFF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2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16C8756" w14:textId="1B82910E" w:rsidR="001A17A6" w:rsidRDefault="001A17A6" w:rsidP="00084859">
      <w:r w:rsidRPr="001A17A6">
        <w:t>Deutsche Forschungsgemeinschaft (DFG) (</w:t>
      </w:r>
      <w:r>
        <w:t>1993</w:t>
      </w:r>
      <w:r w:rsidRPr="001A17A6">
        <w:t>) 2-Nitrotoluene – MAK value documentation.</w:t>
      </w:r>
    </w:p>
    <w:p w14:paraId="7B038D0A" w14:textId="5D45818D" w:rsidR="00E94433" w:rsidRDefault="00E94433" w:rsidP="00084859">
      <w:r w:rsidRPr="00B716A3">
        <w:t>International Agency for</w:t>
      </w:r>
      <w:r>
        <w:t xml:space="preserve"> Research on Cancer (IARC) (1996</w:t>
      </w:r>
      <w:r w:rsidRPr="00B716A3">
        <w:t xml:space="preserve">) </w:t>
      </w:r>
      <w:r w:rsidR="00407633">
        <w:t>2-</w:t>
      </w:r>
      <w:r w:rsidR="00EF3FA1">
        <w:t>nitrotoluene</w:t>
      </w:r>
      <w:r w:rsidRPr="00B716A3">
        <w:t>. IARC Monographs on the evaluation of the carcinogenic risk to humans.</w:t>
      </w:r>
      <w:r>
        <w:t xml:space="preserve"> VOL: 65.</w:t>
      </w:r>
    </w:p>
    <w:p w14:paraId="6B90D843" w14:textId="094026A5" w:rsidR="001A17A6" w:rsidRDefault="001A17A6" w:rsidP="00084859">
      <w:r w:rsidRPr="001A17A6">
        <w:t>National Industrial Chemicals Notification and Assessment Scheme (NICNAS) (201</w:t>
      </w:r>
      <w:r w:rsidR="002E11B6">
        <w:t>3</w:t>
      </w:r>
      <w:r w:rsidRPr="001A17A6">
        <w:t xml:space="preserve">) </w:t>
      </w:r>
      <w:r w:rsidR="002E11B6" w:rsidRPr="002E11B6">
        <w:t>Benzene, 1-methyl-2-nitro-</w:t>
      </w:r>
      <w:r w:rsidRPr="001A17A6">
        <w:t>: Human health tier II assessment – IMAP report.</w:t>
      </w:r>
    </w:p>
    <w:p w14:paraId="2EC58371" w14:textId="40BEBFA4" w:rsidR="00F815D7" w:rsidRDefault="00F815D7" w:rsidP="00084859">
      <w:r w:rsidRPr="00F815D7">
        <w:t xml:space="preserve">US Environmental </w:t>
      </w:r>
      <w:r>
        <w:t>Protection Agency (</w:t>
      </w:r>
      <w:r w:rsidRPr="003271C0">
        <w:t>US EPA</w:t>
      </w:r>
      <w:r>
        <w:t>) (2008</w:t>
      </w:r>
      <w:r w:rsidRPr="00F815D7">
        <w:t xml:space="preserve">) </w:t>
      </w:r>
      <w:r>
        <w:t xml:space="preserve">Provisional Peer Reviewed Toxicity Values for </w:t>
      </w:r>
      <w:r>
        <w:rPr>
          <w:i/>
        </w:rPr>
        <w:t>o</w:t>
      </w:r>
      <w:r>
        <w:t>-</w:t>
      </w:r>
      <w:r w:rsidRPr="00F815D7">
        <w:t>Nitrotoluene (2-Nitrotoluene) (CASRN 88-72-2)</w:t>
      </w:r>
      <w:r>
        <w:t xml:space="preserve">. </w:t>
      </w:r>
      <w:r w:rsidRPr="00F815D7">
        <w:t>EPA/690/R-08/018F</w:t>
      </w:r>
      <w:r>
        <w:t xml:space="preserve"> Final</w:t>
      </w:r>
      <w:r w:rsidR="00407633">
        <w:t>.</w:t>
      </w:r>
    </w:p>
    <w:p w14:paraId="284D8192" w14:textId="77777777" w:rsidR="001A17A6" w:rsidRPr="00351FE0" w:rsidRDefault="001A17A6" w:rsidP="00084859"/>
    <w:sectPr w:rsidR="001A17A6" w:rsidRPr="00351FE0" w:rsidSect="00B87D4C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C3FF" w14:textId="77777777" w:rsidR="00853E27" w:rsidRDefault="00853E27" w:rsidP="00F43AD5">
      <w:pPr>
        <w:spacing w:after="0" w:line="240" w:lineRule="auto"/>
      </w:pPr>
      <w:r>
        <w:separator/>
      </w:r>
    </w:p>
  </w:endnote>
  <w:endnote w:type="continuationSeparator" w:id="0">
    <w:p w14:paraId="30D35F3B" w14:textId="77777777" w:rsidR="00853E27" w:rsidRDefault="00853E2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FC4215C" w14:textId="77777777" w:rsidR="008A36CF" w:rsidRDefault="00EB2882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2 - Nitrotoluene</w:t>
        </w:r>
        <w:r w:rsidR="008A36CF">
          <w:rPr>
            <w:b/>
            <w:sz w:val="18"/>
            <w:szCs w:val="18"/>
          </w:rPr>
          <w:t xml:space="preserve"> (</w:t>
        </w:r>
        <w:r w:rsidRPr="00EB2882">
          <w:rPr>
            <w:b/>
            <w:sz w:val="18"/>
            <w:szCs w:val="18"/>
          </w:rPr>
          <w:t>88-72-2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24091A6" w14:textId="77A603B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6743C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959C" w14:textId="77777777" w:rsidR="00853E27" w:rsidRDefault="00853E27" w:rsidP="00F43AD5">
      <w:pPr>
        <w:spacing w:after="0" w:line="240" w:lineRule="auto"/>
      </w:pPr>
      <w:r>
        <w:separator/>
      </w:r>
    </w:p>
  </w:footnote>
  <w:footnote w:type="continuationSeparator" w:id="0">
    <w:p w14:paraId="0159FC85" w14:textId="77777777" w:rsidR="00853E27" w:rsidRDefault="00853E2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A437" w14:textId="552DD081" w:rsidR="003A3252" w:rsidRDefault="003A3252">
    <w:pPr>
      <w:pStyle w:val="Header"/>
    </w:pPr>
    <w:r>
      <w:rPr>
        <w:noProof/>
      </w:rPr>
      <w:pict w14:anchorId="350D2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89313" o:spid="_x0000_s2253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758C" w14:textId="3D4BB2B0" w:rsidR="008A36CF" w:rsidRDefault="003A3252" w:rsidP="00F43AD5">
    <w:pPr>
      <w:pStyle w:val="Header"/>
      <w:jc w:val="right"/>
    </w:pPr>
    <w:r>
      <w:rPr>
        <w:noProof/>
      </w:rPr>
      <w:pict w14:anchorId="0E21A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89314" o:spid="_x0000_s22531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66D2E07A" wp14:editId="42FA980A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0977" w14:textId="082C99B4" w:rsidR="003A3252" w:rsidRDefault="003A3252">
    <w:pPr>
      <w:pStyle w:val="Header"/>
    </w:pPr>
    <w:r>
      <w:rPr>
        <w:noProof/>
      </w:rPr>
      <w:pict w14:anchorId="6B49C5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89312" o:spid="_x0000_s2252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210F" w14:textId="4DE58A1A" w:rsidR="003A3252" w:rsidRDefault="003A3252">
    <w:pPr>
      <w:pStyle w:val="Header"/>
    </w:pPr>
    <w:r>
      <w:rPr>
        <w:noProof/>
      </w:rPr>
      <w:pict w14:anchorId="794457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89316" o:spid="_x0000_s22533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2FE1" w14:textId="41525F35" w:rsidR="008A36CF" w:rsidRDefault="003A3252" w:rsidP="00F43AD5">
    <w:pPr>
      <w:pStyle w:val="Header"/>
      <w:jc w:val="right"/>
    </w:pPr>
    <w:r>
      <w:rPr>
        <w:noProof/>
      </w:rPr>
      <w:pict w14:anchorId="12F0F7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89317" o:spid="_x0000_s22534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86FF" w14:textId="474F942A" w:rsidR="003A3252" w:rsidRDefault="003A3252">
    <w:pPr>
      <w:pStyle w:val="Header"/>
    </w:pPr>
    <w:r>
      <w:rPr>
        <w:noProof/>
      </w:rPr>
      <w:pict w14:anchorId="72913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89315" o:spid="_x0000_s22532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680E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11494"/>
    <w:multiLevelType w:val="hybridMultilevel"/>
    <w:tmpl w:val="65443D3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6110DB"/>
    <w:multiLevelType w:val="hybridMultilevel"/>
    <w:tmpl w:val="980EB71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0"/>
  </w:num>
  <w:num w:numId="26">
    <w:abstractNumId w:val="2"/>
  </w:num>
  <w:num w:numId="27">
    <w:abstractNumId w:val="0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formsDesign/>
  <w:defaultTabStop w:val="720"/>
  <w:characterSpacingControl w:val="doNotCompress"/>
  <w:hdrShapeDefaults>
    <o:shapedefaults v:ext="edit" spidmax="22535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68F8"/>
    <w:rsid w:val="00007B80"/>
    <w:rsid w:val="00013A22"/>
    <w:rsid w:val="00014C3F"/>
    <w:rsid w:val="00017C82"/>
    <w:rsid w:val="00032B88"/>
    <w:rsid w:val="00046DF5"/>
    <w:rsid w:val="00052060"/>
    <w:rsid w:val="00052A14"/>
    <w:rsid w:val="0005488F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3A09"/>
    <w:rsid w:val="000D169C"/>
    <w:rsid w:val="000D291C"/>
    <w:rsid w:val="000D6B60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3013"/>
    <w:rsid w:val="0015488A"/>
    <w:rsid w:val="00160F47"/>
    <w:rsid w:val="00177CA1"/>
    <w:rsid w:val="00183823"/>
    <w:rsid w:val="00183942"/>
    <w:rsid w:val="00187EE9"/>
    <w:rsid w:val="001A009E"/>
    <w:rsid w:val="001A1287"/>
    <w:rsid w:val="001A17A6"/>
    <w:rsid w:val="001A3859"/>
    <w:rsid w:val="001A3C9D"/>
    <w:rsid w:val="001A43F8"/>
    <w:rsid w:val="001B79E5"/>
    <w:rsid w:val="001C5F00"/>
    <w:rsid w:val="001D56F0"/>
    <w:rsid w:val="001D663B"/>
    <w:rsid w:val="001D7B33"/>
    <w:rsid w:val="001D7B41"/>
    <w:rsid w:val="001E2878"/>
    <w:rsid w:val="001E46DA"/>
    <w:rsid w:val="001E7424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7FF5"/>
    <w:rsid w:val="00251CA6"/>
    <w:rsid w:val="0025734A"/>
    <w:rsid w:val="00263255"/>
    <w:rsid w:val="00276494"/>
    <w:rsid w:val="002771FD"/>
    <w:rsid w:val="00277B0C"/>
    <w:rsid w:val="00295DED"/>
    <w:rsid w:val="002968BA"/>
    <w:rsid w:val="002B1A2C"/>
    <w:rsid w:val="002C34F2"/>
    <w:rsid w:val="002C58FF"/>
    <w:rsid w:val="002C7AFE"/>
    <w:rsid w:val="002D05D2"/>
    <w:rsid w:val="002D3631"/>
    <w:rsid w:val="002D7D8C"/>
    <w:rsid w:val="002E0D61"/>
    <w:rsid w:val="002E11B6"/>
    <w:rsid w:val="002E4C7B"/>
    <w:rsid w:val="002E6B38"/>
    <w:rsid w:val="0030740C"/>
    <w:rsid w:val="00315833"/>
    <w:rsid w:val="003215EE"/>
    <w:rsid w:val="003224BF"/>
    <w:rsid w:val="0032406B"/>
    <w:rsid w:val="003241A8"/>
    <w:rsid w:val="003253F0"/>
    <w:rsid w:val="003271C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A3252"/>
    <w:rsid w:val="003B387D"/>
    <w:rsid w:val="003B71AA"/>
    <w:rsid w:val="003C0D58"/>
    <w:rsid w:val="003C41E8"/>
    <w:rsid w:val="003D4E5B"/>
    <w:rsid w:val="003D4FA3"/>
    <w:rsid w:val="003E0807"/>
    <w:rsid w:val="003E51FB"/>
    <w:rsid w:val="003E6B39"/>
    <w:rsid w:val="003F07E1"/>
    <w:rsid w:val="003F0F78"/>
    <w:rsid w:val="003F70EE"/>
    <w:rsid w:val="004030BC"/>
    <w:rsid w:val="00403F7D"/>
    <w:rsid w:val="00406785"/>
    <w:rsid w:val="00407633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463E5"/>
    <w:rsid w:val="004509E2"/>
    <w:rsid w:val="004515EE"/>
    <w:rsid w:val="004529F0"/>
    <w:rsid w:val="00455C19"/>
    <w:rsid w:val="00460A03"/>
    <w:rsid w:val="00472A11"/>
    <w:rsid w:val="00472AAD"/>
    <w:rsid w:val="00474E33"/>
    <w:rsid w:val="00476803"/>
    <w:rsid w:val="00477D86"/>
    <w:rsid w:val="00485BFD"/>
    <w:rsid w:val="004867A2"/>
    <w:rsid w:val="004873F2"/>
    <w:rsid w:val="00490D4C"/>
    <w:rsid w:val="00493A35"/>
    <w:rsid w:val="0049527A"/>
    <w:rsid w:val="004966BF"/>
    <w:rsid w:val="00497984"/>
    <w:rsid w:val="004A3D63"/>
    <w:rsid w:val="004A5088"/>
    <w:rsid w:val="004B739D"/>
    <w:rsid w:val="004B789D"/>
    <w:rsid w:val="004C1E3F"/>
    <w:rsid w:val="004C2086"/>
    <w:rsid w:val="004C23F4"/>
    <w:rsid w:val="004C3475"/>
    <w:rsid w:val="004C58B6"/>
    <w:rsid w:val="004D16A3"/>
    <w:rsid w:val="004D4AA1"/>
    <w:rsid w:val="004D6D68"/>
    <w:rsid w:val="004E5EDD"/>
    <w:rsid w:val="004F095B"/>
    <w:rsid w:val="004F448A"/>
    <w:rsid w:val="004F493D"/>
    <w:rsid w:val="004F65E8"/>
    <w:rsid w:val="0050005E"/>
    <w:rsid w:val="00502B88"/>
    <w:rsid w:val="005142C4"/>
    <w:rsid w:val="0051509C"/>
    <w:rsid w:val="00524BE5"/>
    <w:rsid w:val="005272E2"/>
    <w:rsid w:val="0053108F"/>
    <w:rsid w:val="00532B56"/>
    <w:rsid w:val="00534B10"/>
    <w:rsid w:val="005446A2"/>
    <w:rsid w:val="00544D2F"/>
    <w:rsid w:val="00551BD8"/>
    <w:rsid w:val="00575D82"/>
    <w:rsid w:val="00577D99"/>
    <w:rsid w:val="00581055"/>
    <w:rsid w:val="00591E38"/>
    <w:rsid w:val="005A19C5"/>
    <w:rsid w:val="005A3034"/>
    <w:rsid w:val="005A462D"/>
    <w:rsid w:val="005B253B"/>
    <w:rsid w:val="005B771D"/>
    <w:rsid w:val="005C57B9"/>
    <w:rsid w:val="005C5D16"/>
    <w:rsid w:val="005D3193"/>
    <w:rsid w:val="005D4A6E"/>
    <w:rsid w:val="005E19C5"/>
    <w:rsid w:val="005E6979"/>
    <w:rsid w:val="005E75CB"/>
    <w:rsid w:val="006013C1"/>
    <w:rsid w:val="0060669E"/>
    <w:rsid w:val="006106AC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3517"/>
    <w:rsid w:val="006B4E6C"/>
    <w:rsid w:val="006B50B6"/>
    <w:rsid w:val="006B5FD3"/>
    <w:rsid w:val="006B6783"/>
    <w:rsid w:val="006B7B97"/>
    <w:rsid w:val="006D06BC"/>
    <w:rsid w:val="006D79EA"/>
    <w:rsid w:val="006E5D05"/>
    <w:rsid w:val="00701053"/>
    <w:rsid w:val="00701507"/>
    <w:rsid w:val="0070363D"/>
    <w:rsid w:val="00706761"/>
    <w:rsid w:val="00714021"/>
    <w:rsid w:val="00716A0F"/>
    <w:rsid w:val="00717D45"/>
    <w:rsid w:val="007208F7"/>
    <w:rsid w:val="007218AF"/>
    <w:rsid w:val="007365D1"/>
    <w:rsid w:val="00740E0E"/>
    <w:rsid w:val="00742FDF"/>
    <w:rsid w:val="00750212"/>
    <w:rsid w:val="00754779"/>
    <w:rsid w:val="0075716D"/>
    <w:rsid w:val="00762DD2"/>
    <w:rsid w:val="00765F14"/>
    <w:rsid w:val="00770E31"/>
    <w:rsid w:val="007770F1"/>
    <w:rsid w:val="00777BE6"/>
    <w:rsid w:val="00783EA3"/>
    <w:rsid w:val="00783FB1"/>
    <w:rsid w:val="00785CDD"/>
    <w:rsid w:val="00791847"/>
    <w:rsid w:val="007925F0"/>
    <w:rsid w:val="007939B3"/>
    <w:rsid w:val="0079509C"/>
    <w:rsid w:val="00796708"/>
    <w:rsid w:val="007A58DE"/>
    <w:rsid w:val="007B1B42"/>
    <w:rsid w:val="007B2553"/>
    <w:rsid w:val="007B6AF0"/>
    <w:rsid w:val="007C30EB"/>
    <w:rsid w:val="007D20FE"/>
    <w:rsid w:val="007D2A04"/>
    <w:rsid w:val="007E063C"/>
    <w:rsid w:val="007E2A4B"/>
    <w:rsid w:val="007E307D"/>
    <w:rsid w:val="007E6A4E"/>
    <w:rsid w:val="007E6C94"/>
    <w:rsid w:val="007F1005"/>
    <w:rsid w:val="007F25E0"/>
    <w:rsid w:val="007F5328"/>
    <w:rsid w:val="00804DA2"/>
    <w:rsid w:val="00804F5A"/>
    <w:rsid w:val="0080683A"/>
    <w:rsid w:val="00810C6D"/>
    <w:rsid w:val="00812887"/>
    <w:rsid w:val="00826F21"/>
    <w:rsid w:val="00827A11"/>
    <w:rsid w:val="00827B6C"/>
    <w:rsid w:val="00834CC8"/>
    <w:rsid w:val="00835E00"/>
    <w:rsid w:val="00837113"/>
    <w:rsid w:val="008414E4"/>
    <w:rsid w:val="00843E21"/>
    <w:rsid w:val="0084508E"/>
    <w:rsid w:val="00853E27"/>
    <w:rsid w:val="00856AB1"/>
    <w:rsid w:val="00857957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3C27"/>
    <w:rsid w:val="008D4B8B"/>
    <w:rsid w:val="008D5A78"/>
    <w:rsid w:val="008E7B64"/>
    <w:rsid w:val="008F5DCD"/>
    <w:rsid w:val="00900951"/>
    <w:rsid w:val="00906BBC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360"/>
    <w:rsid w:val="0094660B"/>
    <w:rsid w:val="00946A33"/>
    <w:rsid w:val="0095260E"/>
    <w:rsid w:val="009578DD"/>
    <w:rsid w:val="00961124"/>
    <w:rsid w:val="009621B6"/>
    <w:rsid w:val="00967A4A"/>
    <w:rsid w:val="00974F2D"/>
    <w:rsid w:val="009766E7"/>
    <w:rsid w:val="00977524"/>
    <w:rsid w:val="00977E88"/>
    <w:rsid w:val="00984920"/>
    <w:rsid w:val="00985DB4"/>
    <w:rsid w:val="0099303A"/>
    <w:rsid w:val="00995D5E"/>
    <w:rsid w:val="009971C2"/>
    <w:rsid w:val="009A1254"/>
    <w:rsid w:val="009B2FF2"/>
    <w:rsid w:val="009B380C"/>
    <w:rsid w:val="009B4843"/>
    <w:rsid w:val="009B5570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47"/>
    <w:rsid w:val="009F05CF"/>
    <w:rsid w:val="009F0F3A"/>
    <w:rsid w:val="00A01D0C"/>
    <w:rsid w:val="00A05B59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6E47"/>
    <w:rsid w:val="00A56EB9"/>
    <w:rsid w:val="00A633D4"/>
    <w:rsid w:val="00A6461A"/>
    <w:rsid w:val="00A670AD"/>
    <w:rsid w:val="00A736C7"/>
    <w:rsid w:val="00A84504"/>
    <w:rsid w:val="00A8672F"/>
    <w:rsid w:val="00A93057"/>
    <w:rsid w:val="00A968B0"/>
    <w:rsid w:val="00AA21C6"/>
    <w:rsid w:val="00AA46AD"/>
    <w:rsid w:val="00AB2672"/>
    <w:rsid w:val="00AB2817"/>
    <w:rsid w:val="00AB3233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1E3E"/>
    <w:rsid w:val="00B71188"/>
    <w:rsid w:val="00B76A41"/>
    <w:rsid w:val="00B81669"/>
    <w:rsid w:val="00B87D4C"/>
    <w:rsid w:val="00B91EC6"/>
    <w:rsid w:val="00B93646"/>
    <w:rsid w:val="00BA0B38"/>
    <w:rsid w:val="00BA1DBB"/>
    <w:rsid w:val="00BA4510"/>
    <w:rsid w:val="00BA529A"/>
    <w:rsid w:val="00BB612A"/>
    <w:rsid w:val="00BD221A"/>
    <w:rsid w:val="00BD499F"/>
    <w:rsid w:val="00BD56DE"/>
    <w:rsid w:val="00BF2406"/>
    <w:rsid w:val="00BF2960"/>
    <w:rsid w:val="00C16315"/>
    <w:rsid w:val="00C3091E"/>
    <w:rsid w:val="00C40FF1"/>
    <w:rsid w:val="00C419E2"/>
    <w:rsid w:val="00C438E1"/>
    <w:rsid w:val="00C5020E"/>
    <w:rsid w:val="00C57452"/>
    <w:rsid w:val="00C61EDF"/>
    <w:rsid w:val="00C6239D"/>
    <w:rsid w:val="00C6594B"/>
    <w:rsid w:val="00C6743C"/>
    <w:rsid w:val="00C67FFB"/>
    <w:rsid w:val="00C707F6"/>
    <w:rsid w:val="00C7155E"/>
    <w:rsid w:val="00C71D1E"/>
    <w:rsid w:val="00C71D7D"/>
    <w:rsid w:val="00C74833"/>
    <w:rsid w:val="00C8481A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3C15"/>
    <w:rsid w:val="00CC6322"/>
    <w:rsid w:val="00CD2BFD"/>
    <w:rsid w:val="00CE5AD6"/>
    <w:rsid w:val="00CE617F"/>
    <w:rsid w:val="00CE775D"/>
    <w:rsid w:val="00CE78EF"/>
    <w:rsid w:val="00CF05B6"/>
    <w:rsid w:val="00CF64FC"/>
    <w:rsid w:val="00D048F7"/>
    <w:rsid w:val="00D0517E"/>
    <w:rsid w:val="00D140FC"/>
    <w:rsid w:val="00D21D8C"/>
    <w:rsid w:val="00D2696D"/>
    <w:rsid w:val="00D31357"/>
    <w:rsid w:val="00D33220"/>
    <w:rsid w:val="00D334D1"/>
    <w:rsid w:val="00D424E4"/>
    <w:rsid w:val="00D44C89"/>
    <w:rsid w:val="00D516CD"/>
    <w:rsid w:val="00D559D0"/>
    <w:rsid w:val="00D668E6"/>
    <w:rsid w:val="00D70670"/>
    <w:rsid w:val="00D72320"/>
    <w:rsid w:val="00D74D80"/>
    <w:rsid w:val="00D76624"/>
    <w:rsid w:val="00D837CF"/>
    <w:rsid w:val="00D87570"/>
    <w:rsid w:val="00D87E5D"/>
    <w:rsid w:val="00D91CB9"/>
    <w:rsid w:val="00D97989"/>
    <w:rsid w:val="00D97D8D"/>
    <w:rsid w:val="00DA352E"/>
    <w:rsid w:val="00DA75CC"/>
    <w:rsid w:val="00DC7694"/>
    <w:rsid w:val="00DD1BF6"/>
    <w:rsid w:val="00DD2F9B"/>
    <w:rsid w:val="00DD537A"/>
    <w:rsid w:val="00DE2513"/>
    <w:rsid w:val="00DE26E8"/>
    <w:rsid w:val="00DF6F36"/>
    <w:rsid w:val="00E0084C"/>
    <w:rsid w:val="00E025AB"/>
    <w:rsid w:val="00E02B23"/>
    <w:rsid w:val="00E06F40"/>
    <w:rsid w:val="00E07CE8"/>
    <w:rsid w:val="00E2139D"/>
    <w:rsid w:val="00E26A07"/>
    <w:rsid w:val="00E31465"/>
    <w:rsid w:val="00E32595"/>
    <w:rsid w:val="00E3498B"/>
    <w:rsid w:val="00E37CFD"/>
    <w:rsid w:val="00E41A26"/>
    <w:rsid w:val="00E46BCB"/>
    <w:rsid w:val="00E51CAF"/>
    <w:rsid w:val="00E54A0C"/>
    <w:rsid w:val="00E60F04"/>
    <w:rsid w:val="00E62AAC"/>
    <w:rsid w:val="00E67C2F"/>
    <w:rsid w:val="00E67EF5"/>
    <w:rsid w:val="00E804EA"/>
    <w:rsid w:val="00E80A71"/>
    <w:rsid w:val="00E82337"/>
    <w:rsid w:val="00E877EE"/>
    <w:rsid w:val="00E92499"/>
    <w:rsid w:val="00E931EA"/>
    <w:rsid w:val="00E94433"/>
    <w:rsid w:val="00E949AF"/>
    <w:rsid w:val="00E96077"/>
    <w:rsid w:val="00EA0A06"/>
    <w:rsid w:val="00EA413B"/>
    <w:rsid w:val="00EA6243"/>
    <w:rsid w:val="00EA74AB"/>
    <w:rsid w:val="00EB2882"/>
    <w:rsid w:val="00EB3D1B"/>
    <w:rsid w:val="00EB3E4C"/>
    <w:rsid w:val="00ED1D89"/>
    <w:rsid w:val="00ED66BC"/>
    <w:rsid w:val="00EF233A"/>
    <w:rsid w:val="00EF303E"/>
    <w:rsid w:val="00EF3A40"/>
    <w:rsid w:val="00EF3FA1"/>
    <w:rsid w:val="00EF45F2"/>
    <w:rsid w:val="00EF7F78"/>
    <w:rsid w:val="00F01B08"/>
    <w:rsid w:val="00F01C4D"/>
    <w:rsid w:val="00F053FA"/>
    <w:rsid w:val="00F078C6"/>
    <w:rsid w:val="00F10C97"/>
    <w:rsid w:val="00F11C71"/>
    <w:rsid w:val="00F16019"/>
    <w:rsid w:val="00F20E68"/>
    <w:rsid w:val="00F22093"/>
    <w:rsid w:val="00F236DF"/>
    <w:rsid w:val="00F319CF"/>
    <w:rsid w:val="00F3463C"/>
    <w:rsid w:val="00F43AD5"/>
    <w:rsid w:val="00F4402E"/>
    <w:rsid w:val="00F56DD0"/>
    <w:rsid w:val="00F6491C"/>
    <w:rsid w:val="00F67BBB"/>
    <w:rsid w:val="00F815D7"/>
    <w:rsid w:val="00F82ED2"/>
    <w:rsid w:val="00F84B4E"/>
    <w:rsid w:val="00F87D92"/>
    <w:rsid w:val="00F90AA7"/>
    <w:rsid w:val="00F92498"/>
    <w:rsid w:val="00F9496B"/>
    <w:rsid w:val="00F970C9"/>
    <w:rsid w:val="00FA06A8"/>
    <w:rsid w:val="00FA3DF5"/>
    <w:rsid w:val="00FA424A"/>
    <w:rsid w:val="00FA741F"/>
    <w:rsid w:val="00FA74ED"/>
    <w:rsid w:val="00FB4E07"/>
    <w:rsid w:val="00FB755A"/>
    <w:rsid w:val="00FC60A2"/>
    <w:rsid w:val="00FD1871"/>
    <w:rsid w:val="00FD3110"/>
    <w:rsid w:val="00FD34FE"/>
    <w:rsid w:val="00FD72F1"/>
    <w:rsid w:val="00FE24A9"/>
    <w:rsid w:val="00FF5C3D"/>
    <w:rsid w:val="509D176D"/>
    <w:rsid w:val="706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5"/>
    <o:shapelayout v:ext="edit">
      <o:idmap v:ext="edit" data="1"/>
    </o:shapelayout>
  </w:shapeDefaults>
  <w:decimalSymbol w:val="."/>
  <w:listSeparator w:val=","/>
  <w14:docId w14:val="1084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E54A0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F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F78"/>
    <w:rPr>
      <w:b/>
      <w:bCs/>
      <w:szCs w:val="20"/>
    </w:rPr>
  </w:style>
  <w:style w:type="paragraph" w:styleId="Revision">
    <w:name w:val="Revision"/>
    <w:hidden/>
    <w:uiPriority w:val="99"/>
    <w:semiHidden/>
    <w:rsid w:val="002D7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gih.org/tlv-bei-guidelines/policies-procedures-presentation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B0BAA2441D5427984E6018FB389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5C92-832B-40AB-8BE2-B7067B457426}"/>
      </w:docPartPr>
      <w:docPartBody>
        <w:p w:rsidR="00D21A9F" w:rsidRDefault="00D21A9F">
          <w:pPr>
            <w:pStyle w:val="7B0BAA2441D5427984E6018FB38900E7"/>
          </w:pPr>
          <w:r w:rsidRPr="00CA109A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1D38B030D146B59436754F8399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45D3-FCC7-4128-9931-F2D9B6FFD50C}"/>
      </w:docPartPr>
      <w:docPartBody>
        <w:p w:rsidR="00D21A9F" w:rsidRDefault="00D21A9F">
          <w:pPr>
            <w:pStyle w:val="5C1D38B030D146B59436754F8399D502"/>
          </w:pPr>
          <w:r w:rsidRPr="0012118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2487D2DE58448BB95AC3F434756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3D08-A32F-46C3-B208-7AF6CB5A8D5D}"/>
      </w:docPartPr>
      <w:docPartBody>
        <w:p w:rsidR="00F63DC0" w:rsidRDefault="001E660F" w:rsidP="001E660F">
          <w:pPr>
            <w:pStyle w:val="52487D2DE58448BB95AC3F4347567CD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38708A14FE647D99B0B641C534B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79C7-76CE-42EB-8623-B7A80AACB422}"/>
      </w:docPartPr>
      <w:docPartBody>
        <w:p w:rsidR="00FA4D6C" w:rsidRDefault="00004142" w:rsidP="00004142">
          <w:pPr>
            <w:pStyle w:val="238708A14FE647D99B0B641C534BB8A7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04142"/>
    <w:rsid w:val="00172986"/>
    <w:rsid w:val="001E660F"/>
    <w:rsid w:val="002810F3"/>
    <w:rsid w:val="00620BDB"/>
    <w:rsid w:val="00705C32"/>
    <w:rsid w:val="007A0F2C"/>
    <w:rsid w:val="00821A94"/>
    <w:rsid w:val="00C52145"/>
    <w:rsid w:val="00D21A9F"/>
    <w:rsid w:val="00F63DC0"/>
    <w:rsid w:val="00FA4D6C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14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52487D2DE58448BB95AC3F4347567CDA">
    <w:name w:val="52487D2DE58448BB95AC3F4347567CDA"/>
    <w:rsid w:val="001E660F"/>
  </w:style>
  <w:style w:type="paragraph" w:customStyle="1" w:styleId="6A18B64D683948909479A68184EE0AFC">
    <w:name w:val="6A18B64D683948909479A68184EE0AFC"/>
    <w:rsid w:val="00F63DC0"/>
  </w:style>
  <w:style w:type="paragraph" w:customStyle="1" w:styleId="D4159D3675DA4CB690081F675513B0D0">
    <w:name w:val="D4159D3675DA4CB690081F675513B0D0"/>
    <w:rsid w:val="00F63DC0"/>
  </w:style>
  <w:style w:type="paragraph" w:customStyle="1" w:styleId="238708A14FE647D99B0B641C534BB8A7">
    <w:name w:val="238708A14FE647D99B0B641C534BB8A7"/>
    <w:rsid w:val="00004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B168-FEA1-46D0-8B2D-D00D5C6F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2021-01-29T02:56:00Z</dcterms:created>
  <dcterms:modified xsi:type="dcterms:W3CDTF">2021-01-29T03:02:00Z</dcterms:modified>
</cp:coreProperties>
</file>