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57862CEC" w14:textId="30393731" w:rsidR="00BD499F" w:rsidRPr="004C23F4" w:rsidRDefault="00463478" w:rsidP="00B40C60">
          <w:pPr>
            <w:pStyle w:val="Heading1"/>
            <w:jc w:val="center"/>
            <w:rPr>
              <w:rFonts w:ascii="Arial" w:hAnsi="Arial" w:cs="Arial"/>
            </w:rPr>
          </w:pPr>
          <w:r w:rsidRPr="00463478">
            <w:rPr>
              <w:rFonts w:ascii="Arial" w:hAnsi="Arial" w:cs="Arial"/>
            </w:rPr>
            <w:t>TEPP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2"/>
        <w:gridCol w:w="5044"/>
      </w:tblGrid>
      <w:tr w:rsidR="00F43AD5" w:rsidRPr="004C23F4" w14:paraId="189D6E38" w14:textId="77777777" w:rsidTr="00662CBB">
        <w:trPr>
          <w:cantSplit/>
          <w:tblHeader/>
        </w:trPr>
        <w:tc>
          <w:tcPr>
            <w:tcW w:w="3982" w:type="dxa"/>
          </w:tcPr>
          <w:p w14:paraId="517634FF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4" w:type="dxa"/>
          </w:tcPr>
          <w:p w14:paraId="3EDBFD9E" w14:textId="7C21D641" w:rsidR="00F43AD5" w:rsidRPr="00717D45" w:rsidRDefault="00463478" w:rsidP="00B76A41">
            <w:pPr>
              <w:pStyle w:val="Tablefont"/>
            </w:pPr>
            <w:r w:rsidRPr="00463478">
              <w:t>107-49-3</w:t>
            </w:r>
          </w:p>
        </w:tc>
      </w:tr>
      <w:tr w:rsidR="00F43AD5" w:rsidRPr="004C23F4" w14:paraId="562A9F51" w14:textId="77777777" w:rsidTr="00662CBB">
        <w:trPr>
          <w:cantSplit/>
        </w:trPr>
        <w:tc>
          <w:tcPr>
            <w:tcW w:w="3982" w:type="dxa"/>
          </w:tcPr>
          <w:p w14:paraId="6A9A0952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4" w:type="dxa"/>
          </w:tcPr>
          <w:p w14:paraId="32648AB9" w14:textId="13C276D0" w:rsidR="00F43AD5" w:rsidRPr="00717D45" w:rsidRDefault="00463478" w:rsidP="00B76A41">
            <w:pPr>
              <w:pStyle w:val="Tablefont"/>
            </w:pPr>
            <w:r>
              <w:t xml:space="preserve">Ethyl pyrophosphate, phosphoric acid tetraethyl ester, tetraethyl pyrophosphate, </w:t>
            </w:r>
            <w:proofErr w:type="spellStart"/>
            <w:r>
              <w:t>Bladan</w:t>
            </w:r>
            <w:proofErr w:type="spellEnd"/>
            <w:r w:rsidRPr="00463478">
              <w:rPr>
                <w:vertAlign w:val="superscript"/>
              </w:rPr>
              <w:t>®</w:t>
            </w:r>
            <w:r>
              <w:t xml:space="preserve">, </w:t>
            </w:r>
            <w:proofErr w:type="spellStart"/>
            <w:r>
              <w:t>Fosnex</w:t>
            </w:r>
            <w:proofErr w:type="spellEnd"/>
            <w:r w:rsidRPr="00463478">
              <w:rPr>
                <w:vertAlign w:val="superscript"/>
              </w:rPr>
              <w:t>®</w:t>
            </w:r>
            <w:r>
              <w:t>, HETP</w:t>
            </w:r>
            <w:r w:rsidRPr="00463478">
              <w:rPr>
                <w:vertAlign w:val="superscript"/>
              </w:rPr>
              <w:t>®</w:t>
            </w:r>
            <w:r>
              <w:t xml:space="preserve">, </w:t>
            </w:r>
            <w:proofErr w:type="spellStart"/>
            <w:r>
              <w:t>Nifos</w:t>
            </w:r>
            <w:proofErr w:type="spellEnd"/>
            <w:r>
              <w:t xml:space="preserve"> T</w:t>
            </w:r>
            <w:r w:rsidRPr="00463478">
              <w:rPr>
                <w:vertAlign w:val="superscript"/>
              </w:rPr>
              <w:t>®</w:t>
            </w:r>
            <w:r>
              <w:t xml:space="preserve">, </w:t>
            </w:r>
            <w:proofErr w:type="spellStart"/>
            <w:r>
              <w:t>Kilmite</w:t>
            </w:r>
            <w:proofErr w:type="spellEnd"/>
            <w:r w:rsidRPr="00463478">
              <w:rPr>
                <w:vertAlign w:val="superscript"/>
              </w:rPr>
              <w:t>®</w:t>
            </w:r>
            <w:r>
              <w:t xml:space="preserve">, </w:t>
            </w:r>
            <w:proofErr w:type="spellStart"/>
            <w:r>
              <w:t>Pyfos</w:t>
            </w:r>
            <w:proofErr w:type="spellEnd"/>
            <w:r w:rsidRPr="00463478">
              <w:rPr>
                <w:vertAlign w:val="superscript"/>
              </w:rPr>
              <w:t>®</w:t>
            </w:r>
            <w:r>
              <w:t xml:space="preserve">, </w:t>
            </w:r>
            <w:proofErr w:type="spellStart"/>
            <w:r>
              <w:t>Tetraspa</w:t>
            </w:r>
            <w:proofErr w:type="spellEnd"/>
            <w:r w:rsidRPr="00463478">
              <w:rPr>
                <w:vertAlign w:val="superscript"/>
              </w:rPr>
              <w:t>®</w:t>
            </w:r>
          </w:p>
        </w:tc>
      </w:tr>
      <w:tr w:rsidR="00F43AD5" w:rsidRPr="004C23F4" w14:paraId="6EE54A08" w14:textId="77777777" w:rsidTr="00662CBB">
        <w:trPr>
          <w:cantSplit/>
        </w:trPr>
        <w:tc>
          <w:tcPr>
            <w:tcW w:w="3982" w:type="dxa"/>
          </w:tcPr>
          <w:p w14:paraId="3C2EC489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4" w:type="dxa"/>
          </w:tcPr>
          <w:p w14:paraId="69369B00" w14:textId="32C80740" w:rsidR="00F43AD5" w:rsidRPr="00717D45" w:rsidRDefault="00463478" w:rsidP="00B76A41">
            <w:pPr>
              <w:pStyle w:val="Tablefont"/>
            </w:pPr>
            <w:r>
              <w:t>C</w:t>
            </w:r>
            <w:r w:rsidRPr="00463478">
              <w:rPr>
                <w:vertAlign w:val="subscript"/>
              </w:rPr>
              <w:t>8</w:t>
            </w:r>
            <w:r>
              <w:t>H</w:t>
            </w:r>
            <w:r w:rsidRPr="00463478">
              <w:rPr>
                <w:vertAlign w:val="subscript"/>
              </w:rPr>
              <w:t>20</w:t>
            </w:r>
            <w:r>
              <w:t>O</w:t>
            </w:r>
            <w:r w:rsidRPr="00463478">
              <w:rPr>
                <w:vertAlign w:val="subscript"/>
              </w:rPr>
              <w:t>7</w:t>
            </w:r>
            <w:r>
              <w:t>P</w:t>
            </w:r>
            <w:r w:rsidRPr="00463478">
              <w:rPr>
                <w:vertAlign w:val="subscript"/>
              </w:rPr>
              <w:t>2</w:t>
            </w:r>
          </w:p>
        </w:tc>
      </w:tr>
    </w:tbl>
    <w:p w14:paraId="71D72173" w14:textId="2A6BD1F3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665BF6">
            <w:rPr>
              <w:rStyle w:val="WESstatus"/>
            </w:rPr>
            <w:t>(amended)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10"/>
        <w:gridCol w:w="5016"/>
      </w:tblGrid>
      <w:tr w:rsidR="002C7AFE" w:rsidRPr="004C23F4" w14:paraId="38011720" w14:textId="77777777" w:rsidTr="00037E52">
        <w:trPr>
          <w:cantSplit/>
          <w:tblHeader/>
        </w:trPr>
        <w:tc>
          <w:tcPr>
            <w:tcW w:w="4010" w:type="dxa"/>
            <w:vAlign w:val="center"/>
          </w:tcPr>
          <w:p w14:paraId="652B29B1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16" w:type="dxa"/>
          </w:tcPr>
          <w:p w14:paraId="43EB6150" w14:textId="4219AB3E" w:rsidR="002C7AFE" w:rsidRPr="00AF1068" w:rsidRDefault="00F620D6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EF58FD6" w14:textId="77777777" w:rsidTr="00037E52">
        <w:trPr>
          <w:cantSplit/>
        </w:trPr>
        <w:tc>
          <w:tcPr>
            <w:tcW w:w="4010" w:type="dxa"/>
            <w:vAlign w:val="center"/>
          </w:tcPr>
          <w:p w14:paraId="1CE0F108" w14:textId="77777777" w:rsidR="00037E52" w:rsidRPr="002C58FF" w:rsidRDefault="00037E52" w:rsidP="00037E52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16" w:type="dxa"/>
          </w:tcPr>
          <w:p w14:paraId="7C8B818A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09DF5A7D" w14:textId="77777777" w:rsidTr="00037E52">
        <w:trPr>
          <w:cantSplit/>
        </w:trPr>
        <w:tc>
          <w:tcPr>
            <w:tcW w:w="4010" w:type="dxa"/>
            <w:vAlign w:val="center"/>
          </w:tcPr>
          <w:p w14:paraId="7D9BAC3A" w14:textId="77777777" w:rsidR="00037E52" w:rsidRPr="002C58FF" w:rsidRDefault="00037E52" w:rsidP="00037E52">
            <w:pPr>
              <w:pStyle w:val="Tablerowright"/>
            </w:pPr>
            <w:r>
              <w:t>Peak limitation:</w:t>
            </w:r>
          </w:p>
        </w:tc>
        <w:tc>
          <w:tcPr>
            <w:tcW w:w="5016" w:type="dxa"/>
          </w:tcPr>
          <w:p w14:paraId="582B22B5" w14:textId="77777777" w:rsidR="00037E52" w:rsidRPr="00EB3D1B" w:rsidRDefault="00037E52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037E52" w:rsidRPr="004C23F4" w14:paraId="368D7039" w14:textId="77777777" w:rsidTr="00037E52">
        <w:trPr>
          <w:cantSplit/>
        </w:trPr>
        <w:tc>
          <w:tcPr>
            <w:tcW w:w="4010" w:type="dxa"/>
          </w:tcPr>
          <w:p w14:paraId="589F33FE" w14:textId="77777777" w:rsidR="00037E52" w:rsidRPr="002C58FF" w:rsidRDefault="00037E52" w:rsidP="00037E52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tc>
          <w:tcPr>
            <w:tcW w:w="5016" w:type="dxa"/>
          </w:tcPr>
          <w:p w14:paraId="6E9A7528" w14:textId="403CEC4B" w:rsidR="00037E52" w:rsidRPr="00EB3D1B" w:rsidRDefault="007B500F" w:rsidP="00037E52">
            <w:pPr>
              <w:pStyle w:val="Tablefont"/>
              <w:rPr>
                <w:b/>
              </w:rPr>
            </w:pPr>
            <w:r>
              <w:rPr>
                <w:b/>
              </w:rPr>
              <w:t>Sk.</w:t>
            </w:r>
          </w:p>
        </w:tc>
      </w:tr>
      <w:tr w:rsidR="00037E52" w:rsidRPr="004C23F4" w14:paraId="5FFAC073" w14:textId="77777777" w:rsidTr="00037E52">
        <w:trPr>
          <w:cantSplit/>
        </w:trPr>
        <w:tc>
          <w:tcPr>
            <w:tcW w:w="4010" w:type="dxa"/>
            <w:vAlign w:val="center"/>
          </w:tcPr>
          <w:p w14:paraId="6B171BBD" w14:textId="77777777" w:rsidR="00037E52" w:rsidRPr="002C58FF" w:rsidRDefault="00037E52" w:rsidP="00037E52">
            <w:pPr>
              <w:pStyle w:val="Tablerowright"/>
            </w:pPr>
            <w:r>
              <w:t>IDLH:</w:t>
            </w:r>
          </w:p>
        </w:tc>
        <w:tc>
          <w:tcPr>
            <w:tcW w:w="5016" w:type="dxa"/>
          </w:tcPr>
          <w:p w14:paraId="7090041D" w14:textId="3437D285" w:rsidR="00037E52" w:rsidRPr="00EB3D1B" w:rsidRDefault="00463478" w:rsidP="00037E52">
            <w:pPr>
              <w:pStyle w:val="Tablefont"/>
              <w:rPr>
                <w:b/>
              </w:rPr>
            </w:pPr>
            <w:r w:rsidRPr="00463478">
              <w:rPr>
                <w:b/>
              </w:rPr>
              <w:t>5 mg/m</w:t>
            </w:r>
            <w:r w:rsidRPr="00463478">
              <w:rPr>
                <w:b/>
                <w:vertAlign w:val="superscript"/>
              </w:rPr>
              <w:t>3</w:t>
            </w:r>
          </w:p>
        </w:tc>
      </w:tr>
      <w:tr w:rsidR="00155999" w:rsidRPr="004C23F4" w14:paraId="27D0E012" w14:textId="77777777" w:rsidTr="004549A3">
        <w:trPr>
          <w:cantSplit/>
        </w:trPr>
        <w:tc>
          <w:tcPr>
            <w:tcW w:w="9026" w:type="dxa"/>
            <w:gridSpan w:val="2"/>
            <w:vAlign w:val="center"/>
          </w:tcPr>
          <w:p w14:paraId="31B5D59E" w14:textId="4E83FD92" w:rsidR="00155999" w:rsidRPr="00EB3D1B" w:rsidRDefault="00155999" w:rsidP="00037E52">
            <w:pPr>
              <w:pStyle w:val="Tablefont"/>
              <w:rPr>
                <w:b/>
              </w:rPr>
            </w:pPr>
            <w:r w:rsidRPr="00602DDA">
              <w:rPr>
                <w:b/>
              </w:rPr>
              <w:t>Sampling and analysis</w:t>
            </w:r>
            <w:r>
              <w:t>:</w:t>
            </w:r>
            <w:r w:rsidRPr="00EC521E">
              <w:rPr>
                <w:rStyle w:val="WESstatus"/>
                <w:color w:val="auto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DA2FFE9CEF2D415F9F59B567F352ED2C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E932E0" w:rsidRPr="00352A1A">
                  <w:rPr>
                    <w:rStyle w:val="WESstatus"/>
                    <w:color w:val="auto"/>
                  </w:rPr>
                  <w:t>N/A</w:t>
                </w:r>
              </w:sdtContent>
            </w:sdt>
          </w:p>
        </w:tc>
      </w:tr>
    </w:tbl>
    <w:p w14:paraId="1330EBEE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B74C486" w14:textId="3225A239" w:rsidR="00403E8E" w:rsidRPr="004C23F4" w:rsidRDefault="00E932E0" w:rsidP="00403E8E">
      <w:pPr>
        <w:rPr>
          <w:rFonts w:cs="Arial"/>
        </w:rPr>
      </w:pPr>
      <w:r w:rsidRPr="007E34AA">
        <w:t xml:space="preserve">This chemical has been nominated for removal from the </w:t>
      </w:r>
      <w:r w:rsidRPr="003C4C0E">
        <w:rPr>
          <w:i/>
        </w:rPr>
        <w:t>Workplace exposure standards for airborne contaminants</w:t>
      </w:r>
      <w:r w:rsidRPr="007E34AA">
        <w:t xml:space="preserve"> due to a lack of evidence that it is used or generated in Australian workplaces or that it presents a potential for legacy exposure. Therefore, a TWA is not recommended.</w:t>
      </w:r>
    </w:p>
    <w:p w14:paraId="317A46B1" w14:textId="77777777" w:rsidR="00C7155E" w:rsidRPr="004C23F4" w:rsidRDefault="00F10C97" w:rsidP="003365A5">
      <w:pPr>
        <w:pStyle w:val="Heading2"/>
      </w:pPr>
      <w:r>
        <w:t>Discussion and conclusions</w:t>
      </w:r>
    </w:p>
    <w:p w14:paraId="3AF6C047" w14:textId="091C8E95" w:rsidR="006639B4" w:rsidRDefault="00B70D9C" w:rsidP="006639B4">
      <w:r w:rsidRPr="00485D31">
        <w:t xml:space="preserve">Tetraethyl pyrophosphate (TEPP) </w:t>
      </w:r>
      <w:r w:rsidR="007C721A" w:rsidRPr="00485D31">
        <w:t xml:space="preserve">is an </w:t>
      </w:r>
      <w:r w:rsidR="007C721A" w:rsidRPr="00485D31">
        <w:rPr>
          <w:rFonts w:cs="Arial"/>
          <w:color w:val="1C1D1E"/>
          <w:shd w:val="clear" w:color="auto" w:fill="FFFFFF"/>
        </w:rPr>
        <w:t>organophosphorus</w:t>
      </w:r>
      <w:r w:rsidR="00226F87" w:rsidRPr="00485D31">
        <w:rPr>
          <w:rFonts w:cs="Arial"/>
          <w:color w:val="1C1D1E"/>
          <w:shd w:val="clear" w:color="auto" w:fill="FFFFFF"/>
        </w:rPr>
        <w:t xml:space="preserve"> (OP)</w:t>
      </w:r>
      <w:r w:rsidR="007C721A" w:rsidRPr="00485D31">
        <w:t xml:space="preserve"> pesticide</w:t>
      </w:r>
      <w:r w:rsidRPr="00485D31">
        <w:t xml:space="preserve"> used to control aphids, spiders, mites </w:t>
      </w:r>
      <w:r w:rsidR="007C721A" w:rsidRPr="00485D31">
        <w:t>and other insects.</w:t>
      </w:r>
      <w:r w:rsidR="00E932E0" w:rsidRPr="00485D31">
        <w:t xml:space="preserve"> There is lack of evidence that this chemical is used or generated in Australian workplaces or that it presents a potential for legacy exposure.</w:t>
      </w:r>
    </w:p>
    <w:p w14:paraId="255D86B4" w14:textId="52B31930" w:rsidR="007C721A" w:rsidRDefault="007C721A" w:rsidP="006639B4">
      <w:r>
        <w:t>Critical effect</w:t>
      </w:r>
      <w:r w:rsidR="007B500F">
        <w:t>s</w:t>
      </w:r>
      <w:r>
        <w:t xml:space="preserve"> </w:t>
      </w:r>
      <w:r w:rsidR="007B500F">
        <w:t>of</w:t>
      </w:r>
      <w:r>
        <w:t xml:space="preserve"> exposure </w:t>
      </w:r>
      <w:r w:rsidR="008E2574">
        <w:t>are</w:t>
      </w:r>
      <w:r>
        <w:t xml:space="preserve"> a reduction in </w:t>
      </w:r>
      <w:proofErr w:type="spellStart"/>
      <w:r w:rsidR="007B500F">
        <w:t>ChE</w:t>
      </w:r>
      <w:proofErr w:type="spellEnd"/>
      <w:r>
        <w:t xml:space="preserve"> enzymes in red blood cell</w:t>
      </w:r>
      <w:r w:rsidR="00226F87">
        <w:t>s</w:t>
      </w:r>
      <w:r w:rsidR="00A567A9">
        <w:t xml:space="preserve"> (RBC)</w:t>
      </w:r>
      <w:r>
        <w:t xml:space="preserve">, plasma and </w:t>
      </w:r>
      <w:r w:rsidR="00530D4E">
        <w:t xml:space="preserve">the </w:t>
      </w:r>
      <w:r>
        <w:t>brain.</w:t>
      </w:r>
    </w:p>
    <w:p w14:paraId="72196867" w14:textId="3710FEC4" w:rsidR="00E61068" w:rsidRDefault="007C721A" w:rsidP="008459DD">
      <w:r>
        <w:t>No data in humans involving workplace exposure to airborne concentrations are available.</w:t>
      </w:r>
      <w:r w:rsidR="00372F1D">
        <w:t xml:space="preserve"> </w:t>
      </w:r>
      <w:r w:rsidR="00F279FF">
        <w:t xml:space="preserve">It </w:t>
      </w:r>
      <w:r w:rsidR="00372F1D">
        <w:t xml:space="preserve">is a potent, rapid-acting OP </w:t>
      </w:r>
      <w:r w:rsidR="00DD0B0E">
        <w:t xml:space="preserve">reported to </w:t>
      </w:r>
      <w:r w:rsidR="00372F1D">
        <w:t xml:space="preserve">produce signs of cholinergic </w:t>
      </w:r>
      <w:r w:rsidR="00DD0B0E">
        <w:t xml:space="preserve">toxicity </w:t>
      </w:r>
      <w:r w:rsidR="00372F1D">
        <w:t xml:space="preserve">including death </w:t>
      </w:r>
      <w:r w:rsidR="002E3273">
        <w:t xml:space="preserve">from accidental and intentional poisoning </w:t>
      </w:r>
      <w:r w:rsidR="00372F1D">
        <w:t>in humans</w:t>
      </w:r>
      <w:r w:rsidR="008459DD">
        <w:t>.</w:t>
      </w:r>
      <w:r>
        <w:t xml:space="preserve"> </w:t>
      </w:r>
      <w:r w:rsidR="008939CE">
        <w:t xml:space="preserve">A steep dose-response curve </w:t>
      </w:r>
      <w:r w:rsidR="00485D31">
        <w:t xml:space="preserve">producing signs of cholinergic response in </w:t>
      </w:r>
      <w:r w:rsidR="00485D31" w:rsidRPr="00485D31">
        <w:t xml:space="preserve">humans is </w:t>
      </w:r>
      <w:r w:rsidR="008939CE" w:rsidRPr="00485D31">
        <w:t xml:space="preserve">reported in </w:t>
      </w:r>
      <w:r w:rsidR="00EF4AA2">
        <w:t xml:space="preserve">clinical reports </w:t>
      </w:r>
      <w:r w:rsidR="00F279FF">
        <w:t xml:space="preserve">of </w:t>
      </w:r>
      <w:r w:rsidR="008939CE">
        <w:t xml:space="preserve">therapeutic </w:t>
      </w:r>
      <w:r w:rsidR="00DD0B0E">
        <w:t>use</w:t>
      </w:r>
      <w:r w:rsidR="00485D31" w:rsidRPr="00485D31">
        <w:t>.</w:t>
      </w:r>
      <w:r w:rsidR="008939CE" w:rsidRPr="00485D31">
        <w:t xml:space="preserve"> </w:t>
      </w:r>
      <w:r w:rsidR="00485D31" w:rsidRPr="00485D31">
        <w:t>The difference between the dose required to produce a response and the dose that produced toxicity was extremely small (</w:t>
      </w:r>
      <w:r w:rsidR="00485D31" w:rsidRPr="00EF4AA2">
        <w:t>ranging from 0.07–0.4 mg/kg/d) i</w:t>
      </w:r>
      <w:r w:rsidR="00F87A0F" w:rsidRPr="00EF4AA2">
        <w:t>n a therapeutic study of</w:t>
      </w:r>
      <w:r w:rsidR="00640C00" w:rsidRPr="00EF4AA2">
        <w:t xml:space="preserve"> patients</w:t>
      </w:r>
      <w:r w:rsidR="00BA7519" w:rsidRPr="00EF4AA2">
        <w:t xml:space="preserve"> </w:t>
      </w:r>
      <w:r w:rsidR="00485D31" w:rsidRPr="00EF4AA2">
        <w:t xml:space="preserve">treated with </w:t>
      </w:r>
      <w:r w:rsidR="00640C00" w:rsidRPr="00EF4AA2">
        <w:t>daily doses between 13</w:t>
      </w:r>
      <w:r w:rsidR="008459DD" w:rsidRPr="00EF4AA2">
        <w:t> </w:t>
      </w:r>
      <w:r w:rsidR="00640C00" w:rsidRPr="00EF4AA2">
        <w:t>and 17 mg/d</w:t>
      </w:r>
      <w:r w:rsidR="00DD0B0E">
        <w:t>ay</w:t>
      </w:r>
      <w:r w:rsidR="00485D31" w:rsidRPr="00EF4AA2">
        <w:t>.</w:t>
      </w:r>
      <w:r w:rsidR="00640C00" w:rsidRPr="00EF4AA2">
        <w:t xml:space="preserve"> </w:t>
      </w:r>
      <w:r w:rsidR="000A2EAA">
        <w:t>Intramuscular dosing in therapeutic use is reported to be four times more effective than oral dosing (ACGIH, 2018). A TLV-TWA of 0.01 mg/m</w:t>
      </w:r>
      <w:r w:rsidR="000A2EAA">
        <w:rPr>
          <w:vertAlign w:val="superscript"/>
        </w:rPr>
        <w:t>3</w:t>
      </w:r>
      <w:r w:rsidR="000A2EAA">
        <w:t xml:space="preserve"> by </w:t>
      </w:r>
      <w:r w:rsidR="000A2EAA" w:rsidRPr="00485D31">
        <w:t>ACGIH</w:t>
      </w:r>
      <w:r w:rsidR="000A2EAA">
        <w:t>,</w:t>
      </w:r>
      <w:r w:rsidR="000A2EAA" w:rsidRPr="00485D31">
        <w:t xml:space="preserve"> 2018</w:t>
      </w:r>
      <w:r w:rsidR="000A2EAA">
        <w:t xml:space="preserve"> is</w:t>
      </w:r>
      <w:r w:rsidR="00EF4AA2">
        <w:t xml:space="preserve"> </w:t>
      </w:r>
      <w:r w:rsidR="00DF3AB3" w:rsidRPr="00485D31">
        <w:t xml:space="preserve">extrapolated from intramuscular dose </w:t>
      </w:r>
      <w:r w:rsidR="000A2EAA">
        <w:t xml:space="preserve">used </w:t>
      </w:r>
      <w:r w:rsidR="00DF3AB3" w:rsidRPr="00485D31">
        <w:t>in</w:t>
      </w:r>
      <w:r w:rsidR="000A2EAA">
        <w:t xml:space="preserve"> a</w:t>
      </w:r>
      <w:r w:rsidR="00DF3AB3" w:rsidRPr="00485D31">
        <w:t xml:space="preserve"> therapeutic trial</w:t>
      </w:r>
      <w:r w:rsidR="000A2EAA">
        <w:t>. While MAK of 0.06 mg/m</w:t>
      </w:r>
      <w:r w:rsidR="000A2EAA">
        <w:rPr>
          <w:vertAlign w:val="superscript"/>
        </w:rPr>
        <w:t>3</w:t>
      </w:r>
      <w:r w:rsidR="000A2EAA">
        <w:t xml:space="preserve"> by </w:t>
      </w:r>
      <w:r w:rsidR="000A2EAA" w:rsidRPr="00485D31">
        <w:t>DFG</w:t>
      </w:r>
      <w:r w:rsidR="000A2EAA">
        <w:t xml:space="preserve">, </w:t>
      </w:r>
      <w:r w:rsidR="000A2EAA" w:rsidRPr="00485D31">
        <w:t>2002</w:t>
      </w:r>
      <w:r w:rsidR="000A2EAA">
        <w:t xml:space="preserve"> is based on</w:t>
      </w:r>
      <w:r w:rsidR="00EF4AA2">
        <w:t xml:space="preserve"> </w:t>
      </w:r>
      <w:r w:rsidR="00DF3AB3" w:rsidRPr="00485D31">
        <w:rPr>
          <w:rFonts w:cs="Arial"/>
          <w:shd w:val="clear" w:color="auto" w:fill="FFFFFF"/>
        </w:rPr>
        <w:t>analogy with other OP pesticides</w:t>
      </w:r>
      <w:r w:rsidR="00DF3AB3" w:rsidRPr="00485D31">
        <w:t xml:space="preserve">. </w:t>
      </w:r>
    </w:p>
    <w:p w14:paraId="780C9DCD" w14:textId="7BF3BA17" w:rsidR="00BA0B8C" w:rsidRDefault="00352A1A" w:rsidP="003B6AC7">
      <w:r w:rsidRPr="00485D31">
        <w:t>This chemical has been nominated for removal from the WES list. A TWA is not recommended.</w:t>
      </w:r>
    </w:p>
    <w:p w14:paraId="4D5862A4" w14:textId="3A2F8077" w:rsidR="00BA0B8C" w:rsidRPr="00665BF6" w:rsidRDefault="00BA0B8C" w:rsidP="003B6AC7"/>
    <w:p w14:paraId="273B44AD" w14:textId="77777777" w:rsidR="004529F0" w:rsidRPr="004C23F4" w:rsidRDefault="004529F0" w:rsidP="004529F0">
      <w:pPr>
        <w:pStyle w:val="Heading2"/>
      </w:pPr>
      <w:r>
        <w:lastRenderedPageBreak/>
        <w:t>Recommendation for notations</w:t>
      </w:r>
    </w:p>
    <w:p w14:paraId="27C6755E" w14:textId="77777777" w:rsidR="008E4F1F" w:rsidRPr="00AF1068" w:rsidRDefault="008E4F1F" w:rsidP="008E4F1F">
      <w:pPr>
        <w:rPr>
          <w:rFonts w:cs="Arial"/>
        </w:rPr>
      </w:pPr>
      <w:r w:rsidRPr="00AF1068">
        <w:rPr>
          <w:rFonts w:cs="Arial"/>
        </w:rPr>
        <w:t>Not classified as a carcinogen according to the Globally Harmonized System of</w:t>
      </w:r>
      <w:r w:rsidR="00155999" w:rsidRPr="00AF1068">
        <w:rPr>
          <w:rFonts w:cs="Arial"/>
        </w:rPr>
        <w:t xml:space="preserve"> Classification and Labelling of</w:t>
      </w:r>
      <w:r w:rsidRPr="00AF1068">
        <w:rPr>
          <w:rFonts w:cs="Arial"/>
        </w:rPr>
        <w:t xml:space="preserve"> Chemicals (GHS). </w:t>
      </w:r>
    </w:p>
    <w:p w14:paraId="03916CCC" w14:textId="77777777" w:rsidR="008E4F1F" w:rsidRPr="00AF1068" w:rsidRDefault="008E4F1F" w:rsidP="008E4F1F">
      <w:pPr>
        <w:rPr>
          <w:rFonts w:cs="Arial"/>
        </w:rPr>
      </w:pPr>
      <w:r w:rsidRPr="00AF1068">
        <w:rPr>
          <w:rFonts w:cs="Arial"/>
        </w:rPr>
        <w:t xml:space="preserve">Not classified as a skin </w:t>
      </w:r>
      <w:r w:rsidR="00155999" w:rsidRPr="00AF1068">
        <w:rPr>
          <w:rFonts w:cs="Arial"/>
        </w:rPr>
        <w:t xml:space="preserve">sensitiser </w:t>
      </w:r>
      <w:r w:rsidRPr="00AF1068">
        <w:rPr>
          <w:rFonts w:cs="Arial"/>
        </w:rPr>
        <w:t>or respiratory sensitiser according to the GHS.</w:t>
      </w:r>
    </w:p>
    <w:p w14:paraId="7D0772D2" w14:textId="5E90103A" w:rsidR="004529F0" w:rsidRPr="004C23F4" w:rsidRDefault="00AF1068" w:rsidP="008E4F1F">
      <w:pPr>
        <w:rPr>
          <w:rFonts w:cs="Arial"/>
        </w:rPr>
      </w:pPr>
      <w:r>
        <w:rPr>
          <w:rFonts w:cs="Arial"/>
        </w:rPr>
        <w:t>A</w:t>
      </w:r>
      <w:r w:rsidR="00A567A9">
        <w:rPr>
          <w:rFonts w:cs="Arial"/>
        </w:rPr>
        <w:t xml:space="preserve"> skin notation is recommended based on evidence of systemic effects in humans following dermal exposure.</w:t>
      </w:r>
    </w:p>
    <w:p w14:paraId="21CCE2A5" w14:textId="77777777" w:rsidR="0025734A" w:rsidRPr="004C23F4" w:rsidRDefault="0025734A">
      <w:pPr>
        <w:rPr>
          <w:rFonts w:cs="Arial"/>
        </w:rPr>
      </w:pPr>
    </w:p>
    <w:p w14:paraId="4C1F8D43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17B1B74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1AD9225C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20" w:firstRow="1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257268B5" w14:textId="77777777" w:rsidTr="0018041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pct"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1707E89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5B240DF2" w14:textId="77777777" w:rsidTr="00180417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127B3A8" w14:textId="3C153D0D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463478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463478">
                  <w:t>TWA: 0.004 ppm (0.047 mg/m</w:t>
                </w:r>
                <w:r w:rsidR="00463478" w:rsidRPr="00463478">
                  <w:rPr>
                    <w:vertAlign w:val="superscript"/>
                  </w:rPr>
                  <w:t>3</w:t>
                </w:r>
                <w:r w:rsidR="00463478">
                  <w:t>)</w:t>
                </w:r>
              </w:sdtContent>
            </w:sdt>
          </w:p>
        </w:tc>
      </w:tr>
      <w:tr w:rsidR="00C978F0" w:rsidRPr="00DA352E" w14:paraId="26087DDB" w14:textId="77777777" w:rsidTr="00180417">
        <w:trPr>
          <w:gridAfter w:val="1"/>
          <w:wAfter w:w="8" w:type="pct"/>
        </w:trPr>
        <w:tc>
          <w:tcPr>
            <w:tcW w:w="4992" w:type="pct"/>
          </w:tcPr>
          <w:p w14:paraId="1137D58F" w14:textId="4BC70169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24593221" w14:textId="77777777" w:rsidTr="001804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2ED10929" w14:textId="35651B7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463478">
                  <w:t>2007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463478">
                  <w:t>TLV-TWA: 0.0008 ppm (0.01 mg/m</w:t>
                </w:r>
                <w:r w:rsidR="00463478" w:rsidRPr="00463478">
                  <w:rPr>
                    <w:vertAlign w:val="superscript"/>
                  </w:rPr>
                  <w:t>3</w:t>
                </w:r>
                <w:r w:rsidR="00463478">
                  <w:t>)</w:t>
                </w:r>
              </w:sdtContent>
            </w:sdt>
          </w:p>
        </w:tc>
      </w:tr>
      <w:tr w:rsidR="00C978F0" w:rsidRPr="00DA352E" w14:paraId="418D532D" w14:textId="77777777" w:rsidTr="00180417">
        <w:trPr>
          <w:gridAfter w:val="1"/>
          <w:wAfter w:w="8" w:type="pct"/>
        </w:trPr>
        <w:tc>
          <w:tcPr>
            <w:tcW w:w="4992" w:type="pct"/>
          </w:tcPr>
          <w:p w14:paraId="71465E5B" w14:textId="77777777" w:rsidR="00C978F0" w:rsidRDefault="005B03EB" w:rsidP="003365A5">
            <w:pPr>
              <w:pStyle w:val="Tabletextprimarysource"/>
            </w:pPr>
            <w:r>
              <w:t>TWA-TLV recommended to protect against cholinergic and other adverse biologic effects</w:t>
            </w:r>
          </w:p>
          <w:p w14:paraId="39CB006A" w14:textId="56BD7828" w:rsidR="005B03EB" w:rsidRDefault="005B03EB" w:rsidP="003365A5">
            <w:pPr>
              <w:pStyle w:val="Tabletextprimarysource"/>
            </w:pPr>
            <w:r>
              <w:t>Summary of data:</w:t>
            </w:r>
          </w:p>
          <w:p w14:paraId="3C9CC27D" w14:textId="3DB788DF" w:rsidR="005B03EB" w:rsidRDefault="005B03EB" w:rsidP="003365A5">
            <w:pPr>
              <w:pStyle w:val="Tabletextprimarysource"/>
            </w:pPr>
            <w:r>
              <w:t>Basis for TLV:</w:t>
            </w:r>
          </w:p>
          <w:p w14:paraId="4D300276" w14:textId="0CE30CCF" w:rsidR="00662CBB" w:rsidRPr="006E370A" w:rsidRDefault="00365F5C" w:rsidP="00E16AE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P</w:t>
            </w:r>
            <w:r w:rsidR="006A59B6">
              <w:t xml:space="preserve">otent, rapid-acting </w:t>
            </w:r>
            <w:r w:rsidR="00226F87">
              <w:t>OP</w:t>
            </w:r>
            <w:r w:rsidR="006A59B6">
              <w:t xml:space="preserve"> with high toxicity; </w:t>
            </w:r>
            <w:r>
              <w:t>reports of</w:t>
            </w:r>
            <w:r w:rsidR="001F18E8">
              <w:t xml:space="preserve"> </w:t>
            </w:r>
            <w:r w:rsidR="006A59B6">
              <w:t>signs of cholinergi</w:t>
            </w:r>
            <w:r w:rsidR="00C01B16">
              <w:t xml:space="preserve">c </w:t>
            </w:r>
            <w:r w:rsidR="006A59B6" w:rsidRPr="006E370A">
              <w:t>response including death in human</w:t>
            </w:r>
            <w:r w:rsidR="00E418F6" w:rsidRPr="006E370A">
              <w:t>s</w:t>
            </w:r>
            <w:r w:rsidR="00C01B16" w:rsidRPr="006E370A">
              <w:t xml:space="preserve">. </w:t>
            </w:r>
          </w:p>
          <w:p w14:paraId="27B88E92" w14:textId="7E87BD87" w:rsidR="00EB2355" w:rsidRPr="00B25B35" w:rsidRDefault="00C0701D" w:rsidP="00E16AE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 w:rsidRPr="006E370A">
              <w:t xml:space="preserve">Quantitative </w:t>
            </w:r>
            <w:r w:rsidR="006A59B6" w:rsidRPr="00B25B35">
              <w:t xml:space="preserve">data associated with the clinical reports </w:t>
            </w:r>
            <w:r w:rsidR="006E370A" w:rsidRPr="00B25B35">
              <w:t xml:space="preserve">on its therapeutic use to treat glaucoma and myasthenia gravis </w:t>
            </w:r>
            <w:r w:rsidR="001F18E8" w:rsidRPr="00B25B35">
              <w:t>is</w:t>
            </w:r>
            <w:r w:rsidR="006A59B6" w:rsidRPr="00B25B35">
              <w:t xml:space="preserve"> the basis of the TLV</w:t>
            </w:r>
            <w:r w:rsidR="006E370A" w:rsidRPr="00B25B35">
              <w:t>-TWA</w:t>
            </w:r>
            <w:r w:rsidR="00C01B16" w:rsidRPr="00B25B35">
              <w:t xml:space="preserve"> </w:t>
            </w:r>
          </w:p>
          <w:p w14:paraId="766B64E2" w14:textId="326B9C6E" w:rsidR="00662CBB" w:rsidRPr="00B25B35" w:rsidRDefault="006A59B6" w:rsidP="00E16AE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 w:rsidRPr="00B25B35">
              <w:t xml:space="preserve">Intraocular instillation doses </w:t>
            </w:r>
            <w:r w:rsidR="008048A9">
              <w:t>between</w:t>
            </w:r>
            <w:r w:rsidR="008048A9" w:rsidRPr="00B25B35">
              <w:t xml:space="preserve"> </w:t>
            </w:r>
            <w:r w:rsidRPr="00B25B35">
              <w:t>0.01</w:t>
            </w:r>
            <w:r w:rsidR="00C01B16" w:rsidRPr="00B25B35">
              <w:t>–</w:t>
            </w:r>
            <w:r w:rsidRPr="00B25B35">
              <w:t xml:space="preserve">0.4 mg/kg </w:t>
            </w:r>
            <w:r w:rsidR="00365F5C">
              <w:t>caused</w:t>
            </w:r>
            <w:r w:rsidR="00365F5C" w:rsidRPr="00B25B35">
              <w:t xml:space="preserve"> </w:t>
            </w:r>
            <w:r w:rsidRPr="00B25B35">
              <w:t>miosis (a positive cholinergic sign of response)</w:t>
            </w:r>
            <w:r w:rsidR="00BD6451" w:rsidRPr="00B25B35">
              <w:t xml:space="preserve">. </w:t>
            </w:r>
            <w:r w:rsidR="00D07C4D" w:rsidRPr="00B25B35">
              <w:t>A</w:t>
            </w:r>
            <w:r w:rsidR="00587793" w:rsidRPr="00B25B35">
              <w:t xml:space="preserve"> steep</w:t>
            </w:r>
            <w:r w:rsidRPr="00B25B35">
              <w:t xml:space="preserve"> dose–response</w:t>
            </w:r>
            <w:r w:rsidR="00D07C4D" w:rsidRPr="00B25B35">
              <w:t xml:space="preserve"> curve</w:t>
            </w:r>
            <w:r w:rsidRPr="00B25B35">
              <w:t xml:space="preserve"> </w:t>
            </w:r>
            <w:r w:rsidR="00365F5C">
              <w:t xml:space="preserve">is reported </w:t>
            </w:r>
            <w:r w:rsidRPr="00B25B35">
              <w:t>with a dose of 0.01</w:t>
            </w:r>
            <w:r w:rsidR="00E418F6" w:rsidRPr="00B25B35">
              <w:t> </w:t>
            </w:r>
            <w:r w:rsidRPr="00B25B35">
              <w:t>mg/kg</w:t>
            </w:r>
            <w:r w:rsidR="00EB2355" w:rsidRPr="00B25B35">
              <w:t xml:space="preserve"> </w:t>
            </w:r>
            <w:r w:rsidR="002A3BCE" w:rsidRPr="00B25B35">
              <w:t>reversible</w:t>
            </w:r>
            <w:r w:rsidRPr="00B25B35">
              <w:t xml:space="preserve"> in </w:t>
            </w:r>
            <w:r w:rsidR="002A3BCE" w:rsidRPr="00B25B35">
              <w:t>30 </w:t>
            </w:r>
            <w:r w:rsidRPr="00B25B35">
              <w:t>min</w:t>
            </w:r>
            <w:r w:rsidR="002A3BCE" w:rsidRPr="00B25B35">
              <w:t xml:space="preserve"> and </w:t>
            </w:r>
            <w:r w:rsidRPr="00B25B35">
              <w:t xml:space="preserve">a dose of 0.1 mg/kg reversible in </w:t>
            </w:r>
            <w:r w:rsidR="00662CBB" w:rsidRPr="00B25B35">
              <w:t>3 </w:t>
            </w:r>
            <w:r w:rsidRPr="00B25B35">
              <w:t>wk</w:t>
            </w:r>
            <w:r w:rsidR="00313F53">
              <w:t>.</w:t>
            </w:r>
            <w:r w:rsidRPr="00B25B35">
              <w:t xml:space="preserve"> </w:t>
            </w:r>
            <w:r w:rsidR="00313F53">
              <w:t>A</w:t>
            </w:r>
            <w:r w:rsidR="00E16AE9" w:rsidRPr="00B25B35">
              <w:t xml:space="preserve"> NOAEL for clinical </w:t>
            </w:r>
            <w:r w:rsidR="001F18E8" w:rsidRPr="00B25B35">
              <w:t xml:space="preserve">effects </w:t>
            </w:r>
            <w:r w:rsidR="00E16AE9" w:rsidRPr="00B25B35">
              <w:t>is not clear</w:t>
            </w:r>
            <w:r w:rsidR="00B25B35" w:rsidRPr="00B25B35">
              <w:t xml:space="preserve"> from the available data and</w:t>
            </w:r>
            <w:r w:rsidR="002C4EB7" w:rsidRPr="00B25B35">
              <w:t xml:space="preserve"> no further information of the reversibility of effects is </w:t>
            </w:r>
            <w:r w:rsidR="002A3BCE" w:rsidRPr="00B25B35">
              <w:t>provided</w:t>
            </w:r>
          </w:p>
          <w:p w14:paraId="4B19BB78" w14:textId="41077976" w:rsidR="00662CBB" w:rsidRDefault="006A59B6" w:rsidP="00E16AE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Intramuscular dosing 4 times as effective as oral dosing</w:t>
            </w:r>
            <w:r w:rsidR="00B62DCF" w:rsidRPr="00B25B35">
              <w:t>. A</w:t>
            </w:r>
            <w:r w:rsidRPr="00B25B35">
              <w:t>n intramuscular dose of 0.007</w:t>
            </w:r>
            <w:r w:rsidR="00C01B16" w:rsidRPr="00B25B35">
              <w:t> </w:t>
            </w:r>
            <w:r w:rsidRPr="00B25B35">
              <w:t xml:space="preserve">mg/kg </w:t>
            </w:r>
            <w:r w:rsidR="00B62DCF" w:rsidRPr="00B25B35">
              <w:t xml:space="preserve">caused </w:t>
            </w:r>
            <w:r w:rsidRPr="00B25B35">
              <w:t xml:space="preserve">a 25% reduction in RBC </w:t>
            </w:r>
            <w:proofErr w:type="spellStart"/>
            <w:r w:rsidR="00E418F6" w:rsidRPr="00B25B35">
              <w:t>ChE</w:t>
            </w:r>
            <w:proofErr w:type="spellEnd"/>
            <w:r w:rsidRPr="00B25B35">
              <w:t xml:space="preserve"> activity</w:t>
            </w:r>
            <w:r>
              <w:t xml:space="preserve"> </w:t>
            </w:r>
            <w:r w:rsidR="00E418F6">
              <w:rPr>
                <w:rFonts w:cs="Arial"/>
              </w:rPr>
              <w:t>≡</w:t>
            </w:r>
            <w:r w:rsidR="00E418F6">
              <w:t xml:space="preserve">oral dose </w:t>
            </w:r>
            <w:r>
              <w:t>0.03</w:t>
            </w:r>
            <w:r w:rsidR="00C01B16">
              <w:t> </w:t>
            </w:r>
            <w:r>
              <w:t>mg/kg</w:t>
            </w:r>
            <w:r w:rsidR="00B25B35">
              <w:t xml:space="preserve"> (no further information provided)</w:t>
            </w:r>
            <w:r w:rsidR="00B25B35" w:rsidDel="00B25B35">
              <w:t xml:space="preserve"> </w:t>
            </w:r>
          </w:p>
          <w:p w14:paraId="06902CB6" w14:textId="6DEA506C" w:rsidR="00662CBB" w:rsidRDefault="00B25B35" w:rsidP="00E16AE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Given that i</w:t>
            </w:r>
            <w:r w:rsidR="00E52330">
              <w:t xml:space="preserve">nhibition of RBC </w:t>
            </w:r>
            <w:proofErr w:type="spellStart"/>
            <w:r w:rsidR="00E418F6">
              <w:t>ChE</w:t>
            </w:r>
            <w:proofErr w:type="spellEnd"/>
            <w:r w:rsidR="00E52330">
              <w:t xml:space="preserve"> appears to be the first sign of response</w:t>
            </w:r>
            <w:r w:rsidR="00313F53">
              <w:t>,</w:t>
            </w:r>
            <w:r w:rsidR="00E52330">
              <w:t xml:space="preserve"> a 25% reduction is considered of marginal significance</w:t>
            </w:r>
            <w:r w:rsidR="000328FB">
              <w:t>.</w:t>
            </w:r>
            <w:r w:rsidR="00E52330">
              <w:t xml:space="preserve"> </w:t>
            </w:r>
            <w:r w:rsidR="000328FB">
              <w:t>T</w:t>
            </w:r>
            <w:r w:rsidR="00E52330">
              <w:t>herefore, a dose of 0.003 mg/kg (order of magnitude less) unlikely to produce significant enzyme inhibition</w:t>
            </w:r>
            <w:r w:rsidR="008E2574">
              <w:t xml:space="preserve"> </w:t>
            </w:r>
          </w:p>
          <w:p w14:paraId="5FF0DF14" w14:textId="41397D81" w:rsidR="00662CBB" w:rsidRDefault="00524F22" w:rsidP="00E16AE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 xml:space="preserve">An oral dose of 0.003 mg/kg </w:t>
            </w:r>
            <w:r w:rsidR="00E418F6">
              <w:rPr>
                <w:rFonts w:cs="Arial"/>
              </w:rPr>
              <w:t>≡</w:t>
            </w:r>
            <w:r>
              <w:t>inhalation exposure of 0.02</w:t>
            </w:r>
            <w:r w:rsidR="008E2574">
              <w:t> </w:t>
            </w:r>
            <w:r>
              <w:t>mg/m</w:t>
            </w:r>
            <w:r w:rsidRPr="00524F22">
              <w:rPr>
                <w:vertAlign w:val="superscript"/>
              </w:rPr>
              <w:t>3</w:t>
            </w:r>
            <w:r>
              <w:t xml:space="preserve"> (assuming 70 kg worker and </w:t>
            </w:r>
            <w:r w:rsidR="00662CBB">
              <w:t>10 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 xml:space="preserve"> inhaled per 8 h workday)</w:t>
            </w:r>
            <w:r w:rsidR="000328FB">
              <w:t>.</w:t>
            </w:r>
            <w:r w:rsidR="002C4EB7">
              <w:t xml:space="preserve"> </w:t>
            </w:r>
            <w:r w:rsidR="000328FB">
              <w:t>H</w:t>
            </w:r>
            <w:r w:rsidR="002C4EB7">
              <w:t xml:space="preserve">owever, </w:t>
            </w:r>
            <w:r w:rsidR="000328FB">
              <w:t xml:space="preserve">based on </w:t>
            </w:r>
            <w:r w:rsidR="002C4EB7">
              <w:t xml:space="preserve">the </w:t>
            </w:r>
            <w:r>
              <w:t xml:space="preserve">steep dose-response curve </w:t>
            </w:r>
            <w:r w:rsidR="002C4EB7">
              <w:t>and quality of the database</w:t>
            </w:r>
            <w:r w:rsidR="000328FB">
              <w:t>,</w:t>
            </w:r>
            <w:r w:rsidR="002C4EB7">
              <w:t xml:space="preserve"> a lower </w:t>
            </w:r>
            <w:r w:rsidR="000328FB">
              <w:t xml:space="preserve">value </w:t>
            </w:r>
            <w:r w:rsidR="002C4EB7">
              <w:t>is warranted</w:t>
            </w:r>
            <w:r w:rsidR="000328FB">
              <w:t>. T</w:t>
            </w:r>
            <w:r>
              <w:t>herefore</w:t>
            </w:r>
            <w:r w:rsidR="000328FB">
              <w:t>,</w:t>
            </w:r>
            <w:r>
              <w:t xml:space="preserve"> </w:t>
            </w:r>
            <w:r w:rsidR="000328FB">
              <w:t xml:space="preserve">a </w:t>
            </w:r>
            <w:r>
              <w:t>TLV-TWA of 0.01 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="000814FB">
              <w:t xml:space="preserve">is </w:t>
            </w:r>
            <w:r>
              <w:t>recommended</w:t>
            </w:r>
            <w:r w:rsidR="00C01B16">
              <w:t xml:space="preserve">. </w:t>
            </w:r>
            <w:r w:rsidR="002A0C9F">
              <w:t xml:space="preserve">TLV–TWA </w:t>
            </w:r>
            <w:r w:rsidR="00365F5C">
              <w:t xml:space="preserve">is </w:t>
            </w:r>
            <w:r w:rsidR="002A0C9F">
              <w:t>sufficiently low to be protective of short-term exposure peaks; no TLV-STEL recommended</w:t>
            </w:r>
            <w:r w:rsidR="00C01B16">
              <w:t xml:space="preserve"> </w:t>
            </w:r>
          </w:p>
          <w:p w14:paraId="3C848ACE" w14:textId="0564F5CB" w:rsidR="00B60D53" w:rsidRDefault="00A87138" w:rsidP="00E16AE9">
            <w:pPr>
              <w:pStyle w:val="ListBullet"/>
              <w:numPr>
                <w:ilvl w:val="0"/>
                <w:numId w:val="9"/>
              </w:numPr>
              <w:spacing w:before="60" w:after="60"/>
              <w:contextualSpacing w:val="0"/>
            </w:pPr>
            <w:r>
              <w:t>Both p</w:t>
            </w:r>
            <w:r w:rsidR="00B60D53">
              <w:t xml:space="preserve">articulate mass and vapor phase concentrations should be considered </w:t>
            </w:r>
            <w:r>
              <w:t>in</w:t>
            </w:r>
            <w:r w:rsidR="00B60D53">
              <w:t xml:space="preserve"> determin</w:t>
            </w:r>
            <w:r>
              <w:t>ing</w:t>
            </w:r>
            <w:r w:rsidR="00B60D53">
              <w:t xml:space="preserve"> total airborne concentration</w:t>
            </w:r>
            <w:r w:rsidR="00E418F6">
              <w:t>.</w:t>
            </w:r>
          </w:p>
          <w:p w14:paraId="3B1BAB7D" w14:textId="77777777" w:rsidR="00524F22" w:rsidRDefault="002A0C9F" w:rsidP="002A0C9F">
            <w:pPr>
              <w:pStyle w:val="Tabletextprimarysource"/>
            </w:pPr>
            <w:r>
              <w:t>Human data:</w:t>
            </w:r>
          </w:p>
          <w:p w14:paraId="54FB7BC5" w14:textId="2A2D28A4" w:rsidR="00662CBB" w:rsidRDefault="00313F5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</w:t>
            </w:r>
            <w:r w:rsidR="00365F5C">
              <w:t xml:space="preserve">erious poisoning within 1 h </w:t>
            </w:r>
            <w:r>
              <w:t>reported in case of accidental poisoning where a</w:t>
            </w:r>
            <w:r w:rsidR="002A0C9F">
              <w:t xml:space="preserve"> </w:t>
            </w:r>
            <w:r w:rsidR="00C0701D">
              <w:t>crop-dusting</w:t>
            </w:r>
            <w:r w:rsidR="002A0C9F">
              <w:t xml:space="preserve"> pilot</w:t>
            </w:r>
            <w:r>
              <w:t xml:space="preserve"> </w:t>
            </w:r>
            <w:r w:rsidR="002A0C9F">
              <w:t xml:space="preserve">spilled </w:t>
            </w:r>
            <w:r>
              <w:t xml:space="preserve">TEPP </w:t>
            </w:r>
            <w:r w:rsidR="002A0C9F">
              <w:t>concentrate directly on his leg</w:t>
            </w:r>
            <w:r w:rsidR="0018537A">
              <w:t>:</w:t>
            </w:r>
            <w:r w:rsidR="002A0C9F">
              <w:t xml:space="preserve"> </w:t>
            </w:r>
          </w:p>
          <w:p w14:paraId="3C2A230F" w14:textId="4800204F" w:rsidR="00662CBB" w:rsidRDefault="00662CBB" w:rsidP="00602DDA">
            <w:pPr>
              <w:pStyle w:val="ListBullet"/>
              <w:numPr>
                <w:ilvl w:val="0"/>
                <w:numId w:val="4"/>
              </w:numPr>
              <w:spacing w:before="60" w:after="60"/>
              <w:ind w:left="1071" w:hanging="357"/>
              <w:contextualSpacing w:val="0"/>
            </w:pPr>
            <w:r w:rsidRPr="00662CBB">
              <w:t>blurred vision, weakness and light-headedness, followed by vomiting, unconsciousness, cyanosis and frothing of foamy material from the nose and mout</w:t>
            </w:r>
            <w:r>
              <w:t>h</w:t>
            </w:r>
          </w:p>
          <w:p w14:paraId="681A9A49" w14:textId="43175897" w:rsidR="00662CBB" w:rsidRDefault="002A0C9F" w:rsidP="00662CBB">
            <w:pPr>
              <w:pStyle w:val="ListBullet"/>
              <w:numPr>
                <w:ilvl w:val="0"/>
                <w:numId w:val="4"/>
              </w:numPr>
              <w:spacing w:before="60" w:after="60"/>
              <w:ind w:left="1071" w:hanging="357"/>
              <w:contextualSpacing w:val="0"/>
            </w:pPr>
            <w:r>
              <w:t xml:space="preserve">successfully treated at a hospital and released 50 </w:t>
            </w:r>
            <w:r w:rsidR="00E418F6">
              <w:t>h</w:t>
            </w:r>
            <w:r>
              <w:t xml:space="preserve"> later</w:t>
            </w:r>
          </w:p>
          <w:p w14:paraId="375C5D24" w14:textId="71AE5ED6" w:rsidR="002A0C9F" w:rsidRDefault="002A0C9F" w:rsidP="00602DDA">
            <w:pPr>
              <w:pStyle w:val="ListBullet"/>
              <w:numPr>
                <w:ilvl w:val="0"/>
                <w:numId w:val="4"/>
              </w:numPr>
              <w:spacing w:before="60" w:after="60"/>
              <w:ind w:left="1071" w:hanging="357"/>
              <w:contextualSpacing w:val="0"/>
            </w:pPr>
            <w:r>
              <w:t>other cases reported death following accidental spilling on the skin</w:t>
            </w:r>
          </w:p>
          <w:p w14:paraId="4610C0F6" w14:textId="5A1287ED" w:rsidR="004020F7" w:rsidRDefault="00313F53" w:rsidP="000814FB">
            <w:pPr>
              <w:pStyle w:val="ListBullet"/>
              <w:spacing w:before="60" w:after="60"/>
              <w:ind w:left="714" w:hanging="357"/>
              <w:contextualSpacing w:val="0"/>
            </w:pPr>
            <w:r>
              <w:t>Accidental and intentional contact is reported to result in d</w:t>
            </w:r>
            <w:r w:rsidR="00372F1D">
              <w:t>eaths</w:t>
            </w:r>
            <w:r w:rsidR="008048A9">
              <w:t xml:space="preserve"> based on </w:t>
            </w:r>
            <w:r w:rsidR="004020F7">
              <w:t xml:space="preserve">following </w:t>
            </w:r>
            <w:r w:rsidR="000814FB">
              <w:t>report</w:t>
            </w:r>
            <w:r>
              <w:t>s</w:t>
            </w:r>
            <w:r w:rsidR="000814FB">
              <w:t xml:space="preserve"> </w:t>
            </w:r>
            <w:r>
              <w:t xml:space="preserve">by </w:t>
            </w:r>
            <w:r w:rsidR="004020F7">
              <w:t>1959:</w:t>
            </w:r>
          </w:p>
          <w:p w14:paraId="0C1E8F02" w14:textId="6FAD94C2" w:rsidR="004020F7" w:rsidRDefault="004020F7" w:rsidP="000814FB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8 poisonings during spraying </w:t>
            </w:r>
          </w:p>
          <w:p w14:paraId="155B3144" w14:textId="7EB28700" w:rsidR="008048A9" w:rsidRDefault="004020F7" w:rsidP="000814FB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18 by other accidents </w:t>
            </w:r>
          </w:p>
          <w:p w14:paraId="35C384E3" w14:textId="28A321FA" w:rsidR="004020F7" w:rsidRDefault="00313F53" w:rsidP="000814FB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101 suicide attempts </w:t>
            </w:r>
            <w:r w:rsidR="008048A9">
              <w:t>(of which 99 deaths reported)</w:t>
            </w:r>
          </w:p>
          <w:p w14:paraId="2CCAEA51" w14:textId="31E159A1" w:rsidR="004020F7" w:rsidRDefault="004020F7" w:rsidP="000814FB">
            <w:pPr>
              <w:pStyle w:val="ListBullet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 xml:space="preserve">One mouthful reported to </w:t>
            </w:r>
            <w:r w:rsidR="008048A9">
              <w:t>result in</w:t>
            </w:r>
            <w:r>
              <w:t xml:space="preserve"> complete collapse in less than 5 min </w:t>
            </w:r>
            <w:r w:rsidR="000814FB">
              <w:t>followed by</w:t>
            </w:r>
            <w:r>
              <w:t xml:space="preserve"> death </w:t>
            </w:r>
          </w:p>
          <w:p w14:paraId="6C319E16" w14:textId="1B62BA3D" w:rsidR="002A0C9F" w:rsidRDefault="00E418F6" w:rsidP="00602DDA">
            <w:pPr>
              <w:pStyle w:val="ListBullet"/>
              <w:spacing w:before="60" w:after="60"/>
              <w:ind w:left="714" w:hanging="357"/>
              <w:contextualSpacing w:val="0"/>
            </w:pPr>
            <w:r>
              <w:lastRenderedPageBreak/>
              <w:t>U</w:t>
            </w:r>
            <w:r w:rsidR="002A0C9F">
              <w:t xml:space="preserve">sed to treat glaucomatous eyes since it </w:t>
            </w:r>
            <w:r w:rsidR="008048A9">
              <w:t xml:space="preserve">reduces </w:t>
            </w:r>
            <w:r w:rsidR="002A0C9F">
              <w:t>intraocular tension</w:t>
            </w:r>
          </w:p>
          <w:p w14:paraId="43D3CA20" w14:textId="7130BDE0" w:rsidR="00662CBB" w:rsidRDefault="002A0C9F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One drop of a 0.01% solution produced miosis in 30 min that lasted for a day</w:t>
            </w:r>
            <w:r w:rsidR="000C7026">
              <w:t>:</w:t>
            </w:r>
            <w:r>
              <w:t xml:space="preserve"> </w:t>
            </w:r>
          </w:p>
          <w:p w14:paraId="20643A01" w14:textId="5F9DCD24" w:rsidR="002A0C9F" w:rsidRDefault="002A0C9F" w:rsidP="00602DDA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0.1% solution produced miosis at 7 min and lasted 3 </w:t>
            </w:r>
            <w:proofErr w:type="spellStart"/>
            <w:r>
              <w:t>wk</w:t>
            </w:r>
            <w:proofErr w:type="spellEnd"/>
          </w:p>
          <w:p w14:paraId="10995DE7" w14:textId="7C59B24A" w:rsidR="00662CBB" w:rsidRDefault="003D64F3">
            <w:pPr>
              <w:pStyle w:val="ListBullet"/>
              <w:spacing w:before="60" w:after="60"/>
              <w:ind w:left="714" w:hanging="357"/>
              <w:contextualSpacing w:val="0"/>
            </w:pPr>
            <w:r>
              <w:t>In a</w:t>
            </w:r>
            <w:r w:rsidR="002A0C9F">
              <w:t xml:space="preserve">nother study </w:t>
            </w:r>
            <w:r w:rsidR="008048A9">
              <w:t xml:space="preserve">using </w:t>
            </w:r>
            <w:r w:rsidR="002A0C9F">
              <w:t>two-drop dose</w:t>
            </w:r>
            <w:r w:rsidR="00A922A2">
              <w:t>s of 0.1% (</w:t>
            </w:r>
            <w:r w:rsidR="007D2F0D">
              <w:rPr>
                <w:rFonts w:cs="Arial"/>
              </w:rPr>
              <w:t>≈</w:t>
            </w:r>
            <w:r w:rsidR="00A922A2">
              <w:t>0.3 mg/kg) within 30 min</w:t>
            </w:r>
            <w:r w:rsidR="000C7026">
              <w:t>:</w:t>
            </w:r>
            <w:r w:rsidR="00E418F6">
              <w:t xml:space="preserve"> </w:t>
            </w:r>
          </w:p>
          <w:p w14:paraId="52BEA029" w14:textId="486467AE" w:rsidR="002A0C9F" w:rsidRPr="00733E2D" w:rsidRDefault="002A0C9F" w:rsidP="00602DDA">
            <w:pPr>
              <w:pStyle w:val="ListBullet"/>
              <w:numPr>
                <w:ilvl w:val="0"/>
                <w:numId w:val="5"/>
              </w:numPr>
              <w:spacing w:before="60" w:after="60"/>
              <w:contextualSpacing w:val="0"/>
            </w:pPr>
            <w:r>
              <w:t xml:space="preserve">mild </w:t>
            </w:r>
            <w:r w:rsidRPr="00733E2D">
              <w:t>headache, sensation of pressure in the eyeball and burning of the lids</w:t>
            </w:r>
            <w:r w:rsidR="00A922A2" w:rsidRPr="00733E2D">
              <w:t xml:space="preserve"> </w:t>
            </w:r>
            <w:r w:rsidR="00E418F6" w:rsidRPr="00733E2D">
              <w:t>reported</w:t>
            </w:r>
          </w:p>
          <w:p w14:paraId="0F1D7C58" w14:textId="0D6C1262" w:rsidR="004436F1" w:rsidRPr="00733E2D" w:rsidRDefault="003D64F3" w:rsidP="00602DDA">
            <w:pPr>
              <w:pStyle w:val="ListBullet"/>
              <w:spacing w:before="60" w:after="60"/>
              <w:ind w:left="714" w:hanging="357"/>
              <w:contextualSpacing w:val="0"/>
            </w:pPr>
            <w:r w:rsidRPr="00733E2D">
              <w:t xml:space="preserve">Results of a </w:t>
            </w:r>
            <w:r w:rsidR="004436F1" w:rsidRPr="00733E2D">
              <w:t xml:space="preserve">study </w:t>
            </w:r>
            <w:r w:rsidRPr="00733E2D">
              <w:t xml:space="preserve">to </w:t>
            </w:r>
            <w:r w:rsidR="004436F1" w:rsidRPr="00733E2D">
              <w:t>evaluat</w:t>
            </w:r>
            <w:r w:rsidRPr="00733E2D">
              <w:t>e</w:t>
            </w:r>
            <w:r w:rsidR="004436F1" w:rsidRPr="00733E2D">
              <w:t xml:space="preserve"> </w:t>
            </w:r>
            <w:r w:rsidRPr="00733E2D">
              <w:t xml:space="preserve">its </w:t>
            </w:r>
            <w:r w:rsidR="004436F1" w:rsidRPr="00733E2D">
              <w:t xml:space="preserve">use </w:t>
            </w:r>
            <w:r w:rsidRPr="00733E2D">
              <w:t>in</w:t>
            </w:r>
            <w:r w:rsidR="004436F1" w:rsidRPr="00733E2D">
              <w:t xml:space="preserve"> treatment for myasthenia gravis</w:t>
            </w:r>
            <w:r w:rsidR="00733E2D" w:rsidRPr="00733E2D">
              <w:t xml:space="preserve">; </w:t>
            </w:r>
            <w:r w:rsidRPr="00733E2D">
              <w:t>oral, intramuscular</w:t>
            </w:r>
            <w:r w:rsidR="00733E2D" w:rsidRPr="00733E2D">
              <w:t xml:space="preserve"> (IM)</w:t>
            </w:r>
            <w:r w:rsidRPr="00733E2D">
              <w:t xml:space="preserve">, intravenous </w:t>
            </w:r>
            <w:r w:rsidR="00733E2D" w:rsidRPr="00733E2D">
              <w:t xml:space="preserve">(IV) </w:t>
            </w:r>
            <w:r w:rsidRPr="00733E2D">
              <w:t>or intra-arterial injections</w:t>
            </w:r>
            <w:r w:rsidR="004436F1" w:rsidRPr="00733E2D">
              <w:t xml:space="preserve"> </w:t>
            </w:r>
            <w:r w:rsidRPr="00733E2D">
              <w:t xml:space="preserve">of </w:t>
            </w:r>
            <w:r w:rsidR="004436F1" w:rsidRPr="00733E2D">
              <w:t>18 normal human subjects</w:t>
            </w:r>
            <w:r w:rsidR="0018537A" w:rsidRPr="00733E2D">
              <w:t>:</w:t>
            </w:r>
          </w:p>
          <w:p w14:paraId="794A8E36" w14:textId="41AADBEC" w:rsidR="00662CBB" w:rsidRPr="00733E2D" w:rsidRDefault="00733E2D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733E2D">
              <w:t xml:space="preserve">IM </w:t>
            </w:r>
            <w:r w:rsidR="004436F1" w:rsidRPr="00733E2D">
              <w:t xml:space="preserve">or </w:t>
            </w:r>
            <w:r w:rsidRPr="00733E2D">
              <w:t xml:space="preserve">IV </w:t>
            </w:r>
            <w:r w:rsidR="004436F1" w:rsidRPr="00733E2D">
              <w:t xml:space="preserve">administration of </w:t>
            </w:r>
            <w:r w:rsidR="00E418F6" w:rsidRPr="00733E2D">
              <w:t>~</w:t>
            </w:r>
            <w:r w:rsidR="00BA580D" w:rsidRPr="00733E2D">
              <w:t>0.0143 mg/kg</w:t>
            </w:r>
            <w:r w:rsidR="004436F1" w:rsidRPr="00733E2D">
              <w:t xml:space="preserve"> </w:t>
            </w:r>
            <w:r w:rsidRPr="00733E2D">
              <w:t>caused</w:t>
            </w:r>
            <w:r w:rsidR="004436F1" w:rsidRPr="00733E2D">
              <w:t xml:space="preserve"> rapid </w:t>
            </w:r>
            <w:r w:rsidRPr="00733E2D">
              <w:t xml:space="preserve">reduction </w:t>
            </w:r>
            <w:r w:rsidR="004436F1" w:rsidRPr="00733E2D">
              <w:t xml:space="preserve">of plasma </w:t>
            </w:r>
            <w:proofErr w:type="spellStart"/>
            <w:r w:rsidR="00E418F6" w:rsidRPr="00733E2D">
              <w:t>ChE</w:t>
            </w:r>
            <w:proofErr w:type="spellEnd"/>
            <w:r w:rsidR="004436F1" w:rsidRPr="00733E2D">
              <w:t xml:space="preserve"> and RBC </w:t>
            </w:r>
            <w:proofErr w:type="spellStart"/>
            <w:r w:rsidR="00E418F6" w:rsidRPr="00733E2D">
              <w:t>AChE</w:t>
            </w:r>
            <w:proofErr w:type="spellEnd"/>
            <w:r w:rsidR="004436F1" w:rsidRPr="00733E2D">
              <w:t xml:space="preserve"> (60% </w:t>
            </w:r>
            <w:r w:rsidRPr="00733E2D">
              <w:t>of</w:t>
            </w:r>
            <w:r w:rsidR="00E65E40" w:rsidRPr="00733E2D">
              <w:t xml:space="preserve"> </w:t>
            </w:r>
            <w:r w:rsidR="004436F1" w:rsidRPr="00733E2D">
              <w:t>control)</w:t>
            </w:r>
            <w:r w:rsidR="00BA580D" w:rsidRPr="00733E2D">
              <w:t xml:space="preserve"> </w:t>
            </w:r>
          </w:p>
          <w:p w14:paraId="3A1C8AE5" w14:textId="6842581F" w:rsidR="004436F1" w:rsidRDefault="007D2F0D" w:rsidP="00602DDA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 w:rsidRPr="00733E2D">
              <w:rPr>
                <w:rFonts w:cs="Arial"/>
              </w:rPr>
              <w:t>≈</w:t>
            </w:r>
            <w:r w:rsidR="00BA580D" w:rsidRPr="00733E2D">
              <w:t>4 times large</w:t>
            </w:r>
            <w:r w:rsidR="00733E2D" w:rsidRPr="00733E2D">
              <w:t>r</w:t>
            </w:r>
            <w:r w:rsidR="00BA580D" w:rsidRPr="00733E2D">
              <w:t xml:space="preserve"> </w:t>
            </w:r>
            <w:r w:rsidR="00733E2D" w:rsidRPr="00733E2D">
              <w:t xml:space="preserve">oral </w:t>
            </w:r>
            <w:r w:rsidR="00BA580D" w:rsidRPr="00733E2D">
              <w:t>dose</w:t>
            </w:r>
            <w:r w:rsidR="00733E2D" w:rsidRPr="00733E2D">
              <w:t>s were</w:t>
            </w:r>
            <w:r w:rsidR="00BA580D" w:rsidRPr="00733E2D">
              <w:t xml:space="preserve"> required to produce a similar effect</w:t>
            </w:r>
            <w:r w:rsidR="00C13415" w:rsidRPr="00733E2D">
              <w:t>; no</w:t>
            </w:r>
            <w:r w:rsidR="00C13415">
              <w:t xml:space="preserve"> further details</w:t>
            </w:r>
          </w:p>
          <w:p w14:paraId="0AEEEFE9" w14:textId="543B9B4A" w:rsidR="00602DDA" w:rsidRDefault="00733E2D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IM </w:t>
            </w:r>
            <w:r w:rsidR="00C13415">
              <w:t xml:space="preserve">dose of 0.007 mg/kg reduced plasma </w:t>
            </w:r>
            <w:proofErr w:type="spellStart"/>
            <w:r w:rsidR="00E418F6">
              <w:t>ChE</w:t>
            </w:r>
            <w:proofErr w:type="spellEnd"/>
            <w:r w:rsidR="00C13415">
              <w:t xml:space="preserve"> 80% and RBC </w:t>
            </w:r>
            <w:proofErr w:type="spellStart"/>
            <w:r w:rsidR="00E418F6">
              <w:t>AChE</w:t>
            </w:r>
            <w:proofErr w:type="spellEnd"/>
            <w:r w:rsidR="00C13415">
              <w:t xml:space="preserve"> 25%; </w:t>
            </w:r>
          </w:p>
          <w:p w14:paraId="2732CC0D" w14:textId="5B1FF161" w:rsidR="00C13415" w:rsidRPr="00DD0B0E" w:rsidRDefault="00C13415" w:rsidP="00602DDA">
            <w:pPr>
              <w:pStyle w:val="ListBullet"/>
              <w:numPr>
                <w:ilvl w:val="0"/>
                <w:numId w:val="2"/>
              </w:numPr>
              <w:spacing w:before="60" w:after="60"/>
              <w:ind w:left="1094" w:hanging="357"/>
              <w:contextualSpacing w:val="0"/>
            </w:pPr>
            <w:r>
              <w:t xml:space="preserve">using the effective oral dose of 4 x that of the </w:t>
            </w:r>
            <w:r w:rsidR="00733E2D">
              <w:t>IM dose i.e.</w:t>
            </w:r>
            <w:r w:rsidR="00E418F6">
              <w:t xml:space="preserve"> </w:t>
            </w:r>
            <w:r w:rsidR="00EF4AA2">
              <w:t xml:space="preserve">oral dose of </w:t>
            </w:r>
            <w:r>
              <w:t xml:space="preserve">0.03 mg/kg </w:t>
            </w:r>
            <w:r w:rsidR="00733E2D">
              <w:t>is</w:t>
            </w:r>
            <w:r>
              <w:t xml:space="preserve"> </w:t>
            </w:r>
            <w:r w:rsidRPr="00DD0B0E">
              <w:t xml:space="preserve">expected to lower RBC </w:t>
            </w:r>
            <w:proofErr w:type="spellStart"/>
            <w:r w:rsidR="00E418F6" w:rsidRPr="00DD0B0E">
              <w:t>ChE</w:t>
            </w:r>
            <w:proofErr w:type="spellEnd"/>
            <w:r w:rsidR="00E418F6" w:rsidRPr="00DD0B0E">
              <w:t xml:space="preserve"> by</w:t>
            </w:r>
            <w:r w:rsidRPr="00DD0B0E">
              <w:t xml:space="preserve"> 25%</w:t>
            </w:r>
          </w:p>
          <w:p w14:paraId="14243224" w14:textId="1B401F32" w:rsidR="000C1F2C" w:rsidRPr="00DD0B0E" w:rsidRDefault="001F3809">
            <w:pPr>
              <w:pStyle w:val="ListBullet"/>
              <w:spacing w:before="60" w:after="60"/>
              <w:ind w:left="714" w:hanging="357"/>
            </w:pPr>
            <w:r w:rsidRPr="00DD0B0E">
              <w:t>Results of a</w:t>
            </w:r>
            <w:r w:rsidR="000C1F2C" w:rsidRPr="00DD0B0E">
              <w:t xml:space="preserve"> study </w:t>
            </w:r>
            <w:r w:rsidR="00DF3AB3" w:rsidRPr="00DD0B0E">
              <w:t xml:space="preserve">for </w:t>
            </w:r>
            <w:r w:rsidR="000C1F2C" w:rsidRPr="00DD0B0E">
              <w:t xml:space="preserve">myasthenia gravis </w:t>
            </w:r>
            <w:r w:rsidR="00DF3AB3" w:rsidRPr="00DD0B0E">
              <w:t xml:space="preserve">treatment </w:t>
            </w:r>
            <w:r w:rsidR="00DD0B0E">
              <w:t>(daily dose between 13</w:t>
            </w:r>
            <w:r w:rsidR="00DD0B0E" w:rsidRPr="00DD0B0E">
              <w:t>–</w:t>
            </w:r>
            <w:r w:rsidR="00DD0B0E">
              <w:t xml:space="preserve">17 mg/d) </w:t>
            </w:r>
            <w:r w:rsidRPr="00DD0B0E">
              <w:t xml:space="preserve">indicated a </w:t>
            </w:r>
            <w:r w:rsidR="000C1F2C" w:rsidRPr="00DD0B0E">
              <w:t>steep dose-response curve</w:t>
            </w:r>
            <w:r w:rsidRPr="00DD0B0E">
              <w:t>:</w:t>
            </w:r>
          </w:p>
          <w:p w14:paraId="083B460C" w14:textId="2105544A" w:rsidR="00EF17B4" w:rsidRPr="00DD0B0E" w:rsidRDefault="000C1F2C" w:rsidP="00043D09">
            <w:pPr>
              <w:pStyle w:val="ListBullet"/>
              <w:numPr>
                <w:ilvl w:val="0"/>
                <w:numId w:val="8"/>
              </w:numPr>
              <w:spacing w:before="60" w:after="60"/>
              <w:ind w:left="1097"/>
            </w:pPr>
            <w:r w:rsidRPr="00DD0B0E">
              <w:t>difference between a dose required to produce a maximal response and a dose that produced toxicity was small, ranging</w:t>
            </w:r>
            <w:r w:rsidR="00640C00" w:rsidRPr="00DD0B0E">
              <w:t xml:space="preserve"> from </w:t>
            </w:r>
            <w:r w:rsidR="00B80F66" w:rsidRPr="00DD0B0E">
              <w:t>0.5–3.0 mg (0.07–0.4 mg/kg)</w:t>
            </w:r>
            <w:r w:rsidRPr="00DD0B0E">
              <w:t>.</w:t>
            </w:r>
            <w:r w:rsidR="00B80F66" w:rsidRPr="00DD0B0E">
              <w:t xml:space="preserve"> </w:t>
            </w:r>
          </w:p>
          <w:p w14:paraId="71F22C72" w14:textId="77777777" w:rsidR="00C13415" w:rsidRDefault="00C13415" w:rsidP="00C13415">
            <w:pPr>
              <w:pStyle w:val="Tabletextprimarysource"/>
            </w:pPr>
            <w:r>
              <w:t>Animal data:</w:t>
            </w:r>
          </w:p>
          <w:p w14:paraId="6E125313" w14:textId="12A931EF" w:rsidR="00C13415" w:rsidRDefault="00B60D53" w:rsidP="00602D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LD</w:t>
            </w:r>
            <w:r w:rsidRPr="00B60D53">
              <w:rPr>
                <w:vertAlign w:val="subscript"/>
              </w:rPr>
              <w:t>50</w:t>
            </w:r>
            <w:r w:rsidR="0071109A">
              <w:t>:</w:t>
            </w:r>
            <w:r>
              <w:t xml:space="preserve"> 2.4 mg/kg </w:t>
            </w:r>
            <w:r w:rsidR="0071109A">
              <w:t>(</w:t>
            </w:r>
            <w:r>
              <w:t>male rats</w:t>
            </w:r>
            <w:r w:rsidR="0071109A">
              <w:t>)</w:t>
            </w:r>
            <w:r>
              <w:t>; 1.2 mg/kg</w:t>
            </w:r>
            <w:r w:rsidR="0071109A">
              <w:t xml:space="preserve"> (</w:t>
            </w:r>
            <w:r>
              <w:t>rabbits</w:t>
            </w:r>
            <w:r w:rsidR="0071109A">
              <w:t>)</w:t>
            </w:r>
          </w:p>
          <w:p w14:paraId="42E5D183" w14:textId="387632A6" w:rsidR="00B60D53" w:rsidRDefault="00B60D53" w:rsidP="00602DDA">
            <w:pPr>
              <w:pStyle w:val="ListBullet"/>
              <w:spacing w:before="60" w:after="60"/>
              <w:ind w:left="714" w:hanging="357"/>
              <w:contextualSpacing w:val="0"/>
            </w:pPr>
            <w:r>
              <w:t>1</w:t>
            </w:r>
            <w:r w:rsidR="00E65E40">
              <w:t xml:space="preserve"> </w:t>
            </w:r>
            <w:r>
              <w:t>h LC</w:t>
            </w:r>
            <w:r w:rsidRPr="00B60D53">
              <w:rPr>
                <w:vertAlign w:val="subscript"/>
              </w:rPr>
              <w:t>50</w:t>
            </w:r>
            <w:r w:rsidR="00C01B16">
              <w:t>:</w:t>
            </w:r>
            <w:r w:rsidR="0071109A">
              <w:rPr>
                <w:vertAlign w:val="subscript"/>
              </w:rPr>
              <w:t xml:space="preserve"> </w:t>
            </w:r>
            <w:r>
              <w:t>23.5 mg/m</w:t>
            </w:r>
            <w:r w:rsidRPr="00B60D53">
              <w:rPr>
                <w:vertAlign w:val="superscript"/>
              </w:rPr>
              <w:t>3</w:t>
            </w:r>
            <w:r>
              <w:t xml:space="preserve"> and a 4-h LC</w:t>
            </w:r>
            <w:r w:rsidRPr="00B60D53">
              <w:rPr>
                <w:vertAlign w:val="subscript"/>
              </w:rPr>
              <w:t>50</w:t>
            </w:r>
            <w:r w:rsidR="00C01B16">
              <w:t>:</w:t>
            </w:r>
            <w:r w:rsidR="0071109A">
              <w:rPr>
                <w:vertAlign w:val="subscript"/>
              </w:rPr>
              <w:t xml:space="preserve"> </w:t>
            </w:r>
            <w:r>
              <w:t>6.75 mg/m</w:t>
            </w:r>
            <w:r w:rsidRPr="00B60D53">
              <w:rPr>
                <w:vertAlign w:val="superscript"/>
              </w:rPr>
              <w:t>3</w:t>
            </w:r>
            <w:r>
              <w:t xml:space="preserve"> </w:t>
            </w:r>
            <w:r w:rsidR="0071109A">
              <w:t>(</w:t>
            </w:r>
            <w:r>
              <w:t>male rats</w:t>
            </w:r>
            <w:r w:rsidR="0071109A">
              <w:t>)</w:t>
            </w:r>
          </w:p>
          <w:p w14:paraId="71B4E258" w14:textId="77777777" w:rsidR="00703588" w:rsidRDefault="00703588" w:rsidP="00C01B16">
            <w:pPr>
              <w:pStyle w:val="ListBullet"/>
              <w:spacing w:before="60" w:after="60"/>
              <w:ind w:left="714" w:hanging="357"/>
              <w:contextualSpacing w:val="0"/>
            </w:pPr>
            <w:r>
              <w:t>No further studies identified</w:t>
            </w:r>
            <w:r w:rsidR="0071109A">
              <w:t>.</w:t>
            </w:r>
          </w:p>
          <w:p w14:paraId="0CE4D35D" w14:textId="3EAF9A07" w:rsidR="00C01B16" w:rsidRPr="00DA352E" w:rsidRDefault="00C01B16" w:rsidP="00602DDA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174F8B79" w14:textId="77777777" w:rsidTr="001804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65BCCE9F" w14:textId="32308DC4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lastRenderedPageBreak/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463478">
                  <w:t>2002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463478">
                  <w:t>MAK: 0.005 ppm (0.06 mg/m</w:t>
                </w:r>
                <w:r w:rsidR="00463478" w:rsidRPr="00463478">
                  <w:rPr>
                    <w:vertAlign w:val="superscript"/>
                  </w:rPr>
                  <w:t>3</w:t>
                </w:r>
                <w:r w:rsidR="00463478">
                  <w:t>)</w:t>
                </w:r>
              </w:sdtContent>
            </w:sdt>
          </w:p>
        </w:tc>
      </w:tr>
      <w:tr w:rsidR="00C978F0" w:rsidRPr="00DA352E" w14:paraId="4433014F" w14:textId="77777777" w:rsidTr="00180417">
        <w:trPr>
          <w:gridAfter w:val="1"/>
          <w:wAfter w:w="8" w:type="pct"/>
        </w:trPr>
        <w:tc>
          <w:tcPr>
            <w:tcW w:w="4992" w:type="pct"/>
          </w:tcPr>
          <w:p w14:paraId="7CB292C6" w14:textId="734B8B1B" w:rsidR="00C978F0" w:rsidRDefault="00F757C2" w:rsidP="003365A5">
            <w:pPr>
              <w:pStyle w:val="Tabletextprimarysource"/>
            </w:pPr>
            <w:r>
              <w:t>MAK first established in 1958 then reviewed 1973 and 2002 with no change.</w:t>
            </w:r>
          </w:p>
          <w:p w14:paraId="342475F5" w14:textId="597E7245" w:rsidR="00F757C2" w:rsidRDefault="00F757C2" w:rsidP="003365A5">
            <w:pPr>
              <w:pStyle w:val="Tabletextprimarysource"/>
            </w:pPr>
            <w:r>
              <w:t>Summary of additional information:</w:t>
            </w:r>
          </w:p>
          <w:p w14:paraId="25F79862" w14:textId="0D254D05" w:rsidR="004324A6" w:rsidRPr="00226F87" w:rsidRDefault="004324A6" w:rsidP="00602DDA">
            <w:pPr>
              <w:pStyle w:val="ListBullet"/>
              <w:spacing w:before="60" w:after="60"/>
              <w:ind w:left="714" w:hanging="357"/>
              <w:contextualSpacing w:val="0"/>
            </w:pPr>
            <w:r w:rsidRPr="00226F87">
              <w:rPr>
                <w:rFonts w:cs="Arial"/>
                <w:shd w:val="clear" w:color="auto" w:fill="FFFFFF"/>
              </w:rPr>
              <w:t xml:space="preserve">MAK derived by analogy with other </w:t>
            </w:r>
            <w:r w:rsidR="00226F87" w:rsidRPr="00226F87">
              <w:rPr>
                <w:rFonts w:cs="Arial"/>
                <w:shd w:val="clear" w:color="auto" w:fill="FFFFFF"/>
              </w:rPr>
              <w:t>OP</w:t>
            </w:r>
            <w:r w:rsidRPr="00226F87">
              <w:rPr>
                <w:rFonts w:cs="Arial"/>
                <w:shd w:val="clear" w:color="auto" w:fill="FFFFFF"/>
              </w:rPr>
              <w:t xml:space="preserve"> pesticides</w:t>
            </w:r>
            <w:r w:rsidR="00663DE8" w:rsidRPr="00226F87">
              <w:rPr>
                <w:rFonts w:cs="Arial"/>
                <w:shd w:val="clear" w:color="auto" w:fill="FFFFFF"/>
              </w:rPr>
              <w:t>; no further information</w:t>
            </w:r>
          </w:p>
          <w:p w14:paraId="24A7F709" w14:textId="77777777" w:rsidR="00663DE8" w:rsidRDefault="004324A6" w:rsidP="00602DDA">
            <w:pPr>
              <w:pStyle w:val="ListBullet"/>
              <w:spacing w:before="60" w:after="60"/>
              <w:ind w:left="714" w:hanging="357"/>
              <w:contextualSpacing w:val="0"/>
            </w:pPr>
            <w:r w:rsidRPr="00226F87">
              <w:rPr>
                <w:shd w:val="clear" w:color="auto" w:fill="FFFFFF"/>
              </w:rPr>
              <w:t xml:space="preserve">No data for humans from which a conclusion can be drawn in the case of measured workplace concentrations and effects on </w:t>
            </w:r>
            <w:proofErr w:type="spellStart"/>
            <w:r w:rsidR="0071109A" w:rsidRPr="00226F87">
              <w:rPr>
                <w:shd w:val="clear" w:color="auto" w:fill="FFFFFF"/>
              </w:rPr>
              <w:t>ChE</w:t>
            </w:r>
            <w:proofErr w:type="spellEnd"/>
            <w:r w:rsidRPr="00226F87">
              <w:t>; no further information provided</w:t>
            </w:r>
            <w:r w:rsidR="00C01B16">
              <w:t>.</w:t>
            </w:r>
          </w:p>
          <w:p w14:paraId="61A64F09" w14:textId="2B7E3AF1" w:rsidR="00C01B16" w:rsidRPr="00DA352E" w:rsidRDefault="00C01B16" w:rsidP="00602DDA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</w:tr>
      <w:tr w:rsidR="00C978F0" w:rsidRPr="00DA352E" w14:paraId="0E6A0B2C" w14:textId="77777777" w:rsidTr="001804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73C602E5" w14:textId="3FD1E513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46347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463478">
                  <w:t>NA</w:t>
                </w:r>
              </w:sdtContent>
            </w:sdt>
          </w:p>
        </w:tc>
      </w:tr>
      <w:tr w:rsidR="00C978F0" w:rsidRPr="00DA352E" w14:paraId="2008D281" w14:textId="77777777" w:rsidTr="00180417">
        <w:trPr>
          <w:gridAfter w:val="1"/>
          <w:wAfter w:w="8" w:type="pct"/>
        </w:trPr>
        <w:tc>
          <w:tcPr>
            <w:tcW w:w="4992" w:type="pct"/>
          </w:tcPr>
          <w:p w14:paraId="153B53C1" w14:textId="353C44FB" w:rsidR="00C978F0" w:rsidRPr="00DA352E" w:rsidRDefault="00463478" w:rsidP="003365A5">
            <w:pPr>
              <w:pStyle w:val="Tabletextprimarysource"/>
            </w:pPr>
            <w:r>
              <w:t>No report</w:t>
            </w:r>
            <w:r w:rsidR="0071109A">
              <w:t>.</w:t>
            </w:r>
          </w:p>
        </w:tc>
      </w:tr>
      <w:tr w:rsidR="00DA352E" w:rsidRPr="00DA352E" w14:paraId="12BAB90D" w14:textId="77777777" w:rsidTr="001804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0D806BF8" w14:textId="50991A7F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463478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463478">
                  <w:t>NA</w:t>
                </w:r>
              </w:sdtContent>
            </w:sdt>
          </w:p>
        </w:tc>
      </w:tr>
      <w:tr w:rsidR="00DA352E" w:rsidRPr="00DA352E" w14:paraId="33AAF4A6" w14:textId="77777777" w:rsidTr="00180417">
        <w:trPr>
          <w:gridAfter w:val="1"/>
          <w:wAfter w:w="8" w:type="pct"/>
        </w:trPr>
        <w:tc>
          <w:tcPr>
            <w:tcW w:w="4992" w:type="pct"/>
          </w:tcPr>
          <w:p w14:paraId="2059E4CB" w14:textId="642F2D58" w:rsidR="00DA352E" w:rsidRPr="00DA352E" w:rsidRDefault="00463478" w:rsidP="003365A5">
            <w:pPr>
              <w:pStyle w:val="Tabletextprimarysource"/>
            </w:pPr>
            <w:r>
              <w:t>No report</w:t>
            </w:r>
            <w:r w:rsidR="0071109A">
              <w:t>.</w:t>
            </w:r>
          </w:p>
        </w:tc>
      </w:tr>
      <w:tr w:rsidR="00DA352E" w:rsidRPr="00DA352E" w14:paraId="605F758C" w14:textId="77777777" w:rsidTr="00180417">
        <w:trPr>
          <w:gridAfter w:val="1"/>
          <w:wAfter w:w="8" w:type="pct"/>
        </w:trPr>
        <w:tc>
          <w:tcPr>
            <w:tcW w:w="4992" w:type="pct"/>
            <w:shd w:val="clear" w:color="auto" w:fill="F2F2F2" w:themeFill="background1" w:themeFillShade="F2"/>
          </w:tcPr>
          <w:p w14:paraId="407840EC" w14:textId="287125F9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D8504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D8504D">
                  <w:t>NA</w:t>
                </w:r>
              </w:sdtContent>
            </w:sdt>
          </w:p>
        </w:tc>
      </w:tr>
      <w:tr w:rsidR="00DA352E" w:rsidRPr="00DA352E" w14:paraId="7050CB3E" w14:textId="77777777" w:rsidTr="00180417">
        <w:trPr>
          <w:gridAfter w:val="1"/>
          <w:wAfter w:w="8" w:type="pct"/>
        </w:trPr>
        <w:tc>
          <w:tcPr>
            <w:tcW w:w="4992" w:type="pct"/>
          </w:tcPr>
          <w:p w14:paraId="492D7791" w14:textId="00EB72D9" w:rsidR="00DA352E" w:rsidRPr="00DA352E" w:rsidRDefault="00D8504D" w:rsidP="003365A5">
            <w:pPr>
              <w:pStyle w:val="Tabletextprimarysource"/>
            </w:pPr>
            <w:r>
              <w:t>No report</w:t>
            </w:r>
            <w:r w:rsidR="0071109A">
              <w:t>.</w:t>
            </w:r>
          </w:p>
        </w:tc>
      </w:tr>
    </w:tbl>
    <w:p w14:paraId="6691F3FF" w14:textId="77777777" w:rsidR="00A20751" w:rsidRPr="004C23F4" w:rsidRDefault="00A20751" w:rsidP="003365A5">
      <w:pPr>
        <w:pStyle w:val="Heading3"/>
      </w:pPr>
      <w:bookmarkStart w:id="1" w:name="SecondSource"/>
      <w:r w:rsidRPr="004C23F4">
        <w:t xml:space="preserve">Secondary </w:t>
      </w:r>
      <w:r w:rsidR="0088798F">
        <w:t xml:space="preserve">source reports relied upon </w:t>
      </w:r>
    </w:p>
    <w:p w14:paraId="21C7ACE5" w14:textId="712C0F49" w:rsidR="007E2A4B" w:rsidRDefault="00835D62">
      <w:r>
        <w:t>N</w:t>
      </w:r>
      <w:r w:rsidR="0071109A">
        <w:t>IL.</w:t>
      </w:r>
    </w:p>
    <w:bookmarkEnd w:id="1"/>
    <w:p w14:paraId="04408E29" w14:textId="77777777" w:rsidR="007E2A4B" w:rsidRDefault="007E2A4B" w:rsidP="007E2A4B">
      <w:pPr>
        <w:pStyle w:val="Heading3"/>
      </w:pPr>
      <w:r>
        <w:lastRenderedPageBreak/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328EBB70" w14:textId="77777777" w:rsidTr="00835D62">
        <w:trPr>
          <w:trHeight w:val="454"/>
          <w:tblHeader/>
        </w:trPr>
        <w:tc>
          <w:tcPr>
            <w:tcW w:w="6597" w:type="dxa"/>
            <w:vAlign w:val="center"/>
          </w:tcPr>
          <w:p w14:paraId="3B9A5A84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2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2B8F4675" w14:textId="69589725" w:rsidR="002E0D61" w:rsidRDefault="00835D62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2618A4C0" w14:textId="77777777" w:rsidTr="00835D62">
        <w:trPr>
          <w:trHeight w:val="454"/>
        </w:trPr>
        <w:tc>
          <w:tcPr>
            <w:tcW w:w="6597" w:type="dxa"/>
            <w:vAlign w:val="center"/>
          </w:tcPr>
          <w:p w14:paraId="28B995B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72B1B278" w14:textId="669C1D5F" w:rsidR="008A36CF" w:rsidRDefault="00835D62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602DDA" w14:paraId="4D6DDFA3" w14:textId="77777777" w:rsidTr="007F33F1">
        <w:trPr>
          <w:trHeight w:val="454"/>
        </w:trPr>
        <w:sdt>
          <w:sdtPr>
            <w:rPr>
              <w:b/>
            </w:rPr>
            <w:id w:val="1830936485"/>
            <w:placeholder>
              <w:docPart w:val="613F6748AD364F82BD00BF7ABCE2D19F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18F36B73" w14:textId="773D22F5" w:rsidR="00602DDA" w:rsidRDefault="00602DDA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2"/>
    <w:p w14:paraId="3F27FA04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20" w:firstRow="1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652E2B21" w14:textId="77777777" w:rsidTr="00180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7BAF3EEC" w14:textId="77777777" w:rsidR="00687890" w:rsidRPr="004C23F4" w:rsidRDefault="00687890" w:rsidP="00263255">
            <w:pPr>
              <w:pStyle w:val="Tableheader"/>
            </w:pPr>
            <w:bookmarkStart w:id="3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0D0DCAEA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32D44898" w14:textId="77777777" w:rsidTr="00180417">
        <w:trPr>
          <w:cantSplit/>
        </w:trPr>
        <w:tc>
          <w:tcPr>
            <w:tcW w:w="3227" w:type="dxa"/>
          </w:tcPr>
          <w:p w14:paraId="37396CB4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10BF575" w14:textId="671392B2" w:rsidR="00687890" w:rsidRPr="00DD2F9B" w:rsidRDefault="00D8504D" w:rsidP="00DD2F9B">
            <w:pPr>
              <w:pStyle w:val="Tablefont"/>
            </w:pPr>
            <w:r w:rsidRPr="00D8504D">
              <w:t>Skin</w:t>
            </w:r>
          </w:p>
        </w:tc>
      </w:tr>
      <w:tr w:rsidR="007925F0" w:rsidRPr="004C23F4" w14:paraId="2A0C13EF" w14:textId="77777777" w:rsidTr="00180417">
        <w:trPr>
          <w:cantSplit/>
        </w:trPr>
        <w:tc>
          <w:tcPr>
            <w:tcW w:w="3227" w:type="dxa"/>
          </w:tcPr>
          <w:p w14:paraId="14F1C6D0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1A64DA01" w14:textId="6AF003E5" w:rsidR="007925F0" w:rsidRPr="00DD2F9B" w:rsidRDefault="00D8504D" w:rsidP="00DD2F9B">
            <w:pPr>
              <w:pStyle w:val="Tablefont"/>
            </w:pPr>
            <w:r w:rsidRPr="00D8504D">
              <w:t>—</w:t>
            </w:r>
          </w:p>
        </w:tc>
      </w:tr>
      <w:tr w:rsidR="00AF483F" w:rsidRPr="004C23F4" w14:paraId="4C1044B3" w14:textId="77777777" w:rsidTr="00180417">
        <w:trPr>
          <w:cantSplit/>
        </w:trPr>
        <w:tc>
          <w:tcPr>
            <w:tcW w:w="3227" w:type="dxa"/>
          </w:tcPr>
          <w:p w14:paraId="2C657AD0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4C253FE0" w14:textId="0FFF912C" w:rsidR="00AF483F" w:rsidRPr="00DD2F9B" w:rsidRDefault="00D8504D" w:rsidP="00DD2F9B">
            <w:pPr>
              <w:pStyle w:val="Tablefont"/>
            </w:pPr>
            <w:r>
              <w:t>NA</w:t>
            </w:r>
          </w:p>
        </w:tc>
      </w:tr>
      <w:tr w:rsidR="00687890" w:rsidRPr="004C23F4" w14:paraId="7812F0EC" w14:textId="77777777" w:rsidTr="00180417">
        <w:trPr>
          <w:cantSplit/>
        </w:trPr>
        <w:tc>
          <w:tcPr>
            <w:tcW w:w="3227" w:type="dxa"/>
          </w:tcPr>
          <w:p w14:paraId="27285614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517B08F1" w14:textId="6A39B238" w:rsidR="00687890" w:rsidRPr="00DD2F9B" w:rsidRDefault="00D8504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403F0800" w14:textId="77777777" w:rsidTr="00180417">
        <w:trPr>
          <w:cantSplit/>
        </w:trPr>
        <w:tc>
          <w:tcPr>
            <w:tcW w:w="3227" w:type="dxa"/>
          </w:tcPr>
          <w:p w14:paraId="09B172BE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778B90CD" w14:textId="5FE23E48" w:rsidR="00E41A26" w:rsidRPr="00DD2F9B" w:rsidRDefault="00D8504D" w:rsidP="00DD2F9B">
            <w:pPr>
              <w:pStyle w:val="Tablefont"/>
            </w:pPr>
            <w:r w:rsidRPr="00D8504D">
              <w:t>—</w:t>
            </w:r>
          </w:p>
        </w:tc>
      </w:tr>
      <w:tr w:rsidR="002E0D61" w:rsidRPr="004C23F4" w14:paraId="57A490EF" w14:textId="77777777" w:rsidTr="00180417">
        <w:trPr>
          <w:cantSplit/>
        </w:trPr>
        <w:tc>
          <w:tcPr>
            <w:tcW w:w="3227" w:type="dxa"/>
          </w:tcPr>
          <w:p w14:paraId="4D22C7D5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4A591C6E" w14:textId="175678CF" w:rsidR="002E0D61" w:rsidRPr="00DD2F9B" w:rsidRDefault="00D8504D" w:rsidP="00DD2F9B">
            <w:pPr>
              <w:pStyle w:val="Tablefont"/>
            </w:pPr>
            <w:r>
              <w:t>Skin</w:t>
            </w:r>
          </w:p>
        </w:tc>
      </w:tr>
      <w:tr w:rsidR="002E0D61" w:rsidRPr="004C23F4" w14:paraId="43FA3590" w14:textId="77777777" w:rsidTr="00180417">
        <w:trPr>
          <w:cantSplit/>
        </w:trPr>
        <w:tc>
          <w:tcPr>
            <w:tcW w:w="3227" w:type="dxa"/>
          </w:tcPr>
          <w:p w14:paraId="5F590D05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76555DBE" w14:textId="74C215B1" w:rsidR="002E0D61" w:rsidRPr="00DD2F9B" w:rsidRDefault="00D8504D" w:rsidP="00DD2F9B">
            <w:pPr>
              <w:pStyle w:val="Tablefont"/>
            </w:pPr>
            <w:r>
              <w:t>H(skin)</w:t>
            </w:r>
          </w:p>
        </w:tc>
      </w:tr>
      <w:tr w:rsidR="002E0D61" w:rsidRPr="004C23F4" w14:paraId="2AC7B866" w14:textId="77777777" w:rsidTr="00180417">
        <w:trPr>
          <w:cantSplit/>
        </w:trPr>
        <w:tc>
          <w:tcPr>
            <w:tcW w:w="3227" w:type="dxa"/>
          </w:tcPr>
          <w:p w14:paraId="70E5B2BF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370736A2" w14:textId="22AAB07A" w:rsidR="002E0D61" w:rsidRPr="00DD2F9B" w:rsidRDefault="00D8504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BE6EC07" w14:textId="77777777" w:rsidTr="00180417">
        <w:trPr>
          <w:cantSplit/>
        </w:trPr>
        <w:tc>
          <w:tcPr>
            <w:tcW w:w="3227" w:type="dxa"/>
          </w:tcPr>
          <w:p w14:paraId="4AF9E8D6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70663407" w14:textId="4D7484E6" w:rsidR="002E0D61" w:rsidRPr="00DD2F9B" w:rsidRDefault="00D8504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5F6A6A8E" w14:textId="77777777" w:rsidTr="00180417">
        <w:trPr>
          <w:cantSplit/>
        </w:trPr>
        <w:tc>
          <w:tcPr>
            <w:tcW w:w="3227" w:type="dxa"/>
          </w:tcPr>
          <w:p w14:paraId="04F98936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741186B9" w14:textId="0CC586FD" w:rsidR="00386093" w:rsidRPr="00DD2F9B" w:rsidRDefault="00D8504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7461DB0E" w14:textId="77777777" w:rsidTr="00180417">
        <w:trPr>
          <w:cantSplit/>
        </w:trPr>
        <w:tc>
          <w:tcPr>
            <w:tcW w:w="3227" w:type="dxa"/>
          </w:tcPr>
          <w:p w14:paraId="1086B376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1A9F8299" w14:textId="65EE511C" w:rsidR="00386093" w:rsidRPr="00DD2F9B" w:rsidRDefault="00D8504D" w:rsidP="00D87570">
            <w:pPr>
              <w:pStyle w:val="Tablefont"/>
              <w:keepNext/>
            </w:pPr>
            <w:r w:rsidRPr="00D8504D">
              <w:t>SK:SYS</w:t>
            </w:r>
          </w:p>
        </w:tc>
      </w:tr>
    </w:tbl>
    <w:bookmarkEnd w:id="3"/>
    <w:p w14:paraId="691DA01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0949ECD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314802BA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509CFAA2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4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B6A4B72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9037" w:type="dxa"/>
              <w:tblLook w:val="04A0" w:firstRow="1" w:lastRow="0" w:firstColumn="1" w:lastColumn="0" w:noHBand="0" w:noVBand="1"/>
            </w:tblPr>
            <w:tblGrid>
              <w:gridCol w:w="3823"/>
              <w:gridCol w:w="1129"/>
              <w:gridCol w:w="1129"/>
              <w:gridCol w:w="1364"/>
              <w:gridCol w:w="1365"/>
            </w:tblGrid>
            <w:tr w:rsidR="00835D62" w:rsidRPr="00835D62" w14:paraId="6AA094A9" w14:textId="77777777" w:rsidTr="00835D62">
              <w:trPr>
                <w:trHeight w:val="351"/>
              </w:trPr>
              <w:tc>
                <w:tcPr>
                  <w:tcW w:w="3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B35E3FD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1D7826E5" w14:textId="77777777" w:rsidR="00835D62" w:rsidRPr="00835D62" w:rsidRDefault="00835D62" w:rsidP="0083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78EBB2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F6D09A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9AD5B9E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35D62" w:rsidRPr="00835D62" w14:paraId="209080F6" w14:textId="77777777" w:rsidTr="00835D62">
              <w:trPr>
                <w:trHeight w:val="351"/>
              </w:trPr>
              <w:tc>
                <w:tcPr>
                  <w:tcW w:w="3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D74168D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5991DC10" w14:textId="77777777" w:rsidR="00835D62" w:rsidRPr="00835D62" w:rsidRDefault="00835D62" w:rsidP="0083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BB43E88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CCFD6C0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C6E5A72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35D62" w:rsidRPr="00835D62" w14:paraId="37CD1506" w14:textId="77777777" w:rsidTr="00835D62">
              <w:trPr>
                <w:trHeight w:val="351"/>
              </w:trPr>
              <w:tc>
                <w:tcPr>
                  <w:tcW w:w="3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2B02406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A62DF09" w14:textId="77777777" w:rsidR="00835D62" w:rsidRPr="00835D62" w:rsidRDefault="00835D62" w:rsidP="0083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13227A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1E83BB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0B05580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35D62" w:rsidRPr="00835D62" w14:paraId="07ADA19B" w14:textId="77777777" w:rsidTr="00835D62">
              <w:trPr>
                <w:trHeight w:val="351"/>
              </w:trPr>
              <w:tc>
                <w:tcPr>
                  <w:tcW w:w="3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1AC5508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B46E32E" w14:textId="77777777" w:rsidR="00835D62" w:rsidRPr="00835D62" w:rsidRDefault="00835D62" w:rsidP="0083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9863C4B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DC3E841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FB1EBBE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35D62" w:rsidRPr="00835D62" w14:paraId="3B871550" w14:textId="77777777" w:rsidTr="00835D62">
              <w:trPr>
                <w:trHeight w:val="351"/>
              </w:trPr>
              <w:tc>
                <w:tcPr>
                  <w:tcW w:w="3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B1D7906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4B89A1F" w14:textId="77777777" w:rsidR="00835D62" w:rsidRPr="00835D62" w:rsidRDefault="00835D62" w:rsidP="0083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8FD60EA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B7BE00E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A4F33E8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35D62" w:rsidRPr="00835D62" w14:paraId="552F77AE" w14:textId="77777777" w:rsidTr="00835D62">
              <w:trPr>
                <w:trHeight w:val="351"/>
              </w:trPr>
              <w:tc>
                <w:tcPr>
                  <w:tcW w:w="3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8496339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704E49" w14:textId="77777777" w:rsidR="00835D62" w:rsidRPr="00835D62" w:rsidRDefault="00835D62" w:rsidP="0083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78126B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679326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684F172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835D62" w:rsidRPr="00835D62" w14:paraId="4E64A7C2" w14:textId="77777777" w:rsidTr="00835D62">
              <w:trPr>
                <w:trHeight w:val="351"/>
              </w:trPr>
              <w:tc>
                <w:tcPr>
                  <w:tcW w:w="3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0F432D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90DD93" w14:textId="77777777" w:rsidR="00835D62" w:rsidRPr="00835D62" w:rsidRDefault="00835D62" w:rsidP="00835D62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5915480" w14:textId="77777777" w:rsidR="00835D62" w:rsidRPr="00835D62" w:rsidRDefault="00835D62" w:rsidP="00835D62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2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639554" w14:textId="77777777" w:rsidR="00835D62" w:rsidRPr="00835D62" w:rsidRDefault="00835D62" w:rsidP="00835D62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835D6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329D664C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4"/>
    <w:p w14:paraId="17DD4C7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76572C95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1FCAB12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3DFB8CD9" w14:textId="50D93C60" w:rsidR="00EB3D1B" w:rsidRDefault="00D8504D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09564279" w14:textId="77777777" w:rsidR="00687890" w:rsidRPr="004C23F4" w:rsidRDefault="00B479A9" w:rsidP="00474E33">
      <w:pPr>
        <w:pStyle w:val="Heading2"/>
      </w:pPr>
      <w:r w:rsidRPr="004C23F4">
        <w:lastRenderedPageBreak/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6"/>
        <w:gridCol w:w="5030"/>
      </w:tblGrid>
      <w:tr w:rsidR="001B79E5" w:rsidRPr="004C23F4" w14:paraId="20151388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D40D6A0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4B769A95" w14:textId="1C4B2E0C" w:rsidR="001B79E5" w:rsidRDefault="00D8504D" w:rsidP="001B79E5">
                <w:pPr>
                  <w:pStyle w:val="Tablefont"/>
                </w:pPr>
                <w:r w:rsidRPr="00D8504D">
                  <w:t>290.19</w:t>
                </w:r>
              </w:p>
            </w:tc>
          </w:sdtContent>
        </w:sdt>
      </w:tr>
      <w:tr w:rsidR="00A31D99" w:rsidRPr="004C23F4" w14:paraId="4D7C99C9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39B143B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4F6414BE" w14:textId="26213134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</w:sdtPr>
              <w:sdtEndPr/>
              <w:sdtContent>
                <w:r w:rsidR="00D8504D">
                  <w:t>11.87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D8504D">
                  <w:t>0.08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64400DD3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402488EA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4A54B21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348B99DA" w14:textId="77777777" w:rsidTr="00EA6243">
        <w:trPr>
          <w:cantSplit/>
        </w:trPr>
        <w:tc>
          <w:tcPr>
            <w:tcW w:w="4077" w:type="dxa"/>
            <w:vAlign w:val="center"/>
          </w:tcPr>
          <w:p w14:paraId="085F3385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47481CF4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4A425D20" w14:textId="77777777" w:rsidTr="00EA6243">
        <w:trPr>
          <w:cantSplit/>
        </w:trPr>
        <w:tc>
          <w:tcPr>
            <w:tcW w:w="4077" w:type="dxa"/>
            <w:vAlign w:val="center"/>
          </w:tcPr>
          <w:p w14:paraId="6A9A188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4AC1F87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0C457149" w14:textId="77777777" w:rsidTr="00EA6243">
        <w:trPr>
          <w:cantSplit/>
        </w:trPr>
        <w:tc>
          <w:tcPr>
            <w:tcW w:w="4077" w:type="dxa"/>
            <w:vAlign w:val="center"/>
          </w:tcPr>
          <w:p w14:paraId="6EFB81B8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41AC5BAA" w14:textId="0E6F3BBD" w:rsidR="00E06F40" w:rsidRPr="00A006A0" w:rsidRDefault="00180417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1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D523D">
                  <w:rPr>
                    <w:rFonts w:ascii="MS Gothic" w:eastAsia="MS Gothic" w:hAnsi="MS Gothic" w:cs="MS Gothic" w:hint="eastAsia"/>
                  </w:rPr>
                  <w:sym w:font="Wingdings" w:char="F0FC"/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F17BFE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1A6A40EF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2D29FE93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5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3F181855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0A8EDFF7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7949D24F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20161776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5"/>
    <w:p w14:paraId="2632AEE5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016C4875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32246C00" w14:textId="2FD296D7" w:rsidR="008E4F1F" w:rsidRDefault="008E4F1F" w:rsidP="00D8504D">
      <w:r w:rsidRPr="002022B6">
        <w:t xml:space="preserve">Deutsche </w:t>
      </w:r>
      <w:proofErr w:type="spellStart"/>
      <w:r w:rsidRPr="002022B6">
        <w:t>Forschungsgemeinschaft</w:t>
      </w:r>
      <w:proofErr w:type="spellEnd"/>
      <w:r w:rsidRPr="002022B6">
        <w:t xml:space="preserve"> (DFG)</w:t>
      </w:r>
      <w:r>
        <w:t xml:space="preserve"> (</w:t>
      </w:r>
      <w:r w:rsidR="00D8504D">
        <w:t>2002</w:t>
      </w:r>
      <w:r>
        <w:t xml:space="preserve">) </w:t>
      </w:r>
      <w:r w:rsidR="00D8504D">
        <w:t>TEPP (</w:t>
      </w:r>
      <w:proofErr w:type="gramStart"/>
      <w:r w:rsidR="00D8504D">
        <w:t>O,O</w:t>
      </w:r>
      <w:proofErr w:type="gramEnd"/>
      <w:r w:rsidR="00D8504D">
        <w:t>,O,O-</w:t>
      </w:r>
      <w:proofErr w:type="spellStart"/>
      <w:r w:rsidR="00D8504D">
        <w:t>Tetraethylpyro</w:t>
      </w:r>
      <w:proofErr w:type="spellEnd"/>
      <w:r w:rsidR="00D8504D">
        <w:t xml:space="preserve">- </w:t>
      </w:r>
      <w:proofErr w:type="spellStart"/>
      <w:r w:rsidR="00D8504D">
        <w:t>phosphat</w:t>
      </w:r>
      <w:proofErr w:type="spellEnd"/>
      <w:r w:rsidR="00D8504D">
        <w:t>)</w:t>
      </w:r>
      <w:r>
        <w:t xml:space="preserve"> – MAK value documentation.</w:t>
      </w:r>
    </w:p>
    <w:p w14:paraId="0536E578" w14:textId="7E83628C" w:rsidR="00D8504D" w:rsidRDefault="00D8504D" w:rsidP="008E4F1F">
      <w:pPr>
        <w:rPr>
          <w:b/>
        </w:rPr>
      </w:pPr>
      <w:r>
        <w:t xml:space="preserve">European Chemicals Agency (ECHA) (2019) </w:t>
      </w:r>
      <w:r w:rsidRPr="00D8504D">
        <w:t>TEPP (ISO); tetraethyl pyrophosphate</w:t>
      </w:r>
      <w:r>
        <w:t xml:space="preserve"> – REACH assessment.</w:t>
      </w:r>
    </w:p>
    <w:p w14:paraId="77EFB18B" w14:textId="4DE60C42" w:rsidR="008E4F1F" w:rsidRDefault="008E4F1F" w:rsidP="008E4F1F">
      <w:r w:rsidRPr="00D86E03">
        <w:t>US National Institute for Occupational Safety and Health (NIOSH)</w:t>
      </w:r>
      <w:r>
        <w:t xml:space="preserve"> (</w:t>
      </w:r>
      <w:r w:rsidR="00D8504D" w:rsidRPr="00D8504D">
        <w:t>1994</w:t>
      </w:r>
      <w:r>
        <w:t xml:space="preserve">) Immediately dangerous to life or health concentrations – </w:t>
      </w:r>
      <w:r w:rsidR="00D8504D" w:rsidRPr="00D8504D">
        <w:t>TEPP</w:t>
      </w:r>
      <w:r>
        <w:t>.</w:t>
      </w:r>
    </w:p>
    <w:p w14:paraId="67068BB4" w14:textId="0F6B2D1C" w:rsidR="00D8504D" w:rsidRDefault="00D8504D" w:rsidP="008E4F1F">
      <w:r w:rsidRPr="00D86E03">
        <w:t>US National Institute for Occupational Safety and Health (NIOSH)</w:t>
      </w:r>
      <w:r>
        <w:t xml:space="preserve"> (</w:t>
      </w:r>
      <w:r w:rsidRPr="00D8504D">
        <w:t>2015</w:t>
      </w:r>
      <w:r>
        <w:t xml:space="preserve">) </w:t>
      </w:r>
      <w:r w:rsidRPr="006B0272">
        <w:t xml:space="preserve">NIOSH Skin Notation Profiles: </w:t>
      </w:r>
      <w:r w:rsidRPr="00D8504D">
        <w:t>Tetraethyl pyrophosphate (TEPP)</w:t>
      </w:r>
      <w:r>
        <w:t>.</w:t>
      </w:r>
    </w:p>
    <w:p w14:paraId="0AF85602" w14:textId="77777777" w:rsidR="00D8504D" w:rsidRDefault="00D8504D" w:rsidP="008E4F1F">
      <w:pPr>
        <w:rPr>
          <w:b/>
        </w:rPr>
      </w:pPr>
    </w:p>
    <w:p w14:paraId="417B0753" w14:textId="77777777" w:rsidR="008E4F1F" w:rsidRPr="00351FE0" w:rsidRDefault="008E4F1F" w:rsidP="00084859"/>
    <w:sectPr w:rsidR="008E4F1F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237B" w14:textId="77777777" w:rsidR="00EF6CF6" w:rsidRDefault="00EF6CF6" w:rsidP="00F43AD5">
      <w:pPr>
        <w:spacing w:after="0" w:line="240" w:lineRule="auto"/>
      </w:pPr>
      <w:r>
        <w:separator/>
      </w:r>
    </w:p>
  </w:endnote>
  <w:endnote w:type="continuationSeparator" w:id="0">
    <w:p w14:paraId="49B03C9F" w14:textId="77777777" w:rsidR="00EF6CF6" w:rsidRDefault="00EF6CF6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A49C" w14:textId="77777777" w:rsidR="00180417" w:rsidRDefault="00180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4C9102C2" w14:textId="77777777" w:rsidR="00463478" w:rsidRPr="00463478" w:rsidRDefault="00463478" w:rsidP="00463478">
        <w:pPr>
          <w:pStyle w:val="Footer"/>
          <w:rPr>
            <w:b/>
            <w:sz w:val="18"/>
            <w:szCs w:val="18"/>
          </w:rPr>
        </w:pPr>
      </w:p>
      <w:p w14:paraId="39026E62" w14:textId="748D615C" w:rsidR="008A36CF" w:rsidRDefault="00463478" w:rsidP="00463478">
        <w:pPr>
          <w:pStyle w:val="Footer"/>
          <w:rPr>
            <w:sz w:val="18"/>
            <w:szCs w:val="18"/>
          </w:rPr>
        </w:pPr>
        <w:r w:rsidRPr="00463478">
          <w:rPr>
            <w:b/>
            <w:sz w:val="18"/>
            <w:szCs w:val="18"/>
          </w:rPr>
          <w:t>TEPP</w:t>
        </w:r>
        <w:r w:rsidR="008A36CF">
          <w:rPr>
            <w:b/>
            <w:sz w:val="18"/>
            <w:szCs w:val="18"/>
          </w:rPr>
          <w:t xml:space="preserve"> (</w:t>
        </w:r>
        <w:r w:rsidRPr="00463478">
          <w:rPr>
            <w:b/>
            <w:sz w:val="18"/>
            <w:szCs w:val="18"/>
          </w:rPr>
          <w:t>107-49-3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</w:t>
        </w:r>
        <w:r w:rsidR="007B500F">
          <w:rPr>
            <w:sz w:val="18"/>
            <w:szCs w:val="18"/>
          </w:rPr>
          <w:t>20</w:t>
        </w:r>
      </w:p>
      <w:p w14:paraId="2D517F5E" w14:textId="3802A834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E3273">
          <w:rPr>
            <w:noProof/>
            <w:sz w:val="18"/>
            <w:szCs w:val="18"/>
          </w:rPr>
          <w:t>3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E85C" w14:textId="77777777" w:rsidR="00180417" w:rsidRDefault="00180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4D0D" w14:textId="77777777" w:rsidR="00EF6CF6" w:rsidRDefault="00EF6CF6" w:rsidP="00F43AD5">
      <w:pPr>
        <w:spacing w:after="0" w:line="240" w:lineRule="auto"/>
      </w:pPr>
      <w:r>
        <w:separator/>
      </w:r>
    </w:p>
  </w:footnote>
  <w:footnote w:type="continuationSeparator" w:id="0">
    <w:p w14:paraId="5A006408" w14:textId="77777777" w:rsidR="00EF6CF6" w:rsidRDefault="00EF6CF6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A521" w14:textId="77777777" w:rsidR="00180417" w:rsidRDefault="00180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AE88" w14:textId="730738F3" w:rsidR="00180417" w:rsidRDefault="00180417" w:rsidP="00180417">
    <w:pPr>
      <w:pStyle w:val="Header"/>
      <w:jc w:val="right"/>
    </w:pPr>
    <w:bookmarkStart w:id="0" w:name="_GoBack"/>
    <w:r>
      <w:pict w14:anchorId="3874C3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764580" o:spid="_x0000_s14337" type="#_x0000_t136" style="position:absolute;left:0;text-align:left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bookmarkEnd w:id="0"/>
    <w:r>
      <w:rPr>
        <w:noProof/>
        <w:lang w:eastAsia="en-AU"/>
      </w:rPr>
      <w:drawing>
        <wp:inline distT="0" distB="0" distL="0" distR="0" wp14:anchorId="726A3921" wp14:editId="5C16D571">
          <wp:extent cx="2952750" cy="609600"/>
          <wp:effectExtent l="0" t="0" r="0" b="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AA8792" w14:textId="64A2110B" w:rsidR="008A36CF" w:rsidRPr="00180417" w:rsidRDefault="008A36CF" w:rsidP="001804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ED12" w14:textId="77777777" w:rsidR="00180417" w:rsidRDefault="001804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5077" w14:textId="6A8A78C0" w:rsidR="00180417" w:rsidRDefault="00180417" w:rsidP="00180417">
    <w:pPr>
      <w:pStyle w:val="Header"/>
      <w:jc w:val="right"/>
    </w:pPr>
    <w:r>
      <w:pict w14:anchorId="66AC8B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8" type="#_x0000_t136" style="position:absolute;left:0;text-align:left;margin-left:0;margin-top:0;width:454.5pt;height:181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AU"/>
      </w:rPr>
      <w:drawing>
        <wp:inline distT="0" distB="0" distL="0" distR="0" wp14:anchorId="046E7A52" wp14:editId="0961085C">
          <wp:extent cx="2952750" cy="609600"/>
          <wp:effectExtent l="0" t="0" r="0" b="0"/>
          <wp:docPr id="1" name="Picture 1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767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09FB4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57ECE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65C99"/>
    <w:multiLevelType w:val="hybridMultilevel"/>
    <w:tmpl w:val="595EF764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2E861690"/>
    <w:multiLevelType w:val="hybridMultilevel"/>
    <w:tmpl w:val="6FEAD13E"/>
    <w:lvl w:ilvl="0" w:tplc="04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37050BBB"/>
    <w:multiLevelType w:val="hybridMultilevel"/>
    <w:tmpl w:val="6A305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FA12F3"/>
    <w:multiLevelType w:val="hybridMultilevel"/>
    <w:tmpl w:val="0E2056FA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3CA620B"/>
    <w:multiLevelType w:val="hybridMultilevel"/>
    <w:tmpl w:val="34FE75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3E689F"/>
    <w:multiLevelType w:val="hybridMultilevel"/>
    <w:tmpl w:val="D9D07D60"/>
    <w:lvl w:ilvl="0" w:tplc="0C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7BA419FB"/>
    <w:multiLevelType w:val="hybridMultilevel"/>
    <w:tmpl w:val="ACEE9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53B60"/>
    <w:multiLevelType w:val="hybridMultilevel"/>
    <w:tmpl w:val="1AF0DAA2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removePersonalInformation/>
  <w:removeDateAndTime/>
  <w:proofState w:spelling="clean" w:grammar="clean"/>
  <w:defaultTabStop w:val="720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8FB"/>
    <w:rsid w:val="00032B88"/>
    <w:rsid w:val="00034999"/>
    <w:rsid w:val="00037E52"/>
    <w:rsid w:val="00043D09"/>
    <w:rsid w:val="00046DF5"/>
    <w:rsid w:val="00052060"/>
    <w:rsid w:val="0005574A"/>
    <w:rsid w:val="00055FE1"/>
    <w:rsid w:val="00056EC2"/>
    <w:rsid w:val="00060B48"/>
    <w:rsid w:val="00066528"/>
    <w:rsid w:val="00067F32"/>
    <w:rsid w:val="00071807"/>
    <w:rsid w:val="000803E1"/>
    <w:rsid w:val="000814FB"/>
    <w:rsid w:val="00084513"/>
    <w:rsid w:val="00084859"/>
    <w:rsid w:val="00092D94"/>
    <w:rsid w:val="000A2EAA"/>
    <w:rsid w:val="000B0868"/>
    <w:rsid w:val="000B3E12"/>
    <w:rsid w:val="000B3E78"/>
    <w:rsid w:val="000B7B48"/>
    <w:rsid w:val="000C096D"/>
    <w:rsid w:val="000C139A"/>
    <w:rsid w:val="000C1F2C"/>
    <w:rsid w:val="000C2053"/>
    <w:rsid w:val="000C248C"/>
    <w:rsid w:val="000C7026"/>
    <w:rsid w:val="000D0643"/>
    <w:rsid w:val="000D291C"/>
    <w:rsid w:val="000E5A54"/>
    <w:rsid w:val="000E63D3"/>
    <w:rsid w:val="000E67CF"/>
    <w:rsid w:val="0010046C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55999"/>
    <w:rsid w:val="00160F47"/>
    <w:rsid w:val="0017078C"/>
    <w:rsid w:val="00171DF6"/>
    <w:rsid w:val="00177CA1"/>
    <w:rsid w:val="00180417"/>
    <w:rsid w:val="00183823"/>
    <w:rsid w:val="00183942"/>
    <w:rsid w:val="0018537A"/>
    <w:rsid w:val="001915F6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7D80"/>
    <w:rsid w:val="001F18E8"/>
    <w:rsid w:val="001F3809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6F87"/>
    <w:rsid w:val="00227EC7"/>
    <w:rsid w:val="00244AD1"/>
    <w:rsid w:val="002463BC"/>
    <w:rsid w:val="002465CE"/>
    <w:rsid w:val="002524D1"/>
    <w:rsid w:val="0025734A"/>
    <w:rsid w:val="00263255"/>
    <w:rsid w:val="00276494"/>
    <w:rsid w:val="00277B0C"/>
    <w:rsid w:val="002A0C9F"/>
    <w:rsid w:val="002A3BCE"/>
    <w:rsid w:val="002B1A2C"/>
    <w:rsid w:val="002C34F2"/>
    <w:rsid w:val="002C4EB7"/>
    <w:rsid w:val="002C58FF"/>
    <w:rsid w:val="002C7AFE"/>
    <w:rsid w:val="002D05D2"/>
    <w:rsid w:val="002E0D61"/>
    <w:rsid w:val="002E3273"/>
    <w:rsid w:val="002E4C7B"/>
    <w:rsid w:val="002E53D6"/>
    <w:rsid w:val="0030740C"/>
    <w:rsid w:val="00313F53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2355"/>
    <w:rsid w:val="00347192"/>
    <w:rsid w:val="0034744C"/>
    <w:rsid w:val="00351FE0"/>
    <w:rsid w:val="00352615"/>
    <w:rsid w:val="00352A1A"/>
    <w:rsid w:val="00353579"/>
    <w:rsid w:val="0035412B"/>
    <w:rsid w:val="003567A8"/>
    <w:rsid w:val="00362895"/>
    <w:rsid w:val="003636B6"/>
    <w:rsid w:val="0036391E"/>
    <w:rsid w:val="00365F5C"/>
    <w:rsid w:val="00370DBF"/>
    <w:rsid w:val="00372F1D"/>
    <w:rsid w:val="00376D1A"/>
    <w:rsid w:val="00386093"/>
    <w:rsid w:val="003904A4"/>
    <w:rsid w:val="00391841"/>
    <w:rsid w:val="00391B6D"/>
    <w:rsid w:val="00392D51"/>
    <w:rsid w:val="00394922"/>
    <w:rsid w:val="003A0E32"/>
    <w:rsid w:val="003A2B94"/>
    <w:rsid w:val="003B387D"/>
    <w:rsid w:val="003B6AC7"/>
    <w:rsid w:val="003C0D58"/>
    <w:rsid w:val="003C6689"/>
    <w:rsid w:val="003D4FA3"/>
    <w:rsid w:val="003D64F3"/>
    <w:rsid w:val="003E0807"/>
    <w:rsid w:val="003E51FB"/>
    <w:rsid w:val="003E6B39"/>
    <w:rsid w:val="003F07E1"/>
    <w:rsid w:val="003F26C3"/>
    <w:rsid w:val="004020F7"/>
    <w:rsid w:val="004030BC"/>
    <w:rsid w:val="00403E8E"/>
    <w:rsid w:val="00403F7D"/>
    <w:rsid w:val="00406785"/>
    <w:rsid w:val="004079B4"/>
    <w:rsid w:val="00417598"/>
    <w:rsid w:val="00417A56"/>
    <w:rsid w:val="00420957"/>
    <w:rsid w:val="00422A10"/>
    <w:rsid w:val="00430179"/>
    <w:rsid w:val="004324A6"/>
    <w:rsid w:val="004400C6"/>
    <w:rsid w:val="004414B5"/>
    <w:rsid w:val="004436F1"/>
    <w:rsid w:val="00444482"/>
    <w:rsid w:val="00444B42"/>
    <w:rsid w:val="00445E44"/>
    <w:rsid w:val="004509E2"/>
    <w:rsid w:val="004515EE"/>
    <w:rsid w:val="004529F0"/>
    <w:rsid w:val="00460A03"/>
    <w:rsid w:val="00463478"/>
    <w:rsid w:val="00472A11"/>
    <w:rsid w:val="00472AAD"/>
    <w:rsid w:val="00474E33"/>
    <w:rsid w:val="00476803"/>
    <w:rsid w:val="00485BFD"/>
    <w:rsid w:val="00485D31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448A"/>
    <w:rsid w:val="004F493D"/>
    <w:rsid w:val="004F65E8"/>
    <w:rsid w:val="0050005E"/>
    <w:rsid w:val="00502B88"/>
    <w:rsid w:val="005142C4"/>
    <w:rsid w:val="0051509C"/>
    <w:rsid w:val="00524F22"/>
    <w:rsid w:val="005272E2"/>
    <w:rsid w:val="00530D4E"/>
    <w:rsid w:val="0053108F"/>
    <w:rsid w:val="00532B56"/>
    <w:rsid w:val="00534B10"/>
    <w:rsid w:val="005446A2"/>
    <w:rsid w:val="00544D2F"/>
    <w:rsid w:val="00551BD8"/>
    <w:rsid w:val="00581055"/>
    <w:rsid w:val="00587793"/>
    <w:rsid w:val="00591E38"/>
    <w:rsid w:val="005A19C5"/>
    <w:rsid w:val="005A3034"/>
    <w:rsid w:val="005A462D"/>
    <w:rsid w:val="005B03EB"/>
    <w:rsid w:val="005B253B"/>
    <w:rsid w:val="005B771D"/>
    <w:rsid w:val="005C5D16"/>
    <w:rsid w:val="005D3193"/>
    <w:rsid w:val="005D4A6E"/>
    <w:rsid w:val="005E6979"/>
    <w:rsid w:val="005E75CB"/>
    <w:rsid w:val="005F0B27"/>
    <w:rsid w:val="00600012"/>
    <w:rsid w:val="006013C1"/>
    <w:rsid w:val="00601F1C"/>
    <w:rsid w:val="00602DDA"/>
    <w:rsid w:val="0060669E"/>
    <w:rsid w:val="00610F2E"/>
    <w:rsid w:val="00611399"/>
    <w:rsid w:val="00624C4E"/>
    <w:rsid w:val="00625200"/>
    <w:rsid w:val="006363A8"/>
    <w:rsid w:val="00636DB7"/>
    <w:rsid w:val="00640C00"/>
    <w:rsid w:val="00650905"/>
    <w:rsid w:val="006532ED"/>
    <w:rsid w:val="006549F2"/>
    <w:rsid w:val="006567B7"/>
    <w:rsid w:val="00657BFB"/>
    <w:rsid w:val="00662CBB"/>
    <w:rsid w:val="0066333C"/>
    <w:rsid w:val="006639B4"/>
    <w:rsid w:val="00663DE8"/>
    <w:rsid w:val="006650FE"/>
    <w:rsid w:val="00665BF6"/>
    <w:rsid w:val="0067305D"/>
    <w:rsid w:val="00677D9B"/>
    <w:rsid w:val="00677FC8"/>
    <w:rsid w:val="006867F3"/>
    <w:rsid w:val="00687890"/>
    <w:rsid w:val="006901A2"/>
    <w:rsid w:val="00690368"/>
    <w:rsid w:val="0069079C"/>
    <w:rsid w:val="00690B53"/>
    <w:rsid w:val="00695B72"/>
    <w:rsid w:val="006A59B6"/>
    <w:rsid w:val="006B160A"/>
    <w:rsid w:val="006B4E6C"/>
    <w:rsid w:val="006B50B6"/>
    <w:rsid w:val="006D523D"/>
    <w:rsid w:val="006D79EA"/>
    <w:rsid w:val="006E370A"/>
    <w:rsid w:val="006E5D05"/>
    <w:rsid w:val="006F7313"/>
    <w:rsid w:val="00701053"/>
    <w:rsid w:val="00701507"/>
    <w:rsid w:val="00703588"/>
    <w:rsid w:val="0071109A"/>
    <w:rsid w:val="00714021"/>
    <w:rsid w:val="00716A0F"/>
    <w:rsid w:val="00717D45"/>
    <w:rsid w:val="007208F7"/>
    <w:rsid w:val="007218AF"/>
    <w:rsid w:val="007219D8"/>
    <w:rsid w:val="00733E2D"/>
    <w:rsid w:val="007365D1"/>
    <w:rsid w:val="00740E0E"/>
    <w:rsid w:val="00750212"/>
    <w:rsid w:val="00754779"/>
    <w:rsid w:val="0075716D"/>
    <w:rsid w:val="00765F14"/>
    <w:rsid w:val="00770E31"/>
    <w:rsid w:val="007770F1"/>
    <w:rsid w:val="00783FB1"/>
    <w:rsid w:val="00785CDD"/>
    <w:rsid w:val="00790604"/>
    <w:rsid w:val="00791847"/>
    <w:rsid w:val="007925F0"/>
    <w:rsid w:val="007939B3"/>
    <w:rsid w:val="0079509C"/>
    <w:rsid w:val="00796708"/>
    <w:rsid w:val="007B1B42"/>
    <w:rsid w:val="007B375B"/>
    <w:rsid w:val="007B500F"/>
    <w:rsid w:val="007C30EB"/>
    <w:rsid w:val="007C549D"/>
    <w:rsid w:val="007C721A"/>
    <w:rsid w:val="007D2F0D"/>
    <w:rsid w:val="007E063C"/>
    <w:rsid w:val="007E2A4B"/>
    <w:rsid w:val="007E307D"/>
    <w:rsid w:val="007E6A4E"/>
    <w:rsid w:val="007E6C94"/>
    <w:rsid w:val="007F1005"/>
    <w:rsid w:val="007F25E0"/>
    <w:rsid w:val="007F5328"/>
    <w:rsid w:val="008048A9"/>
    <w:rsid w:val="00804F5A"/>
    <w:rsid w:val="00810C6D"/>
    <w:rsid w:val="00812887"/>
    <w:rsid w:val="00826F21"/>
    <w:rsid w:val="00834CC8"/>
    <w:rsid w:val="00835D62"/>
    <w:rsid w:val="00835E00"/>
    <w:rsid w:val="00837113"/>
    <w:rsid w:val="008414E4"/>
    <w:rsid w:val="00843E21"/>
    <w:rsid w:val="0084508E"/>
    <w:rsid w:val="008459DD"/>
    <w:rsid w:val="00857A8A"/>
    <w:rsid w:val="008630EE"/>
    <w:rsid w:val="00864D13"/>
    <w:rsid w:val="00865E05"/>
    <w:rsid w:val="00871CD5"/>
    <w:rsid w:val="008745A2"/>
    <w:rsid w:val="008768A8"/>
    <w:rsid w:val="0088798F"/>
    <w:rsid w:val="00887E4B"/>
    <w:rsid w:val="0089098B"/>
    <w:rsid w:val="008915C8"/>
    <w:rsid w:val="008939CE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2574"/>
    <w:rsid w:val="008E383D"/>
    <w:rsid w:val="008E4F1F"/>
    <w:rsid w:val="008E7B64"/>
    <w:rsid w:val="008F5DCD"/>
    <w:rsid w:val="00900951"/>
    <w:rsid w:val="009118A6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4F75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1AB5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567A9"/>
    <w:rsid w:val="00A633D4"/>
    <w:rsid w:val="00A6461A"/>
    <w:rsid w:val="00A84504"/>
    <w:rsid w:val="00A8672F"/>
    <w:rsid w:val="00A87138"/>
    <w:rsid w:val="00A922A2"/>
    <w:rsid w:val="00A93057"/>
    <w:rsid w:val="00A968B0"/>
    <w:rsid w:val="00AA50B0"/>
    <w:rsid w:val="00AB2672"/>
    <w:rsid w:val="00AB2817"/>
    <w:rsid w:val="00AB43C4"/>
    <w:rsid w:val="00AC32E7"/>
    <w:rsid w:val="00AC3A9F"/>
    <w:rsid w:val="00AC6D2F"/>
    <w:rsid w:val="00AE2745"/>
    <w:rsid w:val="00AE2F64"/>
    <w:rsid w:val="00AF1068"/>
    <w:rsid w:val="00AF42CB"/>
    <w:rsid w:val="00AF483F"/>
    <w:rsid w:val="00AF5E07"/>
    <w:rsid w:val="00AF5F06"/>
    <w:rsid w:val="00B00A25"/>
    <w:rsid w:val="00B1422A"/>
    <w:rsid w:val="00B1765C"/>
    <w:rsid w:val="00B213C4"/>
    <w:rsid w:val="00B25B35"/>
    <w:rsid w:val="00B40C60"/>
    <w:rsid w:val="00B479A9"/>
    <w:rsid w:val="00B52EDF"/>
    <w:rsid w:val="00B60CF2"/>
    <w:rsid w:val="00B60D53"/>
    <w:rsid w:val="00B62DCF"/>
    <w:rsid w:val="00B70D9C"/>
    <w:rsid w:val="00B71188"/>
    <w:rsid w:val="00B76A41"/>
    <w:rsid w:val="00B80F66"/>
    <w:rsid w:val="00B845F6"/>
    <w:rsid w:val="00B87D4C"/>
    <w:rsid w:val="00B93646"/>
    <w:rsid w:val="00BA0B38"/>
    <w:rsid w:val="00BA0B8C"/>
    <w:rsid w:val="00BA1DBB"/>
    <w:rsid w:val="00BA4510"/>
    <w:rsid w:val="00BA529A"/>
    <w:rsid w:val="00BA580D"/>
    <w:rsid w:val="00BA7519"/>
    <w:rsid w:val="00BB612A"/>
    <w:rsid w:val="00BD499F"/>
    <w:rsid w:val="00BD56DE"/>
    <w:rsid w:val="00BD6451"/>
    <w:rsid w:val="00BF2406"/>
    <w:rsid w:val="00C01B16"/>
    <w:rsid w:val="00C06E43"/>
    <w:rsid w:val="00C0701D"/>
    <w:rsid w:val="00C13415"/>
    <w:rsid w:val="00C16315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A77F2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07C4D"/>
    <w:rsid w:val="00D140FC"/>
    <w:rsid w:val="00D17F33"/>
    <w:rsid w:val="00D20A48"/>
    <w:rsid w:val="00D21D8C"/>
    <w:rsid w:val="00D31357"/>
    <w:rsid w:val="00D33220"/>
    <w:rsid w:val="00D334D1"/>
    <w:rsid w:val="00D44C89"/>
    <w:rsid w:val="00D516CD"/>
    <w:rsid w:val="00D668E6"/>
    <w:rsid w:val="00D678E5"/>
    <w:rsid w:val="00D70670"/>
    <w:rsid w:val="00D74D80"/>
    <w:rsid w:val="00D76624"/>
    <w:rsid w:val="00D8504D"/>
    <w:rsid w:val="00D87570"/>
    <w:rsid w:val="00D9162A"/>
    <w:rsid w:val="00D91CB9"/>
    <w:rsid w:val="00D97989"/>
    <w:rsid w:val="00D97D8D"/>
    <w:rsid w:val="00DA352E"/>
    <w:rsid w:val="00DC7694"/>
    <w:rsid w:val="00DD0B0E"/>
    <w:rsid w:val="00DD1BF6"/>
    <w:rsid w:val="00DD2F9B"/>
    <w:rsid w:val="00DE2513"/>
    <w:rsid w:val="00DE26E8"/>
    <w:rsid w:val="00DF3AB3"/>
    <w:rsid w:val="00DF6F36"/>
    <w:rsid w:val="00E0084C"/>
    <w:rsid w:val="00E025AB"/>
    <w:rsid w:val="00E02B23"/>
    <w:rsid w:val="00E06F40"/>
    <w:rsid w:val="00E07CE8"/>
    <w:rsid w:val="00E16AE9"/>
    <w:rsid w:val="00E26A07"/>
    <w:rsid w:val="00E32595"/>
    <w:rsid w:val="00E37CFD"/>
    <w:rsid w:val="00E418F6"/>
    <w:rsid w:val="00E41A26"/>
    <w:rsid w:val="00E46BCB"/>
    <w:rsid w:val="00E51CAF"/>
    <w:rsid w:val="00E52330"/>
    <w:rsid w:val="00E60F04"/>
    <w:rsid w:val="00E61068"/>
    <w:rsid w:val="00E62AAC"/>
    <w:rsid w:val="00E65E40"/>
    <w:rsid w:val="00E67C2F"/>
    <w:rsid w:val="00E67EF5"/>
    <w:rsid w:val="00E804EA"/>
    <w:rsid w:val="00E80A71"/>
    <w:rsid w:val="00E82337"/>
    <w:rsid w:val="00E92499"/>
    <w:rsid w:val="00E932E0"/>
    <w:rsid w:val="00E949AF"/>
    <w:rsid w:val="00E96077"/>
    <w:rsid w:val="00EA0A06"/>
    <w:rsid w:val="00EA6243"/>
    <w:rsid w:val="00EA74AB"/>
    <w:rsid w:val="00EB2355"/>
    <w:rsid w:val="00EB3D1B"/>
    <w:rsid w:val="00ED1D89"/>
    <w:rsid w:val="00ED3551"/>
    <w:rsid w:val="00ED4A7E"/>
    <w:rsid w:val="00ED57DA"/>
    <w:rsid w:val="00ED66BC"/>
    <w:rsid w:val="00ED66E9"/>
    <w:rsid w:val="00EF17B4"/>
    <w:rsid w:val="00EF233A"/>
    <w:rsid w:val="00EF303E"/>
    <w:rsid w:val="00EF3A40"/>
    <w:rsid w:val="00EF4AA2"/>
    <w:rsid w:val="00EF6CF6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79FF"/>
    <w:rsid w:val="00F43AD5"/>
    <w:rsid w:val="00F4402E"/>
    <w:rsid w:val="00F56DD0"/>
    <w:rsid w:val="00F620D6"/>
    <w:rsid w:val="00F6491C"/>
    <w:rsid w:val="00F67BBB"/>
    <w:rsid w:val="00F757C2"/>
    <w:rsid w:val="00F87A0F"/>
    <w:rsid w:val="00F87D92"/>
    <w:rsid w:val="00F90AA7"/>
    <w:rsid w:val="00F92048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E52F8"/>
    <w:rsid w:val="00FF5C3D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1D60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table" w:styleId="LightShading-Accent2">
    <w:name w:val="Light Shading Accent 2"/>
    <w:aliases w:val="SWA Table Style"/>
    <w:basedOn w:val="TableNormal"/>
    <w:uiPriority w:val="60"/>
    <w:rsid w:val="008E4F1F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5B03EB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26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6C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6C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6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6C3"/>
    <w:rPr>
      <w:b/>
      <w:bCs/>
      <w:szCs w:val="20"/>
    </w:rPr>
  </w:style>
  <w:style w:type="paragraph" w:styleId="Revision">
    <w:name w:val="Revision"/>
    <w:hidden/>
    <w:uiPriority w:val="99"/>
    <w:semiHidden/>
    <w:rsid w:val="00E65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DA2FFE9CEF2D415F9F59B567F352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1C5-42A4-4306-B55E-10EEC441C04B}"/>
      </w:docPartPr>
      <w:docPartBody>
        <w:p w:rsidR="00110D93" w:rsidRDefault="00CA72D3" w:rsidP="00CA72D3">
          <w:pPr>
            <w:pStyle w:val="DA2FFE9CEF2D415F9F59B567F352ED2C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613F6748AD364F82BD00BF7ABCE2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073BB-7908-420B-983F-603ABE64AA01}"/>
      </w:docPartPr>
      <w:docPartBody>
        <w:p w:rsidR="00B50FBD" w:rsidRDefault="00035901" w:rsidP="00035901">
          <w:pPr>
            <w:pStyle w:val="613F6748AD364F82BD00BF7ABCE2D19F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9F"/>
    <w:rsid w:val="00035901"/>
    <w:rsid w:val="00110D93"/>
    <w:rsid w:val="00347D16"/>
    <w:rsid w:val="003E0149"/>
    <w:rsid w:val="00613A68"/>
    <w:rsid w:val="00755FBF"/>
    <w:rsid w:val="00763B7B"/>
    <w:rsid w:val="007A28FE"/>
    <w:rsid w:val="00B50FBD"/>
    <w:rsid w:val="00B760ED"/>
    <w:rsid w:val="00C60A2F"/>
    <w:rsid w:val="00CA72D3"/>
    <w:rsid w:val="00D2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B7B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B5CFDE21C857404F9FEFED685E085F4D">
    <w:name w:val="B5CFDE21C857404F9FEFED685E085F4D"/>
    <w:rsid w:val="00347D16"/>
    <w:rPr>
      <w:lang w:val="en-US" w:eastAsia="en-US"/>
    </w:rPr>
  </w:style>
  <w:style w:type="paragraph" w:customStyle="1" w:styleId="6BB57C39631949C4B4C47D3978D25A26">
    <w:name w:val="6BB57C39631949C4B4C47D3978D25A26"/>
    <w:rsid w:val="00347D16"/>
    <w:rPr>
      <w:lang w:val="en-US" w:eastAsia="en-US"/>
    </w:rPr>
  </w:style>
  <w:style w:type="paragraph" w:customStyle="1" w:styleId="F6336CC4CFA040E9B9321C7AA205723D">
    <w:name w:val="F6336CC4CFA040E9B9321C7AA205723D"/>
    <w:rsid w:val="00347D16"/>
    <w:rPr>
      <w:lang w:val="en-US" w:eastAsia="en-US"/>
    </w:rPr>
  </w:style>
  <w:style w:type="paragraph" w:customStyle="1" w:styleId="58AB8EB8E0694D709F78DDDDFF8053AF">
    <w:name w:val="58AB8EB8E0694D709F78DDDDFF8053AF"/>
    <w:rsid w:val="00347D16"/>
    <w:rPr>
      <w:lang w:val="en-US" w:eastAsia="en-US"/>
    </w:rPr>
  </w:style>
  <w:style w:type="paragraph" w:customStyle="1" w:styleId="D83A27157E294A98BF103E9BA5C24469">
    <w:name w:val="D83A27157E294A98BF103E9BA5C24469"/>
    <w:rsid w:val="00347D16"/>
    <w:rPr>
      <w:lang w:val="en-US" w:eastAsia="en-US"/>
    </w:rPr>
  </w:style>
  <w:style w:type="paragraph" w:customStyle="1" w:styleId="C02304FCE5E444CC91858DC7F6B36569">
    <w:name w:val="C02304FCE5E444CC91858DC7F6B36569"/>
    <w:rsid w:val="00347D16"/>
    <w:rPr>
      <w:lang w:val="en-US" w:eastAsia="en-US"/>
    </w:rPr>
  </w:style>
  <w:style w:type="paragraph" w:customStyle="1" w:styleId="0CA242CE4A894B91804C854EFF498506">
    <w:name w:val="0CA242CE4A894B91804C854EFF498506"/>
    <w:rsid w:val="00347D16"/>
    <w:rPr>
      <w:lang w:val="en-US" w:eastAsia="en-US"/>
    </w:rPr>
  </w:style>
  <w:style w:type="paragraph" w:customStyle="1" w:styleId="E4C65E42AA1B46E49036B1117E798206">
    <w:name w:val="E4C65E42AA1B46E49036B1117E798206"/>
    <w:rsid w:val="00347D16"/>
    <w:rPr>
      <w:lang w:val="en-US" w:eastAsia="en-US"/>
    </w:rPr>
  </w:style>
  <w:style w:type="paragraph" w:customStyle="1" w:styleId="765596AF291C401F8FF734B196C5B66D">
    <w:name w:val="765596AF291C401F8FF734B196C5B66D"/>
    <w:rsid w:val="00347D16"/>
    <w:rPr>
      <w:lang w:val="en-US" w:eastAsia="en-US"/>
    </w:rPr>
  </w:style>
  <w:style w:type="paragraph" w:customStyle="1" w:styleId="E1F508F611B14EAD81A9E7706A8B0D6B">
    <w:name w:val="E1F508F611B14EAD81A9E7706A8B0D6B"/>
    <w:rsid w:val="00347D16"/>
    <w:rPr>
      <w:lang w:val="en-US" w:eastAsia="en-US"/>
    </w:rPr>
  </w:style>
  <w:style w:type="paragraph" w:customStyle="1" w:styleId="34F7093F5FBF4BA8A1CB5E44087BC282">
    <w:name w:val="34F7093F5FBF4BA8A1CB5E44087BC282"/>
    <w:rsid w:val="00347D16"/>
    <w:rPr>
      <w:lang w:val="en-US" w:eastAsia="en-US"/>
    </w:rPr>
  </w:style>
  <w:style w:type="paragraph" w:customStyle="1" w:styleId="26FC8EB56520491CACA9FCEB0ECBEB87">
    <w:name w:val="26FC8EB56520491CACA9FCEB0ECBEB87"/>
    <w:rsid w:val="00347D16"/>
    <w:rPr>
      <w:lang w:val="en-US" w:eastAsia="en-US"/>
    </w:rPr>
  </w:style>
  <w:style w:type="paragraph" w:customStyle="1" w:styleId="BD790799C48E499DAA3B2110345ED3D6">
    <w:name w:val="BD790799C48E499DAA3B2110345ED3D6"/>
    <w:rsid w:val="00347D16"/>
    <w:rPr>
      <w:lang w:val="en-US" w:eastAsia="en-US"/>
    </w:rPr>
  </w:style>
  <w:style w:type="paragraph" w:customStyle="1" w:styleId="3449B0DC08A1430EB9AEF6ED75130148">
    <w:name w:val="3449B0DC08A1430EB9AEF6ED75130148"/>
    <w:rsid w:val="00347D16"/>
    <w:rPr>
      <w:lang w:val="en-US" w:eastAsia="en-US"/>
    </w:rPr>
  </w:style>
  <w:style w:type="paragraph" w:customStyle="1" w:styleId="D8858E08CDF0401CB750E98F7CA8DE9B">
    <w:name w:val="D8858E08CDF0401CB750E98F7CA8DE9B"/>
    <w:rsid w:val="00347D16"/>
    <w:rPr>
      <w:lang w:val="en-US" w:eastAsia="en-US"/>
    </w:rPr>
  </w:style>
  <w:style w:type="paragraph" w:customStyle="1" w:styleId="3E37342461F94466AC5FC31DE44A5773">
    <w:name w:val="3E37342461F94466AC5FC31DE44A5773"/>
    <w:rsid w:val="00347D16"/>
    <w:rPr>
      <w:lang w:val="en-US" w:eastAsia="en-US"/>
    </w:rPr>
  </w:style>
  <w:style w:type="paragraph" w:customStyle="1" w:styleId="FF4B5AA193D14B4CA9A1E95ECAB9F3C9">
    <w:name w:val="FF4B5AA193D14B4CA9A1E95ECAB9F3C9"/>
    <w:rsid w:val="00347D16"/>
    <w:rPr>
      <w:lang w:val="en-US" w:eastAsia="en-US"/>
    </w:rPr>
  </w:style>
  <w:style w:type="paragraph" w:customStyle="1" w:styleId="C0C66143CD704D439CDB5BE6C54F4B45">
    <w:name w:val="C0C66143CD704D439CDB5BE6C54F4B45"/>
    <w:rsid w:val="00347D16"/>
    <w:rPr>
      <w:lang w:val="en-US" w:eastAsia="en-US"/>
    </w:rPr>
  </w:style>
  <w:style w:type="paragraph" w:customStyle="1" w:styleId="E035055C98A7460090CF375CCF93B664">
    <w:name w:val="E035055C98A7460090CF375CCF93B664"/>
    <w:rsid w:val="00347D16"/>
    <w:rPr>
      <w:lang w:val="en-US" w:eastAsia="en-US"/>
    </w:rPr>
  </w:style>
  <w:style w:type="paragraph" w:customStyle="1" w:styleId="44ABE665556845C0BEFD555ED8765A6C">
    <w:name w:val="44ABE665556845C0BEFD555ED8765A6C"/>
    <w:rsid w:val="00347D16"/>
    <w:rPr>
      <w:lang w:val="en-US" w:eastAsia="en-US"/>
    </w:rPr>
  </w:style>
  <w:style w:type="paragraph" w:customStyle="1" w:styleId="4435E3CDB9FB44189EC6DC83A9A444D6">
    <w:name w:val="4435E3CDB9FB44189EC6DC83A9A444D6"/>
    <w:rsid w:val="00347D16"/>
    <w:rPr>
      <w:lang w:val="en-US" w:eastAsia="en-US"/>
    </w:rPr>
  </w:style>
  <w:style w:type="paragraph" w:customStyle="1" w:styleId="1CC15CBB93EB481CB8D82FFE5BFD2D9B">
    <w:name w:val="1CC15CBB93EB481CB8D82FFE5BFD2D9B"/>
    <w:rsid w:val="00347D16"/>
    <w:rPr>
      <w:lang w:val="en-US" w:eastAsia="en-US"/>
    </w:rPr>
  </w:style>
  <w:style w:type="paragraph" w:customStyle="1" w:styleId="E715A9059B4D4192BFF43F02640F6538">
    <w:name w:val="E715A9059B4D4192BFF43F02640F6538"/>
    <w:rsid w:val="00347D16"/>
    <w:rPr>
      <w:lang w:val="en-US" w:eastAsia="en-US"/>
    </w:rPr>
  </w:style>
  <w:style w:type="paragraph" w:customStyle="1" w:styleId="0BA82130F7D946FFA18908296418232F">
    <w:name w:val="0BA82130F7D946FFA18908296418232F"/>
    <w:rsid w:val="00347D16"/>
    <w:rPr>
      <w:lang w:val="en-US" w:eastAsia="en-US"/>
    </w:rPr>
  </w:style>
  <w:style w:type="paragraph" w:customStyle="1" w:styleId="29CEDC1DEFB64CBCB141AE461C60BD40">
    <w:name w:val="29CEDC1DEFB64CBCB141AE461C60BD40"/>
    <w:rsid w:val="00347D16"/>
    <w:rPr>
      <w:lang w:val="en-US" w:eastAsia="en-US"/>
    </w:rPr>
  </w:style>
  <w:style w:type="paragraph" w:customStyle="1" w:styleId="1FE3EE30DD3940DB82381ABC845380CB">
    <w:name w:val="1FE3EE30DD3940DB82381ABC845380CB"/>
    <w:rsid w:val="00347D16"/>
    <w:rPr>
      <w:lang w:val="en-US" w:eastAsia="en-US"/>
    </w:rPr>
  </w:style>
  <w:style w:type="paragraph" w:customStyle="1" w:styleId="6159E7D7E1784F989FAB17CA95A66931">
    <w:name w:val="6159E7D7E1784F989FAB17CA95A66931"/>
    <w:rsid w:val="00347D16"/>
    <w:rPr>
      <w:lang w:val="en-US" w:eastAsia="en-US"/>
    </w:rPr>
  </w:style>
  <w:style w:type="paragraph" w:customStyle="1" w:styleId="A7967B9552E94A109AFB97AE998EDBEC">
    <w:name w:val="A7967B9552E94A109AFB97AE998EDBEC"/>
    <w:rsid w:val="00347D16"/>
    <w:rPr>
      <w:lang w:val="en-US" w:eastAsia="en-US"/>
    </w:rPr>
  </w:style>
  <w:style w:type="paragraph" w:customStyle="1" w:styleId="85303D690FD640D08170C75075190C4B">
    <w:name w:val="85303D690FD640D08170C75075190C4B"/>
    <w:rsid w:val="00347D16"/>
    <w:rPr>
      <w:lang w:val="en-US" w:eastAsia="en-US"/>
    </w:rPr>
  </w:style>
  <w:style w:type="paragraph" w:customStyle="1" w:styleId="A070BFA618804340AABDA79FF681FE29">
    <w:name w:val="A070BFA618804340AABDA79FF681FE29"/>
    <w:rsid w:val="00347D16"/>
    <w:rPr>
      <w:lang w:val="en-US" w:eastAsia="en-US"/>
    </w:rPr>
  </w:style>
  <w:style w:type="paragraph" w:customStyle="1" w:styleId="364F05E0071B464399205E1EA7EF0B93">
    <w:name w:val="364F05E0071B464399205E1EA7EF0B93"/>
    <w:rsid w:val="00347D16"/>
    <w:rPr>
      <w:lang w:val="en-US" w:eastAsia="en-US"/>
    </w:rPr>
  </w:style>
  <w:style w:type="paragraph" w:customStyle="1" w:styleId="2CB4F544E2C14C8FA4754C0EF86EDCBB">
    <w:name w:val="2CB4F544E2C14C8FA4754C0EF86EDCBB"/>
    <w:rsid w:val="00347D16"/>
    <w:rPr>
      <w:lang w:val="en-US" w:eastAsia="en-US"/>
    </w:rPr>
  </w:style>
  <w:style w:type="paragraph" w:customStyle="1" w:styleId="FB0307FD2095404C9CFBE1E594ADF091">
    <w:name w:val="FB0307FD2095404C9CFBE1E594ADF091"/>
    <w:rsid w:val="00347D16"/>
    <w:rPr>
      <w:lang w:val="en-US" w:eastAsia="en-US"/>
    </w:rPr>
  </w:style>
  <w:style w:type="paragraph" w:customStyle="1" w:styleId="A076971D269D49F190680C4D26C5D6D6">
    <w:name w:val="A076971D269D49F190680C4D26C5D6D6"/>
    <w:rsid w:val="00347D16"/>
    <w:rPr>
      <w:lang w:val="en-US" w:eastAsia="en-US"/>
    </w:rPr>
  </w:style>
  <w:style w:type="paragraph" w:customStyle="1" w:styleId="DA2FFE9CEF2D415F9F59B567F352ED2C">
    <w:name w:val="DA2FFE9CEF2D415F9F59B567F352ED2C"/>
    <w:rsid w:val="00CA72D3"/>
  </w:style>
  <w:style w:type="paragraph" w:customStyle="1" w:styleId="3B962B38E33A4DA9BFADFF84CDA9CEFB">
    <w:name w:val="3B962B38E33A4DA9BFADFF84CDA9CEFB"/>
    <w:rsid w:val="00613A68"/>
  </w:style>
  <w:style w:type="paragraph" w:customStyle="1" w:styleId="348E673852F345D0B92EEECB895EDAE1">
    <w:name w:val="348E673852F345D0B92EEECB895EDAE1"/>
    <w:rsid w:val="00613A68"/>
  </w:style>
  <w:style w:type="paragraph" w:customStyle="1" w:styleId="5258B2396A384A6C87071D0877971A2E">
    <w:name w:val="5258B2396A384A6C87071D0877971A2E"/>
    <w:rsid w:val="00613A68"/>
  </w:style>
  <w:style w:type="paragraph" w:customStyle="1" w:styleId="0BFC2E7FC4B247BEB1B4075B062EA4A5">
    <w:name w:val="0BFC2E7FC4B247BEB1B4075B062EA4A5"/>
    <w:rsid w:val="00613A68"/>
  </w:style>
  <w:style w:type="paragraph" w:customStyle="1" w:styleId="613F6748AD364F82BD00BF7ABCE2D19F">
    <w:name w:val="613F6748AD364F82BD00BF7ABCE2D19F"/>
    <w:rsid w:val="00035901"/>
  </w:style>
  <w:style w:type="paragraph" w:customStyle="1" w:styleId="A96CCFE5A8D24BF9A36BED1E8DA24D2D">
    <w:name w:val="A96CCFE5A8D24BF9A36BED1E8DA24D2D"/>
    <w:rsid w:val="00763B7B"/>
  </w:style>
  <w:style w:type="paragraph" w:customStyle="1" w:styleId="F1E76985D47049BB9B66A583434F72D3">
    <w:name w:val="F1E76985D47049BB9B66A583434F72D3"/>
    <w:rsid w:val="00763B7B"/>
  </w:style>
  <w:style w:type="paragraph" w:customStyle="1" w:styleId="8CB6DB0F67214EADBD97D0EFC0796EFD">
    <w:name w:val="8CB6DB0F67214EADBD97D0EFC0796EFD"/>
    <w:rsid w:val="00763B7B"/>
  </w:style>
  <w:style w:type="paragraph" w:customStyle="1" w:styleId="CDCF796E9E9440B885148C159B51DEDB">
    <w:name w:val="CDCF796E9E9440B885148C159B51DEDB"/>
    <w:rsid w:val="00763B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4" ma:contentTypeDescription="Create a new document." ma:contentTypeScope="" ma:versionID="064d7b978d02efd1e6483567367d0895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d17ff28f510e71dda79b4a1724ec235d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7A932-BD22-46DB-BC3A-7BAA5318FF03}">
  <ds:schemaRefs>
    <ds:schemaRef ds:uri="bf54d604-3e62-4e70-ba33-9e9084b96a6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7CCC756-9E30-411E-B1AB-F31756053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099B4-F80F-4FD8-8EB2-804A80780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0A506B-8703-4A22-A1BF-00E19481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2020-05-20T06:03:00Z</dcterms:created>
  <dcterms:modified xsi:type="dcterms:W3CDTF">2020-07-21T01:30:00Z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