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7BE4419" w14:textId="77777777" w:rsidR="00BD499F" w:rsidRPr="004C23F4" w:rsidRDefault="00FB538B" w:rsidP="00B40C60">
          <w:pPr>
            <w:pStyle w:val="Heading1"/>
            <w:jc w:val="center"/>
            <w:rPr>
              <w:rFonts w:ascii="Arial" w:hAnsi="Arial" w:cs="Arial"/>
            </w:rPr>
          </w:pPr>
          <w:r w:rsidRPr="00FB538B">
            <w:rPr>
              <w:rFonts w:ascii="Arial" w:hAnsi="Arial" w:cs="Arial"/>
            </w:rPr>
            <w:t>m-Toluidine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508678F1" w14:textId="77777777" w:rsidTr="002C06F7">
        <w:trPr>
          <w:cantSplit/>
          <w:tblHeader/>
        </w:trPr>
        <w:tc>
          <w:tcPr>
            <w:tcW w:w="3976" w:type="dxa"/>
          </w:tcPr>
          <w:p w14:paraId="59477C4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0" w:type="dxa"/>
          </w:tcPr>
          <w:p w14:paraId="267779C0" w14:textId="77777777" w:rsidR="00F43AD5" w:rsidRPr="00717D45" w:rsidRDefault="005075A5" w:rsidP="00B76A41">
            <w:pPr>
              <w:pStyle w:val="Tablefont"/>
            </w:pPr>
            <w:r>
              <w:t>108-44-1</w:t>
            </w:r>
          </w:p>
        </w:tc>
      </w:tr>
      <w:tr w:rsidR="00F43AD5" w:rsidRPr="00254111" w14:paraId="58597FBA" w14:textId="77777777" w:rsidTr="002C06F7">
        <w:trPr>
          <w:cantSplit/>
        </w:trPr>
        <w:tc>
          <w:tcPr>
            <w:tcW w:w="3976" w:type="dxa"/>
          </w:tcPr>
          <w:p w14:paraId="51DA863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0" w:type="dxa"/>
          </w:tcPr>
          <w:p w14:paraId="475D10C7" w14:textId="6139738C" w:rsidR="00F43AD5" w:rsidRPr="00722965" w:rsidRDefault="0001236B" w:rsidP="00B76A41">
            <w:pPr>
              <w:pStyle w:val="Tablefont"/>
              <w:rPr>
                <w:lang w:val="it-IT"/>
              </w:rPr>
            </w:pPr>
            <w:r w:rsidRPr="00722965">
              <w:rPr>
                <w:lang w:val="it-IT"/>
              </w:rPr>
              <w:t xml:space="preserve">1-Amino-3-methylbenzene, 3-aminotoluene, </w:t>
            </w:r>
            <w:r w:rsidR="002C06F7" w:rsidRPr="00722965">
              <w:rPr>
                <w:lang w:val="it-IT"/>
              </w:rPr>
              <w:br/>
            </w:r>
            <w:r w:rsidRPr="00722965">
              <w:rPr>
                <w:lang w:val="it-IT"/>
              </w:rPr>
              <w:t>3-methylaniline, 3-methylbenzenamine</w:t>
            </w:r>
          </w:p>
        </w:tc>
      </w:tr>
      <w:tr w:rsidR="00F43AD5" w:rsidRPr="004C23F4" w14:paraId="7F3C4212" w14:textId="77777777" w:rsidTr="002C06F7">
        <w:trPr>
          <w:cantSplit/>
        </w:trPr>
        <w:tc>
          <w:tcPr>
            <w:tcW w:w="3976" w:type="dxa"/>
          </w:tcPr>
          <w:p w14:paraId="7C85EFD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0" w:type="dxa"/>
          </w:tcPr>
          <w:p w14:paraId="394DF852" w14:textId="77777777" w:rsidR="00F43AD5" w:rsidRPr="00717D45" w:rsidRDefault="001B0CA9" w:rsidP="00B76A41">
            <w:pPr>
              <w:pStyle w:val="Tablefont"/>
            </w:pPr>
            <w:r>
              <w:t>C</w:t>
            </w:r>
            <w:r w:rsidRPr="001B0CA9">
              <w:rPr>
                <w:vertAlign w:val="subscript"/>
              </w:rPr>
              <w:t>7</w:t>
            </w:r>
            <w:r>
              <w:t>H</w:t>
            </w:r>
            <w:r w:rsidRPr="001B0CA9">
              <w:rPr>
                <w:vertAlign w:val="subscript"/>
              </w:rPr>
              <w:t>9</w:t>
            </w:r>
            <w:r>
              <w:t>N</w:t>
            </w:r>
          </w:p>
        </w:tc>
      </w:tr>
    </w:tbl>
    <w:p w14:paraId="53271DDF" w14:textId="3516A2F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B06E3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10BD80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EB1DF0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8C53841" w14:textId="6AC1C807" w:rsidR="002C7AFE" w:rsidRPr="00FF4085" w:rsidRDefault="00B00FD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6B06E3">
              <w:rPr>
                <w:b/>
              </w:rPr>
              <w:t xml:space="preserve"> </w:t>
            </w:r>
            <w:r w:rsidR="00FF4085">
              <w:rPr>
                <w:b/>
              </w:rPr>
              <w:t>ppm (</w:t>
            </w:r>
            <w:r>
              <w:rPr>
                <w:b/>
              </w:rPr>
              <w:t>8.8</w:t>
            </w:r>
            <w:r w:rsidR="00FF4085">
              <w:rPr>
                <w:b/>
              </w:rPr>
              <w:t xml:space="preserve"> mg/m</w:t>
            </w:r>
            <w:r w:rsidR="00FF4085">
              <w:rPr>
                <w:b/>
                <w:vertAlign w:val="superscript"/>
              </w:rPr>
              <w:t>3</w:t>
            </w:r>
            <w:r w:rsidR="00FF4085">
              <w:rPr>
                <w:b/>
              </w:rPr>
              <w:t>)</w:t>
            </w:r>
          </w:p>
        </w:tc>
      </w:tr>
      <w:tr w:rsidR="00037E52" w:rsidRPr="004C23F4" w14:paraId="62C97966" w14:textId="77777777" w:rsidTr="00037E52">
        <w:trPr>
          <w:cantSplit/>
        </w:trPr>
        <w:tc>
          <w:tcPr>
            <w:tcW w:w="4010" w:type="dxa"/>
            <w:vAlign w:val="center"/>
          </w:tcPr>
          <w:p w14:paraId="2E6A4F4B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F70BB2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370BA3C" w14:textId="77777777" w:rsidTr="00037E52">
        <w:trPr>
          <w:cantSplit/>
        </w:trPr>
        <w:tc>
          <w:tcPr>
            <w:tcW w:w="4010" w:type="dxa"/>
            <w:vAlign w:val="center"/>
          </w:tcPr>
          <w:p w14:paraId="664325E7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91205AE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45E1F84" w14:textId="77777777" w:rsidTr="00037E52">
        <w:trPr>
          <w:cantSplit/>
        </w:trPr>
        <w:tc>
          <w:tcPr>
            <w:tcW w:w="4010" w:type="dxa"/>
          </w:tcPr>
          <w:p w14:paraId="16A530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A5545A8" w14:textId="72474B57" w:rsidR="00037E52" w:rsidRPr="00EB3D1B" w:rsidRDefault="00FF408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4613E8">
              <w:rPr>
                <w:b/>
              </w:rPr>
              <w:t>.</w:t>
            </w:r>
          </w:p>
        </w:tc>
      </w:tr>
      <w:tr w:rsidR="00037E52" w:rsidRPr="004C23F4" w14:paraId="2FDEDFB7" w14:textId="77777777" w:rsidTr="00037E52">
        <w:trPr>
          <w:cantSplit/>
        </w:trPr>
        <w:tc>
          <w:tcPr>
            <w:tcW w:w="4010" w:type="dxa"/>
            <w:vAlign w:val="center"/>
          </w:tcPr>
          <w:p w14:paraId="79EBCA7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5C41EC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7196E4CC" w14:textId="77777777" w:rsidTr="0096404B">
        <w:trPr>
          <w:cantSplit/>
        </w:trPr>
        <w:tc>
          <w:tcPr>
            <w:tcW w:w="9026" w:type="dxa"/>
            <w:gridSpan w:val="2"/>
            <w:vAlign w:val="center"/>
          </w:tcPr>
          <w:p w14:paraId="14393445" w14:textId="77777777" w:rsidR="00155999" w:rsidRPr="00EB3D1B" w:rsidRDefault="00155999" w:rsidP="00037E52">
            <w:pPr>
              <w:pStyle w:val="Tablefont"/>
              <w:rPr>
                <w:b/>
              </w:rPr>
            </w:pPr>
            <w:r w:rsidRPr="00FD1FAD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F4085" w:rsidRPr="00FD1FAD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4D46CF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465B13A" w14:textId="19034009" w:rsidR="006639B4" w:rsidRDefault="00FF4085" w:rsidP="000C139A">
      <w:pPr>
        <w:rPr>
          <w:rFonts w:cs="Arial"/>
        </w:rPr>
      </w:pPr>
      <w:r w:rsidRPr="00FF4085">
        <w:rPr>
          <w:rFonts w:cs="Arial"/>
        </w:rPr>
        <w:t xml:space="preserve">A TWA of </w:t>
      </w:r>
      <w:r w:rsidR="00B00FD7">
        <w:rPr>
          <w:rFonts w:cs="Arial"/>
        </w:rPr>
        <w:t>2</w:t>
      </w:r>
      <w:r w:rsidR="006B06E3" w:rsidRPr="00FF4085">
        <w:rPr>
          <w:rFonts w:cs="Arial"/>
        </w:rPr>
        <w:t xml:space="preserve"> </w:t>
      </w:r>
      <w:r w:rsidRPr="00FF4085">
        <w:rPr>
          <w:rFonts w:cs="Arial"/>
        </w:rPr>
        <w:t>ppm (</w:t>
      </w:r>
      <w:r w:rsidR="00B00FD7">
        <w:rPr>
          <w:rFonts w:cs="Arial"/>
        </w:rPr>
        <w:t>8.8</w:t>
      </w:r>
      <w:r w:rsidRPr="00FF4085">
        <w:rPr>
          <w:rFonts w:cs="Arial"/>
        </w:rPr>
        <w:t xml:space="preserve"> mg/m</w:t>
      </w:r>
      <w:r w:rsidRPr="00FF4085">
        <w:rPr>
          <w:rFonts w:cs="Arial"/>
          <w:vertAlign w:val="superscript"/>
        </w:rPr>
        <w:t>3</w:t>
      </w:r>
      <w:r w:rsidRPr="00FF4085">
        <w:rPr>
          <w:rFonts w:cs="Arial"/>
        </w:rPr>
        <w:t xml:space="preserve">) is </w:t>
      </w:r>
      <w:r>
        <w:rPr>
          <w:rFonts w:cs="Arial"/>
        </w:rPr>
        <w:t xml:space="preserve">recommended </w:t>
      </w:r>
      <w:r w:rsidR="002D5C35">
        <w:rPr>
          <w:rFonts w:cs="Arial"/>
        </w:rPr>
        <w:t xml:space="preserve">in the interim </w:t>
      </w:r>
      <w:r w:rsidRPr="00FF4085">
        <w:rPr>
          <w:rFonts w:cs="Arial"/>
        </w:rPr>
        <w:t xml:space="preserve">to protect for </w:t>
      </w:r>
      <w:r>
        <w:rPr>
          <w:rFonts w:cs="Arial"/>
        </w:rPr>
        <w:t>methaemoglobinemia and irritation of the eyes, kidney and bladder</w:t>
      </w:r>
      <w:r w:rsidRPr="00FF4085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6C4CC1F4" w14:textId="77777777" w:rsidR="00413AE2" w:rsidRPr="004C23F4" w:rsidRDefault="00413AE2" w:rsidP="000C139A">
      <w:pPr>
        <w:rPr>
          <w:rFonts w:cs="Arial"/>
        </w:rPr>
      </w:pPr>
      <w:r w:rsidRPr="00413AE2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57B99D3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6D0E5EE" w14:textId="79443F6B" w:rsidR="006639B4" w:rsidRDefault="00410606" w:rsidP="006639B4">
      <w:pPr>
        <w:rPr>
          <w:rFonts w:cs="Arial"/>
        </w:rPr>
      </w:pPr>
      <w:r w:rsidRPr="00410606">
        <w:rPr>
          <w:rFonts w:cs="Arial"/>
          <w:i/>
        </w:rPr>
        <w:t>m</w:t>
      </w:r>
      <w:r>
        <w:rPr>
          <w:rFonts w:cs="Arial"/>
        </w:rPr>
        <w:t xml:space="preserve">-Toluidine and its hydrochloride </w:t>
      </w:r>
      <w:r w:rsidR="00FF236B">
        <w:rPr>
          <w:rFonts w:cs="Arial"/>
        </w:rPr>
        <w:t xml:space="preserve">(HCl) </w:t>
      </w:r>
      <w:r>
        <w:rPr>
          <w:rFonts w:cs="Arial"/>
        </w:rPr>
        <w:t>salt are used as intermediates in dye and chemical manufacture.</w:t>
      </w:r>
    </w:p>
    <w:p w14:paraId="48242CD1" w14:textId="77777777" w:rsidR="00BF42A3" w:rsidRDefault="003A7AA7" w:rsidP="006639B4">
      <w:pPr>
        <w:rPr>
          <w:rFonts w:cs="Arial"/>
        </w:rPr>
      </w:pPr>
      <w:r>
        <w:rPr>
          <w:rFonts w:cs="Arial"/>
        </w:rPr>
        <w:t>The c</w:t>
      </w:r>
      <w:r w:rsidR="00410606">
        <w:rPr>
          <w:rFonts w:cs="Arial"/>
        </w:rPr>
        <w:t xml:space="preserve">ritical effects of exposure are </w:t>
      </w:r>
      <w:r w:rsidR="00A10FAF">
        <w:rPr>
          <w:rFonts w:cs="Arial"/>
        </w:rPr>
        <w:t>methaemoglobinemia and irritation of the eyes, kidney and bladder.</w:t>
      </w:r>
      <w:r w:rsidR="002C06F7">
        <w:rPr>
          <w:rFonts w:cs="Arial"/>
        </w:rPr>
        <w:t xml:space="preserve"> </w:t>
      </w:r>
    </w:p>
    <w:p w14:paraId="17BF3DB3" w14:textId="2FF2CC6A" w:rsidR="00A10FAF" w:rsidRDefault="00A10FAF" w:rsidP="006639B4">
      <w:pPr>
        <w:rPr>
          <w:rFonts w:cs="Arial"/>
        </w:rPr>
      </w:pPr>
      <w:r>
        <w:rPr>
          <w:rFonts w:cs="Arial"/>
        </w:rPr>
        <w:t>Substance-spec</w:t>
      </w:r>
      <w:r w:rsidR="00C72EE1">
        <w:rPr>
          <w:rFonts w:cs="Arial"/>
        </w:rPr>
        <w:t>ific exposure data are limited</w:t>
      </w:r>
      <w:r w:rsidR="002C06F7">
        <w:rPr>
          <w:rFonts w:cs="Arial"/>
        </w:rPr>
        <w:t>.</w:t>
      </w:r>
      <w:r w:rsidR="00C72EE1">
        <w:rPr>
          <w:rFonts w:cs="Arial"/>
        </w:rPr>
        <w:t xml:space="preserve"> </w:t>
      </w:r>
      <w:r w:rsidR="002C06F7">
        <w:rPr>
          <w:rFonts w:cs="Arial"/>
        </w:rPr>
        <w:t>T</w:t>
      </w:r>
      <w:r w:rsidR="00C72EE1">
        <w:rPr>
          <w:rFonts w:cs="Arial"/>
        </w:rPr>
        <w:t xml:space="preserve">oluidine isomers </w:t>
      </w:r>
      <w:r w:rsidR="002C06F7">
        <w:rPr>
          <w:rFonts w:cs="Arial"/>
        </w:rPr>
        <w:t>(</w:t>
      </w:r>
      <w:r w:rsidR="002C06F7">
        <w:rPr>
          <w:rFonts w:cs="Arial"/>
          <w:i/>
        </w:rPr>
        <w:t>m-, o-, p-</w:t>
      </w:r>
      <w:r w:rsidR="002C06F7">
        <w:rPr>
          <w:rFonts w:cs="Arial"/>
        </w:rPr>
        <w:t xml:space="preserve">) </w:t>
      </w:r>
      <w:r w:rsidR="00C72EE1">
        <w:rPr>
          <w:rFonts w:cs="Arial"/>
        </w:rPr>
        <w:t xml:space="preserve">are reported to elicit </w:t>
      </w:r>
      <w:r w:rsidR="00C72EE1" w:rsidRPr="00C72EE1">
        <w:rPr>
          <w:rFonts w:cs="Arial"/>
        </w:rPr>
        <w:t xml:space="preserve">methaemoglobinemia, painful urination and haemoglobinuria </w:t>
      </w:r>
      <w:r w:rsidR="00C72EE1">
        <w:rPr>
          <w:rFonts w:cs="Arial"/>
        </w:rPr>
        <w:t xml:space="preserve">analogously to aniline (ACGIH, 2018). </w:t>
      </w:r>
      <w:r>
        <w:rPr>
          <w:rFonts w:cs="Arial"/>
        </w:rPr>
        <w:t xml:space="preserve">Signs of illness, which are not specified in the available source material (ACGIH, 2018; ECHA, 2020), are associated with air concentrations of 10 ppm of </w:t>
      </w:r>
      <w:r w:rsidR="00C72EE1">
        <w:rPr>
          <w:rFonts w:cs="Arial"/>
        </w:rPr>
        <w:t>toluidine isomer mixtures</w:t>
      </w:r>
      <w:r>
        <w:rPr>
          <w:rFonts w:cs="Arial"/>
        </w:rPr>
        <w:t>; concentrations</w:t>
      </w:r>
      <w:r w:rsidR="00FF4085">
        <w:rPr>
          <w:rFonts w:cs="Arial"/>
        </w:rPr>
        <w:t xml:space="preserve"> above 5 </w:t>
      </w:r>
      <w:r>
        <w:rPr>
          <w:rFonts w:cs="Arial"/>
        </w:rPr>
        <w:t xml:space="preserve">ppm </w:t>
      </w:r>
      <w:r w:rsidR="002C06F7">
        <w:rPr>
          <w:rFonts w:cs="Arial"/>
        </w:rPr>
        <w:t>a</w:t>
      </w:r>
      <w:r w:rsidR="0096373B">
        <w:rPr>
          <w:rFonts w:cs="Arial"/>
        </w:rPr>
        <w:t>re</w:t>
      </w:r>
      <w:r>
        <w:rPr>
          <w:rFonts w:cs="Arial"/>
        </w:rPr>
        <w:t xml:space="preserve"> considered unsatisfactory </w:t>
      </w:r>
      <w:r w:rsidR="0096373B">
        <w:rPr>
          <w:rFonts w:cs="Arial"/>
        </w:rPr>
        <w:t>in an</w:t>
      </w:r>
      <w:r w:rsidR="00FF4085">
        <w:rPr>
          <w:rFonts w:cs="Arial"/>
        </w:rPr>
        <w:t xml:space="preserve"> industrial survey </w:t>
      </w:r>
      <w:r>
        <w:rPr>
          <w:rFonts w:cs="Arial"/>
        </w:rPr>
        <w:t xml:space="preserve">(ECHA, 2020). </w:t>
      </w:r>
      <w:r w:rsidR="00C72EE1">
        <w:rPr>
          <w:rFonts w:cs="Arial"/>
        </w:rPr>
        <w:t xml:space="preserve">Methaemoglobinemia </w:t>
      </w:r>
      <w:r w:rsidR="002C06F7">
        <w:rPr>
          <w:rFonts w:cs="Arial"/>
        </w:rPr>
        <w:t>i</w:t>
      </w:r>
      <w:r w:rsidR="00C72EE1">
        <w:rPr>
          <w:rFonts w:cs="Arial"/>
        </w:rPr>
        <w:t xml:space="preserve">s reported </w:t>
      </w:r>
      <w:r w:rsidR="007A6EF2">
        <w:rPr>
          <w:rFonts w:cs="Arial"/>
        </w:rPr>
        <w:t>at 30 mg/kg/day</w:t>
      </w:r>
      <w:r w:rsidR="007A6EF2" w:rsidRPr="001A3214">
        <w:rPr>
          <w:rFonts w:cs="Arial"/>
        </w:rPr>
        <w:t xml:space="preserve"> </w:t>
      </w:r>
      <w:r w:rsidR="007A6EF2">
        <w:rPr>
          <w:rFonts w:cs="Arial"/>
        </w:rPr>
        <w:t xml:space="preserve">by gavage </w:t>
      </w:r>
      <w:r w:rsidR="001A3214">
        <w:rPr>
          <w:rFonts w:cs="Arial"/>
        </w:rPr>
        <w:t xml:space="preserve">in a </w:t>
      </w:r>
      <w:r w:rsidR="00C72EE1">
        <w:rPr>
          <w:rFonts w:cs="Arial"/>
        </w:rPr>
        <w:t>sub</w:t>
      </w:r>
      <w:r w:rsidR="00BF42A3">
        <w:rPr>
          <w:rFonts w:cs="Arial"/>
        </w:rPr>
        <w:t>-</w:t>
      </w:r>
      <w:r w:rsidR="00C72EE1">
        <w:rPr>
          <w:rFonts w:cs="Arial"/>
        </w:rPr>
        <w:t xml:space="preserve">chronic </w:t>
      </w:r>
      <w:r w:rsidR="001A3214">
        <w:rPr>
          <w:rFonts w:cs="Arial"/>
        </w:rPr>
        <w:t xml:space="preserve">reproductive </w:t>
      </w:r>
      <w:r w:rsidR="00743029">
        <w:rPr>
          <w:rFonts w:cs="Arial"/>
        </w:rPr>
        <w:t xml:space="preserve">study </w:t>
      </w:r>
      <w:r w:rsidR="007A6EF2">
        <w:rPr>
          <w:rFonts w:cs="Arial"/>
        </w:rPr>
        <w:t>with rats</w:t>
      </w:r>
      <w:r w:rsidR="00C72EE1">
        <w:rPr>
          <w:rFonts w:cs="Arial"/>
        </w:rPr>
        <w:t xml:space="preserve">; an experimentally determined NOAEL for this effect is not </w:t>
      </w:r>
      <w:r w:rsidR="006C1C31">
        <w:rPr>
          <w:rFonts w:cs="Arial"/>
        </w:rPr>
        <w:t>reported</w:t>
      </w:r>
      <w:r w:rsidR="00C72EE1">
        <w:rPr>
          <w:rFonts w:cs="Arial"/>
        </w:rPr>
        <w:t xml:space="preserve"> in the available source material (ECHA, 2020).</w:t>
      </w:r>
      <w:r w:rsidR="00F17D55">
        <w:rPr>
          <w:rFonts w:cs="Arial"/>
        </w:rPr>
        <w:t xml:space="preserve"> No evidence for carcinogenic activity </w:t>
      </w:r>
      <w:r w:rsidR="002C06F7">
        <w:rPr>
          <w:rFonts w:cs="Arial"/>
        </w:rPr>
        <w:t>i</w:t>
      </w:r>
      <w:r w:rsidR="00F17D55">
        <w:rPr>
          <w:rFonts w:cs="Arial"/>
        </w:rPr>
        <w:t xml:space="preserve">s found in chronically fed rats, whereas equivocal evidence </w:t>
      </w:r>
      <w:r w:rsidR="002C06F7">
        <w:rPr>
          <w:rFonts w:cs="Arial"/>
        </w:rPr>
        <w:t>i</w:t>
      </w:r>
      <w:r w:rsidR="00F17D55">
        <w:rPr>
          <w:rFonts w:cs="Arial"/>
        </w:rPr>
        <w:t xml:space="preserve">s demonstrated </w:t>
      </w:r>
      <w:r w:rsidR="0096373B">
        <w:rPr>
          <w:rFonts w:cs="Arial"/>
        </w:rPr>
        <w:t xml:space="preserve">in </w:t>
      </w:r>
      <w:r w:rsidR="00F17D55">
        <w:rPr>
          <w:rFonts w:cs="Arial"/>
        </w:rPr>
        <w:t>mice (ACGIH, 2018).</w:t>
      </w:r>
    </w:p>
    <w:p w14:paraId="1EAEB054" w14:textId="58AB2DAE" w:rsidR="00C72EE1" w:rsidRPr="00AC2365" w:rsidRDefault="00F17D55" w:rsidP="006639B4">
      <w:pPr>
        <w:rPr>
          <w:rFonts w:cs="Arial"/>
        </w:rPr>
      </w:pPr>
      <w:r>
        <w:rPr>
          <w:rFonts w:cs="Arial"/>
        </w:rPr>
        <w:t xml:space="preserve">In the absence of sufficient exposure data, ACGIH (2018) </w:t>
      </w:r>
      <w:r w:rsidR="00413AE2">
        <w:rPr>
          <w:rFonts w:cs="Arial"/>
        </w:rPr>
        <w:t>recommends a</w:t>
      </w:r>
      <w:r w:rsidR="0096373B">
        <w:rPr>
          <w:rFonts w:cs="Arial"/>
        </w:rPr>
        <w:t xml:space="preserve"> </w:t>
      </w:r>
      <w:r w:rsidR="00DA1A79">
        <w:rPr>
          <w:rFonts w:cs="Arial"/>
        </w:rPr>
        <w:t>TLV-TWA of 2 ppm</w:t>
      </w:r>
      <w:r>
        <w:rPr>
          <w:rFonts w:cs="Arial"/>
        </w:rPr>
        <w:t xml:space="preserve"> </w:t>
      </w:r>
      <w:r w:rsidR="0096373B">
        <w:rPr>
          <w:rFonts w:cs="Arial"/>
        </w:rPr>
        <w:t>and</w:t>
      </w:r>
      <w:r w:rsidR="00DA1A79">
        <w:rPr>
          <w:rFonts w:cs="Arial"/>
        </w:rPr>
        <w:t xml:space="preserve"> skin notation </w:t>
      </w:r>
      <w:r w:rsidR="00413AE2">
        <w:rPr>
          <w:rFonts w:cs="Arial"/>
        </w:rPr>
        <w:t xml:space="preserve">based </w:t>
      </w:r>
      <w:r>
        <w:rPr>
          <w:rFonts w:cs="Arial"/>
        </w:rPr>
        <w:t xml:space="preserve">on analogies to </w:t>
      </w:r>
      <w:r w:rsidR="0096373B">
        <w:rPr>
          <w:rFonts w:cs="Arial"/>
        </w:rPr>
        <w:t xml:space="preserve">toxicologically and structurally similar </w:t>
      </w:r>
      <w:r>
        <w:rPr>
          <w:rFonts w:cs="Arial"/>
        </w:rPr>
        <w:t>aniline</w:t>
      </w:r>
      <w:r w:rsidR="00802A59">
        <w:rPr>
          <w:rFonts w:cs="Arial"/>
        </w:rPr>
        <w:t>,</w:t>
      </w:r>
      <w:r>
        <w:rPr>
          <w:rFonts w:cs="Arial"/>
        </w:rPr>
        <w:t xml:space="preserve"> </w:t>
      </w:r>
      <w:r w:rsidR="00802A59" w:rsidRPr="00802A59">
        <w:rPr>
          <w:rFonts w:cs="Arial"/>
        </w:rPr>
        <w:t xml:space="preserve">for which the critical endpoint is also methaemoglobin formation. </w:t>
      </w:r>
      <w:r w:rsidR="00A84CDD">
        <w:rPr>
          <w:rFonts w:cs="Arial"/>
        </w:rPr>
        <w:t>ACGIH</w:t>
      </w:r>
      <w:r w:rsidR="00802A59">
        <w:rPr>
          <w:rFonts w:cs="Arial"/>
        </w:rPr>
        <w:t xml:space="preserve"> does not appear to consider the results of a sub</w:t>
      </w:r>
      <w:r w:rsidR="006C1C31">
        <w:rPr>
          <w:rFonts w:cs="Arial"/>
        </w:rPr>
        <w:t>-</w:t>
      </w:r>
      <w:r w:rsidR="00802A59">
        <w:rPr>
          <w:rFonts w:cs="Arial"/>
        </w:rPr>
        <w:t xml:space="preserve">chronic reproductive study </w:t>
      </w:r>
      <w:r w:rsidR="00092BA9">
        <w:rPr>
          <w:rFonts w:cs="Arial"/>
        </w:rPr>
        <w:t xml:space="preserve">reported </w:t>
      </w:r>
      <w:r w:rsidR="00802A59">
        <w:rPr>
          <w:rFonts w:cs="Arial"/>
        </w:rPr>
        <w:t xml:space="preserve">by ECHA (2020) and OECD (2001) in </w:t>
      </w:r>
      <w:r w:rsidR="00A84CDD">
        <w:rPr>
          <w:rFonts w:cs="Arial"/>
        </w:rPr>
        <w:t xml:space="preserve">the </w:t>
      </w:r>
      <w:r w:rsidR="00802A59">
        <w:rPr>
          <w:rFonts w:cs="Arial"/>
        </w:rPr>
        <w:t>assessment.</w:t>
      </w:r>
      <w:r w:rsidR="00B00FD7">
        <w:rPr>
          <w:rFonts w:cs="Arial"/>
        </w:rPr>
        <w:t xml:space="preserve"> </w:t>
      </w:r>
      <w:r w:rsidR="00DA1A79">
        <w:rPr>
          <w:rFonts w:cs="Arial"/>
        </w:rPr>
        <w:t xml:space="preserve">In view of </w:t>
      </w:r>
      <w:r w:rsidR="008C365A">
        <w:rPr>
          <w:rFonts w:cs="Arial"/>
        </w:rPr>
        <w:t xml:space="preserve">this </w:t>
      </w:r>
      <w:r w:rsidR="00802A59">
        <w:rPr>
          <w:rFonts w:cs="Arial"/>
        </w:rPr>
        <w:t>uncertainty</w:t>
      </w:r>
      <w:r w:rsidR="00B00FD7">
        <w:rPr>
          <w:rFonts w:cs="Arial"/>
        </w:rPr>
        <w:t>,</w:t>
      </w:r>
      <w:r w:rsidR="00FF4085">
        <w:rPr>
          <w:rFonts w:cs="Arial"/>
        </w:rPr>
        <w:t xml:space="preserve"> </w:t>
      </w:r>
      <w:r w:rsidR="006102EF" w:rsidRPr="006102EF">
        <w:rPr>
          <w:rFonts w:cs="Arial"/>
        </w:rPr>
        <w:t xml:space="preserve">the current </w:t>
      </w:r>
      <w:r w:rsidR="002D5C35">
        <w:rPr>
          <w:rFonts w:cs="Arial"/>
        </w:rPr>
        <w:t xml:space="preserve">SWA </w:t>
      </w:r>
      <w:r w:rsidR="006102EF" w:rsidRPr="006102EF">
        <w:rPr>
          <w:rFonts w:cs="Arial"/>
        </w:rPr>
        <w:t xml:space="preserve">TWA of 2 ppm is retained in the interim and further assessment of </w:t>
      </w:r>
      <w:r w:rsidR="006102EF" w:rsidRPr="006102EF">
        <w:rPr>
          <w:rFonts w:cs="Arial"/>
        </w:rPr>
        <w:lastRenderedPageBreak/>
        <w:t>additional sources is recommended during subsequent reviews of the WES.</w:t>
      </w:r>
      <w:r w:rsidR="00A12551">
        <w:rPr>
          <w:rFonts w:cs="Arial"/>
        </w:rPr>
        <w:t xml:space="preserve"> </w:t>
      </w:r>
      <w:r w:rsidR="00EC4260">
        <w:rPr>
          <w:rFonts w:cs="Arial"/>
        </w:rPr>
        <w:t xml:space="preserve">Aniline is structurally and toxicologically related to </w:t>
      </w:r>
      <w:r w:rsidR="00EC4260" w:rsidRPr="00DE30C7">
        <w:rPr>
          <w:rFonts w:cs="Arial"/>
          <w:i/>
        </w:rPr>
        <w:t>m</w:t>
      </w:r>
      <w:r w:rsidR="00EC4260">
        <w:rPr>
          <w:rFonts w:cs="Arial"/>
        </w:rPr>
        <w:t xml:space="preserve">-toluidine; </w:t>
      </w:r>
      <w:r w:rsidR="002D5C35">
        <w:rPr>
          <w:rFonts w:cs="Arial"/>
        </w:rPr>
        <w:t xml:space="preserve">therefore, </w:t>
      </w:r>
      <w:r w:rsidR="00EC4260">
        <w:rPr>
          <w:rFonts w:cs="Arial"/>
        </w:rPr>
        <w:t>s</w:t>
      </w:r>
      <w:r w:rsidR="00A12551">
        <w:rPr>
          <w:rFonts w:cs="Arial"/>
        </w:rPr>
        <w:t>ubsequent reviews should</w:t>
      </w:r>
      <w:r w:rsidR="00B00FD7">
        <w:rPr>
          <w:rFonts w:cs="Arial"/>
        </w:rPr>
        <w:t xml:space="preserve"> </w:t>
      </w:r>
      <w:r w:rsidR="00A12551">
        <w:rPr>
          <w:rFonts w:cs="Arial"/>
        </w:rPr>
        <w:t>consider</w:t>
      </w:r>
      <w:r w:rsidR="00DA1A79">
        <w:rPr>
          <w:rFonts w:cs="Arial"/>
        </w:rPr>
        <w:t xml:space="preserve"> </w:t>
      </w:r>
      <w:r w:rsidR="0096373B">
        <w:rPr>
          <w:rFonts w:cs="Arial"/>
        </w:rPr>
        <w:t xml:space="preserve">the TWA of </w:t>
      </w:r>
      <w:r w:rsidR="00802A59">
        <w:rPr>
          <w:rFonts w:cs="Arial"/>
        </w:rPr>
        <w:t>0.5 </w:t>
      </w:r>
      <w:r w:rsidR="00DA1A79">
        <w:rPr>
          <w:rFonts w:cs="Arial"/>
        </w:rPr>
        <w:t>ppm</w:t>
      </w:r>
      <w:r w:rsidR="00802A59">
        <w:rPr>
          <w:rFonts w:cs="Arial"/>
        </w:rPr>
        <w:t xml:space="preserve"> for aniline and its homologues</w:t>
      </w:r>
      <w:r w:rsidR="00A12551">
        <w:rPr>
          <w:rFonts w:cs="Arial"/>
        </w:rPr>
        <w:t>, which protects for methaemoglobinaemi</w:t>
      </w:r>
      <w:r w:rsidR="00B00FD7">
        <w:rPr>
          <w:rFonts w:cs="Arial"/>
        </w:rPr>
        <w:t xml:space="preserve">a and is based on the results of a </w:t>
      </w:r>
      <w:r w:rsidR="00AE293C">
        <w:rPr>
          <w:rFonts w:cs="Arial"/>
        </w:rPr>
        <w:t>volunteer study with repeat oral doses of aniline (SCOEL, 2010)</w:t>
      </w:r>
      <w:r w:rsidR="00A12551">
        <w:rPr>
          <w:rFonts w:cs="Arial"/>
        </w:rPr>
        <w:t>.</w:t>
      </w:r>
    </w:p>
    <w:p w14:paraId="2EAF581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7D422F6" w14:textId="77777777" w:rsidR="008E4F1F" w:rsidRPr="0096373B" w:rsidRDefault="008E4F1F" w:rsidP="008E4F1F">
      <w:pPr>
        <w:rPr>
          <w:rFonts w:cs="Arial"/>
        </w:rPr>
      </w:pPr>
      <w:r w:rsidRPr="0096373B">
        <w:rPr>
          <w:rFonts w:cs="Arial"/>
        </w:rPr>
        <w:t>Not classified as a carcinogen according to the Globally Harmonized System of</w:t>
      </w:r>
      <w:r w:rsidR="00155999" w:rsidRPr="0096373B">
        <w:rPr>
          <w:rFonts w:cs="Arial"/>
        </w:rPr>
        <w:t xml:space="preserve"> Classification and Labelling of</w:t>
      </w:r>
      <w:r w:rsidRPr="0096373B">
        <w:rPr>
          <w:rFonts w:cs="Arial"/>
        </w:rPr>
        <w:t xml:space="preserve"> Chemicals (GHS). </w:t>
      </w:r>
    </w:p>
    <w:p w14:paraId="404DE35A" w14:textId="77777777" w:rsidR="008E4F1F" w:rsidRPr="0096373B" w:rsidRDefault="008E4F1F" w:rsidP="008E4F1F">
      <w:pPr>
        <w:rPr>
          <w:rFonts w:cs="Arial"/>
        </w:rPr>
      </w:pPr>
      <w:r w:rsidRPr="0096373B">
        <w:rPr>
          <w:rFonts w:cs="Arial"/>
        </w:rPr>
        <w:t xml:space="preserve">Not classified as a skin </w:t>
      </w:r>
      <w:r w:rsidR="00155999" w:rsidRPr="0096373B">
        <w:rPr>
          <w:rFonts w:cs="Arial"/>
        </w:rPr>
        <w:t xml:space="preserve">sensitiser </w:t>
      </w:r>
      <w:r w:rsidRPr="0096373B">
        <w:rPr>
          <w:rFonts w:cs="Arial"/>
        </w:rPr>
        <w:t>or respiratory sensitiser according to the GHS.</w:t>
      </w:r>
    </w:p>
    <w:p w14:paraId="0717BF14" w14:textId="77777777" w:rsidR="0025734A" w:rsidRPr="004C23F4" w:rsidRDefault="0096373B" w:rsidP="0096373B">
      <w:pPr>
        <w:keepNext/>
        <w:rPr>
          <w:rFonts w:cs="Arial"/>
        </w:rPr>
      </w:pPr>
      <w:r w:rsidRPr="0096373B">
        <w:rPr>
          <w:rFonts w:cs="Arial"/>
        </w:rPr>
        <w:t>A skin notation is recommended due to evidence of dermal absorption and contribution to adverse systemic effects.</w:t>
      </w:r>
    </w:p>
    <w:p w14:paraId="350A0B6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D643D8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999D02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05B67E5" w14:textId="77777777" w:rsidTr="005135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CD2DC5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5FFF27C" w14:textId="77777777" w:rsidTr="00513509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DAD8CD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910A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910A2" w:rsidRPr="004910A2">
                  <w:t xml:space="preserve">TWA: 2 ppm </w:t>
                </w:r>
                <w:r w:rsidR="004910A2">
                  <w:t>(</w:t>
                </w:r>
                <w:r w:rsidR="004910A2" w:rsidRPr="004910A2">
                  <w:t>8.8 mg/m</w:t>
                </w:r>
                <w:r w:rsidR="004910A2" w:rsidRPr="004910A2">
                  <w:rPr>
                    <w:vertAlign w:val="superscript"/>
                  </w:rPr>
                  <w:t>3</w:t>
                </w:r>
                <w:r w:rsidR="004910A2">
                  <w:t>)</w:t>
                </w:r>
              </w:sdtContent>
            </w:sdt>
          </w:p>
        </w:tc>
      </w:tr>
      <w:tr w:rsidR="00C978F0" w:rsidRPr="00DA352E" w14:paraId="3AB4E0D1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2706609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98B94EB" w14:textId="77777777" w:rsidTr="0051350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2188D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9698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96987">
                  <w:t>TLV-</w:t>
                </w:r>
                <w:r w:rsidR="00D96987" w:rsidRPr="00D96987">
                  <w:t>TWA: 2 ppm (8.8 mg/m</w:t>
                </w:r>
                <w:r w:rsidR="00D96987" w:rsidRPr="00D96987">
                  <w:rPr>
                    <w:vertAlign w:val="superscript"/>
                  </w:rPr>
                  <w:t>3</w:t>
                </w:r>
                <w:r w:rsidR="00D96987" w:rsidRPr="00D96987">
                  <w:t>)</w:t>
                </w:r>
              </w:sdtContent>
            </w:sdt>
          </w:p>
        </w:tc>
      </w:tr>
      <w:tr w:rsidR="00C978F0" w:rsidRPr="00DA352E" w14:paraId="17770872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1A7F7B77" w14:textId="1868DBAC" w:rsidR="002C06F7" w:rsidRDefault="00B27D5E" w:rsidP="003365A5">
            <w:pPr>
              <w:pStyle w:val="Tabletextprimarysource"/>
            </w:pPr>
            <w:r>
              <w:t xml:space="preserve">TLV-TWA intended to protect for irritation of the eyes, kidneys and bladder, methaemoglobinemia, anaemia and cyanosis. </w:t>
            </w:r>
          </w:p>
          <w:p w14:paraId="55F1DE85" w14:textId="58E8E561" w:rsidR="00B27D5E" w:rsidRDefault="00B27D5E" w:rsidP="003365A5">
            <w:pPr>
              <w:pStyle w:val="Tabletextprimarysource"/>
            </w:pPr>
            <w:r>
              <w:t>Summary of data</w:t>
            </w:r>
            <w:r w:rsidR="00F81CEE">
              <w:t>:</w:t>
            </w:r>
          </w:p>
          <w:p w14:paraId="3AF27653" w14:textId="77777777" w:rsidR="00B27D5E" w:rsidRPr="000E0C6E" w:rsidRDefault="000E0C6E" w:rsidP="003365A5">
            <w:pPr>
              <w:pStyle w:val="Tabletextprimarysource"/>
            </w:pPr>
            <w:r w:rsidRPr="000E0C6E">
              <w:rPr>
                <w:i/>
              </w:rPr>
              <w:t>m</w:t>
            </w:r>
            <w:r>
              <w:t xml:space="preserve">-Toluidine has a similar toxicity profile to </w:t>
            </w:r>
            <w:r>
              <w:rPr>
                <w:i/>
              </w:rPr>
              <w:t>o</w:t>
            </w:r>
            <w:r>
              <w:t xml:space="preserve">-toluidine, for which more toxicological data are available. TLV-TWA based on analogy to aniline and </w:t>
            </w:r>
            <w:r>
              <w:rPr>
                <w:i/>
              </w:rPr>
              <w:t>o</w:t>
            </w:r>
            <w:r>
              <w:t xml:space="preserve">- and </w:t>
            </w:r>
            <w:r>
              <w:rPr>
                <w:i/>
              </w:rPr>
              <w:t>p</w:t>
            </w:r>
            <w:r>
              <w:t>-toluidine.</w:t>
            </w:r>
          </w:p>
          <w:p w14:paraId="02B2181C" w14:textId="79B49F17" w:rsidR="00B27D5E" w:rsidRDefault="00B27D5E" w:rsidP="003365A5">
            <w:pPr>
              <w:pStyle w:val="Tabletextprimarysource"/>
            </w:pPr>
            <w:r>
              <w:t>Human data</w:t>
            </w:r>
            <w:r w:rsidR="00F81CEE">
              <w:t>:</w:t>
            </w:r>
          </w:p>
          <w:p w14:paraId="0553A85E" w14:textId="09C00F8F" w:rsidR="00B27D5E" w:rsidRDefault="00B102F0" w:rsidP="00B102F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Toluidine isomers (not specified) produce same symptoms as aniline, but with less cyanosis, which include </w:t>
            </w:r>
            <w:r w:rsidR="00FD1FAD">
              <w:t>methaemoglobinemia</w:t>
            </w:r>
            <w:r>
              <w:t>, painful urination and haemoglobinuria</w:t>
            </w:r>
          </w:p>
          <w:p w14:paraId="756EC87B" w14:textId="77777777" w:rsidR="00B102F0" w:rsidRDefault="00B102F0" w:rsidP="00B102F0">
            <w:pPr>
              <w:pStyle w:val="Tabletextprimarysource"/>
              <w:numPr>
                <w:ilvl w:val="0"/>
                <w:numId w:val="2"/>
              </w:numPr>
            </w:pPr>
            <w:r>
              <w:t>Severe intoxication at 40 ppm and unspecified illness at 10 ppm of a mixture of toluidine isomers (not specified) reported (1 h, no further details provided)</w:t>
            </w:r>
          </w:p>
          <w:p w14:paraId="360E1F92" w14:textId="164D036F" w:rsidR="00B102F0" w:rsidRDefault="00B102F0" w:rsidP="00B102F0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epidemiological data available for exposure to </w:t>
            </w:r>
            <w:r>
              <w:rPr>
                <w:i/>
              </w:rPr>
              <w:t>m</w:t>
            </w:r>
            <w:r>
              <w:t>-toluidine alone</w:t>
            </w:r>
            <w:r w:rsidR="00974F8A">
              <w:t>.</w:t>
            </w:r>
          </w:p>
          <w:p w14:paraId="56DDE932" w14:textId="72311DAD" w:rsidR="00B27D5E" w:rsidRDefault="00B27D5E" w:rsidP="003365A5">
            <w:pPr>
              <w:pStyle w:val="Tabletextprimarysource"/>
            </w:pPr>
            <w:r>
              <w:t>Animal data</w:t>
            </w:r>
            <w:r w:rsidR="002D5C35">
              <w:t>:</w:t>
            </w:r>
          </w:p>
          <w:p w14:paraId="1A48161B" w14:textId="09965DEC" w:rsidR="00B27D5E" w:rsidRDefault="00B27D5E" w:rsidP="00B27D5E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 w:rsidR="00DE30C7">
              <w:t xml:space="preserve">: </w:t>
            </w:r>
            <w:r>
              <w:t>450 mg/kg (rats</w:t>
            </w:r>
            <w:r w:rsidR="004613E8">
              <w:t>, oral</w:t>
            </w:r>
            <w:r>
              <w:t>)</w:t>
            </w:r>
          </w:p>
          <w:p w14:paraId="5A84D5B6" w14:textId="537FEF0C" w:rsidR="00B27D5E" w:rsidRDefault="00B27D5E" w:rsidP="00B27D5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Maximal mean </w:t>
            </w:r>
            <w:r w:rsidR="00FD1FAD">
              <w:t xml:space="preserve">methaemoglobinemia </w:t>
            </w:r>
            <w:r>
              <w:t>of 60% produced from single IV injection of 27 mg/kg (cats)</w:t>
            </w:r>
          </w:p>
          <w:p w14:paraId="35078108" w14:textId="2E63CE99" w:rsidR="00B27D5E" w:rsidRDefault="00B27D5E" w:rsidP="00B27D5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significant increase in tumour incidence reported in chronic feeding study, in which animals </w:t>
            </w:r>
            <w:r w:rsidR="0000768A">
              <w:t xml:space="preserve">were </w:t>
            </w:r>
            <w:r>
              <w:t xml:space="preserve">fed diets containing </w:t>
            </w:r>
            <w:r w:rsidR="006C42D4">
              <w:t xml:space="preserve">the </w:t>
            </w:r>
            <w:r w:rsidR="0000768A" w:rsidRPr="00DE30C7">
              <w:rPr>
                <w:i/>
              </w:rPr>
              <w:t>m</w:t>
            </w:r>
            <w:r w:rsidR="0000768A">
              <w:t xml:space="preserve">-toluidine </w:t>
            </w:r>
            <w:r w:rsidR="004613E8">
              <w:t xml:space="preserve">HCl </w:t>
            </w:r>
            <w:r w:rsidR="006C42D4">
              <w:t xml:space="preserve">salt at </w:t>
            </w:r>
            <w:r>
              <w:t>8,000 ppm (3 mo) followed by 4,000 ppm (15 mo)</w:t>
            </w:r>
            <w:r w:rsidR="0000768A">
              <w:t>,</w:t>
            </w:r>
            <w:r>
              <w:t xml:space="preserve"> or 16,000 ppm (3 mo) followed by 8,000 ppm (15 mo)</w:t>
            </w:r>
            <w:r w:rsidR="006C42D4">
              <w:t xml:space="preserve"> (rat</w:t>
            </w:r>
            <w:r w:rsidR="0000768A">
              <w:t>s</w:t>
            </w:r>
            <w:r w:rsidR="006C42D4">
              <w:t>, 18 mo)</w:t>
            </w:r>
          </w:p>
          <w:p w14:paraId="7BEDE88B" w14:textId="54A36E64" w:rsidR="006C42D4" w:rsidRDefault="006C42D4" w:rsidP="00B27D5E">
            <w:pPr>
              <w:pStyle w:val="Tabletextprimarysource"/>
              <w:numPr>
                <w:ilvl w:val="0"/>
                <w:numId w:val="1"/>
              </w:numPr>
            </w:pPr>
            <w:r>
              <w:t>Significant increase in hepatic tumours (</w:t>
            </w:r>
            <w:r w:rsidR="00B20537">
              <w:t xml:space="preserve">low-dose </w:t>
            </w:r>
            <w:r>
              <w:t>males only) reported in chronic feeding study, in which animals</w:t>
            </w:r>
            <w:r w:rsidR="0000768A">
              <w:t xml:space="preserve"> were</w:t>
            </w:r>
            <w:r>
              <w:t xml:space="preserve"> fed diets containing the </w:t>
            </w:r>
            <w:r w:rsidR="0000768A" w:rsidRPr="00DE30C7">
              <w:rPr>
                <w:i/>
              </w:rPr>
              <w:t>m</w:t>
            </w:r>
            <w:r w:rsidR="0000768A">
              <w:t xml:space="preserve">-toluidine </w:t>
            </w:r>
            <w:r w:rsidR="004613E8">
              <w:t xml:space="preserve">HCl </w:t>
            </w:r>
            <w:r>
              <w:t xml:space="preserve">salt at </w:t>
            </w:r>
            <w:r w:rsidR="003C2B21">
              <w:t>16,000 ppm (</w:t>
            </w:r>
            <w:r w:rsidR="00EC4260">
              <w:t xml:space="preserve">males and females, </w:t>
            </w:r>
            <w:r w:rsidR="003C2B21">
              <w:t>5</w:t>
            </w:r>
            <w:r w:rsidR="00B20537">
              <w:t> </w:t>
            </w:r>
            <w:r w:rsidR="003C2B21">
              <w:t>mo) followed by 4,000 ppm (males, 13 mo) or 8,000 ppm (females, 13 mo)</w:t>
            </w:r>
            <w:r w:rsidR="00B20537">
              <w:t>,</w:t>
            </w:r>
            <w:r w:rsidR="003C2B21">
              <w:t xml:space="preserve"> or 32,000</w:t>
            </w:r>
            <w:r w:rsidR="00B20537">
              <w:t> </w:t>
            </w:r>
            <w:r w:rsidR="003C2B21">
              <w:t>ppm (</w:t>
            </w:r>
            <w:r w:rsidR="00EC4260">
              <w:t xml:space="preserve">males and females, </w:t>
            </w:r>
            <w:r w:rsidR="003C2B21">
              <w:t>5 mo) followed by 8,000 ppm (males, 13 mo) or 16,000 ppm (females, 13 mo) (mice, 18</w:t>
            </w:r>
            <w:r w:rsidR="00B20537">
              <w:t> </w:t>
            </w:r>
            <w:r w:rsidR="003C2B21">
              <w:t>mo)</w:t>
            </w:r>
            <w:r w:rsidR="00160102">
              <w:t>:</w:t>
            </w:r>
          </w:p>
          <w:p w14:paraId="274F0A40" w14:textId="689A5776" w:rsidR="002C06F7" w:rsidRDefault="003C2B21" w:rsidP="00FD1FAD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increased incidence of hepatic tumours only observed in male low-dose group </w:t>
            </w:r>
          </w:p>
          <w:p w14:paraId="70FF1820" w14:textId="2CF12788" w:rsidR="003C2B21" w:rsidRDefault="003C2B21" w:rsidP="00FD1FAD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no evidence for dose-dependence (no further details provided)</w:t>
            </w:r>
          </w:p>
          <w:p w14:paraId="3A8659E2" w14:textId="3D0E91E9" w:rsidR="002D5C35" w:rsidRDefault="002D5C35" w:rsidP="00FD1FAD">
            <w:pPr>
              <w:pStyle w:val="Tabletextprimarysource"/>
              <w:numPr>
                <w:ilvl w:val="1"/>
                <w:numId w:val="1"/>
              </w:numPr>
              <w:ind w:left="1159"/>
            </w:pPr>
            <w:r w:rsidRPr="002D5C35">
              <w:t xml:space="preserve">m-toluidine </w:t>
            </w:r>
            <w:r>
              <w:t>considered not classifiable as human carcinogen by ACGIH</w:t>
            </w:r>
          </w:p>
          <w:p w14:paraId="054D78BE" w14:textId="77777777" w:rsidR="003C2B21" w:rsidRDefault="003C2B21" w:rsidP="003C2B2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or rat hepatocytes in the presence or absence of metabolic activation</w:t>
            </w:r>
          </w:p>
          <w:p w14:paraId="081DC0E8" w14:textId="77777777" w:rsidR="00B102F0" w:rsidRDefault="00B102F0" w:rsidP="00B102F0">
            <w:pPr>
              <w:pStyle w:val="Tabletextprimarysource"/>
              <w:numPr>
                <w:ilvl w:val="0"/>
                <w:numId w:val="1"/>
              </w:numPr>
            </w:pPr>
            <w:r>
              <w:t>No evidence for changes in DNA synthesis in testes at 200 mg/kg or in pup livers following parenteral injection of an acute lethal dose (mice)</w:t>
            </w:r>
          </w:p>
          <w:p w14:paraId="787E3A60" w14:textId="6C8F961E" w:rsidR="00B102F0" w:rsidRDefault="00B102F0" w:rsidP="00B102F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Rodents are less susceptible to chemically induced </w:t>
            </w:r>
            <w:r w:rsidR="00FD1FAD">
              <w:t xml:space="preserve">methaemoglobinemia </w:t>
            </w:r>
            <w:r>
              <w:t>than humans</w:t>
            </w:r>
            <w:r w:rsidR="00974F8A">
              <w:t>.</w:t>
            </w:r>
          </w:p>
          <w:p w14:paraId="6FDF1F88" w14:textId="77777777" w:rsidR="002C06F7" w:rsidRDefault="002C06F7" w:rsidP="003365A5">
            <w:pPr>
              <w:pStyle w:val="Tabletextprimarysource"/>
            </w:pPr>
          </w:p>
          <w:p w14:paraId="197260CE" w14:textId="77777777" w:rsidR="00B27D5E" w:rsidRDefault="00B27D5E" w:rsidP="003365A5">
            <w:pPr>
              <w:pStyle w:val="Tabletextprimarysource"/>
            </w:pPr>
            <w:r>
              <w:t>Insufficient data available to recommend a TLV-STEL or sensitiser notation.</w:t>
            </w:r>
          </w:p>
          <w:p w14:paraId="150AD4E6" w14:textId="77777777" w:rsidR="00F81CEE" w:rsidRDefault="00F81CEE" w:rsidP="00F81CEE">
            <w:pPr>
              <w:pStyle w:val="Tabletextprimarysource"/>
            </w:pPr>
            <w:r>
              <w:t xml:space="preserve">Not classifiable as a human carcinogen based on results of chronic feeding studies with mice and rats. </w:t>
            </w:r>
          </w:p>
          <w:p w14:paraId="5B963F5D" w14:textId="77777777" w:rsidR="00F81CEE" w:rsidRDefault="00F81CEE" w:rsidP="00F81CEE">
            <w:pPr>
              <w:pStyle w:val="Tabletextprimarysource"/>
            </w:pPr>
            <w:r>
              <w:t xml:space="preserve">A skin notation is recommended by analogy to </w:t>
            </w:r>
            <w:r>
              <w:rPr>
                <w:i/>
              </w:rPr>
              <w:t>o</w:t>
            </w:r>
            <w:r>
              <w:noBreakHyphen/>
              <w:t xml:space="preserve">toluidine, dermal absorption of which contributes to total systemic burden. </w:t>
            </w:r>
          </w:p>
          <w:p w14:paraId="676EB2F5" w14:textId="77777777" w:rsidR="002C06F7" w:rsidRDefault="00F81CEE" w:rsidP="00F81CEE">
            <w:pPr>
              <w:pStyle w:val="Tabletextprimarysource"/>
            </w:pPr>
            <w:r>
              <w:t xml:space="preserve">A BEI for </w:t>
            </w:r>
            <w:proofErr w:type="spellStart"/>
            <w:r>
              <w:t>metHb</w:t>
            </w:r>
            <w:proofErr w:type="spellEnd"/>
            <w:r>
              <w:t xml:space="preserve"> inducers is available.</w:t>
            </w:r>
          </w:p>
          <w:p w14:paraId="1D927AA0" w14:textId="46668E52" w:rsidR="00F81CEE" w:rsidRPr="00B27D5E" w:rsidRDefault="00F81CEE" w:rsidP="00F81CEE">
            <w:pPr>
              <w:pStyle w:val="Tabletextprimarysource"/>
            </w:pPr>
          </w:p>
        </w:tc>
      </w:tr>
      <w:tr w:rsidR="00C978F0" w:rsidRPr="00DA352E" w14:paraId="2752BDE3" w14:textId="77777777" w:rsidTr="0051350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8BB95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402F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402FA">
                  <w:t>NA</w:t>
                </w:r>
              </w:sdtContent>
            </w:sdt>
          </w:p>
        </w:tc>
      </w:tr>
      <w:tr w:rsidR="00C978F0" w:rsidRPr="00DA352E" w14:paraId="67B536F7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2C4B8189" w14:textId="1102F5B7" w:rsidR="00C978F0" w:rsidRPr="00DA352E" w:rsidRDefault="00C402FA" w:rsidP="003365A5">
            <w:pPr>
              <w:pStyle w:val="Tabletextprimarysource"/>
            </w:pPr>
            <w:r>
              <w:t>No report</w:t>
            </w:r>
            <w:r w:rsidR="00974F8A">
              <w:t>.</w:t>
            </w:r>
          </w:p>
        </w:tc>
      </w:tr>
      <w:tr w:rsidR="00C978F0" w:rsidRPr="00DA352E" w14:paraId="64B1B082" w14:textId="77777777" w:rsidTr="0051350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0A858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402F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402FA">
                  <w:t>NA</w:t>
                </w:r>
              </w:sdtContent>
            </w:sdt>
          </w:p>
        </w:tc>
      </w:tr>
      <w:tr w:rsidR="00C978F0" w:rsidRPr="00DA352E" w14:paraId="54E7606B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2F2521E4" w14:textId="77777777" w:rsidR="006B06E3" w:rsidRDefault="00C402FA" w:rsidP="003365A5">
            <w:pPr>
              <w:pStyle w:val="Tabletextprimarysource"/>
            </w:pPr>
            <w:r>
              <w:t>No report</w:t>
            </w:r>
            <w:r w:rsidR="006B06E3">
              <w:t xml:space="preserve"> for m-toluidine.</w:t>
            </w:r>
          </w:p>
          <w:p w14:paraId="706BED9D" w14:textId="144427F8" w:rsidR="006B06E3" w:rsidRDefault="006B06E3" w:rsidP="006B06E3">
            <w:pPr>
              <w:pStyle w:val="Tabletextprimarysource"/>
            </w:pPr>
            <w:r>
              <w:t xml:space="preserve">Human data for </w:t>
            </w:r>
            <w:r w:rsidRPr="00387F81">
              <w:rPr>
                <w:i/>
              </w:rPr>
              <w:t>aniline</w:t>
            </w:r>
            <w:r>
              <w:rPr>
                <w:i/>
              </w:rPr>
              <w:t xml:space="preserve"> </w:t>
            </w:r>
            <w:r>
              <w:t>(</w:t>
            </w:r>
            <w:r w:rsidR="006C1C31">
              <w:t>reported</w:t>
            </w:r>
            <w:r>
              <w:t xml:space="preserve"> in SCOEL, 2010):</w:t>
            </w:r>
          </w:p>
          <w:p w14:paraId="778782DD" w14:textId="77777777" w:rsidR="006B06E3" w:rsidRDefault="006B06E3" w:rsidP="006B06E3">
            <w:pPr>
              <w:pStyle w:val="ListBullet"/>
              <w:ind w:left="731"/>
            </w:pPr>
            <w:r>
              <w:t xml:space="preserve">Blood methaemoglobin concentrations levels of </w:t>
            </w:r>
            <w:r>
              <w:rPr>
                <w:rFonts w:cs="Arial"/>
              </w:rPr>
              <w:t>≈</w:t>
            </w:r>
            <w:r>
              <w:t>5</w:t>
            </w:r>
            <w:r w:rsidRPr="00D36BB1">
              <w:t>% considered tolerable</w:t>
            </w:r>
            <w:r>
              <w:t xml:space="preserve"> by analogy to c</w:t>
            </w:r>
            <w:r w:rsidRPr="00852C3B">
              <w:t>arboxyh</w:t>
            </w:r>
            <w:r>
              <w:t>a</w:t>
            </w:r>
            <w:r w:rsidRPr="00852C3B">
              <w:t>emoglobin</w:t>
            </w:r>
            <w:r>
              <w:t>, for which 4% is tolerable</w:t>
            </w:r>
          </w:p>
          <w:p w14:paraId="24B4489B" w14:textId="51B82A1E" w:rsidR="006B06E3" w:rsidRDefault="006B06E3" w:rsidP="006B06E3">
            <w:pPr>
              <w:pStyle w:val="ListBullet"/>
              <w:ind w:left="731"/>
            </w:pPr>
            <w:r>
              <w:t>Methaemoglobin formation demonstrated in volunteer repeat oral dose study with aniline dose groups 5, 15, 25, 35, 45, 55 and 65 mg/person/d (n=5/group, 3 d)</w:t>
            </w:r>
            <w:r w:rsidR="00A84CDD">
              <w:t>:</w:t>
            </w:r>
          </w:p>
          <w:p w14:paraId="33522093" w14:textId="77777777" w:rsidR="006B06E3" w:rsidRDefault="006B06E3" w:rsidP="006B06E3">
            <w:pPr>
              <w:pStyle w:val="ListBullet"/>
              <w:numPr>
                <w:ilvl w:val="0"/>
                <w:numId w:val="4"/>
              </w:numPr>
              <w:ind w:left="1080"/>
            </w:pPr>
            <w:r>
              <w:t>increase in methaemoglobin formation non-significant up to 15 mg (1.2–1.8%)</w:t>
            </w:r>
          </w:p>
          <w:p w14:paraId="70B87F11" w14:textId="11C28FCF" w:rsidR="006B06E3" w:rsidRDefault="006B06E3" w:rsidP="006B06E3">
            <w:pPr>
              <w:pStyle w:val="ListBullet"/>
              <w:numPr>
                <w:ilvl w:val="0"/>
                <w:numId w:val="4"/>
              </w:numPr>
              <w:ind w:left="1080"/>
            </w:pPr>
            <w:r>
              <w:t>doses of 35, 45, 55 and 65 mg aniline caused methaemoglobin levels of 3.7, 7.1, 5.2% and 16%, respectively</w:t>
            </w:r>
          </w:p>
          <w:p w14:paraId="4831D36C" w14:textId="77777777" w:rsidR="006B06E3" w:rsidRPr="00F81CEE" w:rsidRDefault="006B06E3" w:rsidP="007D42F5">
            <w:pPr>
              <w:pStyle w:val="ListBullet"/>
              <w:numPr>
                <w:ilvl w:val="0"/>
                <w:numId w:val="4"/>
              </w:numPr>
              <w:ind w:left="1080"/>
            </w:pPr>
            <w:r>
              <w:t xml:space="preserve">daily dose of 35 mg aniline, corresponding to 3.7% increase in blood methaemoglobin concentrations, used as basis for TWA of aniline (0.5 ppm </w:t>
            </w:r>
            <w:r>
              <w:rPr>
                <w:rFonts w:cs="Arial"/>
              </w:rPr>
              <w:t>≡1.94 mg/m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</w:t>
            </w:r>
            <w:r w:rsidR="00F81CEE">
              <w:rPr>
                <w:rFonts w:cs="Arial"/>
              </w:rPr>
              <w:t>.</w:t>
            </w:r>
          </w:p>
          <w:p w14:paraId="0FCD5FF8" w14:textId="16BC1301" w:rsidR="00F81CEE" w:rsidRPr="00DA352E" w:rsidRDefault="00F81CEE" w:rsidP="002D5C35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DA352E" w:rsidRPr="00DA352E" w14:paraId="5C2C55B9" w14:textId="77777777" w:rsidTr="0051350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6AD2F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6144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161443">
                  <w:t>NA</w:t>
                </w:r>
              </w:sdtContent>
            </w:sdt>
          </w:p>
        </w:tc>
      </w:tr>
      <w:tr w:rsidR="00DA352E" w:rsidRPr="00DA352E" w14:paraId="07133529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2BE18E0C" w14:textId="41D47136" w:rsidR="00DA352E" w:rsidRPr="00DA352E" w:rsidRDefault="00161443" w:rsidP="003365A5">
            <w:pPr>
              <w:pStyle w:val="Tabletextprimarysource"/>
            </w:pPr>
            <w:r>
              <w:t>No report</w:t>
            </w:r>
            <w:r w:rsidR="00974F8A">
              <w:t>.</w:t>
            </w:r>
          </w:p>
        </w:tc>
      </w:tr>
      <w:tr w:rsidR="00DA352E" w:rsidRPr="00DA352E" w14:paraId="02929633" w14:textId="77777777" w:rsidTr="0051350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EB0E5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6144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61443">
                  <w:t>NA</w:t>
                </w:r>
              </w:sdtContent>
            </w:sdt>
          </w:p>
        </w:tc>
      </w:tr>
      <w:tr w:rsidR="00DA352E" w:rsidRPr="00DA352E" w14:paraId="1D11E4A7" w14:textId="77777777" w:rsidTr="00513509">
        <w:trPr>
          <w:gridAfter w:val="1"/>
          <w:wAfter w:w="8" w:type="pct"/>
          <w:cantSplit/>
        </w:trPr>
        <w:tc>
          <w:tcPr>
            <w:tcW w:w="4992" w:type="pct"/>
          </w:tcPr>
          <w:p w14:paraId="4C98CD89" w14:textId="0E080175" w:rsidR="00DA352E" w:rsidRPr="00DA352E" w:rsidRDefault="00161443" w:rsidP="003365A5">
            <w:pPr>
              <w:pStyle w:val="Tabletextprimarysource"/>
            </w:pPr>
            <w:r>
              <w:t>No report</w:t>
            </w:r>
            <w:r w:rsidR="00974F8A">
              <w:t>.</w:t>
            </w:r>
          </w:p>
        </w:tc>
      </w:tr>
    </w:tbl>
    <w:p w14:paraId="527DAA0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5"/>
        <w:gridCol w:w="421"/>
        <w:gridCol w:w="661"/>
        <w:gridCol w:w="6459"/>
      </w:tblGrid>
      <w:tr w:rsidR="00690783" w:rsidRPr="00263255" w14:paraId="26BAF275" w14:textId="77777777" w:rsidTr="0051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9F0430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5147584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91175C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9" w:type="dxa"/>
            <w:shd w:val="clear" w:color="auto" w:fill="BFBFBF" w:themeFill="background1" w:themeFillShade="BF"/>
            <w:vAlign w:val="center"/>
          </w:tcPr>
          <w:p w14:paraId="6DDF332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CA5A02D" w14:textId="77777777" w:rsidTr="00513509">
        <w:trPr>
          <w:cantSplit/>
        </w:trPr>
        <w:tc>
          <w:tcPr>
            <w:tcW w:w="1485" w:type="dxa"/>
          </w:tcPr>
          <w:p w14:paraId="732C76A3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0BD04880" w14:textId="77777777" w:rsidR="004966BF" w:rsidRPr="00CE617F" w:rsidRDefault="0051350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B6F8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079FE96" w14:textId="77777777" w:rsidR="004966BF" w:rsidRPr="004C23F4" w:rsidRDefault="00CB6F8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9" w:type="dxa"/>
          </w:tcPr>
          <w:p w14:paraId="7328A126" w14:textId="07A0D4FF" w:rsidR="00A10FAF" w:rsidRDefault="00A10FAF" w:rsidP="00CB6F8A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Exposure at 40 ppm to mixture of isomers (1 h) caused severe intoxication, 10 ppm (prolonged period, not specified) may lead to signs of illness, unsatisfactory workplace conditions at &gt;5 ppm reported in industrial survey (no further details provided, also cited by ACGIH, 2018)</w:t>
            </w:r>
          </w:p>
          <w:p w14:paraId="78BB14C7" w14:textId="1660E668" w:rsidR="00410606" w:rsidRDefault="00410606" w:rsidP="00CB6F8A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LD</w:t>
            </w:r>
            <w:r>
              <w:rPr>
                <w:rFonts w:cs="Arial"/>
                <w:vertAlign w:val="subscript"/>
              </w:rPr>
              <w:t>50</w:t>
            </w:r>
            <w:r w:rsidR="00DE30C7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1,000–1,030 mg/kg (rats</w:t>
            </w:r>
            <w:r w:rsidR="004613E8">
              <w:rPr>
                <w:rFonts w:cs="Arial"/>
              </w:rPr>
              <w:t>, dermal)</w:t>
            </w:r>
          </w:p>
          <w:p w14:paraId="3C191EBD" w14:textId="18BDF85A" w:rsidR="00CB6F8A" w:rsidRDefault="00CB6F8A" w:rsidP="00CB6F8A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LOAEL</w:t>
            </w:r>
            <w:r w:rsidR="006C1C31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 xml:space="preserve">30 mg/kg for signs of </w:t>
            </w:r>
            <w:r w:rsidR="00FD1FAD">
              <w:t>methaemoglobinemia</w:t>
            </w:r>
            <w:r w:rsidR="00FD1F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haemolysis in spleens in repeat gavage reproductive study with dose groups 0, 30, 100 and 300 mg/kg/d (rats, </w:t>
            </w:r>
            <w:r w:rsidR="00C72EE1">
              <w:rPr>
                <w:rFonts w:cs="Arial"/>
              </w:rPr>
              <w:t>&gt;41 d</w:t>
            </w:r>
            <w:r>
              <w:rPr>
                <w:rFonts w:cs="Arial"/>
              </w:rPr>
              <w:t>)</w:t>
            </w:r>
            <w:r w:rsidR="002D5C35">
              <w:rPr>
                <w:rFonts w:cs="Arial"/>
              </w:rPr>
              <w:t>:</w:t>
            </w:r>
          </w:p>
          <w:p w14:paraId="2ABD09A9" w14:textId="77777777" w:rsidR="00CB6F8A" w:rsidRDefault="00CB6F8A" w:rsidP="00FD1FAD">
            <w:pPr>
              <w:pStyle w:val="Tablefont"/>
              <w:numPr>
                <w:ilvl w:val="1"/>
                <w:numId w:val="1"/>
              </w:numPr>
              <w:ind w:left="1149"/>
              <w:rPr>
                <w:rFonts w:cs="Arial"/>
              </w:rPr>
            </w:pPr>
            <w:r>
              <w:rPr>
                <w:rFonts w:cs="Arial"/>
              </w:rPr>
              <w:t>reduced locomotor activity at 300 mg/kg/d</w:t>
            </w:r>
          </w:p>
          <w:p w14:paraId="3128596F" w14:textId="58F19C44" w:rsidR="00CB6F8A" w:rsidRDefault="00CB6F8A" w:rsidP="00FD1FAD">
            <w:pPr>
              <w:pStyle w:val="Tablefont"/>
              <w:numPr>
                <w:ilvl w:val="1"/>
                <w:numId w:val="1"/>
              </w:numPr>
              <w:ind w:left="1149"/>
              <w:rPr>
                <w:rFonts w:cs="Arial"/>
              </w:rPr>
            </w:pPr>
            <w:r>
              <w:rPr>
                <w:rFonts w:cs="Arial"/>
              </w:rPr>
              <w:t xml:space="preserve">reduced </w:t>
            </w:r>
            <w:r w:rsidR="004613E8">
              <w:rPr>
                <w:rFonts w:cs="Arial"/>
              </w:rPr>
              <w:t>RBC</w:t>
            </w:r>
            <w:r>
              <w:rPr>
                <w:rFonts w:cs="Arial"/>
              </w:rPr>
              <w:t xml:space="preserve"> count, haemoglobin concentration and histopathological lesions in liver at 100 and 300 mg/kg/d</w:t>
            </w:r>
          </w:p>
          <w:p w14:paraId="73FBC446" w14:textId="4804D317" w:rsidR="004966BF" w:rsidRPr="004C23F4" w:rsidRDefault="00CB6F8A" w:rsidP="00CB6F8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t>DNEL of 0.59 mg/m</w:t>
            </w:r>
            <w:r>
              <w:rPr>
                <w:vertAlign w:val="superscript"/>
              </w:rPr>
              <w:t>3</w:t>
            </w:r>
            <w:r>
              <w:t xml:space="preserve"> based on LOAEL of 30 mg/kg/d for methaemoglobinemia in reproductive study; overall assessment factor of 45 applied to account for lack of experimentally determined NOAEL, differences in duration of exposure and inter- and intraspecies differences considering higher human susceptibility to </w:t>
            </w:r>
            <w:r w:rsidR="00FD1FAD">
              <w:t xml:space="preserve">methaemoglobinemia </w:t>
            </w:r>
            <w:r>
              <w:t>than rats</w:t>
            </w:r>
            <w:r w:rsidR="00974F8A">
              <w:t>.</w:t>
            </w:r>
            <w:r w:rsidR="003570ED">
              <w:t xml:space="preserve"> </w:t>
            </w:r>
          </w:p>
        </w:tc>
      </w:tr>
      <w:tr w:rsidR="004966BF" w:rsidRPr="004C23F4" w14:paraId="408A2B20" w14:textId="77777777" w:rsidTr="00513509">
        <w:trPr>
          <w:cantSplit/>
        </w:trPr>
        <w:tc>
          <w:tcPr>
            <w:tcW w:w="1485" w:type="dxa"/>
          </w:tcPr>
          <w:p w14:paraId="18FEA3CF" w14:textId="77777777" w:rsidR="004966BF" w:rsidRPr="004C23F4" w:rsidRDefault="004966BF" w:rsidP="00224EE2">
            <w:pPr>
              <w:pStyle w:val="Tablefont"/>
            </w:pPr>
            <w:r>
              <w:lastRenderedPageBreak/>
              <w:t>OECD</w:t>
            </w:r>
          </w:p>
        </w:tc>
        <w:tc>
          <w:tcPr>
            <w:tcW w:w="421" w:type="dxa"/>
          </w:tcPr>
          <w:p w14:paraId="7BDEFE48" w14:textId="77777777" w:rsidR="004966BF" w:rsidRPr="00CE617F" w:rsidRDefault="0051350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B6F8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CE184D" w14:textId="77777777" w:rsidR="004966BF" w:rsidRPr="004C23F4" w:rsidRDefault="00CB6F8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59" w:type="dxa"/>
          </w:tcPr>
          <w:p w14:paraId="61871D75" w14:textId="64EDFC54" w:rsidR="004966BF" w:rsidRPr="00254111" w:rsidRDefault="00CB6F8A" w:rsidP="00CB6F8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6C1C31">
              <w:rPr>
                <w:rStyle w:val="checkbox"/>
                <w:rFonts w:ascii="Arial" w:hAnsi="Arial" w:cs="Arial"/>
              </w:rPr>
              <w:t>NOAEL</w:t>
            </w:r>
            <w:r w:rsidR="006C1C31" w:rsidRPr="00254111">
              <w:rPr>
                <w:rStyle w:val="checkbox"/>
                <w:rFonts w:ascii="Arial" w:hAnsi="Arial" w:cs="Arial"/>
              </w:rPr>
              <w:t xml:space="preserve"> </w:t>
            </w:r>
            <w:r w:rsidR="003243D6">
              <w:rPr>
                <w:rStyle w:val="checkbox"/>
                <w:rFonts w:ascii="Arial" w:hAnsi="Arial" w:cs="Arial"/>
              </w:rPr>
              <w:t>of</w:t>
            </w:r>
            <w:r w:rsidR="006C1C31" w:rsidRPr="006C1C31">
              <w:rPr>
                <w:rStyle w:val="checkbox"/>
                <w:rFonts w:ascii="Arial" w:hAnsi="Arial" w:cs="Arial"/>
              </w:rPr>
              <w:t xml:space="preserve"> </w:t>
            </w:r>
            <w:r w:rsidRPr="00254111">
              <w:rPr>
                <w:rStyle w:val="checkbox"/>
                <w:rFonts w:ascii="Arial" w:hAnsi="Arial" w:cs="Arial"/>
              </w:rPr>
              <w:t>30 mg/kg/d for increased implantation losses in reproductive gavage study (rats, also cited by ECHA 2020); death of pups at 100 mg/kg/d attributed to maternal anaemia during nursing, developmental NOAEL</w:t>
            </w:r>
            <w:r w:rsidR="002D5C35">
              <w:rPr>
                <w:rStyle w:val="checkbox"/>
                <w:rFonts w:ascii="Arial" w:hAnsi="Arial" w:cs="Arial"/>
              </w:rPr>
              <w:t xml:space="preserve"> of</w:t>
            </w:r>
            <w:r w:rsidR="002D5C35" w:rsidRPr="00254111">
              <w:rPr>
                <w:rStyle w:val="checkbox"/>
                <w:rFonts w:ascii="Arial" w:hAnsi="Arial" w:cs="Arial"/>
              </w:rPr>
              <w:t xml:space="preserve"> </w:t>
            </w:r>
            <w:r w:rsidRPr="00254111">
              <w:rPr>
                <w:rStyle w:val="checkbox"/>
                <w:rFonts w:ascii="Arial" w:hAnsi="Arial" w:cs="Arial"/>
              </w:rPr>
              <w:t>100 mg/kg/d</w:t>
            </w:r>
          </w:p>
          <w:p w14:paraId="17820964" w14:textId="651323B8" w:rsidR="00CB6F8A" w:rsidRPr="00254111" w:rsidRDefault="00CB6F8A" w:rsidP="00CB6F8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254111">
              <w:rPr>
                <w:rStyle w:val="checkbox"/>
                <w:rFonts w:ascii="Arial" w:hAnsi="Arial" w:cs="Arial"/>
              </w:rPr>
              <w:t xml:space="preserve">Agency considers non-mutagenic based on negative results in available </w:t>
            </w:r>
            <w:r w:rsidRPr="00254111">
              <w:rPr>
                <w:rStyle w:val="checkbox"/>
                <w:rFonts w:ascii="Arial" w:hAnsi="Arial" w:cs="Arial"/>
                <w:i/>
              </w:rPr>
              <w:t>in vitro</w:t>
            </w:r>
            <w:r w:rsidRPr="00254111">
              <w:rPr>
                <w:rStyle w:val="checkbox"/>
                <w:rFonts w:ascii="Arial" w:hAnsi="Arial" w:cs="Arial"/>
              </w:rPr>
              <w:t xml:space="preserve"> and </w:t>
            </w:r>
            <w:r w:rsidRPr="00254111">
              <w:rPr>
                <w:rStyle w:val="checkbox"/>
                <w:rFonts w:ascii="Arial" w:hAnsi="Arial" w:cs="Arial"/>
                <w:i/>
              </w:rPr>
              <w:t xml:space="preserve">in vivo </w:t>
            </w:r>
            <w:r w:rsidRPr="00254111">
              <w:rPr>
                <w:rStyle w:val="checkbox"/>
                <w:rFonts w:ascii="Arial" w:hAnsi="Arial" w:cs="Arial"/>
              </w:rPr>
              <w:t>studies (also cited in ACGIH, 2018)</w:t>
            </w:r>
          </w:p>
          <w:p w14:paraId="72AF0CC7" w14:textId="1AA9A126" w:rsidR="00FF4085" w:rsidRPr="004C23F4" w:rsidRDefault="00FF4085" w:rsidP="00CB6F8A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254111">
              <w:rPr>
                <w:rStyle w:val="checkbox"/>
                <w:rFonts w:ascii="Arial" w:hAnsi="Arial" w:cs="Arial"/>
              </w:rPr>
              <w:t>Carcinogenicity studies with mice and rats (also</w:t>
            </w:r>
            <w:r w:rsidR="003243D6">
              <w:rPr>
                <w:rStyle w:val="checkbox"/>
                <w:rFonts w:ascii="Arial" w:hAnsi="Arial" w:cs="Arial"/>
              </w:rPr>
              <w:t xml:space="preserve"> reported </w:t>
            </w:r>
            <w:r w:rsidRPr="00254111">
              <w:rPr>
                <w:rStyle w:val="checkbox"/>
                <w:rFonts w:ascii="Arial" w:hAnsi="Arial" w:cs="Arial"/>
              </w:rPr>
              <w:t>in ACGIH, 2018) considered inconclusive as they</w:t>
            </w:r>
            <w:r>
              <w:rPr>
                <w:rStyle w:val="checkbox"/>
                <w:rFonts w:ascii="Arial" w:hAnsi="Arial" w:cs="Arial"/>
              </w:rPr>
              <w:t xml:space="preserve"> did not meet current carcinogenicity testing protocols</w:t>
            </w:r>
            <w:r w:rsidR="00974F8A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4874998" w14:textId="77777777" w:rsidR="007E2A4B" w:rsidRDefault="007E2A4B" w:rsidP="002C06F7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78BDDAD" w14:textId="77777777" w:rsidTr="00CB6F8A">
        <w:trPr>
          <w:trHeight w:val="454"/>
          <w:tblHeader/>
        </w:trPr>
        <w:tc>
          <w:tcPr>
            <w:tcW w:w="6603" w:type="dxa"/>
            <w:vAlign w:val="center"/>
          </w:tcPr>
          <w:p w14:paraId="751F1F3D" w14:textId="77777777" w:rsidR="002E0D61" w:rsidRDefault="00B1422A" w:rsidP="002C06F7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5FE4AE4" w14:textId="77777777" w:rsidR="002E0D61" w:rsidRDefault="00CB6F8A" w:rsidP="002C06F7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F49BC9C" w14:textId="77777777" w:rsidTr="00CB6F8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BC40F50" w14:textId="77777777" w:rsidR="008A36CF" w:rsidRPr="006901A2" w:rsidRDefault="00CB6F8A" w:rsidP="002C06F7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B8C4542" w14:textId="77777777" w:rsidR="008A36CF" w:rsidRDefault="008A36CF" w:rsidP="002C06F7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6AD5790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DC58F66" w14:textId="77777777" w:rsidTr="0051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A90B88B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D046C8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60B40DD8" w14:textId="77777777" w:rsidTr="00513509">
        <w:trPr>
          <w:cantSplit/>
        </w:trPr>
        <w:tc>
          <w:tcPr>
            <w:tcW w:w="3227" w:type="dxa"/>
          </w:tcPr>
          <w:p w14:paraId="4F1B3A0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28D459A" w14:textId="77777777" w:rsidR="00687890" w:rsidRPr="00DD2F9B" w:rsidRDefault="004910A2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5B54366E" w14:textId="77777777" w:rsidTr="00513509">
        <w:trPr>
          <w:cantSplit/>
        </w:trPr>
        <w:tc>
          <w:tcPr>
            <w:tcW w:w="3227" w:type="dxa"/>
          </w:tcPr>
          <w:p w14:paraId="7683FCB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08221B7" w14:textId="77777777" w:rsidR="007925F0" w:rsidRPr="00DD2F9B" w:rsidRDefault="00E26DCB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10BAB954" w14:textId="77777777" w:rsidTr="00513509">
        <w:trPr>
          <w:cantSplit/>
        </w:trPr>
        <w:tc>
          <w:tcPr>
            <w:tcW w:w="3227" w:type="dxa"/>
          </w:tcPr>
          <w:p w14:paraId="48B908B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D8FCD0F" w14:textId="77777777" w:rsidR="00AF483F" w:rsidRPr="00DD2F9B" w:rsidRDefault="00955D7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D6920B0" w14:textId="77777777" w:rsidTr="00513509">
        <w:trPr>
          <w:cantSplit/>
        </w:trPr>
        <w:tc>
          <w:tcPr>
            <w:tcW w:w="3227" w:type="dxa"/>
          </w:tcPr>
          <w:p w14:paraId="66648F2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AD58C03" w14:textId="77777777" w:rsidR="00687890" w:rsidRPr="00DD2F9B" w:rsidRDefault="00E26DCB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5A9481F1" w14:textId="77777777" w:rsidTr="00513509">
        <w:trPr>
          <w:cantSplit/>
        </w:trPr>
        <w:tc>
          <w:tcPr>
            <w:tcW w:w="3227" w:type="dxa"/>
          </w:tcPr>
          <w:p w14:paraId="3517D25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DEDE5C4" w14:textId="77777777" w:rsidR="00E41A26" w:rsidRPr="00DD2F9B" w:rsidRDefault="00CB6F8A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1A1AA47" w14:textId="77777777" w:rsidTr="00513509">
        <w:trPr>
          <w:cantSplit/>
        </w:trPr>
        <w:tc>
          <w:tcPr>
            <w:tcW w:w="3227" w:type="dxa"/>
          </w:tcPr>
          <w:p w14:paraId="0E49F09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59EA160" w14:textId="77777777" w:rsidR="002E0D61" w:rsidRPr="00DD2F9B" w:rsidRDefault="00D96987" w:rsidP="00DD2F9B">
            <w:pPr>
              <w:pStyle w:val="Tablefont"/>
            </w:pPr>
            <w:r w:rsidRPr="00D96987">
              <w:t>Carcinogenicity – A4</w:t>
            </w:r>
            <w:r w:rsidR="00CB6F8A">
              <w:t>, Skin</w:t>
            </w:r>
          </w:p>
        </w:tc>
      </w:tr>
      <w:tr w:rsidR="002E0D61" w:rsidRPr="004C23F4" w14:paraId="65D94A67" w14:textId="77777777" w:rsidTr="00513509">
        <w:trPr>
          <w:cantSplit/>
        </w:trPr>
        <w:tc>
          <w:tcPr>
            <w:tcW w:w="3227" w:type="dxa"/>
          </w:tcPr>
          <w:p w14:paraId="620E4DC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9CB4314" w14:textId="77777777" w:rsidR="002E0D61" w:rsidRPr="00DD2F9B" w:rsidRDefault="00955D7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0E33B4C" w14:textId="77777777" w:rsidTr="00513509">
        <w:trPr>
          <w:cantSplit/>
        </w:trPr>
        <w:tc>
          <w:tcPr>
            <w:tcW w:w="3227" w:type="dxa"/>
          </w:tcPr>
          <w:p w14:paraId="5C08401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38F70B2" w14:textId="77777777" w:rsidR="002E0D61" w:rsidRPr="00DD2F9B" w:rsidRDefault="00955D7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9EE0D6" w14:textId="77777777" w:rsidTr="00513509">
        <w:trPr>
          <w:cantSplit/>
        </w:trPr>
        <w:tc>
          <w:tcPr>
            <w:tcW w:w="3227" w:type="dxa"/>
          </w:tcPr>
          <w:p w14:paraId="5866BC4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8510E4F" w14:textId="77777777" w:rsidR="002E0D61" w:rsidRPr="00DD2F9B" w:rsidRDefault="00955D7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A4FB740" w14:textId="77777777" w:rsidTr="00513509">
        <w:trPr>
          <w:cantSplit/>
        </w:trPr>
        <w:tc>
          <w:tcPr>
            <w:tcW w:w="3227" w:type="dxa"/>
          </w:tcPr>
          <w:p w14:paraId="6224608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8994097" w14:textId="77777777" w:rsidR="00386093" w:rsidRPr="00DD2F9B" w:rsidRDefault="007A752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49687D3" w14:textId="77777777" w:rsidTr="00513509">
        <w:trPr>
          <w:cantSplit/>
        </w:trPr>
        <w:tc>
          <w:tcPr>
            <w:tcW w:w="3227" w:type="dxa"/>
          </w:tcPr>
          <w:p w14:paraId="7F35D64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6A85A9" w14:textId="77777777" w:rsidR="00386093" w:rsidRPr="00DD2F9B" w:rsidRDefault="007A752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DE584E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928E7F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1E730E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158ACB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2B732D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42" w:type="dxa"/>
              <w:tblLook w:val="04A0" w:firstRow="1" w:lastRow="0" w:firstColumn="1" w:lastColumn="0" w:noHBand="0" w:noVBand="1"/>
            </w:tblPr>
            <w:tblGrid>
              <w:gridCol w:w="3582"/>
              <w:gridCol w:w="1059"/>
              <w:gridCol w:w="1059"/>
              <w:gridCol w:w="3110"/>
            </w:tblGrid>
            <w:tr w:rsidR="00410606" w:rsidRPr="00410606" w14:paraId="2878D143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4C5694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A22FE1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13997D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F42693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354660EE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00B47B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C18B4EA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E153DF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5B43D7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685ADE0D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014B6C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B75A95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1AD2A1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F55C8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7FB47C04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05976E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8F105B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735224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327A4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4F22A677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06A38F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BD7365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00F0B7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1F5C3E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163B8306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590B74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195462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C6F529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B823A0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10606" w:rsidRPr="00410606" w14:paraId="5D134B97" w14:textId="77777777" w:rsidTr="00410606">
              <w:trPr>
                <w:trHeight w:val="231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1E451D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4E2B66" w14:textId="77777777" w:rsidR="00410606" w:rsidRPr="00410606" w:rsidRDefault="00410606" w:rsidP="0041060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E3B4EF" w14:textId="77777777" w:rsidR="00410606" w:rsidRPr="00410606" w:rsidRDefault="00410606" w:rsidP="0041060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A0F63C" w14:textId="77777777" w:rsidR="00410606" w:rsidRPr="00410606" w:rsidRDefault="00410606" w:rsidP="0041060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1060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847B9F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9256B32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2291AB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B8E2CE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85CFB7F" w14:textId="77777777" w:rsidR="00EB3D1B" w:rsidRDefault="00C05C4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DF2C7A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70F971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5E338F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90CB1D8" w14:textId="77777777" w:rsidR="001B79E5" w:rsidRDefault="005E6E3D" w:rsidP="001B79E5">
                <w:pPr>
                  <w:pStyle w:val="Tablefont"/>
                </w:pPr>
                <w:r>
                  <w:t>107.16</w:t>
                </w:r>
              </w:p>
            </w:tc>
          </w:sdtContent>
        </w:sdt>
      </w:tr>
      <w:tr w:rsidR="00A31D99" w:rsidRPr="004C23F4" w14:paraId="4B63CE3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233AB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E9092FD" w14:textId="5295CF6C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7D42F5">
                  <w:t>4.38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7D42F5" w:rsidRPr="002D5C35">
                  <w:t>0.229</w:t>
                </w:r>
              </w:sdtContent>
            </w:sdt>
            <w:r w:rsidRPr="002D5C35">
              <w:t xml:space="preserve"> </w:t>
            </w:r>
            <w:r>
              <w:t>ppm</w:t>
            </w:r>
          </w:p>
        </w:tc>
      </w:tr>
      <w:tr w:rsidR="00687890" w:rsidRPr="004C23F4" w14:paraId="70E8219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EEA4FA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FE53F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6FD80CA" w14:textId="77777777" w:rsidTr="00EA6243">
        <w:trPr>
          <w:cantSplit/>
        </w:trPr>
        <w:tc>
          <w:tcPr>
            <w:tcW w:w="4077" w:type="dxa"/>
            <w:vAlign w:val="center"/>
          </w:tcPr>
          <w:p w14:paraId="145C94A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EC0014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50B6DA7" w14:textId="77777777" w:rsidTr="00EA6243">
        <w:trPr>
          <w:cantSplit/>
        </w:trPr>
        <w:tc>
          <w:tcPr>
            <w:tcW w:w="4077" w:type="dxa"/>
            <w:vAlign w:val="center"/>
          </w:tcPr>
          <w:p w14:paraId="2642C59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AA2DD2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43B08DF" w14:textId="77777777" w:rsidTr="00EA6243">
        <w:trPr>
          <w:cantSplit/>
        </w:trPr>
        <w:tc>
          <w:tcPr>
            <w:tcW w:w="4077" w:type="dxa"/>
            <w:vAlign w:val="center"/>
          </w:tcPr>
          <w:p w14:paraId="227A478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816F829" w14:textId="77777777" w:rsidR="00E06F40" w:rsidRPr="00A006A0" w:rsidRDefault="0051350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33340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7D033E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5FBDEE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963ACB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FE597C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A79180E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AA3B75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5BE240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29CA02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DB82A6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253F860" w14:textId="3D5BF60B" w:rsidR="006B06E3" w:rsidRDefault="006B06E3" w:rsidP="0096373B">
      <w:bookmarkStart w:id="6" w:name="_Hlk36715587"/>
      <w:r w:rsidRPr="004B72FC">
        <w:t>EU Scientific Committee on Occupational Exposure Limits (SCOEL) (2010) Recommendation from the Scientific Committee on Occupational Exposure Limits for aniline. SCOEL/SUM/153.</w:t>
      </w:r>
      <w:bookmarkEnd w:id="6"/>
    </w:p>
    <w:p w14:paraId="5D3F29B3" w14:textId="37AF120B" w:rsidR="0096373B" w:rsidRDefault="0096373B" w:rsidP="0096373B">
      <w:r w:rsidRPr="0096373B">
        <w:t>European Chemicals Agency (ECHA) (</w:t>
      </w:r>
      <w:r>
        <w:t>2020</w:t>
      </w:r>
      <w:r w:rsidRPr="0096373B">
        <w:t>) m-</w:t>
      </w:r>
      <w:r>
        <w:t>T</w:t>
      </w:r>
      <w:r w:rsidRPr="0096373B">
        <w:t>oluidine – REACH assessment.</w:t>
      </w:r>
    </w:p>
    <w:p w14:paraId="5B2F9D08" w14:textId="77777777" w:rsidR="0096373B" w:rsidRPr="0096373B" w:rsidRDefault="0096373B" w:rsidP="0096373B">
      <w:r w:rsidRPr="00E819F5">
        <w:t>Organisation for Economic Cooperation and Development (OECD) (</w:t>
      </w:r>
      <w:r>
        <w:t>2001</w:t>
      </w:r>
      <w:r w:rsidRPr="00E819F5">
        <w:t xml:space="preserve">) SIDS initial assessment profile – </w:t>
      </w:r>
      <w:r w:rsidRPr="0096373B">
        <w:t>m-Toluidine</w:t>
      </w:r>
      <w:r w:rsidRPr="00E819F5">
        <w:t>.</w:t>
      </w:r>
    </w:p>
    <w:p w14:paraId="4CA8100D" w14:textId="77777777" w:rsidR="0096373B" w:rsidRDefault="0096373B" w:rsidP="00084859"/>
    <w:p w14:paraId="667C9BE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055A2" w14:textId="77777777" w:rsidR="00E943B8" w:rsidRDefault="00E943B8" w:rsidP="00F43AD5">
      <w:pPr>
        <w:spacing w:after="0" w:line="240" w:lineRule="auto"/>
      </w:pPr>
      <w:r>
        <w:separator/>
      </w:r>
    </w:p>
  </w:endnote>
  <w:endnote w:type="continuationSeparator" w:id="0">
    <w:p w14:paraId="39D437C4" w14:textId="77777777" w:rsidR="00E943B8" w:rsidRDefault="00E943B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4DB7" w14:textId="77777777" w:rsidR="000A450F" w:rsidRDefault="000A4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A35DC17" w14:textId="6B626BF6" w:rsidR="00E943B8" w:rsidRDefault="00E943B8" w:rsidP="0034744C">
        <w:pPr>
          <w:pStyle w:val="Footer"/>
          <w:rPr>
            <w:sz w:val="18"/>
            <w:szCs w:val="18"/>
          </w:rPr>
        </w:pPr>
        <w:r w:rsidRPr="00FB538B">
          <w:rPr>
            <w:b/>
            <w:sz w:val="18"/>
            <w:szCs w:val="18"/>
          </w:rPr>
          <w:t>m-Toluidine</w:t>
        </w:r>
        <w:r>
          <w:rPr>
            <w:b/>
            <w:sz w:val="18"/>
            <w:szCs w:val="18"/>
          </w:rPr>
          <w:t xml:space="preserve"> (</w:t>
        </w:r>
        <w:r w:rsidRPr="005E6E3D">
          <w:rPr>
            <w:b/>
            <w:sz w:val="18"/>
            <w:szCs w:val="18"/>
          </w:rPr>
          <w:t>108-44-1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1F4930C7" w14:textId="65BD0EF6" w:rsidR="00E943B8" w:rsidRPr="00F43AD5" w:rsidRDefault="00E943B8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F7DA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254A" w14:textId="77777777" w:rsidR="000A450F" w:rsidRDefault="000A4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C9E14" w14:textId="77777777" w:rsidR="00E943B8" w:rsidRDefault="00E943B8" w:rsidP="00F43AD5">
      <w:pPr>
        <w:spacing w:after="0" w:line="240" w:lineRule="auto"/>
      </w:pPr>
      <w:r>
        <w:separator/>
      </w:r>
    </w:p>
  </w:footnote>
  <w:footnote w:type="continuationSeparator" w:id="0">
    <w:p w14:paraId="5EE5D220" w14:textId="77777777" w:rsidR="00E943B8" w:rsidRDefault="00E943B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A5CC" w14:textId="77777777" w:rsidR="000A450F" w:rsidRDefault="000A4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2453" w14:textId="155CF22B" w:rsidR="000A450F" w:rsidRDefault="000A450F" w:rsidP="000A450F">
    <w:pPr>
      <w:pStyle w:val="Header"/>
      <w:jc w:val="right"/>
    </w:pPr>
    <w:r>
      <w:pict w14:anchorId="31DEC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638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B7ADB5C" wp14:editId="62A95634">
          <wp:extent cx="2935605" cy="601345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45E11" w14:textId="77777777" w:rsidR="000A450F" w:rsidRDefault="000A450F" w:rsidP="000A450F">
    <w:pPr>
      <w:pStyle w:val="Header"/>
    </w:pPr>
  </w:p>
  <w:p w14:paraId="296216DC" w14:textId="547F474A" w:rsidR="00E943B8" w:rsidRPr="000A450F" w:rsidRDefault="00E943B8" w:rsidP="000A4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6923" w14:textId="77777777" w:rsidR="000A450F" w:rsidRDefault="000A45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1D34" w14:textId="32F68497" w:rsidR="000A450F" w:rsidRDefault="000A450F" w:rsidP="000A450F">
    <w:pPr>
      <w:pStyle w:val="Header"/>
      <w:jc w:val="right"/>
    </w:pPr>
    <w:r>
      <w:pict w14:anchorId="7A552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10293AD" wp14:editId="2B9CA1C3">
          <wp:extent cx="2935605" cy="601345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1A2F5" w14:textId="399B9AAC" w:rsidR="00E943B8" w:rsidRDefault="00E943B8" w:rsidP="000A4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C16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333FB"/>
    <w:multiLevelType w:val="hybridMultilevel"/>
    <w:tmpl w:val="9362A2BA"/>
    <w:lvl w:ilvl="0" w:tplc="E72C072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1F50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6A6E5D85"/>
    <w:multiLevelType w:val="hybridMultilevel"/>
    <w:tmpl w:val="7C30D52E"/>
    <w:lvl w:ilvl="0" w:tplc="A03EEBE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proofState w:spelling="clean" w:grammar="clean"/>
  <w:defaultTabStop w:val="720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68A"/>
    <w:rsid w:val="00007B80"/>
    <w:rsid w:val="0001236B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8F5"/>
    <w:rsid w:val="00092BA9"/>
    <w:rsid w:val="00092D94"/>
    <w:rsid w:val="000A450F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C6E"/>
    <w:rsid w:val="000E5A54"/>
    <w:rsid w:val="000E63D3"/>
    <w:rsid w:val="000E67CF"/>
    <w:rsid w:val="0010461E"/>
    <w:rsid w:val="00106FAA"/>
    <w:rsid w:val="00113443"/>
    <w:rsid w:val="00114BA4"/>
    <w:rsid w:val="00126693"/>
    <w:rsid w:val="001269A7"/>
    <w:rsid w:val="00131092"/>
    <w:rsid w:val="00140E6A"/>
    <w:rsid w:val="00146545"/>
    <w:rsid w:val="00146B75"/>
    <w:rsid w:val="0015266D"/>
    <w:rsid w:val="0015288A"/>
    <w:rsid w:val="00155999"/>
    <w:rsid w:val="00160102"/>
    <w:rsid w:val="00160F47"/>
    <w:rsid w:val="00161443"/>
    <w:rsid w:val="00177CA1"/>
    <w:rsid w:val="00181ADC"/>
    <w:rsid w:val="00183823"/>
    <w:rsid w:val="00183942"/>
    <w:rsid w:val="001915F6"/>
    <w:rsid w:val="001A009E"/>
    <w:rsid w:val="001A1287"/>
    <w:rsid w:val="001A3214"/>
    <w:rsid w:val="001A3859"/>
    <w:rsid w:val="001A3C9D"/>
    <w:rsid w:val="001A43F8"/>
    <w:rsid w:val="001B0CA9"/>
    <w:rsid w:val="001B79E5"/>
    <w:rsid w:val="001D56F0"/>
    <w:rsid w:val="001D663B"/>
    <w:rsid w:val="001D7B41"/>
    <w:rsid w:val="001E46DA"/>
    <w:rsid w:val="001E7D80"/>
    <w:rsid w:val="001F4B6C"/>
    <w:rsid w:val="001F500E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A6"/>
    <w:rsid w:val="002465CE"/>
    <w:rsid w:val="00254111"/>
    <w:rsid w:val="0025734A"/>
    <w:rsid w:val="00263255"/>
    <w:rsid w:val="00276494"/>
    <w:rsid w:val="00277B0C"/>
    <w:rsid w:val="002B1A2C"/>
    <w:rsid w:val="002C06F7"/>
    <w:rsid w:val="002C34F2"/>
    <w:rsid w:val="002C58FF"/>
    <w:rsid w:val="002C7AFE"/>
    <w:rsid w:val="002D05D2"/>
    <w:rsid w:val="002D5C35"/>
    <w:rsid w:val="002E0396"/>
    <w:rsid w:val="002E0D61"/>
    <w:rsid w:val="002E4C7B"/>
    <w:rsid w:val="0030740C"/>
    <w:rsid w:val="00315833"/>
    <w:rsid w:val="003215EE"/>
    <w:rsid w:val="003224BF"/>
    <w:rsid w:val="003241A8"/>
    <w:rsid w:val="003243D6"/>
    <w:rsid w:val="003253F0"/>
    <w:rsid w:val="003258C3"/>
    <w:rsid w:val="003337DA"/>
    <w:rsid w:val="00334EFB"/>
    <w:rsid w:val="00335CDE"/>
    <w:rsid w:val="003365A5"/>
    <w:rsid w:val="00344BFF"/>
    <w:rsid w:val="00347192"/>
    <w:rsid w:val="0034744C"/>
    <w:rsid w:val="00351FE0"/>
    <w:rsid w:val="00352615"/>
    <w:rsid w:val="0035412B"/>
    <w:rsid w:val="003567A8"/>
    <w:rsid w:val="003570ED"/>
    <w:rsid w:val="00362895"/>
    <w:rsid w:val="003705BB"/>
    <w:rsid w:val="00370DBF"/>
    <w:rsid w:val="00386093"/>
    <w:rsid w:val="003904A4"/>
    <w:rsid w:val="00391841"/>
    <w:rsid w:val="00391B6D"/>
    <w:rsid w:val="00394922"/>
    <w:rsid w:val="003A0E32"/>
    <w:rsid w:val="003A2B94"/>
    <w:rsid w:val="003A7AA7"/>
    <w:rsid w:val="003B387D"/>
    <w:rsid w:val="003C0D58"/>
    <w:rsid w:val="003C2B21"/>
    <w:rsid w:val="003D3C90"/>
    <w:rsid w:val="003D4FA3"/>
    <w:rsid w:val="003E0807"/>
    <w:rsid w:val="003E51FB"/>
    <w:rsid w:val="003E6B39"/>
    <w:rsid w:val="003F07E1"/>
    <w:rsid w:val="003F6DFD"/>
    <w:rsid w:val="004030BC"/>
    <w:rsid w:val="00403F7D"/>
    <w:rsid w:val="00406785"/>
    <w:rsid w:val="004079B4"/>
    <w:rsid w:val="00410606"/>
    <w:rsid w:val="00413AE2"/>
    <w:rsid w:val="00417A56"/>
    <w:rsid w:val="00420957"/>
    <w:rsid w:val="00422A10"/>
    <w:rsid w:val="00430179"/>
    <w:rsid w:val="00432944"/>
    <w:rsid w:val="004414B5"/>
    <w:rsid w:val="00444482"/>
    <w:rsid w:val="00444B42"/>
    <w:rsid w:val="00445E44"/>
    <w:rsid w:val="004509E2"/>
    <w:rsid w:val="004515EE"/>
    <w:rsid w:val="004529F0"/>
    <w:rsid w:val="00460A03"/>
    <w:rsid w:val="004613E8"/>
    <w:rsid w:val="00472A11"/>
    <w:rsid w:val="00472AAD"/>
    <w:rsid w:val="00474E33"/>
    <w:rsid w:val="00476803"/>
    <w:rsid w:val="00485BFD"/>
    <w:rsid w:val="004867A2"/>
    <w:rsid w:val="004873F2"/>
    <w:rsid w:val="00490D4C"/>
    <w:rsid w:val="004910A2"/>
    <w:rsid w:val="00493A35"/>
    <w:rsid w:val="0049527A"/>
    <w:rsid w:val="004966BF"/>
    <w:rsid w:val="00497984"/>
    <w:rsid w:val="004A5088"/>
    <w:rsid w:val="004B4471"/>
    <w:rsid w:val="004C1E3F"/>
    <w:rsid w:val="004C23F4"/>
    <w:rsid w:val="004C3475"/>
    <w:rsid w:val="004C58B6"/>
    <w:rsid w:val="004D16A3"/>
    <w:rsid w:val="004D4AA1"/>
    <w:rsid w:val="004D6D68"/>
    <w:rsid w:val="004E5EDD"/>
    <w:rsid w:val="004E72D0"/>
    <w:rsid w:val="004E7365"/>
    <w:rsid w:val="004F448A"/>
    <w:rsid w:val="004F493D"/>
    <w:rsid w:val="004F65E8"/>
    <w:rsid w:val="0050005E"/>
    <w:rsid w:val="00502B88"/>
    <w:rsid w:val="005075A5"/>
    <w:rsid w:val="00513509"/>
    <w:rsid w:val="005142C4"/>
    <w:rsid w:val="0051509C"/>
    <w:rsid w:val="005272E2"/>
    <w:rsid w:val="0053108F"/>
    <w:rsid w:val="00532B56"/>
    <w:rsid w:val="00534B10"/>
    <w:rsid w:val="005446A2"/>
    <w:rsid w:val="00544D2F"/>
    <w:rsid w:val="00546179"/>
    <w:rsid w:val="00551BD8"/>
    <w:rsid w:val="00552FF0"/>
    <w:rsid w:val="00581055"/>
    <w:rsid w:val="00586CA6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6E3D"/>
    <w:rsid w:val="005E75CB"/>
    <w:rsid w:val="005E7D9D"/>
    <w:rsid w:val="005F6457"/>
    <w:rsid w:val="005F6B74"/>
    <w:rsid w:val="006013C1"/>
    <w:rsid w:val="0060669E"/>
    <w:rsid w:val="006102EF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83"/>
    <w:rsid w:val="0069079C"/>
    <w:rsid w:val="00690B53"/>
    <w:rsid w:val="00695B72"/>
    <w:rsid w:val="006B06E3"/>
    <w:rsid w:val="006B160A"/>
    <w:rsid w:val="006B4E6C"/>
    <w:rsid w:val="006B50B6"/>
    <w:rsid w:val="006C1C31"/>
    <w:rsid w:val="006C42D4"/>
    <w:rsid w:val="006D79EA"/>
    <w:rsid w:val="006D7C8A"/>
    <w:rsid w:val="006E5D05"/>
    <w:rsid w:val="00701053"/>
    <w:rsid w:val="00701507"/>
    <w:rsid w:val="00714021"/>
    <w:rsid w:val="00716A0F"/>
    <w:rsid w:val="00717D45"/>
    <w:rsid w:val="007208F7"/>
    <w:rsid w:val="007218AF"/>
    <w:rsid w:val="00722965"/>
    <w:rsid w:val="007365D1"/>
    <w:rsid w:val="00740E0E"/>
    <w:rsid w:val="00743029"/>
    <w:rsid w:val="00750212"/>
    <w:rsid w:val="00754779"/>
    <w:rsid w:val="0075716D"/>
    <w:rsid w:val="00765F14"/>
    <w:rsid w:val="00770E31"/>
    <w:rsid w:val="007770F1"/>
    <w:rsid w:val="00783FB1"/>
    <w:rsid w:val="00785CDD"/>
    <w:rsid w:val="007874E9"/>
    <w:rsid w:val="00791847"/>
    <w:rsid w:val="007925F0"/>
    <w:rsid w:val="007939B3"/>
    <w:rsid w:val="0079509C"/>
    <w:rsid w:val="00796708"/>
    <w:rsid w:val="007A6EF2"/>
    <w:rsid w:val="007A752A"/>
    <w:rsid w:val="007B1B42"/>
    <w:rsid w:val="007C30EB"/>
    <w:rsid w:val="007D42F5"/>
    <w:rsid w:val="007E063C"/>
    <w:rsid w:val="007E0FAE"/>
    <w:rsid w:val="007E2A4B"/>
    <w:rsid w:val="007E307D"/>
    <w:rsid w:val="007E6A4E"/>
    <w:rsid w:val="007E6C94"/>
    <w:rsid w:val="007F1005"/>
    <w:rsid w:val="007F25E0"/>
    <w:rsid w:val="007F5328"/>
    <w:rsid w:val="00802A59"/>
    <w:rsid w:val="00804F5A"/>
    <w:rsid w:val="00805A3B"/>
    <w:rsid w:val="00810C6D"/>
    <w:rsid w:val="00812887"/>
    <w:rsid w:val="00826F21"/>
    <w:rsid w:val="008329F5"/>
    <w:rsid w:val="00834CC8"/>
    <w:rsid w:val="00835E00"/>
    <w:rsid w:val="00837113"/>
    <w:rsid w:val="008414E4"/>
    <w:rsid w:val="00843E21"/>
    <w:rsid w:val="0084508E"/>
    <w:rsid w:val="00857A8A"/>
    <w:rsid w:val="008600F0"/>
    <w:rsid w:val="008630EE"/>
    <w:rsid w:val="00864D13"/>
    <w:rsid w:val="00871CD5"/>
    <w:rsid w:val="008745A2"/>
    <w:rsid w:val="008768A8"/>
    <w:rsid w:val="00885A68"/>
    <w:rsid w:val="0088798F"/>
    <w:rsid w:val="00887E4B"/>
    <w:rsid w:val="008915C8"/>
    <w:rsid w:val="008A3266"/>
    <w:rsid w:val="008A36CF"/>
    <w:rsid w:val="008A3BC4"/>
    <w:rsid w:val="008B403C"/>
    <w:rsid w:val="008B7983"/>
    <w:rsid w:val="008C2511"/>
    <w:rsid w:val="008C365A"/>
    <w:rsid w:val="008D026D"/>
    <w:rsid w:val="008D1A63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683"/>
    <w:rsid w:val="00946044"/>
    <w:rsid w:val="0094660B"/>
    <w:rsid w:val="00946A33"/>
    <w:rsid w:val="0095260E"/>
    <w:rsid w:val="00955D77"/>
    <w:rsid w:val="009578DD"/>
    <w:rsid w:val="00961124"/>
    <w:rsid w:val="009621B6"/>
    <w:rsid w:val="0096373B"/>
    <w:rsid w:val="0096404B"/>
    <w:rsid w:val="009733F4"/>
    <w:rsid w:val="00974F2D"/>
    <w:rsid w:val="00974F8A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7936"/>
    <w:rsid w:val="009C199D"/>
    <w:rsid w:val="009C278F"/>
    <w:rsid w:val="009C2B94"/>
    <w:rsid w:val="009C5874"/>
    <w:rsid w:val="009D01F1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0FC1"/>
    <w:rsid w:val="00A01D0C"/>
    <w:rsid w:val="00A0643F"/>
    <w:rsid w:val="00A067EE"/>
    <w:rsid w:val="00A10FAF"/>
    <w:rsid w:val="00A10FCE"/>
    <w:rsid w:val="00A12551"/>
    <w:rsid w:val="00A16D91"/>
    <w:rsid w:val="00A174CC"/>
    <w:rsid w:val="00A2073D"/>
    <w:rsid w:val="00A20751"/>
    <w:rsid w:val="00A22C56"/>
    <w:rsid w:val="00A2359A"/>
    <w:rsid w:val="00A27E2D"/>
    <w:rsid w:val="00A31D99"/>
    <w:rsid w:val="00A33340"/>
    <w:rsid w:val="00A357BA"/>
    <w:rsid w:val="00A35ADC"/>
    <w:rsid w:val="00A402A3"/>
    <w:rsid w:val="00A53681"/>
    <w:rsid w:val="00A633D4"/>
    <w:rsid w:val="00A6461A"/>
    <w:rsid w:val="00A84504"/>
    <w:rsid w:val="00A84CDD"/>
    <w:rsid w:val="00A8672F"/>
    <w:rsid w:val="00A93057"/>
    <w:rsid w:val="00A968B0"/>
    <w:rsid w:val="00AB2672"/>
    <w:rsid w:val="00AB2817"/>
    <w:rsid w:val="00AB43C4"/>
    <w:rsid w:val="00AB4BAE"/>
    <w:rsid w:val="00AC2365"/>
    <w:rsid w:val="00AC32E7"/>
    <w:rsid w:val="00AC3A9F"/>
    <w:rsid w:val="00AC6D2F"/>
    <w:rsid w:val="00AE2745"/>
    <w:rsid w:val="00AE293C"/>
    <w:rsid w:val="00AE2F64"/>
    <w:rsid w:val="00AF42CB"/>
    <w:rsid w:val="00AF483F"/>
    <w:rsid w:val="00AF5E07"/>
    <w:rsid w:val="00AF5F06"/>
    <w:rsid w:val="00B00A25"/>
    <w:rsid w:val="00B00FD7"/>
    <w:rsid w:val="00B01101"/>
    <w:rsid w:val="00B102F0"/>
    <w:rsid w:val="00B1422A"/>
    <w:rsid w:val="00B1765C"/>
    <w:rsid w:val="00B20537"/>
    <w:rsid w:val="00B213C4"/>
    <w:rsid w:val="00B27D5E"/>
    <w:rsid w:val="00B40C60"/>
    <w:rsid w:val="00B479A9"/>
    <w:rsid w:val="00B52EDF"/>
    <w:rsid w:val="00B71188"/>
    <w:rsid w:val="00B76A41"/>
    <w:rsid w:val="00B814C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6BCF"/>
    <w:rsid w:val="00BF2406"/>
    <w:rsid w:val="00BF42A3"/>
    <w:rsid w:val="00C0539D"/>
    <w:rsid w:val="00C05C47"/>
    <w:rsid w:val="00C06E43"/>
    <w:rsid w:val="00C16315"/>
    <w:rsid w:val="00C26385"/>
    <w:rsid w:val="00C3091E"/>
    <w:rsid w:val="00C402FA"/>
    <w:rsid w:val="00C40FF1"/>
    <w:rsid w:val="00C419E2"/>
    <w:rsid w:val="00C5020E"/>
    <w:rsid w:val="00C53701"/>
    <w:rsid w:val="00C57452"/>
    <w:rsid w:val="00C61EDF"/>
    <w:rsid w:val="00C6239D"/>
    <w:rsid w:val="00C6594B"/>
    <w:rsid w:val="00C66B08"/>
    <w:rsid w:val="00C67FFB"/>
    <w:rsid w:val="00C7155E"/>
    <w:rsid w:val="00C71D1E"/>
    <w:rsid w:val="00C71D7D"/>
    <w:rsid w:val="00C72EE1"/>
    <w:rsid w:val="00C74833"/>
    <w:rsid w:val="00C850A0"/>
    <w:rsid w:val="00C85A86"/>
    <w:rsid w:val="00C978F0"/>
    <w:rsid w:val="00CA40A3"/>
    <w:rsid w:val="00CA58FE"/>
    <w:rsid w:val="00CB1CB1"/>
    <w:rsid w:val="00CB43D3"/>
    <w:rsid w:val="00CB6BC1"/>
    <w:rsid w:val="00CB6CB8"/>
    <w:rsid w:val="00CB6F8A"/>
    <w:rsid w:val="00CC1A68"/>
    <w:rsid w:val="00CC2123"/>
    <w:rsid w:val="00CD0F21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1713"/>
    <w:rsid w:val="00D668E6"/>
    <w:rsid w:val="00D70670"/>
    <w:rsid w:val="00D74D80"/>
    <w:rsid w:val="00D76624"/>
    <w:rsid w:val="00D87570"/>
    <w:rsid w:val="00D91CB9"/>
    <w:rsid w:val="00D96987"/>
    <w:rsid w:val="00D97989"/>
    <w:rsid w:val="00D97D8D"/>
    <w:rsid w:val="00DA124D"/>
    <w:rsid w:val="00DA1A79"/>
    <w:rsid w:val="00DA352E"/>
    <w:rsid w:val="00DA7A5A"/>
    <w:rsid w:val="00DC7694"/>
    <w:rsid w:val="00DD1BF6"/>
    <w:rsid w:val="00DD2F9B"/>
    <w:rsid w:val="00DE2513"/>
    <w:rsid w:val="00DE26E8"/>
    <w:rsid w:val="00DE30C7"/>
    <w:rsid w:val="00DF6F36"/>
    <w:rsid w:val="00DF7DA0"/>
    <w:rsid w:val="00E0084C"/>
    <w:rsid w:val="00E025AB"/>
    <w:rsid w:val="00E02B23"/>
    <w:rsid w:val="00E06F40"/>
    <w:rsid w:val="00E07CE8"/>
    <w:rsid w:val="00E26A07"/>
    <w:rsid w:val="00E26DCB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3B8"/>
    <w:rsid w:val="00E949AF"/>
    <w:rsid w:val="00E96077"/>
    <w:rsid w:val="00EA0A06"/>
    <w:rsid w:val="00EA6243"/>
    <w:rsid w:val="00EA74AB"/>
    <w:rsid w:val="00EB3D1B"/>
    <w:rsid w:val="00EB781B"/>
    <w:rsid w:val="00EC4260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D55"/>
    <w:rsid w:val="00F20E68"/>
    <w:rsid w:val="00F22093"/>
    <w:rsid w:val="00F236DF"/>
    <w:rsid w:val="00F43AD5"/>
    <w:rsid w:val="00F4402E"/>
    <w:rsid w:val="00F55BDB"/>
    <w:rsid w:val="00F56DD0"/>
    <w:rsid w:val="00F6491C"/>
    <w:rsid w:val="00F67BBB"/>
    <w:rsid w:val="00F81CEE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538B"/>
    <w:rsid w:val="00FB755A"/>
    <w:rsid w:val="00FC60A2"/>
    <w:rsid w:val="00FD1871"/>
    <w:rsid w:val="00FD1FAD"/>
    <w:rsid w:val="00FD3110"/>
    <w:rsid w:val="00FF236B"/>
    <w:rsid w:val="00FF408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0DFC2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0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085"/>
    <w:rPr>
      <w:szCs w:val="20"/>
    </w:rPr>
  </w:style>
  <w:style w:type="paragraph" w:styleId="Revision">
    <w:name w:val="Revision"/>
    <w:hidden/>
    <w:uiPriority w:val="99"/>
    <w:semiHidden/>
    <w:rsid w:val="004613E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6B06E3"/>
    <w:pPr>
      <w:numPr>
        <w:numId w:val="3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2D0"/>
    <w:rPr>
      <w:b/>
      <w:bCs/>
      <w:szCs w:val="20"/>
    </w:rPr>
  </w:style>
  <w:style w:type="character" w:customStyle="1" w:styleId="f">
    <w:name w:val="f"/>
    <w:basedOn w:val="DefaultParagraphFont"/>
    <w:rsid w:val="00743029"/>
  </w:style>
  <w:style w:type="character" w:styleId="Emphasis">
    <w:name w:val="Emphasis"/>
    <w:basedOn w:val="DefaultParagraphFont"/>
    <w:uiPriority w:val="20"/>
    <w:qFormat/>
    <w:rsid w:val="007430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0351AB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351AB"/>
    <w:rsid w:val="00347D16"/>
    <w:rsid w:val="003E0149"/>
    <w:rsid w:val="00755FBF"/>
    <w:rsid w:val="00A11D79"/>
    <w:rsid w:val="00C1200C"/>
    <w:rsid w:val="00CA72D3"/>
    <w:rsid w:val="00D21A9F"/>
    <w:rsid w:val="00DD718B"/>
    <w:rsid w:val="00E30ABD"/>
    <w:rsid w:val="00E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4" ma:contentTypeDescription="Create a new document." ma:contentTypeScope="" ma:versionID="13b51b7518afb46499292cdac2b630da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328df578f351ff0db5c2ec2ce4235965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882F-3D4D-4F30-A6D1-9FDF0C9E75A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4d89c9d3-cf9d-4152-ac9f-ad3059f15688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9BDE63-7FD9-4C86-9E16-1273DCCD7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65281-38C4-41B1-A99B-2CEB1BDA2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3990B-CB92-4D3B-8601-96224B5F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2020-06-11T02:47:00Z</dcterms:created>
  <dcterms:modified xsi:type="dcterms:W3CDTF">2020-07-21T00:11:00Z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