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57862CEC" w14:textId="10216054" w:rsidR="00BD499F" w:rsidRPr="004C23F4" w:rsidRDefault="00A4087C" w:rsidP="009963DA">
          <w:pPr>
            <w:pStyle w:val="Heading1"/>
            <w:jc w:val="center"/>
            <w:rPr>
              <w:rFonts w:ascii="Arial" w:hAnsi="Arial" w:cs="Arial"/>
            </w:rPr>
          </w:pPr>
          <w:r>
            <w:rPr>
              <w:rFonts w:ascii="Arial" w:hAnsi="Arial" w:cs="Arial"/>
            </w:rPr>
            <w:t xml:space="preserve">mineral </w:t>
          </w:r>
          <w:r w:rsidR="00C4752F">
            <w:rPr>
              <w:rFonts w:ascii="Arial" w:hAnsi="Arial" w:cs="Arial"/>
            </w:rPr>
            <w:t xml:space="preserve">SpiritS </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6"/>
        <w:gridCol w:w="5040"/>
      </w:tblGrid>
      <w:tr w:rsidR="00F43AD5" w:rsidRPr="004C23F4" w14:paraId="189D6E38" w14:textId="77777777" w:rsidTr="00B76A41">
        <w:trPr>
          <w:cantSplit/>
          <w:tblHeader/>
        </w:trPr>
        <w:tc>
          <w:tcPr>
            <w:tcW w:w="4077" w:type="dxa"/>
          </w:tcPr>
          <w:p w14:paraId="517634FF" w14:textId="77777777" w:rsidR="00F43AD5" w:rsidRPr="00921DE7" w:rsidRDefault="00CB1CB1" w:rsidP="00B76A41">
            <w:pPr>
              <w:pStyle w:val="Tablerowright"/>
            </w:pPr>
            <w:r w:rsidRPr="00921DE7">
              <w:t>CAS number:</w:t>
            </w:r>
          </w:p>
        </w:tc>
        <w:tc>
          <w:tcPr>
            <w:tcW w:w="5165" w:type="dxa"/>
          </w:tcPr>
          <w:p w14:paraId="3EDBFD9E" w14:textId="4BCC8F97" w:rsidR="00F43AD5" w:rsidRPr="00717D45" w:rsidRDefault="009963DA" w:rsidP="00B76A41">
            <w:pPr>
              <w:pStyle w:val="Tablefont"/>
            </w:pPr>
            <w:r w:rsidRPr="009963DA">
              <w:t>8052-41-3</w:t>
            </w:r>
            <w:r w:rsidR="00A4087C">
              <w:t xml:space="preserve">, </w:t>
            </w:r>
            <w:r w:rsidR="00A4087C">
              <w:rPr>
                <w:rFonts w:cs="Arial"/>
                <w:color w:val="262626"/>
              </w:rPr>
              <w:t>64742-82-1</w:t>
            </w:r>
            <w:r w:rsidR="00BF5E19">
              <w:rPr>
                <w:rFonts w:cs="Arial"/>
                <w:color w:val="262626"/>
              </w:rPr>
              <w:t>, 64742-95-6</w:t>
            </w:r>
          </w:p>
        </w:tc>
      </w:tr>
      <w:tr w:rsidR="00F43AD5" w:rsidRPr="004C23F4" w14:paraId="562A9F51" w14:textId="77777777" w:rsidTr="00B76A41">
        <w:trPr>
          <w:cantSplit/>
        </w:trPr>
        <w:tc>
          <w:tcPr>
            <w:tcW w:w="4077" w:type="dxa"/>
          </w:tcPr>
          <w:p w14:paraId="6A9A0952" w14:textId="77777777" w:rsidR="00F43AD5" w:rsidRPr="00921DE7" w:rsidRDefault="00CB1CB1" w:rsidP="00B76A41">
            <w:pPr>
              <w:pStyle w:val="Tablerowright"/>
            </w:pPr>
            <w:r w:rsidRPr="00921DE7">
              <w:t>Synonyms:</w:t>
            </w:r>
          </w:p>
        </w:tc>
        <w:tc>
          <w:tcPr>
            <w:tcW w:w="5165" w:type="dxa"/>
          </w:tcPr>
          <w:p w14:paraId="32648AB9" w14:textId="4B5AD72D" w:rsidR="00F43AD5" w:rsidRPr="00717D45" w:rsidRDefault="009963DA" w:rsidP="00B76A41">
            <w:pPr>
              <w:pStyle w:val="Tablefont"/>
            </w:pPr>
            <w:r>
              <w:t xml:space="preserve">Mineral </w:t>
            </w:r>
            <w:r w:rsidR="00C4752F">
              <w:t>turpentine</w:t>
            </w:r>
            <w:r>
              <w:t xml:space="preserve">, </w:t>
            </w:r>
            <w:r w:rsidR="00A4087C">
              <w:t>Stoddard solvent, white spirits</w:t>
            </w:r>
            <w:r w:rsidR="00BF5E19">
              <w:t>, paint thinner</w:t>
            </w:r>
            <w:r w:rsidR="00C4752F">
              <w:t>s</w:t>
            </w:r>
            <w:r w:rsidR="00BF5E19">
              <w:t>, solvent naphtha (petroleum light)</w:t>
            </w:r>
            <w:r w:rsidR="00C4752F">
              <w:t>, hydrocarbon solvents</w:t>
            </w:r>
            <w:r w:rsidR="00AB06CE">
              <w:t>, turps</w:t>
            </w:r>
          </w:p>
        </w:tc>
      </w:tr>
      <w:tr w:rsidR="00F43AD5" w:rsidRPr="004C23F4" w14:paraId="6EE54A08" w14:textId="77777777" w:rsidTr="00B76A41">
        <w:trPr>
          <w:cantSplit/>
        </w:trPr>
        <w:tc>
          <w:tcPr>
            <w:tcW w:w="4077" w:type="dxa"/>
          </w:tcPr>
          <w:p w14:paraId="3C2EC489" w14:textId="77777777" w:rsidR="00F43AD5" w:rsidRPr="00921DE7" w:rsidRDefault="00CB1CB1" w:rsidP="00B76A41">
            <w:pPr>
              <w:pStyle w:val="Tablerowright"/>
            </w:pPr>
            <w:r w:rsidRPr="00921DE7">
              <w:t>Chemical formula:</w:t>
            </w:r>
          </w:p>
        </w:tc>
        <w:tc>
          <w:tcPr>
            <w:tcW w:w="5165" w:type="dxa"/>
          </w:tcPr>
          <w:p w14:paraId="69369B00" w14:textId="4BFD0A61" w:rsidR="00F43AD5" w:rsidRPr="00717D45" w:rsidRDefault="009963DA" w:rsidP="00B76A41">
            <w:pPr>
              <w:pStyle w:val="Tablefont"/>
            </w:pPr>
            <w:r>
              <w:t>—</w:t>
            </w:r>
          </w:p>
        </w:tc>
      </w:tr>
      <w:tr w:rsidR="00F43AD5" w:rsidRPr="004C23F4" w14:paraId="7AD5A991" w14:textId="77777777" w:rsidTr="00B76A41">
        <w:trPr>
          <w:cantSplit/>
        </w:trPr>
        <w:tc>
          <w:tcPr>
            <w:tcW w:w="4077" w:type="dxa"/>
          </w:tcPr>
          <w:p w14:paraId="6D55F87C" w14:textId="77777777" w:rsidR="00F43AD5" w:rsidRPr="00921DE7" w:rsidRDefault="00CB1CB1" w:rsidP="00B76A41">
            <w:pPr>
              <w:pStyle w:val="Tablerowright"/>
            </w:pPr>
            <w:r w:rsidRPr="00921DE7">
              <w:t>Structural formula:</w:t>
            </w:r>
          </w:p>
        </w:tc>
        <w:tc>
          <w:tcPr>
            <w:tcW w:w="5165" w:type="dxa"/>
          </w:tcPr>
          <w:p w14:paraId="162A9653" w14:textId="77777777" w:rsidR="00F43AD5" w:rsidRPr="00B40C60" w:rsidRDefault="00037E52" w:rsidP="00B76A41">
            <w:pPr>
              <w:pStyle w:val="Tablerowheading"/>
              <w:rPr>
                <w:b w:val="0"/>
              </w:rPr>
            </w:pPr>
            <w:r>
              <w:rPr>
                <w:b w:val="0"/>
              </w:rPr>
              <w:t>—</w:t>
            </w:r>
          </w:p>
        </w:tc>
      </w:tr>
    </w:tbl>
    <w:p w14:paraId="71D72173" w14:textId="7D8868DF"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89155B">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38011720" w14:textId="77777777" w:rsidTr="00037E52">
        <w:trPr>
          <w:cantSplit/>
          <w:tblHeader/>
        </w:trPr>
        <w:tc>
          <w:tcPr>
            <w:tcW w:w="4010" w:type="dxa"/>
            <w:vAlign w:val="center"/>
          </w:tcPr>
          <w:p w14:paraId="652B29B1" w14:textId="77777777" w:rsidR="002C7AFE" w:rsidRPr="002C58FF" w:rsidRDefault="00921DE7" w:rsidP="00921DE7">
            <w:pPr>
              <w:pStyle w:val="Tablerowright"/>
            </w:pPr>
            <w:r>
              <w:t>TWA:</w:t>
            </w:r>
          </w:p>
        </w:tc>
        <w:tc>
          <w:tcPr>
            <w:tcW w:w="5016" w:type="dxa"/>
          </w:tcPr>
          <w:p w14:paraId="43EB6150" w14:textId="66EECF3D" w:rsidR="002C7AFE" w:rsidRPr="0089155B" w:rsidRDefault="004613F6" w:rsidP="00017C82">
            <w:pPr>
              <w:pStyle w:val="Tablefont"/>
              <w:rPr>
                <w:b/>
              </w:rPr>
            </w:pPr>
            <w:r>
              <w:rPr>
                <w:b/>
              </w:rPr>
              <w:t>50 ppm (</w:t>
            </w:r>
            <w:r w:rsidR="0089155B">
              <w:rPr>
                <w:b/>
              </w:rPr>
              <w:t>296 mg/m</w:t>
            </w:r>
            <w:r w:rsidR="0089155B">
              <w:rPr>
                <w:b/>
                <w:vertAlign w:val="superscript"/>
              </w:rPr>
              <w:t>3</w:t>
            </w:r>
            <w:r w:rsidR="0089155B">
              <w:rPr>
                <w:b/>
              </w:rPr>
              <w:t>)</w:t>
            </w:r>
          </w:p>
        </w:tc>
      </w:tr>
      <w:tr w:rsidR="00037E52" w:rsidRPr="004C23F4" w14:paraId="0EF58FD6" w14:textId="77777777" w:rsidTr="00037E52">
        <w:trPr>
          <w:cantSplit/>
        </w:trPr>
        <w:tc>
          <w:tcPr>
            <w:tcW w:w="4010" w:type="dxa"/>
            <w:vAlign w:val="center"/>
          </w:tcPr>
          <w:p w14:paraId="1CE0F108" w14:textId="77777777" w:rsidR="00037E52" w:rsidRPr="002C58FF" w:rsidRDefault="00037E52" w:rsidP="00037E52">
            <w:pPr>
              <w:pStyle w:val="Tablerowright"/>
            </w:pPr>
            <w:r w:rsidRPr="002C58FF">
              <w:t>STEL</w:t>
            </w:r>
            <w:r>
              <w:t>:</w:t>
            </w:r>
          </w:p>
        </w:tc>
        <w:tc>
          <w:tcPr>
            <w:tcW w:w="5016" w:type="dxa"/>
          </w:tcPr>
          <w:p w14:paraId="7C8B818A" w14:textId="14CBBFCE" w:rsidR="00037E52" w:rsidRPr="0089155B" w:rsidRDefault="0089155B" w:rsidP="00037E52">
            <w:pPr>
              <w:pStyle w:val="Tablefont"/>
              <w:rPr>
                <w:b/>
              </w:rPr>
            </w:pPr>
            <w:r>
              <w:rPr>
                <w:b/>
              </w:rPr>
              <w:t>100 ppm (593 mg/m</w:t>
            </w:r>
            <w:r>
              <w:rPr>
                <w:b/>
                <w:vertAlign w:val="superscript"/>
              </w:rPr>
              <w:t>3</w:t>
            </w:r>
            <w:r>
              <w:rPr>
                <w:b/>
              </w:rPr>
              <w:t>)</w:t>
            </w:r>
          </w:p>
        </w:tc>
      </w:tr>
      <w:tr w:rsidR="00037E52" w:rsidRPr="004C23F4" w14:paraId="09DF5A7D" w14:textId="77777777" w:rsidTr="00037E52">
        <w:trPr>
          <w:cantSplit/>
        </w:trPr>
        <w:tc>
          <w:tcPr>
            <w:tcW w:w="4010" w:type="dxa"/>
            <w:vAlign w:val="center"/>
          </w:tcPr>
          <w:p w14:paraId="7D9BAC3A" w14:textId="77777777" w:rsidR="00037E52" w:rsidRPr="002C58FF" w:rsidRDefault="00037E52" w:rsidP="00037E52">
            <w:pPr>
              <w:pStyle w:val="Tablerowright"/>
            </w:pPr>
            <w:r>
              <w:t>Peak limitation:</w:t>
            </w:r>
          </w:p>
        </w:tc>
        <w:tc>
          <w:tcPr>
            <w:tcW w:w="5016" w:type="dxa"/>
          </w:tcPr>
          <w:p w14:paraId="582B22B5" w14:textId="77777777" w:rsidR="00037E52" w:rsidRPr="00EB3D1B" w:rsidRDefault="00037E52" w:rsidP="00037E52">
            <w:pPr>
              <w:pStyle w:val="Tablefont"/>
              <w:rPr>
                <w:b/>
              </w:rPr>
            </w:pPr>
            <w:r>
              <w:rPr>
                <w:b/>
              </w:rPr>
              <w:t>—</w:t>
            </w:r>
          </w:p>
        </w:tc>
      </w:tr>
      <w:tr w:rsidR="00037E52" w:rsidRPr="004C23F4" w14:paraId="368D7039" w14:textId="77777777" w:rsidTr="00037E52">
        <w:trPr>
          <w:cantSplit/>
        </w:trPr>
        <w:tc>
          <w:tcPr>
            <w:tcW w:w="4010" w:type="dxa"/>
          </w:tcPr>
          <w:p w14:paraId="589F33FE"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6E9A7528" w14:textId="3D29FA08" w:rsidR="00037E52" w:rsidRPr="00EB3D1B" w:rsidRDefault="0089155B" w:rsidP="00037E52">
            <w:pPr>
              <w:pStyle w:val="Tablefont"/>
              <w:rPr>
                <w:b/>
              </w:rPr>
            </w:pPr>
            <w:r>
              <w:rPr>
                <w:b/>
              </w:rPr>
              <w:t>Carc. 1B</w:t>
            </w:r>
          </w:p>
        </w:tc>
      </w:tr>
      <w:tr w:rsidR="00037E52" w:rsidRPr="004C23F4" w14:paraId="5FFAC073" w14:textId="77777777" w:rsidTr="00037E52">
        <w:trPr>
          <w:cantSplit/>
        </w:trPr>
        <w:tc>
          <w:tcPr>
            <w:tcW w:w="4010" w:type="dxa"/>
            <w:vAlign w:val="center"/>
          </w:tcPr>
          <w:p w14:paraId="6B171BBD" w14:textId="77777777" w:rsidR="00037E52" w:rsidRPr="002C58FF" w:rsidRDefault="00037E52" w:rsidP="00037E52">
            <w:pPr>
              <w:pStyle w:val="Tablerowright"/>
            </w:pPr>
            <w:r>
              <w:t>IDLH:</w:t>
            </w:r>
          </w:p>
        </w:tc>
        <w:tc>
          <w:tcPr>
            <w:tcW w:w="5016" w:type="dxa"/>
          </w:tcPr>
          <w:p w14:paraId="7090041D" w14:textId="02DA1950" w:rsidR="00037E52" w:rsidRPr="00EB3D1B" w:rsidRDefault="009963DA" w:rsidP="00037E52">
            <w:pPr>
              <w:pStyle w:val="Tablefont"/>
              <w:rPr>
                <w:b/>
              </w:rPr>
            </w:pPr>
            <w:r>
              <w:rPr>
                <w:b/>
              </w:rPr>
              <w:t>20</w:t>
            </w:r>
            <w:r w:rsidR="002C0F2C">
              <w:rPr>
                <w:b/>
              </w:rPr>
              <w:t>,</w:t>
            </w:r>
            <w:r w:rsidRPr="009963DA">
              <w:rPr>
                <w:b/>
              </w:rPr>
              <w:t>000 mg/m</w:t>
            </w:r>
            <w:r w:rsidRPr="009963DA">
              <w:rPr>
                <w:b/>
                <w:vertAlign w:val="superscript"/>
              </w:rPr>
              <w:t>3</w:t>
            </w:r>
          </w:p>
        </w:tc>
      </w:tr>
      <w:tr w:rsidR="00155999" w:rsidRPr="004C23F4" w14:paraId="27D0E012" w14:textId="77777777" w:rsidTr="00E7119C">
        <w:trPr>
          <w:cantSplit/>
        </w:trPr>
        <w:tc>
          <w:tcPr>
            <w:tcW w:w="9026" w:type="dxa"/>
            <w:gridSpan w:val="2"/>
            <w:vAlign w:val="center"/>
          </w:tcPr>
          <w:p w14:paraId="31B5D59E" w14:textId="6381070D" w:rsidR="00155999" w:rsidRPr="00EB3D1B" w:rsidRDefault="00155999" w:rsidP="00037E52">
            <w:pPr>
              <w:pStyle w:val="Tablefont"/>
              <w:rPr>
                <w:b/>
              </w:rPr>
            </w:pPr>
            <w:r w:rsidRPr="00CB46E0">
              <w:rPr>
                <w:b/>
              </w:rPr>
              <w:t>Sampling and analysis</w:t>
            </w:r>
            <w:r>
              <w:t>:</w:t>
            </w:r>
            <w:r w:rsidRPr="00EC521E">
              <w:rPr>
                <w:rStyle w:val="WESstatus"/>
                <w:color w:val="auto"/>
              </w:rPr>
              <w:t xml:space="preserve"> </w:t>
            </w:r>
            <w:sdt>
              <w:sdtPr>
                <w:rPr>
                  <w:rStyle w:val="WESstatus"/>
                  <w:color w:val="auto"/>
                </w:rPr>
                <w:id w:val="-2105258949"/>
                <w:placeholder>
                  <w:docPart w:val="DA2FFE9CEF2D415F9F59B567F352ED2C"/>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0089155B" w:rsidRPr="00CB46E0">
                  <w:rPr>
                    <w:rStyle w:val="WESstatus"/>
                    <w:color w:val="auto"/>
                  </w:rPr>
                  <w:t xml:space="preserve">The recommended value is quantifiable through available sampling and analysis techniques. </w:t>
                </w:r>
              </w:sdtContent>
            </w:sdt>
          </w:p>
        </w:tc>
      </w:tr>
    </w:tbl>
    <w:p w14:paraId="1330EBEE" w14:textId="77777777" w:rsidR="00CB1CB1" w:rsidRPr="003365A5" w:rsidRDefault="00F10C97" w:rsidP="003365A5">
      <w:pPr>
        <w:pStyle w:val="Heading2"/>
      </w:pPr>
      <w:r>
        <w:t>Recommendation and basis for workplace exposure standard</w:t>
      </w:r>
    </w:p>
    <w:p w14:paraId="349A4DCD" w14:textId="16D382AC" w:rsidR="004613F6" w:rsidRPr="004613F6" w:rsidRDefault="004613F6" w:rsidP="004613F6">
      <w:pPr>
        <w:rPr>
          <w:rFonts w:cs="Arial"/>
        </w:rPr>
      </w:pPr>
      <w:r w:rsidRPr="004613F6">
        <w:rPr>
          <w:rFonts w:cs="Arial"/>
        </w:rPr>
        <w:t xml:space="preserve">A TWA of </w:t>
      </w:r>
      <w:r>
        <w:rPr>
          <w:rFonts w:cs="Arial"/>
        </w:rPr>
        <w:t>50</w:t>
      </w:r>
      <w:r w:rsidRPr="004613F6">
        <w:rPr>
          <w:rFonts w:cs="Arial"/>
        </w:rPr>
        <w:t xml:space="preserve"> ppm (</w:t>
      </w:r>
      <w:r>
        <w:rPr>
          <w:rFonts w:cs="Arial"/>
        </w:rPr>
        <w:t>296</w:t>
      </w:r>
      <w:r w:rsidRPr="004613F6">
        <w:rPr>
          <w:rFonts w:cs="Arial"/>
        </w:rPr>
        <w:t xml:space="preserve"> mg/m</w:t>
      </w:r>
      <w:r w:rsidRPr="004613F6">
        <w:rPr>
          <w:rFonts w:cs="Arial"/>
          <w:vertAlign w:val="superscript"/>
        </w:rPr>
        <w:t>3</w:t>
      </w:r>
      <w:r w:rsidRPr="004613F6">
        <w:rPr>
          <w:rFonts w:cs="Arial"/>
        </w:rPr>
        <w:t xml:space="preserve">) is </w:t>
      </w:r>
      <w:r>
        <w:rPr>
          <w:rFonts w:cs="Arial"/>
        </w:rPr>
        <w:t xml:space="preserve">recommended </w:t>
      </w:r>
      <w:r w:rsidRPr="004613F6">
        <w:rPr>
          <w:rFonts w:cs="Arial"/>
        </w:rPr>
        <w:t>to protect for irrita</w:t>
      </w:r>
      <w:r w:rsidR="0058438D">
        <w:rPr>
          <w:rFonts w:cs="Arial"/>
        </w:rPr>
        <w:t>tion</w:t>
      </w:r>
      <w:r>
        <w:rPr>
          <w:rFonts w:cs="Arial"/>
        </w:rPr>
        <w:t>, central nervous system (CNS) impairment and brain damage</w:t>
      </w:r>
      <w:r w:rsidRPr="004613F6">
        <w:rPr>
          <w:rFonts w:cs="Arial"/>
        </w:rPr>
        <w:t xml:space="preserve"> </w:t>
      </w:r>
      <w:r>
        <w:rPr>
          <w:rFonts w:cs="Arial"/>
        </w:rPr>
        <w:t xml:space="preserve">in </w:t>
      </w:r>
      <w:r w:rsidRPr="004613F6">
        <w:rPr>
          <w:rFonts w:cs="Arial"/>
        </w:rPr>
        <w:t xml:space="preserve">exposed workers. </w:t>
      </w:r>
    </w:p>
    <w:p w14:paraId="56D7D7AF" w14:textId="7E48D2F8" w:rsidR="006639B4" w:rsidRPr="004C23F4" w:rsidRDefault="004613F6" w:rsidP="000C139A">
      <w:pPr>
        <w:rPr>
          <w:rFonts w:cs="Arial"/>
        </w:rPr>
      </w:pPr>
      <w:r w:rsidRPr="004613F6">
        <w:rPr>
          <w:rFonts w:cs="Arial"/>
        </w:rPr>
        <w:t xml:space="preserve">A STEL of </w:t>
      </w:r>
      <w:r>
        <w:rPr>
          <w:rFonts w:cs="Arial"/>
        </w:rPr>
        <w:t>100</w:t>
      </w:r>
      <w:r w:rsidRPr="004613F6">
        <w:rPr>
          <w:rFonts w:cs="Arial"/>
        </w:rPr>
        <w:t xml:space="preserve"> ppm (</w:t>
      </w:r>
      <w:r>
        <w:rPr>
          <w:rFonts w:cs="Arial"/>
        </w:rPr>
        <w:t xml:space="preserve">593 </w:t>
      </w:r>
      <w:r w:rsidRPr="004613F6">
        <w:rPr>
          <w:rFonts w:cs="Arial"/>
        </w:rPr>
        <w:t>mg/m</w:t>
      </w:r>
      <w:r w:rsidRPr="004613F6">
        <w:rPr>
          <w:rFonts w:cs="Arial"/>
          <w:vertAlign w:val="superscript"/>
        </w:rPr>
        <w:t>3</w:t>
      </w:r>
      <w:r w:rsidRPr="004613F6">
        <w:rPr>
          <w:rFonts w:cs="Arial"/>
        </w:rPr>
        <w:t xml:space="preserve">) </w:t>
      </w:r>
      <w:r>
        <w:rPr>
          <w:rFonts w:cs="Arial"/>
        </w:rPr>
        <w:t xml:space="preserve">is recommended to protect for </w:t>
      </w:r>
      <w:r w:rsidR="0058438D">
        <w:rPr>
          <w:rFonts w:cs="Arial"/>
        </w:rPr>
        <w:t xml:space="preserve">acute </w:t>
      </w:r>
      <w:r>
        <w:rPr>
          <w:rFonts w:cs="Arial"/>
        </w:rPr>
        <w:t xml:space="preserve">irritation, nausea and CNS depression </w:t>
      </w:r>
      <w:r w:rsidRPr="004613F6">
        <w:rPr>
          <w:rFonts w:cs="Arial"/>
        </w:rPr>
        <w:t xml:space="preserve">in </w:t>
      </w:r>
      <w:r>
        <w:rPr>
          <w:rFonts w:cs="Arial"/>
        </w:rPr>
        <w:t>expos</w:t>
      </w:r>
      <w:r w:rsidR="0058438D">
        <w:rPr>
          <w:rFonts w:cs="Arial"/>
        </w:rPr>
        <w:t>ed workers</w:t>
      </w:r>
      <w:r>
        <w:rPr>
          <w:rFonts w:cs="Arial"/>
        </w:rPr>
        <w:t>.</w:t>
      </w:r>
    </w:p>
    <w:p w14:paraId="317A46B1" w14:textId="77777777" w:rsidR="00C7155E" w:rsidRPr="004C23F4" w:rsidRDefault="00F10C97" w:rsidP="003365A5">
      <w:pPr>
        <w:pStyle w:val="Heading2"/>
      </w:pPr>
      <w:r>
        <w:t>Discussion and conclusions</w:t>
      </w:r>
    </w:p>
    <w:p w14:paraId="5C30CD3D" w14:textId="4E981E26" w:rsidR="00BF5E19" w:rsidRDefault="00E06FE0" w:rsidP="006639B4">
      <w:pPr>
        <w:rPr>
          <w:rFonts w:cs="Arial"/>
        </w:rPr>
      </w:pPr>
      <w:r>
        <w:rPr>
          <w:rFonts w:cs="Arial"/>
        </w:rPr>
        <w:t>Mineral</w:t>
      </w:r>
      <w:r w:rsidR="008D7D4F">
        <w:rPr>
          <w:rFonts w:cs="Arial"/>
        </w:rPr>
        <w:t xml:space="preserve"> spirits include mineral</w:t>
      </w:r>
      <w:r>
        <w:rPr>
          <w:rFonts w:cs="Arial"/>
        </w:rPr>
        <w:t xml:space="preserve"> turpentine</w:t>
      </w:r>
      <w:r w:rsidR="008D7D4F">
        <w:rPr>
          <w:rFonts w:cs="Arial"/>
        </w:rPr>
        <w:t>s, thinners</w:t>
      </w:r>
      <w:r>
        <w:rPr>
          <w:rFonts w:cs="Arial"/>
        </w:rPr>
        <w:t xml:space="preserve"> and white spirits </w:t>
      </w:r>
      <w:r w:rsidR="008D7D4F">
        <w:rPr>
          <w:rFonts w:cs="Arial"/>
        </w:rPr>
        <w:t xml:space="preserve">that </w:t>
      </w:r>
      <w:r>
        <w:rPr>
          <w:rFonts w:cs="Arial"/>
        </w:rPr>
        <w:t xml:space="preserve">are petroleum-derived </w:t>
      </w:r>
      <w:r w:rsidR="00D867A0">
        <w:rPr>
          <w:rFonts w:cs="Arial"/>
        </w:rPr>
        <w:t>solvents</w:t>
      </w:r>
      <w:r>
        <w:rPr>
          <w:rFonts w:cs="Arial"/>
        </w:rPr>
        <w:t xml:space="preserve">. They are </w:t>
      </w:r>
      <w:r w:rsidR="00D867A0">
        <w:rPr>
          <w:rFonts w:cs="Arial"/>
        </w:rPr>
        <w:t xml:space="preserve">complex hydrocarbon mixtures </w:t>
      </w:r>
      <w:r>
        <w:rPr>
          <w:rFonts w:cs="Arial"/>
        </w:rPr>
        <w:t xml:space="preserve">distinguished by their </w:t>
      </w:r>
      <w:r w:rsidR="00843D2B">
        <w:rPr>
          <w:rFonts w:cs="Arial"/>
        </w:rPr>
        <w:t>level of refinement</w:t>
      </w:r>
      <w:r w:rsidR="003D0ADF">
        <w:rPr>
          <w:rFonts w:cs="Arial"/>
        </w:rPr>
        <w:t xml:space="preserve">, which primarily determines their </w:t>
      </w:r>
      <w:r>
        <w:rPr>
          <w:rFonts w:cs="Arial"/>
        </w:rPr>
        <w:t xml:space="preserve">aromatic </w:t>
      </w:r>
      <w:r w:rsidR="003D0ADF">
        <w:rPr>
          <w:rFonts w:cs="Arial"/>
        </w:rPr>
        <w:t xml:space="preserve">hydrocarbon </w:t>
      </w:r>
      <w:r>
        <w:rPr>
          <w:rFonts w:cs="Arial"/>
        </w:rPr>
        <w:t>content</w:t>
      </w:r>
      <w:r w:rsidR="008D7D4F" w:rsidRPr="008D7D4F">
        <w:t xml:space="preserve"> </w:t>
      </w:r>
      <w:r w:rsidR="008D7D4F">
        <w:t>in the C</w:t>
      </w:r>
      <w:r w:rsidR="008D7D4F">
        <w:rPr>
          <w:vertAlign w:val="subscript"/>
        </w:rPr>
        <w:t>6</w:t>
      </w:r>
      <w:r w:rsidR="008D7D4F">
        <w:t>–C</w:t>
      </w:r>
      <w:r w:rsidR="008D7D4F">
        <w:rPr>
          <w:vertAlign w:val="subscript"/>
        </w:rPr>
        <w:t>12</w:t>
      </w:r>
      <w:r w:rsidR="008D7D4F">
        <w:t xml:space="preserve"> range</w:t>
      </w:r>
      <w:r w:rsidR="008C741C">
        <w:rPr>
          <w:rFonts w:cs="Arial"/>
        </w:rPr>
        <w:t xml:space="preserve">. In Australia, mineral turpentine typically contains </w:t>
      </w:r>
      <w:r w:rsidR="003D0ADF">
        <w:rPr>
          <w:rFonts w:cs="Arial"/>
        </w:rPr>
        <w:t>40</w:t>
      </w:r>
      <w:r w:rsidR="0058438D">
        <w:rPr>
          <w:rFonts w:cs="Arial"/>
        </w:rPr>
        <w:t xml:space="preserve"> per cent</w:t>
      </w:r>
      <w:r w:rsidR="00843D2B">
        <w:rPr>
          <w:rFonts w:cs="Arial"/>
        </w:rPr>
        <w:t xml:space="preserve"> aromatics</w:t>
      </w:r>
      <w:r w:rsidR="008C741C">
        <w:rPr>
          <w:rFonts w:cs="Arial"/>
        </w:rPr>
        <w:t>, white spirit type 1 contain</w:t>
      </w:r>
      <w:r w:rsidR="00843D2B">
        <w:rPr>
          <w:rFonts w:cs="Arial"/>
        </w:rPr>
        <w:t>s</w:t>
      </w:r>
      <w:r w:rsidR="008C741C">
        <w:rPr>
          <w:rFonts w:cs="Arial"/>
        </w:rPr>
        <w:t xml:space="preserve"> up to 25</w:t>
      </w:r>
      <w:r w:rsidR="0058438D">
        <w:rPr>
          <w:rFonts w:cs="Arial"/>
        </w:rPr>
        <w:t xml:space="preserve"> per cent</w:t>
      </w:r>
      <w:r w:rsidR="008C741C">
        <w:rPr>
          <w:rFonts w:cs="Arial"/>
        </w:rPr>
        <w:t xml:space="preserve"> and white spirit type 3 contain</w:t>
      </w:r>
      <w:r w:rsidR="00843D2B">
        <w:rPr>
          <w:rFonts w:cs="Arial"/>
        </w:rPr>
        <w:t>s</w:t>
      </w:r>
      <w:r w:rsidR="008C741C">
        <w:rPr>
          <w:rFonts w:cs="Arial"/>
        </w:rPr>
        <w:t xml:space="preserve"> less than 1</w:t>
      </w:r>
      <w:r w:rsidR="0058438D">
        <w:rPr>
          <w:rFonts w:cs="Arial"/>
        </w:rPr>
        <w:t xml:space="preserve"> per cent</w:t>
      </w:r>
      <w:r w:rsidR="008C741C">
        <w:rPr>
          <w:rFonts w:cs="Arial"/>
        </w:rPr>
        <w:t xml:space="preserve">. Depending on their </w:t>
      </w:r>
      <w:r w:rsidR="003D0ADF">
        <w:rPr>
          <w:rFonts w:cs="Arial"/>
        </w:rPr>
        <w:t>composition</w:t>
      </w:r>
      <w:r w:rsidR="008C741C">
        <w:rPr>
          <w:rFonts w:cs="Arial"/>
        </w:rPr>
        <w:t xml:space="preserve">, </w:t>
      </w:r>
      <w:r w:rsidR="0050424E">
        <w:rPr>
          <w:rFonts w:cs="Arial"/>
        </w:rPr>
        <w:t>these products</w:t>
      </w:r>
      <w:r>
        <w:rPr>
          <w:rFonts w:cs="Arial"/>
        </w:rPr>
        <w:t xml:space="preserve"> are used as paint thinners, fuel, dry cleaning agents </w:t>
      </w:r>
      <w:r w:rsidR="003D0ADF">
        <w:rPr>
          <w:rFonts w:cs="Arial"/>
        </w:rPr>
        <w:t>or</w:t>
      </w:r>
      <w:r>
        <w:rPr>
          <w:rFonts w:cs="Arial"/>
        </w:rPr>
        <w:t xml:space="preserve"> degreasers</w:t>
      </w:r>
      <w:r w:rsidR="00BF5E19">
        <w:t>.</w:t>
      </w:r>
      <w:r w:rsidR="008D7D4F">
        <w:t xml:space="preserve"> Individual constituents should also be considered when in majority concentration or when the mixture contain</w:t>
      </w:r>
      <w:r w:rsidR="00AB06CE">
        <w:t>s</w:t>
      </w:r>
      <w:r w:rsidR="008D7D4F">
        <w:t xml:space="preserve"> more than 0.1% w/w benzene.</w:t>
      </w:r>
    </w:p>
    <w:p w14:paraId="5DDA2CCC" w14:textId="77777777" w:rsidR="00A238B6" w:rsidRDefault="003D0ADF" w:rsidP="006639B4">
      <w:pPr>
        <w:rPr>
          <w:rFonts w:cs="Arial"/>
        </w:rPr>
      </w:pPr>
      <w:r>
        <w:rPr>
          <w:rFonts w:cs="Arial"/>
        </w:rPr>
        <w:t>Critical effects of exposure are eye and skin irritation, CNS depression, nausea</w:t>
      </w:r>
      <w:r w:rsidR="00ED2F00">
        <w:rPr>
          <w:rFonts w:cs="Arial"/>
        </w:rPr>
        <w:t xml:space="preserve"> and</w:t>
      </w:r>
      <w:r>
        <w:rPr>
          <w:rFonts w:cs="Arial"/>
        </w:rPr>
        <w:t xml:space="preserve"> </w:t>
      </w:r>
      <w:r w:rsidR="00ED2F00">
        <w:rPr>
          <w:rFonts w:cs="Arial"/>
        </w:rPr>
        <w:t>chronic brain damage</w:t>
      </w:r>
      <w:r>
        <w:rPr>
          <w:rFonts w:cs="Arial"/>
        </w:rPr>
        <w:t xml:space="preserve"> (ACGIH, 2018; SCOEL, 2007). </w:t>
      </w:r>
    </w:p>
    <w:p w14:paraId="621DB151" w14:textId="1824915B" w:rsidR="00E06FE0" w:rsidRDefault="00274894" w:rsidP="006639B4">
      <w:pPr>
        <w:rPr>
          <w:rFonts w:cs="Arial"/>
        </w:rPr>
      </w:pPr>
      <w:r>
        <w:rPr>
          <w:rFonts w:cs="Arial"/>
        </w:rPr>
        <w:t xml:space="preserve">No specific toxicity data for mineral turpentine or other petroleum solvents with high aromatic contents </w:t>
      </w:r>
      <w:r w:rsidR="007D404D">
        <w:rPr>
          <w:rFonts w:cs="Arial"/>
        </w:rPr>
        <w:t xml:space="preserve">is </w:t>
      </w:r>
      <w:r w:rsidR="00A238B6">
        <w:rPr>
          <w:rFonts w:cs="Arial"/>
        </w:rPr>
        <w:t>reported</w:t>
      </w:r>
      <w:r>
        <w:rPr>
          <w:rFonts w:cs="Arial"/>
        </w:rPr>
        <w:t xml:space="preserve"> i</w:t>
      </w:r>
      <w:r w:rsidR="00843D2B">
        <w:rPr>
          <w:rFonts w:cs="Arial"/>
        </w:rPr>
        <w:t>n the available source material</w:t>
      </w:r>
      <w:r>
        <w:rPr>
          <w:rFonts w:cs="Arial"/>
        </w:rPr>
        <w:t>. However, t</w:t>
      </w:r>
      <w:r w:rsidR="008C741C">
        <w:rPr>
          <w:rFonts w:cs="Arial"/>
        </w:rPr>
        <w:t>he database for white</w:t>
      </w:r>
      <w:r w:rsidR="003D0ADF">
        <w:rPr>
          <w:rFonts w:cs="Arial"/>
        </w:rPr>
        <w:t xml:space="preserve"> spirits</w:t>
      </w:r>
      <w:r>
        <w:rPr>
          <w:rFonts w:cs="Arial"/>
        </w:rPr>
        <w:t xml:space="preserve"> generally</w:t>
      </w:r>
      <w:r w:rsidR="008C741C">
        <w:rPr>
          <w:rFonts w:cs="Arial"/>
        </w:rPr>
        <w:t xml:space="preserve"> shows no </w:t>
      </w:r>
      <w:r w:rsidR="003D0ADF">
        <w:rPr>
          <w:rFonts w:cs="Arial"/>
        </w:rPr>
        <w:t xml:space="preserve">significant differences in </w:t>
      </w:r>
      <w:r>
        <w:rPr>
          <w:rFonts w:cs="Arial"/>
        </w:rPr>
        <w:t xml:space="preserve">the </w:t>
      </w:r>
      <w:r w:rsidR="003D0ADF">
        <w:rPr>
          <w:rFonts w:cs="Arial"/>
        </w:rPr>
        <w:t xml:space="preserve">adverse effect profile </w:t>
      </w:r>
      <w:r>
        <w:rPr>
          <w:rFonts w:cs="Arial"/>
        </w:rPr>
        <w:t xml:space="preserve">with respect to aromatic content (SCOEL, 2007). </w:t>
      </w:r>
      <w:r w:rsidR="00D867A0">
        <w:rPr>
          <w:rFonts w:cs="Arial"/>
        </w:rPr>
        <w:t xml:space="preserve">Based on </w:t>
      </w:r>
      <w:r w:rsidR="00843D2B">
        <w:rPr>
          <w:rFonts w:cs="Arial"/>
        </w:rPr>
        <w:t>this information</w:t>
      </w:r>
      <w:r>
        <w:rPr>
          <w:rFonts w:cs="Arial"/>
        </w:rPr>
        <w:t>, mine</w:t>
      </w:r>
      <w:r w:rsidR="00ED2F00">
        <w:rPr>
          <w:rFonts w:cs="Arial"/>
        </w:rPr>
        <w:t>ral turpentine</w:t>
      </w:r>
      <w:r w:rsidR="00AB06CE">
        <w:rPr>
          <w:rFonts w:cs="Arial"/>
        </w:rPr>
        <w:t xml:space="preserve"> and solvent naphtha</w:t>
      </w:r>
      <w:r w:rsidR="00ED2F00">
        <w:rPr>
          <w:rFonts w:cs="Arial"/>
        </w:rPr>
        <w:t xml:space="preserve"> </w:t>
      </w:r>
      <w:r w:rsidR="00AB06CE">
        <w:rPr>
          <w:rFonts w:cs="Arial"/>
        </w:rPr>
        <w:t>are</w:t>
      </w:r>
      <w:r w:rsidR="00ED2F00">
        <w:rPr>
          <w:rFonts w:cs="Arial"/>
        </w:rPr>
        <w:t xml:space="preserve"> provisionally assessed in combination </w:t>
      </w:r>
      <w:r>
        <w:rPr>
          <w:rFonts w:cs="Arial"/>
        </w:rPr>
        <w:t xml:space="preserve">with </w:t>
      </w:r>
      <w:r w:rsidR="00D867A0">
        <w:rPr>
          <w:rFonts w:cs="Arial"/>
        </w:rPr>
        <w:t>white spirits.</w:t>
      </w:r>
    </w:p>
    <w:p w14:paraId="527F4777" w14:textId="2F129454" w:rsidR="00E32E17" w:rsidRDefault="00843D2B" w:rsidP="006639B4">
      <w:pPr>
        <w:rPr>
          <w:rFonts w:cs="Arial"/>
        </w:rPr>
      </w:pPr>
      <w:r>
        <w:rPr>
          <w:rFonts w:cs="Arial"/>
        </w:rPr>
        <w:lastRenderedPageBreak/>
        <w:t>A NOAEC of 100 ppm for irritation and CNS impairment is established f</w:t>
      </w:r>
      <w:r w:rsidR="00A31C64">
        <w:rPr>
          <w:rFonts w:cs="Arial"/>
        </w:rPr>
        <w:t>rom several acu</w:t>
      </w:r>
      <w:r>
        <w:rPr>
          <w:rFonts w:cs="Arial"/>
        </w:rPr>
        <w:t>te volunteer inhalation studies</w:t>
      </w:r>
      <w:r w:rsidR="00A31C64">
        <w:rPr>
          <w:rFonts w:cs="Arial"/>
        </w:rPr>
        <w:t xml:space="preserve"> ranging i</w:t>
      </w:r>
      <w:r>
        <w:rPr>
          <w:rFonts w:cs="Arial"/>
        </w:rPr>
        <w:t xml:space="preserve">n duration from 0.25 to </w:t>
      </w:r>
      <w:r w:rsidR="00AB06CE">
        <w:rPr>
          <w:rFonts w:cs="Arial"/>
        </w:rPr>
        <w:t>seven</w:t>
      </w:r>
      <w:r>
        <w:rPr>
          <w:rFonts w:cs="Arial"/>
        </w:rPr>
        <w:t xml:space="preserve"> hours</w:t>
      </w:r>
      <w:r w:rsidR="00A31C64">
        <w:rPr>
          <w:rFonts w:cs="Arial"/>
        </w:rPr>
        <w:t xml:space="preserve"> (DFG, 2010). Difficulties in modelling chronic </w:t>
      </w:r>
      <w:r w:rsidR="00ED2F00">
        <w:rPr>
          <w:rFonts w:cs="Arial"/>
        </w:rPr>
        <w:t xml:space="preserve">occupational </w:t>
      </w:r>
      <w:r w:rsidR="00A31C64">
        <w:rPr>
          <w:rFonts w:cs="Arial"/>
        </w:rPr>
        <w:t>exposure and confounding co-exposures complicate interpretation of the available epidemiological data</w:t>
      </w:r>
      <w:r w:rsidR="002220D0">
        <w:rPr>
          <w:rFonts w:cs="Arial"/>
        </w:rPr>
        <w:t xml:space="preserve"> (DFG, 2010)</w:t>
      </w:r>
      <w:r>
        <w:rPr>
          <w:rFonts w:cs="Arial"/>
        </w:rPr>
        <w:t>. H</w:t>
      </w:r>
      <w:r w:rsidR="00A31C64">
        <w:rPr>
          <w:rFonts w:cs="Arial"/>
        </w:rPr>
        <w:t xml:space="preserve">owever, this level of potency </w:t>
      </w:r>
      <w:r>
        <w:rPr>
          <w:rFonts w:cs="Arial"/>
        </w:rPr>
        <w:t>is consistent with a NOAEC of 90 </w:t>
      </w:r>
      <w:r w:rsidR="00A31C64">
        <w:rPr>
          <w:rFonts w:cs="Arial"/>
        </w:rPr>
        <w:t>pp</w:t>
      </w:r>
      <w:r>
        <w:rPr>
          <w:rFonts w:cs="Arial"/>
        </w:rPr>
        <w:t xml:space="preserve">m for </w:t>
      </w:r>
      <w:r w:rsidR="00A31C64">
        <w:rPr>
          <w:rFonts w:cs="Arial"/>
        </w:rPr>
        <w:t xml:space="preserve">neurophysiological </w:t>
      </w:r>
      <w:r>
        <w:rPr>
          <w:rFonts w:cs="Arial"/>
        </w:rPr>
        <w:t xml:space="preserve">changes </w:t>
      </w:r>
      <w:r w:rsidR="00A31C64">
        <w:rPr>
          <w:rFonts w:cs="Arial"/>
        </w:rPr>
        <w:t xml:space="preserve">estimated </w:t>
      </w:r>
      <w:r>
        <w:rPr>
          <w:rFonts w:cs="Arial"/>
        </w:rPr>
        <w:t>in</w:t>
      </w:r>
      <w:r w:rsidR="00A31C64">
        <w:rPr>
          <w:rFonts w:cs="Arial"/>
        </w:rPr>
        <w:t xml:space="preserve"> a cohort study of </w:t>
      </w:r>
      <w:r w:rsidR="002220D0">
        <w:rPr>
          <w:rFonts w:cs="Arial"/>
        </w:rPr>
        <w:t>exposed workers</w:t>
      </w:r>
      <w:r w:rsidR="00A31C64">
        <w:rPr>
          <w:rFonts w:cs="Arial"/>
        </w:rPr>
        <w:t xml:space="preserve"> (SCOEL, 2007). Other </w:t>
      </w:r>
      <w:r w:rsidR="00ED2F00">
        <w:rPr>
          <w:rFonts w:cs="Arial"/>
        </w:rPr>
        <w:t>epidemiological data suggest a NOAEC for neurophysiological endpoints near 40 ppm</w:t>
      </w:r>
      <w:r w:rsidR="00D82D59">
        <w:rPr>
          <w:rFonts w:cs="Arial"/>
        </w:rPr>
        <w:t xml:space="preserve">, but their predictive strength </w:t>
      </w:r>
      <w:r w:rsidR="002220D0">
        <w:rPr>
          <w:rFonts w:cs="Arial"/>
        </w:rPr>
        <w:t xml:space="preserve">is limited by confounding exposures </w:t>
      </w:r>
      <w:r w:rsidR="00ED2F00">
        <w:rPr>
          <w:rFonts w:cs="Arial"/>
        </w:rPr>
        <w:t>(</w:t>
      </w:r>
      <w:r w:rsidR="002220D0">
        <w:rPr>
          <w:rFonts w:cs="Arial"/>
        </w:rPr>
        <w:t xml:space="preserve">DFG, 2010; </w:t>
      </w:r>
      <w:r w:rsidR="00ED2F00">
        <w:rPr>
          <w:rFonts w:cs="Arial"/>
        </w:rPr>
        <w:t>SCOEL, 2007).</w:t>
      </w:r>
    </w:p>
    <w:p w14:paraId="65C4427F" w14:textId="691DB4C5" w:rsidR="00A238B6" w:rsidRDefault="004613F6" w:rsidP="006639B4">
      <w:pPr>
        <w:rPr>
          <w:rFonts w:cs="Arial"/>
        </w:rPr>
      </w:pPr>
      <w:r>
        <w:rPr>
          <w:rFonts w:cs="Arial"/>
        </w:rPr>
        <w:t xml:space="preserve">Based on the evidence </w:t>
      </w:r>
      <w:r w:rsidR="00AC6698">
        <w:rPr>
          <w:rFonts w:cs="Arial"/>
        </w:rPr>
        <w:t xml:space="preserve">of human exposure data </w:t>
      </w:r>
      <w:r>
        <w:rPr>
          <w:rFonts w:cs="Arial"/>
        </w:rPr>
        <w:t xml:space="preserve">provided by </w:t>
      </w:r>
      <w:r w:rsidR="00AC6698">
        <w:rPr>
          <w:rFonts w:cs="Arial"/>
        </w:rPr>
        <w:t>sources</w:t>
      </w:r>
      <w:r>
        <w:rPr>
          <w:rFonts w:cs="Arial"/>
        </w:rPr>
        <w:t xml:space="preserve">, </w:t>
      </w:r>
      <w:r w:rsidR="0031290D">
        <w:rPr>
          <w:rFonts w:cs="Arial"/>
        </w:rPr>
        <w:t xml:space="preserve">the </w:t>
      </w:r>
      <w:r>
        <w:rPr>
          <w:rFonts w:cs="Arial"/>
        </w:rPr>
        <w:t xml:space="preserve">TWA of 50 ppm </w:t>
      </w:r>
      <w:r w:rsidR="00AC6698">
        <w:rPr>
          <w:rFonts w:cs="Arial"/>
        </w:rPr>
        <w:t xml:space="preserve">by DFG (2010) </w:t>
      </w:r>
      <w:r w:rsidR="0031290D">
        <w:rPr>
          <w:rFonts w:cs="Arial"/>
        </w:rPr>
        <w:t>is</w:t>
      </w:r>
      <w:r>
        <w:rPr>
          <w:rFonts w:cs="Arial"/>
        </w:rPr>
        <w:t xml:space="preserve"> </w:t>
      </w:r>
      <w:r w:rsidR="00AC6698">
        <w:rPr>
          <w:rFonts w:cs="Arial"/>
        </w:rPr>
        <w:t>recommended</w:t>
      </w:r>
      <w:r w:rsidR="007D404D">
        <w:rPr>
          <w:rFonts w:cs="Arial"/>
        </w:rPr>
        <w:t>.</w:t>
      </w:r>
      <w:r w:rsidR="00AC6698">
        <w:rPr>
          <w:rFonts w:cs="Arial"/>
        </w:rPr>
        <w:t xml:space="preserve"> </w:t>
      </w:r>
      <w:r w:rsidR="007D404D">
        <w:rPr>
          <w:rFonts w:cs="Arial"/>
        </w:rPr>
        <w:t>The recommended TWA is</w:t>
      </w:r>
      <w:r w:rsidR="00AC6698">
        <w:rPr>
          <w:rFonts w:cs="Arial"/>
        </w:rPr>
        <w:t xml:space="preserve"> </w:t>
      </w:r>
      <w:r>
        <w:rPr>
          <w:rFonts w:cs="Arial"/>
        </w:rPr>
        <w:t xml:space="preserve">expected to be </w:t>
      </w:r>
      <w:r w:rsidR="0031290D">
        <w:rPr>
          <w:rFonts w:cs="Arial"/>
        </w:rPr>
        <w:t>sufficiently low to protect for</w:t>
      </w:r>
      <w:r>
        <w:rPr>
          <w:rFonts w:cs="Arial"/>
        </w:rPr>
        <w:t xml:space="preserve"> irritation and chronic CNS impairment</w:t>
      </w:r>
      <w:r w:rsidR="0031290D">
        <w:rPr>
          <w:rFonts w:cs="Arial"/>
        </w:rPr>
        <w:t xml:space="preserve"> observed at 100 ppm in acutely exposed volunteers and 90</w:t>
      </w:r>
      <w:r w:rsidR="007D404D">
        <w:rPr>
          <w:rFonts w:cs="Arial"/>
        </w:rPr>
        <w:t> </w:t>
      </w:r>
      <w:r w:rsidR="0031290D">
        <w:rPr>
          <w:rFonts w:cs="Arial"/>
        </w:rPr>
        <w:t xml:space="preserve">ppm in chronically exposed workers, respectively. </w:t>
      </w:r>
    </w:p>
    <w:p w14:paraId="6B110050" w14:textId="06930B56" w:rsidR="00ED2F00" w:rsidRPr="004C23F4" w:rsidRDefault="004613F6" w:rsidP="006639B4">
      <w:pPr>
        <w:rPr>
          <w:rFonts w:cs="Arial"/>
        </w:rPr>
      </w:pPr>
      <w:r>
        <w:rPr>
          <w:rFonts w:cs="Arial"/>
        </w:rPr>
        <w:t>In view of the acute NOAEC and reports of nausea at 440 ppm (ACGIH, 2018), a STEL of 100 ppm is expected to be protective of these effects.</w:t>
      </w:r>
      <w:r w:rsidR="0089155B">
        <w:rPr>
          <w:rFonts w:cs="Arial"/>
        </w:rPr>
        <w:t xml:space="preserve"> This recommendation is supported by the evaluation presented by DFG (2010), which is </w:t>
      </w:r>
      <w:r w:rsidR="002F47AB">
        <w:rPr>
          <w:rFonts w:cs="Arial"/>
        </w:rPr>
        <w:t xml:space="preserve">informed </w:t>
      </w:r>
      <w:r w:rsidR="0089155B">
        <w:rPr>
          <w:rFonts w:cs="Arial"/>
        </w:rPr>
        <w:t>by the SCOEL (2007) assessment.</w:t>
      </w:r>
    </w:p>
    <w:p w14:paraId="273B44AD" w14:textId="77777777" w:rsidR="004529F0" w:rsidRPr="004C23F4" w:rsidRDefault="004529F0" w:rsidP="004529F0">
      <w:pPr>
        <w:pStyle w:val="Heading2"/>
      </w:pPr>
      <w:r>
        <w:t>Recommendation for notations</w:t>
      </w:r>
    </w:p>
    <w:p w14:paraId="67DADF5F" w14:textId="1DFCAA8B" w:rsidR="000C7D77" w:rsidRPr="000C7D77" w:rsidRDefault="000C7D77" w:rsidP="000C7D77">
      <w:pPr>
        <w:rPr>
          <w:rFonts w:cs="Arial"/>
        </w:rPr>
      </w:pPr>
      <w:r w:rsidRPr="000C7D77">
        <w:rPr>
          <w:rFonts w:cs="Arial"/>
        </w:rPr>
        <w:t xml:space="preserve">Classified as a category 1B carcinogen according to the Globally Harmonized System of Classification and Labelling of Chemicals (GHS). </w:t>
      </w:r>
    </w:p>
    <w:p w14:paraId="03916CCC" w14:textId="77777777" w:rsidR="008E4F1F" w:rsidRPr="000C7D77" w:rsidRDefault="008E4F1F" w:rsidP="008E4F1F">
      <w:pPr>
        <w:rPr>
          <w:rFonts w:cs="Arial"/>
        </w:rPr>
      </w:pPr>
      <w:r w:rsidRPr="000C7D77">
        <w:rPr>
          <w:rFonts w:cs="Arial"/>
        </w:rPr>
        <w:t xml:space="preserve">Not classified as a skin </w:t>
      </w:r>
      <w:r w:rsidR="00155999" w:rsidRPr="000C7D77">
        <w:rPr>
          <w:rFonts w:cs="Arial"/>
        </w:rPr>
        <w:t xml:space="preserve">sensitiser </w:t>
      </w:r>
      <w:r w:rsidRPr="000C7D77">
        <w:rPr>
          <w:rFonts w:cs="Arial"/>
        </w:rPr>
        <w:t>or respiratory sensitiser according to the GHS.</w:t>
      </w:r>
    </w:p>
    <w:p w14:paraId="21CCE2A5" w14:textId="518BEB3F" w:rsidR="0025734A" w:rsidRPr="000C7D77" w:rsidRDefault="000C7D77">
      <w:pPr>
        <w:rPr>
          <w:rFonts w:cs="Arial"/>
        </w:rPr>
      </w:pPr>
      <w:r w:rsidRPr="000C7D77">
        <w:rPr>
          <w:rFonts w:cs="Arial"/>
        </w:rPr>
        <w:t xml:space="preserve">A skin notation is not </w:t>
      </w:r>
      <w:r w:rsidR="0058438D">
        <w:rPr>
          <w:rFonts w:cs="Arial"/>
        </w:rPr>
        <w:t>recommend</w:t>
      </w:r>
      <w:r w:rsidRPr="000C7D77">
        <w:rPr>
          <w:rFonts w:cs="Arial"/>
        </w:rPr>
        <w:t>ed based on the available evidence.</w:t>
      </w:r>
    </w:p>
    <w:p w14:paraId="4C1F8D43"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717B1B74"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1AD9225C"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DA352E" w14:paraId="257268B5" w14:textId="77777777" w:rsidTr="00E9190A">
        <w:trPr>
          <w:gridAfter w:val="1"/>
          <w:cnfStyle w:val="100000000000" w:firstRow="1" w:lastRow="0" w:firstColumn="0" w:lastColumn="0" w:oddVBand="0" w:evenVBand="0" w:oddHBand="0" w:evenHBand="0" w:firstRowFirstColumn="0" w:firstRowLastColumn="0" w:lastRowFirstColumn="0" w:lastRowLastColumn="0"/>
          <w:wAfter w:w="8" w:type="pct"/>
          <w:cantSplit/>
          <w:trHeight w:val="393"/>
          <w:tblHeader/>
        </w:trPr>
        <w:tc>
          <w:tcPr>
            <w:tcW w:w="4992" w:type="pct"/>
            <w:shd w:val="clear" w:color="auto" w:fill="BFBFBF" w:themeFill="background1" w:themeFillShade="BF"/>
            <w:vAlign w:val="center"/>
          </w:tcPr>
          <w:p w14:paraId="1707E895"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5B240DF2" w14:textId="77777777" w:rsidTr="00E9190A">
        <w:trPr>
          <w:cantSplit/>
        </w:trPr>
        <w:tc>
          <w:tcPr>
            <w:tcW w:w="5000" w:type="pct"/>
            <w:gridSpan w:val="2"/>
            <w:shd w:val="clear" w:color="auto" w:fill="F2F2F2" w:themeFill="background1" w:themeFillShade="F2"/>
          </w:tcPr>
          <w:p w14:paraId="3127B3A8" w14:textId="45D752FD" w:rsidR="00DE26E8" w:rsidRPr="003365A5" w:rsidRDefault="00DE26E8" w:rsidP="00804DE0">
            <w:pPr>
              <w:pStyle w:val="Tablerowheadingitalic"/>
              <w:tabs>
                <w:tab w:val="clear" w:pos="2268"/>
                <w:tab w:val="clear" w:pos="5670"/>
                <w:tab w:val="left" w:pos="1418"/>
                <w:tab w:val="left" w:pos="2552"/>
              </w:tabs>
              <w:ind w:left="2858" w:hanging="2858"/>
            </w:pPr>
            <w:r w:rsidRPr="003365A5">
              <w:t>SWA</w:t>
            </w:r>
            <w:r w:rsidRPr="003365A5">
              <w:tab/>
            </w:r>
            <w:sdt>
              <w:sdtPr>
                <w:id w:val="-2034099983"/>
                <w:placeholder>
                  <w:docPart w:val="0A35AF4547E94E219E26BC12DBC33282"/>
                </w:placeholder>
                <w:text/>
              </w:sdtPr>
              <w:sdtEndPr/>
              <w:sdtContent>
                <w:r w:rsidR="009963DA">
                  <w:t>1991</w:t>
                </w:r>
              </w:sdtContent>
            </w:sdt>
            <w:r w:rsidRPr="003365A5">
              <w:tab/>
            </w:r>
            <w:r>
              <w:tab/>
            </w:r>
            <w:sdt>
              <w:sdtPr>
                <w:alias w:val="SWA WES"/>
                <w:tag w:val="SWA WES"/>
                <w:id w:val="857077202"/>
                <w:placeholder>
                  <w:docPart w:val="81CFEC2FDBC5451289F394E66D92D1A0"/>
                </w:placeholder>
              </w:sdtPr>
              <w:sdtEndPr/>
              <w:sdtContent>
                <w:r w:rsidR="009963DA">
                  <w:t xml:space="preserve">TWA: </w:t>
                </w:r>
                <w:r w:rsidR="00AB06CE">
                  <w:t>480 mg/m</w:t>
                </w:r>
                <w:r w:rsidR="00AB06CE" w:rsidRPr="00CB46E0">
                  <w:rPr>
                    <w:vertAlign w:val="superscript"/>
                  </w:rPr>
                  <w:t>3</w:t>
                </w:r>
                <w:r w:rsidR="00AB06CE">
                  <w:t xml:space="preserve"> (mineral turpentine</w:t>
                </w:r>
                <w:r w:rsidR="00C54C55">
                  <w:t>)</w:t>
                </w:r>
                <w:r w:rsidR="0058438D">
                  <w:t>;</w:t>
                </w:r>
                <w:r w:rsidR="00AB06CE">
                  <w:t xml:space="preserve"> </w:t>
                </w:r>
                <w:r w:rsidR="009963DA">
                  <w:t>790 mg/m</w:t>
                </w:r>
                <w:r w:rsidR="009963DA" w:rsidRPr="009963DA">
                  <w:rPr>
                    <w:vertAlign w:val="superscript"/>
                  </w:rPr>
                  <w:t>3</w:t>
                </w:r>
              </w:sdtContent>
            </w:sdt>
            <w:r w:rsidR="00AB06CE">
              <w:t xml:space="preserve"> (white spirits) </w:t>
            </w:r>
          </w:p>
        </w:tc>
      </w:tr>
      <w:tr w:rsidR="00C978F0" w:rsidRPr="00DA352E" w14:paraId="26087DDB" w14:textId="77777777" w:rsidTr="00E9190A">
        <w:trPr>
          <w:gridAfter w:val="1"/>
          <w:wAfter w:w="8" w:type="pct"/>
          <w:cantSplit/>
        </w:trPr>
        <w:tc>
          <w:tcPr>
            <w:tcW w:w="4992" w:type="pct"/>
          </w:tcPr>
          <w:p w14:paraId="1137D58F" w14:textId="77777777" w:rsidR="00C978F0" w:rsidRPr="00DA352E" w:rsidRDefault="00C978F0" w:rsidP="003365A5">
            <w:pPr>
              <w:pStyle w:val="Tabletextprimarysource"/>
            </w:pPr>
          </w:p>
        </w:tc>
      </w:tr>
      <w:tr w:rsidR="00C978F0" w:rsidRPr="00DA352E" w14:paraId="24593221" w14:textId="77777777" w:rsidTr="00E9190A">
        <w:trPr>
          <w:gridAfter w:val="1"/>
          <w:wAfter w:w="8" w:type="pct"/>
          <w:cantSplit/>
        </w:trPr>
        <w:tc>
          <w:tcPr>
            <w:tcW w:w="4992" w:type="pct"/>
            <w:shd w:val="clear" w:color="auto" w:fill="F2F2F2" w:themeFill="background1" w:themeFillShade="F2"/>
          </w:tcPr>
          <w:p w14:paraId="2ED10929" w14:textId="697954BC"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9963DA">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9963DA">
                  <w:t>TLV-TWA: 100 ppm (525 mg/m</w:t>
                </w:r>
                <w:r w:rsidR="009963DA" w:rsidRPr="009963DA">
                  <w:rPr>
                    <w:vertAlign w:val="superscript"/>
                  </w:rPr>
                  <w:t>3</w:t>
                </w:r>
                <w:r w:rsidR="009963DA">
                  <w:t>)</w:t>
                </w:r>
              </w:sdtContent>
            </w:sdt>
          </w:p>
        </w:tc>
      </w:tr>
      <w:tr w:rsidR="00C978F0" w:rsidRPr="00DA352E" w14:paraId="418D532D" w14:textId="77777777" w:rsidTr="00E9190A">
        <w:trPr>
          <w:gridAfter w:val="1"/>
          <w:wAfter w:w="8" w:type="pct"/>
        </w:trPr>
        <w:tc>
          <w:tcPr>
            <w:tcW w:w="4992" w:type="pct"/>
          </w:tcPr>
          <w:p w14:paraId="7EC46BD6" w14:textId="77777777" w:rsidR="0058438D" w:rsidRDefault="00D53E8D" w:rsidP="003365A5">
            <w:pPr>
              <w:pStyle w:val="Tabletextprimarysource"/>
            </w:pPr>
            <w:r>
              <w:t>TLV-TWA intended to protect for eye and skin irritation</w:t>
            </w:r>
            <w:r w:rsidR="00E32E17">
              <w:t xml:space="preserve">, nausea, narcosis and potential kidney damage. </w:t>
            </w:r>
            <w:r w:rsidR="00CC200D">
              <w:t>Potential adverse kidney effects are observed in rats at 330 ppm</w:t>
            </w:r>
            <w:r w:rsidR="00D761B0">
              <w:t>;</w:t>
            </w:r>
            <w:r w:rsidR="00CC200D">
              <w:t xml:space="preserve"> margin of safety provided by the TLV-TWA for this endpoint is not discussed. </w:t>
            </w:r>
          </w:p>
          <w:p w14:paraId="38551D4F" w14:textId="70977DDD" w:rsidR="00C978F0" w:rsidRDefault="00E32E17" w:rsidP="003365A5">
            <w:pPr>
              <w:pStyle w:val="Tabletextprimarysource"/>
            </w:pPr>
            <w:r>
              <w:t>The term Stoddard solvent is used interchangeably with white spirits</w:t>
            </w:r>
            <w:r w:rsidR="00D761B0">
              <w:t xml:space="preserve"> and mineral spirits and assumes an aromatic content of 14%.</w:t>
            </w:r>
          </w:p>
          <w:p w14:paraId="2C262091" w14:textId="416CEAC7" w:rsidR="00E32E17" w:rsidRDefault="00E32E17" w:rsidP="003365A5">
            <w:pPr>
              <w:pStyle w:val="Tabletextprimarysource"/>
            </w:pPr>
            <w:r>
              <w:t>Summary of information:</w:t>
            </w:r>
          </w:p>
          <w:p w14:paraId="09F4552F" w14:textId="77777777" w:rsidR="0058438D" w:rsidRDefault="00CC200D" w:rsidP="003365A5">
            <w:pPr>
              <w:pStyle w:val="Tabletextprimarysource"/>
            </w:pPr>
            <w:r>
              <w:t>TLV-TWA b</w:t>
            </w:r>
            <w:r w:rsidR="00E32E17">
              <w:t>ased on combined toxicity data of various constituents of white spirits</w:t>
            </w:r>
            <w:r w:rsidR="002F546E">
              <w:t>, which agree with</w:t>
            </w:r>
            <w:r>
              <w:t xml:space="preserve"> </w:t>
            </w:r>
            <w:r w:rsidR="002F546E">
              <w:t>results of</w:t>
            </w:r>
            <w:r>
              <w:t xml:space="preserve"> </w:t>
            </w:r>
            <w:r w:rsidR="00E32E17">
              <w:t xml:space="preserve">acute volunteer </w:t>
            </w:r>
            <w:r w:rsidR="002F546E">
              <w:t xml:space="preserve">inhalation </w:t>
            </w:r>
            <w:r>
              <w:t>studies</w:t>
            </w:r>
            <w:r w:rsidR="002F546E">
              <w:t xml:space="preserve"> (derivation/calculation not presented)</w:t>
            </w:r>
            <w:r>
              <w:t xml:space="preserve">. </w:t>
            </w:r>
          </w:p>
          <w:p w14:paraId="0A77B8C7" w14:textId="380CEBED" w:rsidR="00E32E17" w:rsidRDefault="00CC200D" w:rsidP="003365A5">
            <w:pPr>
              <w:pStyle w:val="Tabletextprimarysource"/>
            </w:pPr>
            <w:r>
              <w:t>Renal damage is reported in rats at 330 ppm</w:t>
            </w:r>
            <w:r w:rsidR="002F47AB">
              <w:t>.</w:t>
            </w:r>
            <w:r>
              <w:t xml:space="preserve"> </w:t>
            </w:r>
            <w:r w:rsidR="002F47AB">
              <w:t xml:space="preserve">Therefore, </w:t>
            </w:r>
            <w:r>
              <w:t xml:space="preserve">occupational exposures should be controlled to </w:t>
            </w:r>
            <w:r w:rsidR="002B32F0">
              <w:t>&lt;100 ppm</w:t>
            </w:r>
            <w:r>
              <w:t>.</w:t>
            </w:r>
          </w:p>
          <w:p w14:paraId="1F66CB6A" w14:textId="5C793124" w:rsidR="00E32E17" w:rsidRDefault="00E32E17" w:rsidP="003365A5">
            <w:pPr>
              <w:pStyle w:val="Tabletextprimarysource"/>
            </w:pPr>
            <w:r>
              <w:t>Human data:</w:t>
            </w:r>
          </w:p>
          <w:p w14:paraId="2B793861" w14:textId="2853523B" w:rsidR="003F6FFC" w:rsidRDefault="003F6FFC" w:rsidP="00CB46E0">
            <w:pPr>
              <w:pStyle w:val="Tabletextprimarysource"/>
              <w:numPr>
                <w:ilvl w:val="0"/>
                <w:numId w:val="2"/>
              </w:numPr>
              <w:ind w:left="717"/>
            </w:pPr>
            <w:r>
              <w:t>Odour threshold 1–120 ppm</w:t>
            </w:r>
          </w:p>
          <w:p w14:paraId="7E72D1E2" w14:textId="166CFBA5" w:rsidR="0058438D" w:rsidRDefault="003F6FFC">
            <w:pPr>
              <w:pStyle w:val="Tabletextprimarysource"/>
              <w:numPr>
                <w:ilvl w:val="0"/>
                <w:numId w:val="2"/>
              </w:numPr>
              <w:ind w:left="717"/>
            </w:pPr>
            <w:r>
              <w:t>Eye irritation at 150 ppm in 1/6 volunteers in acute inhalation study with mineral spirits (15</w:t>
            </w:r>
            <w:r w:rsidR="003C6982">
              <w:t> </w:t>
            </w:r>
            <w:r>
              <w:t>min)</w:t>
            </w:r>
            <w:r w:rsidR="002F47AB">
              <w:t>:</w:t>
            </w:r>
            <w:r>
              <w:t xml:space="preserve"> </w:t>
            </w:r>
          </w:p>
          <w:p w14:paraId="23FE73D9" w14:textId="7D74A1DF" w:rsidR="003F6FFC" w:rsidRDefault="003F6FFC" w:rsidP="00CB46E0">
            <w:pPr>
              <w:pStyle w:val="Tabletextprimarysource"/>
              <w:numPr>
                <w:ilvl w:val="0"/>
                <w:numId w:val="3"/>
              </w:numPr>
            </w:pPr>
            <w:r>
              <w:t>eye irritation in 6/6 volunteers at 470 ppm</w:t>
            </w:r>
          </w:p>
          <w:p w14:paraId="5BD78C52" w14:textId="6DFEAC39" w:rsidR="0058438D" w:rsidRDefault="003F6FFC">
            <w:pPr>
              <w:pStyle w:val="Tabletextprimarysource"/>
              <w:numPr>
                <w:ilvl w:val="0"/>
                <w:numId w:val="2"/>
              </w:numPr>
              <w:ind w:left="717"/>
            </w:pPr>
            <w:r>
              <w:t>No significant effects at 400 ppm in acute inhalation study with mineral spirits (3-5 min)</w:t>
            </w:r>
            <w:r w:rsidR="002F47AB">
              <w:t>:</w:t>
            </w:r>
            <w:r>
              <w:t xml:space="preserve"> </w:t>
            </w:r>
          </w:p>
          <w:p w14:paraId="159759B6" w14:textId="2BEFCD8D" w:rsidR="003F6FFC" w:rsidRDefault="003F6FFC" w:rsidP="00CB46E0">
            <w:pPr>
              <w:pStyle w:val="Tabletextprimarysource"/>
              <w:numPr>
                <w:ilvl w:val="0"/>
                <w:numId w:val="3"/>
              </w:numPr>
            </w:pPr>
            <w:r>
              <w:t>cited article concludes that 400 ppm is maximum tolerable limit for 8</w:t>
            </w:r>
            <w:r w:rsidR="0058438D">
              <w:t xml:space="preserve"> </w:t>
            </w:r>
            <w:r>
              <w:t>h workplace exposure</w:t>
            </w:r>
          </w:p>
          <w:p w14:paraId="609D1680" w14:textId="47F08E85" w:rsidR="003F6FFC" w:rsidRDefault="003F6FFC" w:rsidP="00CB46E0">
            <w:pPr>
              <w:pStyle w:val="Tabletextprimarysource"/>
              <w:numPr>
                <w:ilvl w:val="0"/>
                <w:numId w:val="2"/>
              </w:numPr>
              <w:ind w:left="717"/>
            </w:pPr>
            <w:r>
              <w:t>Regarding these volunteer exposure data, cited review article concludes irritation threshold is 370 ppm</w:t>
            </w:r>
          </w:p>
          <w:p w14:paraId="7298663F" w14:textId="30C87CEA" w:rsidR="003F6FFC" w:rsidRDefault="003F6FFC" w:rsidP="00CB46E0">
            <w:pPr>
              <w:pStyle w:val="Tabletextprimarysource"/>
              <w:numPr>
                <w:ilvl w:val="0"/>
                <w:numId w:val="2"/>
              </w:numPr>
              <w:ind w:left="717"/>
            </w:pPr>
            <w:r>
              <w:t>Nausea and vertigo reported at 440–875 ppm in volunteer inhalation study with “white spirits” (83% aliphatics, 17% aromatics) (n=15, males, at rest and during exercise, 30 min)</w:t>
            </w:r>
            <w:r w:rsidR="002F47AB">
              <w:t>:</w:t>
            </w:r>
          </w:p>
          <w:p w14:paraId="49FA38DC" w14:textId="5E220B41" w:rsidR="003F6FFC" w:rsidRDefault="003F6FFC" w:rsidP="00CB46E0">
            <w:pPr>
              <w:pStyle w:val="Tabletextprimarysource"/>
              <w:numPr>
                <w:ilvl w:val="1"/>
                <w:numId w:val="2"/>
              </w:numPr>
              <w:ind w:left="1080"/>
            </w:pPr>
            <w:r>
              <w:t xml:space="preserve">linear </w:t>
            </w:r>
            <w:r w:rsidR="00945AD9">
              <w:t xml:space="preserve">relationship of alveolar and arterial concentrations of solvent components absorption of </w:t>
            </w:r>
            <w:proofErr w:type="spellStart"/>
            <w:r w:rsidR="00945AD9">
              <w:t>aliphatics</w:t>
            </w:r>
            <w:proofErr w:type="spellEnd"/>
            <w:r w:rsidR="00945AD9">
              <w:t xml:space="preserve"> calculated at 46–59%, aromatics at 58–70%</w:t>
            </w:r>
          </w:p>
          <w:p w14:paraId="59D1CB1B" w14:textId="4F064FFF" w:rsidR="00945AD9" w:rsidRDefault="00945AD9" w:rsidP="00CB46E0">
            <w:pPr>
              <w:pStyle w:val="Tabletextprimarysource"/>
              <w:numPr>
                <w:ilvl w:val="1"/>
                <w:numId w:val="2"/>
              </w:numPr>
              <w:ind w:left="1080"/>
            </w:pPr>
            <w:r>
              <w:t>total systemic absorption increased during exercise; proportion of aliphatics to aromatics decreased during exercise (no further details provided)</w:t>
            </w:r>
          </w:p>
          <w:p w14:paraId="3A0EC151" w14:textId="5B16A2E4" w:rsidR="00FE3CE7" w:rsidRDefault="00FE3CE7" w:rsidP="00CB46E0">
            <w:pPr>
              <w:pStyle w:val="Tabletextprimarysource"/>
              <w:numPr>
                <w:ilvl w:val="0"/>
                <w:numId w:val="2"/>
              </w:numPr>
              <w:ind w:left="717"/>
            </w:pPr>
            <w:r>
              <w:t>Nausea and vomiting in workers exposed to white spirits (83% aliphatic, 17% aromatic) over 4 mo (no details on exposure or further characterisation of solvent); one worker developed aplastic anaemia and died several months later from septicaemia</w:t>
            </w:r>
            <w:r w:rsidR="002F47AB">
              <w:t>:</w:t>
            </w:r>
            <w:r>
              <w:t xml:space="preserve"> </w:t>
            </w:r>
          </w:p>
          <w:p w14:paraId="66BBC986" w14:textId="5840CD86" w:rsidR="00FE3CE7" w:rsidRDefault="00AC6698" w:rsidP="00CB46E0">
            <w:pPr>
              <w:pStyle w:val="Tabletextprimarysource"/>
              <w:numPr>
                <w:ilvl w:val="1"/>
                <w:numId w:val="2"/>
              </w:numPr>
              <w:ind w:left="1080"/>
            </w:pPr>
            <w:r>
              <w:t xml:space="preserve">death </w:t>
            </w:r>
            <w:r w:rsidR="00FE3CE7">
              <w:t>attribute</w:t>
            </w:r>
            <w:r>
              <w:t>d</w:t>
            </w:r>
            <w:r w:rsidR="00FE3CE7">
              <w:t xml:space="preserve"> to exposure to myelotoxic compounds, e.g. benzene, in solvent mixture</w:t>
            </w:r>
          </w:p>
          <w:p w14:paraId="2BB4B336" w14:textId="34805377" w:rsidR="00FE3CE7" w:rsidRDefault="00FE3CE7" w:rsidP="00CB46E0">
            <w:pPr>
              <w:pStyle w:val="Tabletextprimarysource"/>
              <w:numPr>
                <w:ilvl w:val="0"/>
                <w:numId w:val="2"/>
              </w:numPr>
              <w:ind w:left="717"/>
            </w:pPr>
            <w:r>
              <w:t>Follicular dermatitis of hands and forearms reported from repeat exposure (no further details)</w:t>
            </w:r>
          </w:p>
          <w:p w14:paraId="4037C067" w14:textId="01039595" w:rsidR="00FE3CE7" w:rsidRDefault="00FE3CE7" w:rsidP="00CB46E0">
            <w:pPr>
              <w:pStyle w:val="Tabletextprimarysource"/>
              <w:numPr>
                <w:ilvl w:val="0"/>
                <w:numId w:val="2"/>
              </w:numPr>
              <w:ind w:left="717"/>
            </w:pPr>
            <w:r>
              <w:t>Exposures that produce nausea (not specified) associated with hepatic toxicity and jaundice (no further details)</w:t>
            </w:r>
            <w:r w:rsidR="00C54C55">
              <w:t>.</w:t>
            </w:r>
          </w:p>
          <w:p w14:paraId="53CB1594" w14:textId="4C18DE36" w:rsidR="00E32E17" w:rsidRDefault="00E32E17" w:rsidP="003365A5">
            <w:pPr>
              <w:pStyle w:val="Tabletextprimarysource"/>
            </w:pPr>
            <w:r>
              <w:t>Animal data:</w:t>
            </w:r>
          </w:p>
          <w:p w14:paraId="71118E76" w14:textId="70E9D0DD" w:rsidR="00E32E17" w:rsidRDefault="00D761B0" w:rsidP="00D761B0">
            <w:pPr>
              <w:pStyle w:val="Tabletextprimarysource"/>
              <w:numPr>
                <w:ilvl w:val="0"/>
                <w:numId w:val="1"/>
              </w:numPr>
            </w:pPr>
            <w:r>
              <w:t>Toxicological data for decane considered due to high proportion (65%) of C</w:t>
            </w:r>
            <w:r>
              <w:rPr>
                <w:vertAlign w:val="subscript"/>
              </w:rPr>
              <w:t>10</w:t>
            </w:r>
            <w:r>
              <w:t xml:space="preserve"> hydrocarbons in mineral spirits, acute toxicity data for other alkanes are also provided</w:t>
            </w:r>
            <w:r w:rsidR="002F47AB">
              <w:t>:</w:t>
            </w:r>
            <w:r>
              <w:t xml:space="preserve"> </w:t>
            </w:r>
          </w:p>
          <w:p w14:paraId="3F066500" w14:textId="775AA536" w:rsidR="00D761B0" w:rsidRDefault="00D761B0" w:rsidP="00CB46E0">
            <w:pPr>
              <w:pStyle w:val="Tabletextprimarysource"/>
              <w:numPr>
                <w:ilvl w:val="1"/>
                <w:numId w:val="1"/>
              </w:numPr>
              <w:ind w:left="1080"/>
            </w:pPr>
            <w:r>
              <w:lastRenderedPageBreak/>
              <w:t>LC</w:t>
            </w:r>
            <w:r w:rsidRPr="00D761B0">
              <w:rPr>
                <w:vertAlign w:val="subscript"/>
              </w:rPr>
              <w:t>50</w:t>
            </w:r>
            <w:r>
              <w:t>: 540 ppm (decane) (mice, 3.75 h); 3,200 (nonane), 13,500 (octane), 16,000 ppm (heptane) (mice, 4 h)</w:t>
            </w:r>
          </w:p>
          <w:p w14:paraId="186CCD87" w14:textId="1FE30474" w:rsidR="00DE74EE" w:rsidRDefault="00DE74EE" w:rsidP="00CB46E0">
            <w:pPr>
              <w:pStyle w:val="Tabletextprimarysource"/>
              <w:numPr>
                <w:ilvl w:val="0"/>
                <w:numId w:val="1"/>
              </w:numPr>
              <w:ind w:left="717"/>
            </w:pPr>
            <w:r>
              <w:t>Mortality in 1/18 animals at 1,400 ppm (rats, 8 h); eye irritation, bloody exudate from nostrils, slight ataxia observed</w:t>
            </w:r>
          </w:p>
          <w:p w14:paraId="632E8A97" w14:textId="3B3DE5D0" w:rsidR="00DE74EE" w:rsidRDefault="00DE74EE" w:rsidP="00CB46E0">
            <w:pPr>
              <w:pStyle w:val="Tabletextprimarysource"/>
              <w:numPr>
                <w:ilvl w:val="0"/>
                <w:numId w:val="1"/>
              </w:numPr>
              <w:ind w:left="717"/>
            </w:pPr>
            <w:r>
              <w:t xml:space="preserve">Mortality at </w:t>
            </w:r>
            <w:r>
              <w:rPr>
                <w:rFonts w:cs="Arial"/>
              </w:rPr>
              <w:t>≈</w:t>
            </w:r>
            <w:r>
              <w:t>1,400 ppm (dogs, cats, 2.5–7.5 h); tr</w:t>
            </w:r>
            <w:r w:rsidR="00E00596">
              <w:t>e</w:t>
            </w:r>
            <w:r>
              <w:t>mo</w:t>
            </w:r>
            <w:r w:rsidR="00E00596">
              <w:t>r</w:t>
            </w:r>
            <w:r>
              <w:t>s and convulsions observed</w:t>
            </w:r>
          </w:p>
          <w:p w14:paraId="4A4851FB" w14:textId="258CB2AD" w:rsidR="00365F38" w:rsidRDefault="00365F38" w:rsidP="00CB46E0">
            <w:pPr>
              <w:pStyle w:val="Tabletextprimarysource"/>
              <w:numPr>
                <w:ilvl w:val="0"/>
                <w:numId w:val="1"/>
              </w:numPr>
              <w:ind w:left="717"/>
            </w:pPr>
            <w:r>
              <w:t>No significant effects at 84, 190, and 330 ppm mineral spirits (dogs, 6 h/d, 5 d/wk, 13 wk)</w:t>
            </w:r>
          </w:p>
          <w:p w14:paraId="21AF4E99" w14:textId="33EE3D97" w:rsidR="00365F38" w:rsidRDefault="00F64AE9" w:rsidP="00CB46E0">
            <w:pPr>
              <w:pStyle w:val="Tabletextprimarysource"/>
              <w:numPr>
                <w:ilvl w:val="0"/>
                <w:numId w:val="1"/>
              </w:numPr>
              <w:ind w:left="717"/>
            </w:pPr>
            <w:r>
              <w:t>R</w:t>
            </w:r>
            <w:r w:rsidR="00365F38">
              <w:t xml:space="preserve">enal damage </w:t>
            </w:r>
            <w:r>
              <w:t>and</w:t>
            </w:r>
            <w:r w:rsidR="00365F38">
              <w:t xml:space="preserve"> </w:t>
            </w:r>
            <w:r>
              <w:t xml:space="preserve">elevated blood-urea-nitrogen at 300 ppm </w:t>
            </w:r>
            <w:r w:rsidR="00365F38">
              <w:t xml:space="preserve">(rats, </w:t>
            </w:r>
            <w:r>
              <w:t>13 wk</w:t>
            </w:r>
            <w:r w:rsidR="00365F38">
              <w:t>, dose frequency not specified)</w:t>
            </w:r>
          </w:p>
          <w:p w14:paraId="66115435" w14:textId="6CC525AF" w:rsidR="00E00596" w:rsidRDefault="00365F38" w:rsidP="00CB46E0">
            <w:pPr>
              <w:pStyle w:val="Tabletextprimarysource"/>
              <w:numPr>
                <w:ilvl w:val="0"/>
                <w:numId w:val="1"/>
              </w:numPr>
              <w:ind w:left="717"/>
            </w:pPr>
            <w:r>
              <w:t>Minor pulmonary oedema at 290 ppm (guinea pigs</w:t>
            </w:r>
            <w:r w:rsidR="00E00596">
              <w:t xml:space="preserve"> only) reported in 2 parallel subchronic inhalation studies (guinea pigs, rats, rabbits, dogs, monkeys</w:t>
            </w:r>
            <w:r>
              <w:t>, 8 h/d, 5 d/wk, 30 d, and 24</w:t>
            </w:r>
            <w:r w:rsidR="00AC6698">
              <w:t> </w:t>
            </w:r>
            <w:r>
              <w:t>h/d, 7 d/</w:t>
            </w:r>
            <w:proofErr w:type="spellStart"/>
            <w:r>
              <w:t>wk</w:t>
            </w:r>
            <w:proofErr w:type="spellEnd"/>
            <w:r>
              <w:t>, 90</w:t>
            </w:r>
            <w:r w:rsidR="00E00596">
              <w:t> </w:t>
            </w:r>
            <w:r>
              <w:t>d)</w:t>
            </w:r>
            <w:r w:rsidR="002F47AB">
              <w:t>:</w:t>
            </w:r>
          </w:p>
          <w:p w14:paraId="26231FF6" w14:textId="424CD8B9" w:rsidR="00365F38" w:rsidRDefault="00E00596" w:rsidP="00CB46E0">
            <w:pPr>
              <w:pStyle w:val="Tabletextprimarysource"/>
              <w:numPr>
                <w:ilvl w:val="1"/>
                <w:numId w:val="1"/>
              </w:numPr>
              <w:ind w:left="1080"/>
            </w:pPr>
            <w:r>
              <w:t>no renal damage in rats as observed in former study, possibly due to different strain</w:t>
            </w:r>
          </w:p>
          <w:p w14:paraId="7F734880" w14:textId="51C8A454" w:rsidR="00E00596" w:rsidRDefault="00E00596" w:rsidP="00CB46E0">
            <w:pPr>
              <w:pStyle w:val="Tabletextprimarysource"/>
              <w:numPr>
                <w:ilvl w:val="1"/>
                <w:numId w:val="1"/>
              </w:numPr>
              <w:ind w:left="1080"/>
            </w:pPr>
            <w:r>
              <w:t xml:space="preserve">no signs of histopathology observed in </w:t>
            </w:r>
            <w:r w:rsidR="00945AD9">
              <w:t xml:space="preserve">the </w:t>
            </w:r>
            <w:r>
              <w:t>other species at 290 ppm</w:t>
            </w:r>
          </w:p>
          <w:p w14:paraId="7EE979DC" w14:textId="6243AC20" w:rsidR="003F6FFC" w:rsidRDefault="00591F12" w:rsidP="00CB46E0">
            <w:pPr>
              <w:pStyle w:val="Tabletextprimarysource"/>
              <w:numPr>
                <w:ilvl w:val="0"/>
                <w:numId w:val="1"/>
              </w:numPr>
              <w:ind w:left="717"/>
            </w:pPr>
            <w:r>
              <w:t>M</w:t>
            </w:r>
            <w:r w:rsidR="003F6FFC">
              <w:t xml:space="preserve">utagenicity and ADME data not </w:t>
            </w:r>
            <w:r w:rsidR="00AC6698">
              <w:t>reported</w:t>
            </w:r>
            <w:r w:rsidR="00C54C55">
              <w:t>.</w:t>
            </w:r>
          </w:p>
          <w:p w14:paraId="36FA792F" w14:textId="77777777" w:rsidR="00591F12" w:rsidRDefault="00591F12" w:rsidP="003365A5">
            <w:pPr>
              <w:pStyle w:val="Tabletextprimarysource"/>
            </w:pPr>
          </w:p>
          <w:p w14:paraId="406E0CA1" w14:textId="77777777" w:rsidR="00E32E17" w:rsidRDefault="00E32E17" w:rsidP="003365A5">
            <w:pPr>
              <w:pStyle w:val="Tabletextprimarysource"/>
            </w:pPr>
            <w:r>
              <w:t>Insufficient data to recommend a TLV-STEL or notations for carcinogenicity, skin absorption, or sensitisation.</w:t>
            </w:r>
          </w:p>
          <w:p w14:paraId="0CE4D35D" w14:textId="4207CDC6" w:rsidR="00591F12" w:rsidRPr="00DA352E" w:rsidRDefault="00591F12" w:rsidP="003365A5">
            <w:pPr>
              <w:pStyle w:val="Tabletextprimarysource"/>
            </w:pPr>
          </w:p>
        </w:tc>
      </w:tr>
      <w:tr w:rsidR="00C978F0" w:rsidRPr="00DA352E" w14:paraId="174F8B79" w14:textId="77777777" w:rsidTr="00E9190A">
        <w:trPr>
          <w:gridAfter w:val="1"/>
          <w:wAfter w:w="8" w:type="pct"/>
          <w:cantSplit/>
        </w:trPr>
        <w:tc>
          <w:tcPr>
            <w:tcW w:w="4992" w:type="pct"/>
            <w:shd w:val="clear" w:color="auto" w:fill="F2F2F2" w:themeFill="background1" w:themeFillShade="F2"/>
          </w:tcPr>
          <w:p w14:paraId="65BCCE9F" w14:textId="6EBC94EB" w:rsidR="00C978F0" w:rsidRPr="00DA352E" w:rsidRDefault="00DA352E" w:rsidP="00945EDD">
            <w:pPr>
              <w:pStyle w:val="Tablerowheadingitalic"/>
              <w:tabs>
                <w:tab w:val="clear" w:pos="2268"/>
                <w:tab w:val="clear" w:pos="5670"/>
                <w:tab w:val="left" w:pos="1418"/>
                <w:tab w:val="left" w:pos="2552"/>
              </w:tabs>
              <w:ind w:left="2432" w:hanging="2432"/>
            </w:pPr>
            <w:r w:rsidRPr="00DA352E">
              <w:lastRenderedPageBreak/>
              <w:t>DFG</w:t>
            </w:r>
            <w:r w:rsidR="001C1C06" w:rsidRPr="003365A5">
              <w:tab/>
            </w:r>
            <w:sdt>
              <w:sdtPr>
                <w:id w:val="272751712"/>
                <w:placeholder>
                  <w:docPart w:val="6918C77959FE4E2CB3B6BD78ABC69E19"/>
                </w:placeholder>
                <w:text/>
              </w:sdtPr>
              <w:sdtEndPr/>
              <w:sdtContent>
                <w:r w:rsidR="00EA26F7" w:rsidRPr="00945EDD">
                  <w:t>2010</w:t>
                </w:r>
              </w:sdtContent>
            </w:sdt>
            <w:r w:rsidR="00EA26F7">
              <w:t xml:space="preserve"> </w:t>
            </w:r>
            <w:r w:rsidR="00C97E9B">
              <w:t xml:space="preserve">      </w:t>
            </w:r>
            <w:sdt>
              <w:sdtPr>
                <w:alias w:val="DFG WES equivalent"/>
                <w:tag w:val="DFG WES equivalent"/>
                <w:id w:val="-736175395"/>
                <w:placeholder>
                  <w:docPart w:val="1ED9AEC91FDC4528B51A567B2B19EB9F"/>
                </w:placeholder>
              </w:sdtPr>
              <w:sdtEndPr/>
              <w:sdtContent>
                <w:r w:rsidR="001C1C06">
                  <w:t>MA</w:t>
                </w:r>
                <w:r w:rsidR="00C97E9B">
                  <w:t>K (heavy hydrotreated petroleum naphtha): 50 ppm (300 mg/m</w:t>
                </w:r>
                <w:r w:rsidR="00C97E9B">
                  <w:rPr>
                    <w:vertAlign w:val="superscript"/>
                  </w:rPr>
                  <w:t>3</w:t>
                </w:r>
                <w:r w:rsidR="00C97E9B">
                  <w:t>)</w:t>
                </w:r>
              </w:sdtContent>
            </w:sdt>
          </w:p>
        </w:tc>
      </w:tr>
      <w:tr w:rsidR="00C978F0" w:rsidRPr="00DA352E" w14:paraId="4433014F" w14:textId="77777777" w:rsidTr="00E9190A">
        <w:trPr>
          <w:gridAfter w:val="1"/>
          <w:wAfter w:w="8" w:type="pct"/>
        </w:trPr>
        <w:tc>
          <w:tcPr>
            <w:tcW w:w="4992" w:type="pct"/>
          </w:tcPr>
          <w:p w14:paraId="30A3968E" w14:textId="27886346" w:rsidR="00C97E9B" w:rsidRDefault="00C97E9B" w:rsidP="003365A5">
            <w:pPr>
              <w:pStyle w:val="Tabletextprimarysource"/>
            </w:pPr>
            <w:r>
              <w:t>Summary of additional information:</w:t>
            </w:r>
          </w:p>
          <w:p w14:paraId="4684EC94" w14:textId="75ACB7CE" w:rsidR="00DC2EEB" w:rsidRDefault="00C97E9B" w:rsidP="003365A5">
            <w:pPr>
              <w:pStyle w:val="Tabletextprimarysource"/>
            </w:pPr>
            <w:r>
              <w:t xml:space="preserve">Data relevant to the evaluation presented </w:t>
            </w:r>
            <w:r w:rsidR="00C54C55">
              <w:t>as</w:t>
            </w:r>
            <w:r w:rsidR="001C1C06">
              <w:t xml:space="preserve"> </w:t>
            </w:r>
            <w:r>
              <w:t>heavy hydrotreated petroleum naphtha</w:t>
            </w:r>
            <w:r w:rsidR="009E7F54">
              <w:t xml:space="preserve"> and relies primarily on SCOEL (2007) evaluation of “white spirit”</w:t>
            </w:r>
            <w:r>
              <w:t>.</w:t>
            </w:r>
            <w:r w:rsidR="00DC2EEB">
              <w:t xml:space="preserve"> Human toxicokinetics of aromatic-containing and non-aromatic-containing mixtures of “white spirits” is not significantly different.</w:t>
            </w:r>
            <w:r w:rsidR="004613F6">
              <w:t xml:space="preserve"> Assumes molecular weight of 145 g/mol.</w:t>
            </w:r>
          </w:p>
          <w:p w14:paraId="4B21F599" w14:textId="06EAE91C" w:rsidR="00C978F0" w:rsidRDefault="00C97E9B" w:rsidP="003365A5">
            <w:pPr>
              <w:pStyle w:val="Tabletextprimarysource"/>
            </w:pPr>
            <w:r>
              <w:t xml:space="preserve">Occupational data obtained for heavy hydrotreated petroleum naphtha considered inadequate for the derivation of a MAK due to </w:t>
            </w:r>
            <w:r w:rsidR="00DC2EEB">
              <w:t>potentially confounding mixed exposures.</w:t>
            </w:r>
          </w:p>
          <w:p w14:paraId="0FE3F191" w14:textId="522687EE" w:rsidR="00DC2EEB" w:rsidRDefault="00DC2EEB" w:rsidP="003365A5">
            <w:pPr>
              <w:pStyle w:val="Tabletextprimarysource"/>
            </w:pPr>
            <w:r>
              <w:t xml:space="preserve">MAK </w:t>
            </w:r>
            <w:r w:rsidRPr="00DC2EEB">
              <w:t>for heavy hydrotreated petroleum naphtha</w:t>
            </w:r>
            <w:r>
              <w:t xml:space="preserve"> based on NOAEC of 100 ppm for local irritation and </w:t>
            </w:r>
            <w:r w:rsidR="00FA77A2">
              <w:t xml:space="preserve">objective </w:t>
            </w:r>
            <w:r>
              <w:t>CNS impairment in acute volunteer inhalation study; NOAEC is halved to account for increased respiratory vo</w:t>
            </w:r>
            <w:r w:rsidR="00FA77A2">
              <w:t xml:space="preserve">lume under workplace conditions to </w:t>
            </w:r>
            <w:r w:rsidR="00AC6698">
              <w:t xml:space="preserve">derive a </w:t>
            </w:r>
            <w:r w:rsidR="00FA77A2">
              <w:t>MAK of 50 ppm.</w:t>
            </w:r>
            <w:r w:rsidR="0089155B">
              <w:t xml:space="preserve"> Peak excursion factor of 2 applied due to systemic effects.</w:t>
            </w:r>
          </w:p>
          <w:p w14:paraId="3110C0FF" w14:textId="1CC63904" w:rsidR="00FA77A2" w:rsidRDefault="00FA77A2" w:rsidP="003365A5">
            <w:pPr>
              <w:pStyle w:val="Tabletextprimarysource"/>
            </w:pPr>
            <w:r>
              <w:t>H</w:t>
            </w:r>
            <w:r w:rsidRPr="00FA77A2">
              <w:t>eavy hydrotreated petroleum naphtha</w:t>
            </w:r>
            <w:r>
              <w:t xml:space="preserve"> not classifiable as human carcinogen due to inadequacy of available </w:t>
            </w:r>
            <w:r w:rsidR="00D919E2">
              <w:t xml:space="preserve">epidemiological </w:t>
            </w:r>
            <w:r>
              <w:t>data</w:t>
            </w:r>
            <w:r w:rsidR="00D919E2">
              <w:t xml:space="preserve"> and inconclusive animal studies</w:t>
            </w:r>
            <w:r w:rsidR="00C161A2">
              <w:t>.</w:t>
            </w:r>
          </w:p>
          <w:p w14:paraId="52BB0B43" w14:textId="12A3F6D6" w:rsidR="002D75EF" w:rsidRDefault="002D75EF" w:rsidP="003365A5">
            <w:pPr>
              <w:pStyle w:val="Tabletextprimarysource"/>
            </w:pPr>
            <w:r>
              <w:t>Skin notation not warranted based on low dermal absorption rate in rats relative to exposure at the MAK.</w:t>
            </w:r>
          </w:p>
          <w:p w14:paraId="0FE7C958" w14:textId="77777777" w:rsidR="00DC2EEB" w:rsidRDefault="003C6982" w:rsidP="003365A5">
            <w:pPr>
              <w:pStyle w:val="Tabletextprimarysource"/>
            </w:pPr>
            <w:r>
              <w:t>Human data:</w:t>
            </w:r>
          </w:p>
          <w:p w14:paraId="78FE33CA" w14:textId="6E2C8318" w:rsidR="00591F12" w:rsidRDefault="006408ED">
            <w:pPr>
              <w:pStyle w:val="Tabletextprimarysource"/>
              <w:numPr>
                <w:ilvl w:val="0"/>
                <w:numId w:val="1"/>
              </w:numPr>
              <w:ind w:left="717"/>
            </w:pPr>
            <w:r>
              <w:t>8 acute volunteer inhalation studies (n=6–25) used to estimate NOAEC of 100 ppm for irritation and CNS impairment</w:t>
            </w:r>
            <w:r w:rsidR="00A03ABA">
              <w:t>:</w:t>
            </w:r>
            <w:r>
              <w:t xml:space="preserve"> </w:t>
            </w:r>
          </w:p>
          <w:p w14:paraId="729B980A" w14:textId="21E212F6" w:rsidR="003C6982" w:rsidRDefault="006408ED" w:rsidP="00CB46E0">
            <w:pPr>
              <w:pStyle w:val="Tabletextprimarysource"/>
              <w:numPr>
                <w:ilvl w:val="1"/>
                <w:numId w:val="1"/>
              </w:numPr>
              <w:ind w:left="1080"/>
            </w:pPr>
            <w:r>
              <w:t>doses ranged from 10–680 ppm and included mixtures of various aromatic/aliphatic contents, exposures ranged from 0.25–6 h</w:t>
            </w:r>
          </w:p>
          <w:p w14:paraId="4BD308F2" w14:textId="4D933F40" w:rsidR="006408ED" w:rsidRDefault="0071702C" w:rsidP="00CB46E0">
            <w:pPr>
              <w:pStyle w:val="Tabletextprimarysource"/>
              <w:numPr>
                <w:ilvl w:val="1"/>
                <w:numId w:val="1"/>
              </w:numPr>
              <w:ind w:left="1080"/>
            </w:pPr>
            <w:r>
              <w:t>NOAEC: 200 ppm for irritation and self-reported CNS effects (n=12, 6 h); 3 solvent mixtures tested with 0–18% aromatics</w:t>
            </w:r>
          </w:p>
          <w:p w14:paraId="09CE4A1F" w14:textId="02098541" w:rsidR="0071702C" w:rsidRDefault="0071702C" w:rsidP="00CB46E0">
            <w:pPr>
              <w:pStyle w:val="Tabletextprimarysource"/>
              <w:numPr>
                <w:ilvl w:val="1"/>
                <w:numId w:val="1"/>
              </w:numPr>
              <w:ind w:left="1080"/>
            </w:pPr>
            <w:r>
              <w:t>NOAEC: 100 ppm for irritation and objective CNS effects (n=12, 4 h); 21% aromatics</w:t>
            </w:r>
          </w:p>
          <w:p w14:paraId="103FEF7B" w14:textId="46B7F556" w:rsidR="0071702C" w:rsidRDefault="0071702C" w:rsidP="00CB46E0">
            <w:pPr>
              <w:pStyle w:val="Tabletextprimarysource"/>
              <w:numPr>
                <w:ilvl w:val="1"/>
                <w:numId w:val="1"/>
              </w:numPr>
              <w:ind w:left="1080"/>
            </w:pPr>
            <w:r>
              <w:t xml:space="preserve">NOAEC: 50 ppm for irritation (n=12, 4 h); </w:t>
            </w:r>
            <w:r w:rsidR="00A31C64">
              <w:t xml:space="preserve">0% </w:t>
            </w:r>
            <w:r>
              <w:t>aromatic</w:t>
            </w:r>
            <w:r w:rsidR="00A31C64">
              <w:t>s</w:t>
            </w:r>
          </w:p>
          <w:p w14:paraId="242C07C7" w14:textId="7FDBF4CA" w:rsidR="0071702C" w:rsidRDefault="00FA77A2" w:rsidP="00CB46E0">
            <w:pPr>
              <w:pStyle w:val="Tabletextprimarysource"/>
              <w:numPr>
                <w:ilvl w:val="0"/>
                <w:numId w:val="1"/>
              </w:numPr>
              <w:ind w:left="717"/>
            </w:pPr>
            <w:r>
              <w:t>Several occupational studies are presented but not considered in evaluation due to insufficient documentation or confounding co-exposures to other solvents</w:t>
            </w:r>
            <w:r w:rsidR="00A03ABA">
              <w:t>:</w:t>
            </w:r>
          </w:p>
          <w:p w14:paraId="14982559" w14:textId="344AD654" w:rsidR="00FA77A2" w:rsidRDefault="00FA77A2" w:rsidP="00CB46E0">
            <w:pPr>
              <w:pStyle w:val="Tabletextprimarysource"/>
              <w:numPr>
                <w:ilvl w:val="1"/>
                <w:numId w:val="1"/>
              </w:numPr>
              <w:ind w:left="1080"/>
            </w:pPr>
            <w:r>
              <w:t xml:space="preserve">local irritation and impaired reaction times and performance in memory tests in painters exposed at 40 ppm over </w:t>
            </w:r>
            <w:r w:rsidR="00C54C55">
              <w:t xml:space="preserve">an </w:t>
            </w:r>
            <w:r>
              <w:t xml:space="preserve">estimated 22 </w:t>
            </w:r>
            <w:proofErr w:type="spellStart"/>
            <w:r>
              <w:t>yr</w:t>
            </w:r>
            <w:proofErr w:type="spellEnd"/>
            <w:r>
              <w:t xml:space="preserve"> (also cited by SCOEL, 2007)</w:t>
            </w:r>
          </w:p>
          <w:p w14:paraId="2C7740BB" w14:textId="4A7E1EC3" w:rsidR="00FA77A2" w:rsidRDefault="00F25444" w:rsidP="00CB46E0">
            <w:pPr>
              <w:pStyle w:val="Tabletextprimarysource"/>
              <w:numPr>
                <w:ilvl w:val="0"/>
                <w:numId w:val="1"/>
              </w:numPr>
              <w:ind w:left="717"/>
            </w:pPr>
            <w:r>
              <w:lastRenderedPageBreak/>
              <w:t>Increased risk of liver cancer in painters exposed to various thinning solvents, turpentine, and white spirits</w:t>
            </w:r>
            <w:r w:rsidR="003D20A7">
              <w:t xml:space="preserve"> (no further details)</w:t>
            </w:r>
            <w:r w:rsidR="00C54C55">
              <w:t>.</w:t>
            </w:r>
          </w:p>
          <w:p w14:paraId="6F71C260" w14:textId="77777777" w:rsidR="00F25444" w:rsidRDefault="00F25444" w:rsidP="00F25444">
            <w:pPr>
              <w:pStyle w:val="Tabletextprimarysource"/>
            </w:pPr>
            <w:r>
              <w:t>Animal data:</w:t>
            </w:r>
          </w:p>
          <w:p w14:paraId="5EF86C8C" w14:textId="0640FA90" w:rsidR="00F25444" w:rsidRDefault="00F64AE9" w:rsidP="00CB46E0">
            <w:pPr>
              <w:pStyle w:val="Tabletextprimarysource"/>
              <w:numPr>
                <w:ilvl w:val="0"/>
                <w:numId w:val="1"/>
              </w:numPr>
              <w:ind w:left="717"/>
            </w:pPr>
            <w:r>
              <w:t xml:space="preserve">Increased incidence of regenerative tubular </w:t>
            </w:r>
            <w:r w:rsidR="002462E5">
              <w:t>epithelia (males/females) and proteinaceous casts on dilated tubules (males only) at 300 ppm in subchronic inhalation study with non-aromatic “white spirits”</w:t>
            </w:r>
            <w:r w:rsidR="00F22A4E">
              <w:t xml:space="preserve"> (rats, 6 h/d, 5 d/wk, 13 wk, not cited by ACGIH, 2018</w:t>
            </w:r>
            <w:r w:rsidR="002462E5">
              <w:t xml:space="preserve">); significant </w:t>
            </w:r>
            <w:r w:rsidR="00591F12">
              <w:t xml:space="preserve">reduction in </w:t>
            </w:r>
            <w:r w:rsidR="00675572">
              <w:t xml:space="preserve">body weight </w:t>
            </w:r>
            <w:r w:rsidR="002462E5">
              <w:t xml:space="preserve">gain (males/females) </w:t>
            </w:r>
            <w:r w:rsidR="00591F12">
              <w:t xml:space="preserve">and </w:t>
            </w:r>
            <w:r w:rsidR="002462E5">
              <w:t>relative kidney weight increase</w:t>
            </w:r>
            <w:r w:rsidR="00591F12">
              <w:t>d</w:t>
            </w:r>
            <w:r w:rsidR="002462E5">
              <w:t xml:space="preserve"> at 900</w:t>
            </w:r>
            <w:r w:rsidR="00675572">
              <w:t> </w:t>
            </w:r>
            <w:r w:rsidR="002462E5">
              <w:t>ppm (males only)</w:t>
            </w:r>
            <w:r w:rsidR="00A03ABA">
              <w:t>:</w:t>
            </w:r>
          </w:p>
          <w:p w14:paraId="58491C78" w14:textId="77777777" w:rsidR="002462E5" w:rsidRDefault="002462E5" w:rsidP="00CB46E0">
            <w:pPr>
              <w:pStyle w:val="Tabletextprimarysource"/>
              <w:numPr>
                <w:ilvl w:val="1"/>
                <w:numId w:val="1"/>
              </w:numPr>
              <w:ind w:left="1080"/>
            </w:pPr>
            <w:r>
              <w:t>NOAEC: 300 ppm for non-aromatic white spirits; agency concludes nephropathy observed at 300 ppm in males is sex- and species-specific</w:t>
            </w:r>
          </w:p>
          <w:p w14:paraId="7050BDC7" w14:textId="633298F7" w:rsidR="00367DD8" w:rsidRDefault="00367DD8" w:rsidP="00CB46E0">
            <w:pPr>
              <w:pStyle w:val="Tabletextprimarysource"/>
              <w:numPr>
                <w:ilvl w:val="0"/>
                <w:numId w:val="1"/>
              </w:numPr>
              <w:ind w:left="717"/>
            </w:pPr>
            <w:r>
              <w:t>Transient lachrymation, haemorrhagic nasal discharge and narcosis at 400 ppm</w:t>
            </w:r>
            <w:r w:rsidR="002D75EF">
              <w:t xml:space="preserve"> of “white spirits” </w:t>
            </w:r>
            <w:r>
              <w:t>in chronic inhalation study (rats, 5 d/wk, 6 h/d, 6 mo); changes in electrophysiological parameters (not specified) and decreased dark-phase motor activity observed at 800 ppm; no histopathological changes observed at 400 or 800 ppm</w:t>
            </w:r>
          </w:p>
          <w:p w14:paraId="4B4F2FB0" w14:textId="082D51A5" w:rsidR="00E559C8" w:rsidRDefault="00E559C8" w:rsidP="00CB46E0">
            <w:pPr>
              <w:pStyle w:val="Tabletextprimarysource"/>
              <w:numPr>
                <w:ilvl w:val="0"/>
                <w:numId w:val="1"/>
              </w:numPr>
              <w:ind w:left="717"/>
            </w:pPr>
            <w:r>
              <w:t>Increased pheochromocytomas</w:t>
            </w:r>
            <w:r w:rsidR="00D919E2">
              <w:t xml:space="preserve"> (adrenal gland tumours)</w:t>
            </w:r>
            <w:r>
              <w:t xml:space="preserve"> at </w:t>
            </w:r>
            <w:r w:rsidR="00D919E2">
              <w:rPr>
                <w:rFonts w:cs="Arial"/>
              </w:rPr>
              <w:t>≈</w:t>
            </w:r>
            <w:r w:rsidR="00D919E2">
              <w:t>100 and 200 ppm (</w:t>
            </w:r>
            <w:r>
              <w:t xml:space="preserve">550 and 1,100 </w:t>
            </w:r>
            <w:r w:rsidR="00D919E2">
              <w:t>mg/m</w:t>
            </w:r>
            <w:r w:rsidR="00D919E2">
              <w:rPr>
                <w:vertAlign w:val="superscript"/>
              </w:rPr>
              <w:t>3</w:t>
            </w:r>
            <w:r w:rsidR="00D919E2">
              <w:t>) in chronic inhalation study with non-aromatic white spirits (rats, 6 h/d, 5 d/</w:t>
            </w:r>
            <w:proofErr w:type="spellStart"/>
            <w:r w:rsidR="00D919E2">
              <w:t>wk</w:t>
            </w:r>
            <w:proofErr w:type="spellEnd"/>
            <w:r w:rsidR="00D919E2">
              <w:t xml:space="preserve">, 2 </w:t>
            </w:r>
            <w:proofErr w:type="spellStart"/>
            <w:r w:rsidR="00D919E2">
              <w:t>yr</w:t>
            </w:r>
            <w:proofErr w:type="spellEnd"/>
            <w:r w:rsidR="00D919E2">
              <w:t>)</w:t>
            </w:r>
            <w:r w:rsidR="00A03ABA">
              <w:t>:</w:t>
            </w:r>
          </w:p>
          <w:p w14:paraId="38D716CF" w14:textId="384D495A" w:rsidR="00D919E2" w:rsidRDefault="00D919E2" w:rsidP="00CB46E0">
            <w:pPr>
              <w:pStyle w:val="Tabletextprimarysource"/>
              <w:numPr>
                <w:ilvl w:val="1"/>
                <w:numId w:val="1"/>
              </w:numPr>
              <w:ind w:left="1080"/>
            </w:pPr>
            <w:r>
              <w:t>not considered relevant to humans due to sex- and species-specific metabolism</w:t>
            </w:r>
          </w:p>
          <w:p w14:paraId="0803C91B" w14:textId="56D1BAB2" w:rsidR="00DE4F87" w:rsidRDefault="00DE4F87" w:rsidP="00CB46E0">
            <w:pPr>
              <w:pStyle w:val="Tabletextprimarysource"/>
              <w:numPr>
                <w:ilvl w:val="0"/>
                <w:numId w:val="1"/>
              </w:numPr>
              <w:ind w:left="717"/>
            </w:pPr>
            <w:r>
              <w:t xml:space="preserve">Concentration-dependent </w:t>
            </w:r>
            <w:r w:rsidR="00D83938">
              <w:t xml:space="preserve">increased </w:t>
            </w:r>
            <w:r>
              <w:t xml:space="preserve">incidence of hepatocellular adenomas only in females at </w:t>
            </w:r>
            <w:r>
              <w:rPr>
                <w:rFonts w:cs="Arial"/>
              </w:rPr>
              <w:t>≈</w:t>
            </w:r>
            <w:r>
              <w:t>100, 200, and 400 ppm (550, 1,100, and 2,200 mg/m</w:t>
            </w:r>
            <w:r>
              <w:rPr>
                <w:vertAlign w:val="superscript"/>
              </w:rPr>
              <w:t>3</w:t>
            </w:r>
            <w:r>
              <w:t>) in chronic inhalation study with non-aromatic white spirits (mice, 6 h/d, 5 d/</w:t>
            </w:r>
            <w:proofErr w:type="spellStart"/>
            <w:r>
              <w:t>wk</w:t>
            </w:r>
            <w:proofErr w:type="spellEnd"/>
            <w:r>
              <w:t xml:space="preserve">, 2 </w:t>
            </w:r>
            <w:proofErr w:type="spellStart"/>
            <w:r>
              <w:t>yr</w:t>
            </w:r>
            <w:proofErr w:type="spellEnd"/>
            <w:r>
              <w:t>)</w:t>
            </w:r>
            <w:r w:rsidR="00A03ABA">
              <w:t>:</w:t>
            </w:r>
          </w:p>
          <w:p w14:paraId="77A8B27F" w14:textId="5F7C1440" w:rsidR="00D83938" w:rsidRDefault="00D83938" w:rsidP="00CB46E0">
            <w:pPr>
              <w:pStyle w:val="Tabletextprimarysource"/>
              <w:numPr>
                <w:ilvl w:val="1"/>
                <w:numId w:val="1"/>
              </w:numPr>
              <w:ind w:left="1080"/>
            </w:pPr>
            <w:r>
              <w:t>increased tumour incidence statistically significant at 400 ppm</w:t>
            </w:r>
          </w:p>
          <w:p w14:paraId="3621D3BC" w14:textId="1C892A20" w:rsidR="00D83938" w:rsidRDefault="00D83938" w:rsidP="00CB46E0">
            <w:pPr>
              <w:pStyle w:val="Tabletextprimarysource"/>
              <w:numPr>
                <w:ilvl w:val="1"/>
                <w:numId w:val="1"/>
              </w:numPr>
              <w:ind w:left="1080"/>
            </w:pPr>
            <w:r>
              <w:t>cited article evaluated increased tumorigenicity as possibly substance-related</w:t>
            </w:r>
          </w:p>
          <w:p w14:paraId="5521D0E9" w14:textId="46F41ECC" w:rsidR="00D83938" w:rsidRDefault="00D83938" w:rsidP="00CB46E0">
            <w:pPr>
              <w:pStyle w:val="Tabletextprimarysource"/>
              <w:numPr>
                <w:ilvl w:val="1"/>
                <w:numId w:val="1"/>
              </w:numPr>
              <w:ind w:left="1080"/>
            </w:pPr>
            <w:r>
              <w:t xml:space="preserve">increased tumour incidence </w:t>
            </w:r>
            <w:r w:rsidR="00675572">
              <w:t xml:space="preserve">considered </w:t>
            </w:r>
            <w:r>
              <w:t>irrelevant to assessment due to sex-specificity and absence of carcinomas</w:t>
            </w:r>
          </w:p>
          <w:p w14:paraId="666950A0" w14:textId="6C695859" w:rsidR="002D75EF" w:rsidRDefault="002D75EF" w:rsidP="00CB46E0">
            <w:pPr>
              <w:pStyle w:val="Tabletextprimarysource"/>
              <w:numPr>
                <w:ilvl w:val="0"/>
                <w:numId w:val="1"/>
              </w:numPr>
              <w:ind w:left="717"/>
            </w:pPr>
            <w:r>
              <w:t xml:space="preserve">Non-aromatic white spirits non-mutagenic </w:t>
            </w:r>
            <w:r>
              <w:rPr>
                <w:i/>
              </w:rPr>
              <w:t xml:space="preserve">in vitro </w:t>
            </w:r>
            <w:r>
              <w:t xml:space="preserve">in bacteria, mammalian, and human cell lines, and </w:t>
            </w:r>
            <w:r>
              <w:rPr>
                <w:i/>
              </w:rPr>
              <w:t>in vivo</w:t>
            </w:r>
            <w:r>
              <w:t xml:space="preserve"> in mice; no information for aromatic white spirits presented.</w:t>
            </w:r>
          </w:p>
          <w:p w14:paraId="6C3F6EED" w14:textId="77777777" w:rsidR="00591F12" w:rsidRDefault="00591F12" w:rsidP="002D75EF">
            <w:pPr>
              <w:pStyle w:val="Tabletextprimarysource"/>
            </w:pPr>
          </w:p>
          <w:p w14:paraId="0F90B8F9" w14:textId="77777777" w:rsidR="002D75EF" w:rsidRDefault="002D75EF" w:rsidP="002D75EF">
            <w:pPr>
              <w:pStyle w:val="Tabletextprimarysource"/>
            </w:pPr>
            <w:r>
              <w:t>Insufficient data to recommend a sensitiser notation.</w:t>
            </w:r>
          </w:p>
          <w:p w14:paraId="61A64F09" w14:textId="588F6133" w:rsidR="00591F12" w:rsidRPr="00DA352E" w:rsidRDefault="00591F12" w:rsidP="002D75EF">
            <w:pPr>
              <w:pStyle w:val="Tabletextprimarysource"/>
            </w:pPr>
          </w:p>
        </w:tc>
      </w:tr>
      <w:tr w:rsidR="00C978F0" w:rsidRPr="00DA352E" w14:paraId="0E6A0B2C" w14:textId="77777777" w:rsidTr="00E9190A">
        <w:trPr>
          <w:gridAfter w:val="1"/>
          <w:wAfter w:w="8" w:type="pct"/>
          <w:cantSplit/>
        </w:trPr>
        <w:tc>
          <w:tcPr>
            <w:tcW w:w="4992" w:type="pct"/>
            <w:shd w:val="clear" w:color="auto" w:fill="F2F2F2" w:themeFill="background1" w:themeFillShade="F2"/>
          </w:tcPr>
          <w:p w14:paraId="73C602E5" w14:textId="4F2FD0FA"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EA26F7">
                  <w:t>2007</w:t>
                </w:r>
              </w:sdtContent>
            </w:sdt>
            <w:r w:rsidR="00916EC0" w:rsidRPr="003365A5">
              <w:tab/>
            </w:r>
            <w:sdt>
              <w:sdtPr>
                <w:alias w:val="SCOEL WES equivalent"/>
                <w:tag w:val="SCOEL WES equivalent"/>
                <w:id w:val="-1474213062"/>
                <w:placeholder>
                  <w:docPart w:val="9E827C9D0DA949E385F2E9AB4264125E"/>
                </w:placeholder>
              </w:sdtPr>
              <w:sdtEndPr/>
              <w:sdtContent>
                <w:r w:rsidR="00EA26F7">
                  <w:t>TWA: 20 ppm (116 mg/m</w:t>
                </w:r>
                <w:r w:rsidR="00EA26F7">
                  <w:rPr>
                    <w:vertAlign w:val="superscript"/>
                  </w:rPr>
                  <w:t>3</w:t>
                </w:r>
                <w:r w:rsidR="00EA26F7">
                  <w:t>); STEL: 50 ppm (290 mg/m</w:t>
                </w:r>
                <w:r w:rsidR="00EA26F7">
                  <w:rPr>
                    <w:vertAlign w:val="superscript"/>
                  </w:rPr>
                  <w:t>3</w:t>
                </w:r>
                <w:r w:rsidR="00EA26F7">
                  <w:t>)</w:t>
                </w:r>
              </w:sdtContent>
            </w:sdt>
          </w:p>
        </w:tc>
      </w:tr>
      <w:tr w:rsidR="00C978F0" w:rsidRPr="00DA352E" w14:paraId="2008D281" w14:textId="77777777" w:rsidTr="00E9190A">
        <w:trPr>
          <w:gridAfter w:val="1"/>
          <w:wAfter w:w="8" w:type="pct"/>
        </w:trPr>
        <w:tc>
          <w:tcPr>
            <w:tcW w:w="4992" w:type="pct"/>
          </w:tcPr>
          <w:p w14:paraId="6C8CA8C5" w14:textId="77777777" w:rsidR="00C978F0" w:rsidRDefault="00AA3BC9" w:rsidP="003365A5">
            <w:pPr>
              <w:pStyle w:val="Tabletextprimarysource"/>
            </w:pPr>
            <w:r>
              <w:t>Summary of additional information:</w:t>
            </w:r>
          </w:p>
          <w:p w14:paraId="1B8B657E" w14:textId="77777777" w:rsidR="00A03ABA" w:rsidRDefault="00AA3BC9" w:rsidP="00A03ABA">
            <w:pPr>
              <w:pStyle w:val="Tabletextprimarysource"/>
              <w:contextualSpacing/>
            </w:pPr>
            <w:r>
              <w:t xml:space="preserve">Assessment based primarily on toxicological data for white spirit type 1 (aromatic content of </w:t>
            </w:r>
          </w:p>
          <w:p w14:paraId="2D984329" w14:textId="35596079" w:rsidR="00AA3BC9" w:rsidRDefault="00AA3BC9" w:rsidP="00A03ABA">
            <w:pPr>
              <w:pStyle w:val="Tabletextprimarysource"/>
              <w:contextualSpacing/>
            </w:pPr>
            <w:r>
              <w:t>13–30%), and white spirit type 3 (aromatic content &lt;1%). OEL considered to apply to all complex hydrocarbon mixtures with primary constituents in C</w:t>
            </w:r>
            <w:r>
              <w:rPr>
                <w:vertAlign w:val="subscript"/>
              </w:rPr>
              <w:t>6</w:t>
            </w:r>
            <w:r>
              <w:t>–C</w:t>
            </w:r>
            <w:r>
              <w:rPr>
                <w:vertAlign w:val="subscript"/>
              </w:rPr>
              <w:t>12</w:t>
            </w:r>
            <w:r>
              <w:t xml:space="preserve"> range.</w:t>
            </w:r>
            <w:r w:rsidR="00152CA9">
              <w:t xml:space="preserve"> </w:t>
            </w:r>
            <w:r w:rsidR="00CB56C0">
              <w:t xml:space="preserve">NOAEC range of 40–90 ppm for brain damage and </w:t>
            </w:r>
            <w:r w:rsidR="00467BD8">
              <w:t>chronic CNS disturbances from several human exposure studies</w:t>
            </w:r>
            <w:r w:rsidR="00CB56C0">
              <w:t xml:space="preserve"> used as P</w:t>
            </w:r>
            <w:r w:rsidR="00467BD8">
              <w:t xml:space="preserve">OD to recommend TWA of 20 ppm. STEL of 50 ppm recommended based on NOAEC of </w:t>
            </w:r>
            <w:r w:rsidR="005E74AB">
              <w:t>acute volunteer inhalation studies, which report NOAEC for self-reported symptoms and eye irritation between 50 and 100 ppm.</w:t>
            </w:r>
          </w:p>
          <w:p w14:paraId="6C154E73" w14:textId="0C2900D2" w:rsidR="0089155B" w:rsidRDefault="0089155B" w:rsidP="003365A5">
            <w:pPr>
              <w:pStyle w:val="Tabletextprimarysource"/>
            </w:pPr>
            <w:r>
              <w:t xml:space="preserve">Skin notation </w:t>
            </w:r>
            <w:r w:rsidR="00D82D59">
              <w:t>recommended due to increased body burden from dermal uptake relative to exposure at the OEL.</w:t>
            </w:r>
          </w:p>
          <w:p w14:paraId="42F8163C" w14:textId="77777777" w:rsidR="00AA3BC9" w:rsidRDefault="00AA3BC9" w:rsidP="003365A5">
            <w:pPr>
              <w:pStyle w:val="Tabletextprimarysource"/>
            </w:pPr>
            <w:r>
              <w:t>Human data:</w:t>
            </w:r>
          </w:p>
          <w:p w14:paraId="1F1C1CE5" w14:textId="14C82782" w:rsidR="00B07E99" w:rsidRDefault="00B07E99" w:rsidP="00CB46E0">
            <w:pPr>
              <w:pStyle w:val="Tabletextprimarysource"/>
              <w:numPr>
                <w:ilvl w:val="0"/>
                <w:numId w:val="1"/>
              </w:numPr>
              <w:ind w:left="717"/>
            </w:pPr>
            <w:r>
              <w:t>Agency considers NOAEC for irritation and CNS effects to be near 100 ppm based on controlled inhalation studies, lower irritation thresholds reported in occupational studies possibly due to confounding subjective irritation from odour and mixed exposures</w:t>
            </w:r>
          </w:p>
          <w:p w14:paraId="01ED98B8" w14:textId="1C6962F6" w:rsidR="00B07E99" w:rsidRDefault="00B07E99" w:rsidP="00CB46E0">
            <w:pPr>
              <w:pStyle w:val="Tabletextprimarysource"/>
              <w:numPr>
                <w:ilvl w:val="0"/>
                <w:numId w:val="1"/>
              </w:numPr>
              <w:ind w:left="717"/>
            </w:pPr>
            <w:r>
              <w:t>Based on comparison of pharmacokinetically modelled data between rats and humans, CNS concentrations of solvent constituents similar in both species and predicted a NOAEC of 100 ppm for CNS depression in humans</w:t>
            </w:r>
          </w:p>
          <w:p w14:paraId="0D1F1170" w14:textId="40D6CAB6" w:rsidR="00B07E99" w:rsidRDefault="00B07E99" w:rsidP="00CB46E0">
            <w:pPr>
              <w:pStyle w:val="Tabletextprimarysource"/>
              <w:numPr>
                <w:ilvl w:val="0"/>
                <w:numId w:val="1"/>
              </w:numPr>
              <w:ind w:left="717"/>
            </w:pPr>
            <w:r>
              <w:lastRenderedPageBreak/>
              <w:t>No significant change in lower airway symptoms of workers following substitution of type 1 for type 3 white spirits; average exposure was 37 ppm with peaks of 120 ppm (n=148, &gt;4 h) in group exposed only to white spirits</w:t>
            </w:r>
            <w:r w:rsidR="00A03ABA">
              <w:t>:</w:t>
            </w:r>
          </w:p>
          <w:p w14:paraId="7BECA3C4" w14:textId="77777777" w:rsidR="00B07E99" w:rsidRDefault="00B07E99" w:rsidP="00CB46E0">
            <w:pPr>
              <w:pStyle w:val="Tabletextprimarysource"/>
              <w:numPr>
                <w:ilvl w:val="1"/>
                <w:numId w:val="1"/>
              </w:numPr>
              <w:ind w:left="1080"/>
            </w:pPr>
            <w:r>
              <w:t>increased prevalence of nose and throat symptoms (not specified) in exposed groups compared to controls</w:t>
            </w:r>
          </w:p>
          <w:p w14:paraId="70E22E51" w14:textId="5996EBD7" w:rsidR="004B0EB9" w:rsidRDefault="004B0EB9" w:rsidP="00CB46E0">
            <w:pPr>
              <w:pStyle w:val="Tabletextprimarysource"/>
              <w:numPr>
                <w:ilvl w:val="0"/>
                <w:numId w:val="1"/>
              </w:numPr>
              <w:ind w:left="717"/>
            </w:pPr>
            <w:r>
              <w:t>Eye irritation, headache and tiredness significantly increased at 400 ppm (17% aromatics) chamber study with student volunteers exposed at 0, 34, 100, 200, 400 ppm (n=9, age: 23, 7 h); eye irritation at 100 ppm in painters exposed in same study at 0, 50, and 100 ppm (n=9, age: 49, 7 h)</w:t>
            </w:r>
          </w:p>
          <w:p w14:paraId="009C72BE" w14:textId="214A6CFA" w:rsidR="003E41EC" w:rsidRDefault="005405B8" w:rsidP="00CB46E0">
            <w:pPr>
              <w:pStyle w:val="Tabletextprimarysource"/>
              <w:numPr>
                <w:ilvl w:val="0"/>
                <w:numId w:val="1"/>
              </w:numPr>
              <w:ind w:left="717"/>
            </w:pPr>
            <w:r>
              <w:t>Increased odds rati</w:t>
            </w:r>
            <w:r w:rsidR="003E41EC">
              <w:t xml:space="preserve">o for abnormal coordination and signs of brain damage by computer tomography </w:t>
            </w:r>
            <w:r w:rsidR="00192399">
              <w:t>in cross-sectional study of painters</w:t>
            </w:r>
            <w:r w:rsidR="003E41EC">
              <w:t xml:space="preserve"> (n=85, exposed) and brick layers (n=85, control)</w:t>
            </w:r>
            <w:r w:rsidR="00CB56C0">
              <w:t>, white spirits assumed to contain 15–20% aromatics</w:t>
            </w:r>
            <w:r w:rsidR="00A03ABA">
              <w:t>:</w:t>
            </w:r>
          </w:p>
          <w:p w14:paraId="5573676C" w14:textId="19F6E4F2" w:rsidR="003E41EC" w:rsidRDefault="00CB56C0" w:rsidP="00CB46E0">
            <w:pPr>
              <w:pStyle w:val="Tabletextprimarysource"/>
              <w:numPr>
                <w:ilvl w:val="1"/>
                <w:numId w:val="1"/>
              </w:numPr>
              <w:ind w:left="1080"/>
            </w:pPr>
            <w:r>
              <w:t>no significant difference between exposure groups and controls at a TWA of 100 ppm for 6 yr</w:t>
            </w:r>
          </w:p>
          <w:p w14:paraId="24392626" w14:textId="3F43785B" w:rsidR="001F2928" w:rsidRDefault="003E41EC" w:rsidP="00CB46E0">
            <w:pPr>
              <w:pStyle w:val="Tabletextprimarysource"/>
              <w:numPr>
                <w:ilvl w:val="1"/>
                <w:numId w:val="1"/>
              </w:numPr>
              <w:ind w:left="1080"/>
            </w:pPr>
            <w:r>
              <w:t xml:space="preserve">NOAEC of 40 ppm </w:t>
            </w:r>
            <w:r w:rsidR="00CB56C0">
              <w:t>for 13 yr exposure</w:t>
            </w:r>
          </w:p>
          <w:p w14:paraId="6DE5CFD7" w14:textId="1A6D041E" w:rsidR="005E74AB" w:rsidRDefault="005E74AB" w:rsidP="00CB46E0">
            <w:pPr>
              <w:pStyle w:val="Tabletextprimarysource"/>
              <w:numPr>
                <w:ilvl w:val="1"/>
                <w:numId w:val="1"/>
              </w:numPr>
              <w:ind w:left="1080"/>
            </w:pPr>
            <w:r>
              <w:t>high level of uncertainty for this NOAEC due to difficulty in modelling these data with respect to chronic exposure</w:t>
            </w:r>
            <w:r w:rsidR="00A31C64">
              <w:t xml:space="preserve"> and mixed exposures</w:t>
            </w:r>
          </w:p>
          <w:p w14:paraId="159ED81C" w14:textId="5219C406" w:rsidR="001F2928" w:rsidRDefault="001F2928" w:rsidP="00CB46E0">
            <w:pPr>
              <w:pStyle w:val="Tabletextprimarysource"/>
              <w:numPr>
                <w:ilvl w:val="0"/>
                <w:numId w:val="1"/>
              </w:numPr>
              <w:ind w:left="717"/>
            </w:pPr>
            <w:r>
              <w:t xml:space="preserve">No change in neurophysiological parameters and psychiatric evaluations in painters (n=135) and carpenters (n=71) exposed at </w:t>
            </w:r>
            <w:r w:rsidRPr="004B0EB9">
              <w:rPr>
                <w:rFonts w:cs="Arial"/>
              </w:rPr>
              <w:t>≈</w:t>
            </w:r>
            <w:r>
              <w:t>90 ppm over 10 yr (120 exposure-months) reported in cohort study; exposures equivalent to 130</w:t>
            </w:r>
            <w:r w:rsidR="00F87903">
              <w:t>–250 exposure-months associated with increased risk of chronic encephalopathy</w:t>
            </w:r>
            <w:r w:rsidR="004B0EB9">
              <w:t xml:space="preserve">; </w:t>
            </w:r>
            <w:r>
              <w:t xml:space="preserve">NOAEC </w:t>
            </w:r>
            <w:r w:rsidRPr="004B0EB9">
              <w:rPr>
                <w:rFonts w:cs="Arial"/>
              </w:rPr>
              <w:t>≈</w:t>
            </w:r>
            <w:r>
              <w:t>90 ppm</w:t>
            </w:r>
          </w:p>
          <w:p w14:paraId="6FCEB98C" w14:textId="3B6A7D70" w:rsidR="003D20A7" w:rsidRDefault="003D20A7" w:rsidP="00CB46E0">
            <w:pPr>
              <w:pStyle w:val="Tabletextprimarysource"/>
              <w:numPr>
                <w:ilvl w:val="0"/>
                <w:numId w:val="1"/>
              </w:numPr>
              <w:ind w:left="717"/>
            </w:pPr>
            <w:r>
              <w:t>Several epidemiological studies of occupationally exposed painters associated impaired mental performance with exposure, but not considered in the evaluation due to inadequacies in the experimental design, low statistical power, or confounding mixed exposures</w:t>
            </w:r>
          </w:p>
          <w:p w14:paraId="323F716B" w14:textId="7F5AFBA3" w:rsidR="00F10E4E" w:rsidRDefault="00F10E4E" w:rsidP="00CB46E0">
            <w:pPr>
              <w:pStyle w:val="Tabletextprimarysource"/>
              <w:numPr>
                <w:ilvl w:val="0"/>
                <w:numId w:val="1"/>
              </w:numPr>
              <w:ind w:left="717"/>
            </w:pPr>
            <w:r>
              <w:t>Available epidemiological studies and a case-referent study insufficient to demonstrate causal association between increased cancer risk and occupational exposure to white spirits in painters, metal workers, construction workers and dry cleaners</w:t>
            </w:r>
          </w:p>
          <w:p w14:paraId="1B7E1F82" w14:textId="6343AA32" w:rsidR="00F10E4E" w:rsidRDefault="002F546E" w:rsidP="00CB46E0">
            <w:pPr>
              <w:pStyle w:val="Tabletextprimarysource"/>
              <w:numPr>
                <w:ilvl w:val="0"/>
                <w:numId w:val="1"/>
              </w:numPr>
              <w:ind w:left="717"/>
            </w:pPr>
            <w:r>
              <w:t>No quantitative skin permeability data available</w:t>
            </w:r>
            <w:r w:rsidR="00D82D59">
              <w:t>; however</w:t>
            </w:r>
            <w:r w:rsidR="00675572">
              <w:t>,</w:t>
            </w:r>
            <w:r w:rsidR="00D82D59">
              <w:t xml:space="preserve"> dermal penetration rate: 0.02 mg/cm</w:t>
            </w:r>
            <w:r w:rsidR="00D82D59">
              <w:rPr>
                <w:vertAlign w:val="superscript"/>
              </w:rPr>
              <w:t>2</w:t>
            </w:r>
            <w:r w:rsidR="00D82D59">
              <w:t xml:space="preserve">/h estimated from </w:t>
            </w:r>
            <w:r w:rsidR="00D82D59">
              <w:rPr>
                <w:i/>
              </w:rPr>
              <w:t>in vivo</w:t>
            </w:r>
            <w:r w:rsidR="00D82D59">
              <w:t xml:space="preserve"> human skin penetration for a variety of hydrocarbon constituents of white spirits</w:t>
            </w:r>
          </w:p>
          <w:p w14:paraId="43FF114C" w14:textId="77777777" w:rsidR="00AA3BC9" w:rsidRDefault="002F546E" w:rsidP="002F546E">
            <w:pPr>
              <w:pStyle w:val="Tabletextprimarysource"/>
            </w:pPr>
            <w:r>
              <w:t>Animal data:</w:t>
            </w:r>
          </w:p>
          <w:p w14:paraId="3CF05FA7" w14:textId="77777777" w:rsidR="002F546E" w:rsidRDefault="002F546E" w:rsidP="00CB46E0">
            <w:pPr>
              <w:pStyle w:val="Tabletextprimarysource"/>
              <w:numPr>
                <w:ilvl w:val="0"/>
                <w:numId w:val="1"/>
              </w:numPr>
              <w:ind w:left="717"/>
            </w:pPr>
            <w:r>
              <w:t>No significant differences in skin absorption between different types of white spirits</w:t>
            </w:r>
          </w:p>
          <w:p w14:paraId="2CBDA73C" w14:textId="19E5FD48" w:rsidR="002F546E" w:rsidRDefault="00AE6F7D" w:rsidP="00CB46E0">
            <w:pPr>
              <w:pStyle w:val="Tabletextprimarysource"/>
              <w:numPr>
                <w:ilvl w:val="0"/>
                <w:numId w:val="1"/>
              </w:numPr>
              <w:ind w:left="717"/>
            </w:pPr>
            <w:r>
              <w:t>Kidney lesions (males only) in subchronic inhalation study at 345, 690, and 1,292 ppm (rats, 6 h/d, 5 d/wk, 13 wk); no clinical signs of toxicity at any exposure, slight lethargy at 1,292 ppm</w:t>
            </w:r>
          </w:p>
          <w:p w14:paraId="50FBFBF7" w14:textId="35E51BF4" w:rsidR="00AE6F7D" w:rsidRDefault="00E7119C" w:rsidP="00CB46E0">
            <w:pPr>
              <w:pStyle w:val="Tabletextprimarysource"/>
              <w:numPr>
                <w:ilvl w:val="0"/>
                <w:numId w:val="1"/>
              </w:numPr>
              <w:ind w:left="717"/>
            </w:pPr>
            <w:r>
              <w:t>Transient increase in reaction times at 400 and 800 ppm</w:t>
            </w:r>
            <w:r w:rsidR="002B1361">
              <w:t xml:space="preserve"> of white spirits (18% aromatics)</w:t>
            </w:r>
            <w:r>
              <w:t xml:space="preserve"> in repeat inhalation study </w:t>
            </w:r>
            <w:r w:rsidR="005575F9">
              <w:t xml:space="preserve">(rats, 8 h/d, 3 d); </w:t>
            </w:r>
            <w:r w:rsidR="00945EDD">
              <w:t>after</w:t>
            </w:r>
            <w:r w:rsidR="005575F9">
              <w:t xml:space="preserve"> 2</w:t>
            </w:r>
            <w:r w:rsidR="005575F9" w:rsidRPr="005575F9">
              <w:rPr>
                <w:vertAlign w:val="superscript"/>
              </w:rPr>
              <w:t>nd</w:t>
            </w:r>
            <w:r w:rsidR="005575F9">
              <w:t xml:space="preserve"> exposure, reaction time effects not significant</w:t>
            </w:r>
            <w:r w:rsidR="00A03ABA">
              <w:t>:</w:t>
            </w:r>
          </w:p>
          <w:p w14:paraId="2FECE19B" w14:textId="77777777" w:rsidR="005575F9" w:rsidRDefault="005575F9" w:rsidP="00CB46E0">
            <w:pPr>
              <w:pStyle w:val="Tabletextprimarysource"/>
              <w:numPr>
                <w:ilvl w:val="1"/>
                <w:numId w:val="1"/>
              </w:numPr>
              <w:ind w:left="1080"/>
            </w:pPr>
            <w:r>
              <w:t>NOAEC 100 ppm</w:t>
            </w:r>
          </w:p>
          <w:p w14:paraId="51DE0240" w14:textId="4D45C021" w:rsidR="001A4FC7" w:rsidRDefault="00DE4F87" w:rsidP="00CB46E0">
            <w:pPr>
              <w:pStyle w:val="Tabletextprimarysource"/>
              <w:numPr>
                <w:ilvl w:val="0"/>
                <w:numId w:val="1"/>
              </w:numPr>
              <w:ind w:left="717"/>
            </w:pPr>
            <w:r>
              <w:t>Aromatic w</w:t>
            </w:r>
            <w:r w:rsidR="001A4FC7">
              <w:t xml:space="preserve">hite spirits not considered teratogenic based on equivocal </w:t>
            </w:r>
            <w:r w:rsidR="00116E45">
              <w:t xml:space="preserve">results from </w:t>
            </w:r>
            <w:r w:rsidR="001A4FC7">
              <w:t xml:space="preserve">reproductive/developmental </w:t>
            </w:r>
            <w:r w:rsidR="00116E45">
              <w:t xml:space="preserve">inhalation </w:t>
            </w:r>
            <w:r w:rsidR="001A4FC7">
              <w:t>studies</w:t>
            </w:r>
            <w:r w:rsidR="00116E45">
              <w:t xml:space="preserve"> with rats</w:t>
            </w:r>
          </w:p>
          <w:p w14:paraId="427742C0" w14:textId="4DCB3436" w:rsidR="001A4FC7" w:rsidRDefault="001A4FC7" w:rsidP="00CB46E0">
            <w:pPr>
              <w:pStyle w:val="Tabletextprimarysource"/>
              <w:numPr>
                <w:ilvl w:val="0"/>
                <w:numId w:val="1"/>
              </w:numPr>
              <w:ind w:left="717"/>
            </w:pPr>
            <w:r>
              <w:t>N</w:t>
            </w:r>
            <w:r w:rsidR="002B1361">
              <w:t xml:space="preserve">o maternal toxicity at 0, 100, and 400 ppm of white spirits (24% aromatics) in developmental study (rats, 6 h/d, GD 6–15); no effect on litter size or average foetal weight; skeletal variations at 100 and 400 ppm considered </w:t>
            </w:r>
            <w:r>
              <w:t>due to growth retardation, not malformation</w:t>
            </w:r>
          </w:p>
          <w:p w14:paraId="6488CDF1" w14:textId="0E749977" w:rsidR="001A4FC7" w:rsidRPr="00F10E4E" w:rsidRDefault="00D83938" w:rsidP="00CB46E0">
            <w:pPr>
              <w:pStyle w:val="Tabletextprimarysource"/>
              <w:numPr>
                <w:ilvl w:val="0"/>
                <w:numId w:val="1"/>
              </w:numPr>
              <w:ind w:left="717"/>
            </w:pPr>
            <w:r>
              <w:t>Equivocal evidence for carcinogenicity in chronic inhalation study with non-aromatic white spirits (mice, 6 h/d, 5 d/wk, 2 yr, also cited by DFG, 2010); combined count of adenomas and carcinomas and carcinomas alone in both males and females non-significant</w:t>
            </w:r>
          </w:p>
          <w:p w14:paraId="2C788EC4" w14:textId="057E1FC9" w:rsidR="00E559C8" w:rsidRDefault="00E559C8" w:rsidP="00CB46E0">
            <w:pPr>
              <w:pStyle w:val="Tabletextprimarysource"/>
              <w:numPr>
                <w:ilvl w:val="0"/>
                <w:numId w:val="1"/>
              </w:numPr>
              <w:ind w:left="717"/>
            </w:pPr>
            <w:r>
              <w:lastRenderedPageBreak/>
              <w:t>Overall, white spirits considered non-mutagenic</w:t>
            </w:r>
            <w:r w:rsidR="00A95578">
              <w:t>:</w:t>
            </w:r>
          </w:p>
          <w:p w14:paraId="7E0CDDAA" w14:textId="52960E60" w:rsidR="00152CA9" w:rsidRDefault="00675572" w:rsidP="00CB46E0">
            <w:pPr>
              <w:pStyle w:val="Tabletextprimarysource"/>
              <w:numPr>
                <w:ilvl w:val="1"/>
                <w:numId w:val="1"/>
              </w:numPr>
              <w:ind w:left="1080"/>
            </w:pPr>
            <w:r>
              <w:t xml:space="preserve">negative results </w:t>
            </w:r>
            <w:r w:rsidR="00707DF9">
              <w:t xml:space="preserve">for studies using </w:t>
            </w:r>
            <w:r w:rsidR="00E559C8">
              <w:t xml:space="preserve">non-aromatic white spirits </w:t>
            </w:r>
            <w:r w:rsidR="00F10E4E">
              <w:rPr>
                <w:i/>
              </w:rPr>
              <w:t>in vitro</w:t>
            </w:r>
            <w:r w:rsidR="00F10E4E">
              <w:t xml:space="preserve"> in bacteria, and </w:t>
            </w:r>
            <w:r w:rsidR="00F10E4E">
              <w:rPr>
                <w:i/>
              </w:rPr>
              <w:t>in vivo</w:t>
            </w:r>
            <w:r w:rsidR="00F10E4E">
              <w:t xml:space="preserve"> </w:t>
            </w:r>
            <w:r w:rsidR="00E559C8">
              <w:t>in mammalian assays, including micronucleus assay following inhalational exposure (mice, 3 mo, no further exposure details provided)</w:t>
            </w:r>
          </w:p>
          <w:p w14:paraId="647FF6CF" w14:textId="61B26718" w:rsidR="00E559C8" w:rsidRDefault="00E559C8">
            <w:pPr>
              <w:pStyle w:val="Tabletextprimarysource"/>
              <w:numPr>
                <w:ilvl w:val="1"/>
                <w:numId w:val="1"/>
              </w:numPr>
              <w:ind w:left="1080"/>
            </w:pPr>
            <w:r>
              <w:t xml:space="preserve">positive mutagenicity </w:t>
            </w:r>
            <w:r w:rsidR="00707DF9">
              <w:t xml:space="preserve">reported for aromatic white spirits </w:t>
            </w:r>
            <w:r>
              <w:t xml:space="preserve">in </w:t>
            </w:r>
            <w:r>
              <w:rPr>
                <w:i/>
              </w:rPr>
              <w:t xml:space="preserve">in vitro </w:t>
            </w:r>
            <w:r>
              <w:t>assay with mammalian cells with or without metabolic activation at cytotoxic concentrations</w:t>
            </w:r>
            <w:r w:rsidR="00C54C55">
              <w:t>.</w:t>
            </w:r>
          </w:p>
          <w:p w14:paraId="153B53C1" w14:textId="7BF0EB4E" w:rsidR="00591F12" w:rsidRPr="00DA352E" w:rsidRDefault="00591F12" w:rsidP="00CB46E0">
            <w:pPr>
              <w:pStyle w:val="Tabletextprimarysource"/>
            </w:pPr>
          </w:p>
        </w:tc>
      </w:tr>
      <w:tr w:rsidR="00DA352E" w:rsidRPr="00DA352E" w14:paraId="12BAB90D" w14:textId="77777777" w:rsidTr="00E9190A">
        <w:trPr>
          <w:gridAfter w:val="1"/>
          <w:wAfter w:w="8" w:type="pct"/>
          <w:cantSplit/>
        </w:trPr>
        <w:tc>
          <w:tcPr>
            <w:tcW w:w="4992" w:type="pct"/>
            <w:shd w:val="clear" w:color="auto" w:fill="F2F2F2" w:themeFill="background1" w:themeFillShade="F2"/>
          </w:tcPr>
          <w:p w14:paraId="0D806BF8" w14:textId="03FDE236" w:rsidR="00DA352E" w:rsidRPr="00DA352E" w:rsidRDefault="00DA352E" w:rsidP="0051509C">
            <w:pPr>
              <w:pStyle w:val="Tablerowheadingitalic"/>
              <w:tabs>
                <w:tab w:val="clear" w:pos="2268"/>
                <w:tab w:val="clear" w:pos="5670"/>
                <w:tab w:val="left" w:pos="1418"/>
                <w:tab w:val="left" w:pos="2552"/>
              </w:tabs>
            </w:pPr>
            <w:r w:rsidRPr="00DA352E">
              <w:lastRenderedPageBreak/>
              <w:t>OARS/AIHA</w:t>
            </w:r>
            <w:r w:rsidR="00916EC0" w:rsidRPr="003365A5">
              <w:t xml:space="preserve"> </w:t>
            </w:r>
            <w:r w:rsidR="00916EC0" w:rsidRPr="003365A5">
              <w:tab/>
            </w:r>
            <w:sdt>
              <w:sdtPr>
                <w:id w:val="-936748013"/>
                <w:placeholder>
                  <w:docPart w:val="47E4EC2DB10B4B8E8A66F7A5C13653CB"/>
                </w:placeholder>
                <w:text/>
              </w:sdtPr>
              <w:sdtEndPr/>
              <w:sdtContent>
                <w:r w:rsidR="009963DA">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9963DA">
                  <w:t>NA</w:t>
                </w:r>
              </w:sdtContent>
            </w:sdt>
          </w:p>
        </w:tc>
      </w:tr>
      <w:tr w:rsidR="00DA352E" w:rsidRPr="00DA352E" w14:paraId="33AAF4A6" w14:textId="77777777" w:rsidTr="00E9190A">
        <w:trPr>
          <w:gridAfter w:val="1"/>
          <w:wAfter w:w="8" w:type="pct"/>
          <w:cantSplit/>
        </w:trPr>
        <w:tc>
          <w:tcPr>
            <w:tcW w:w="4992" w:type="pct"/>
          </w:tcPr>
          <w:p w14:paraId="2059E4CB" w14:textId="26A4DDB8" w:rsidR="00DA352E" w:rsidRPr="00DA352E" w:rsidRDefault="009963DA" w:rsidP="003365A5">
            <w:pPr>
              <w:pStyle w:val="Tabletextprimarysource"/>
            </w:pPr>
            <w:r>
              <w:t>No report</w:t>
            </w:r>
            <w:r w:rsidR="00AB06CE">
              <w:t>.</w:t>
            </w:r>
          </w:p>
        </w:tc>
      </w:tr>
      <w:tr w:rsidR="00DA352E" w:rsidRPr="00DA352E" w14:paraId="605F758C" w14:textId="77777777" w:rsidTr="00E9190A">
        <w:trPr>
          <w:gridAfter w:val="1"/>
          <w:wAfter w:w="8" w:type="pct"/>
          <w:cantSplit/>
        </w:trPr>
        <w:tc>
          <w:tcPr>
            <w:tcW w:w="4992" w:type="pct"/>
            <w:shd w:val="clear" w:color="auto" w:fill="F2F2F2" w:themeFill="background1" w:themeFillShade="F2"/>
          </w:tcPr>
          <w:p w14:paraId="407840EC" w14:textId="0D7A0DD8"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9963DA">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9963DA">
                  <w:t>NA</w:t>
                </w:r>
              </w:sdtContent>
            </w:sdt>
          </w:p>
        </w:tc>
      </w:tr>
      <w:tr w:rsidR="00DA352E" w:rsidRPr="00DA352E" w14:paraId="7050CB3E" w14:textId="77777777" w:rsidTr="00E9190A">
        <w:trPr>
          <w:gridAfter w:val="1"/>
          <w:wAfter w:w="8" w:type="pct"/>
          <w:cantSplit/>
        </w:trPr>
        <w:tc>
          <w:tcPr>
            <w:tcW w:w="4992" w:type="pct"/>
          </w:tcPr>
          <w:p w14:paraId="492D7791" w14:textId="6AB46C1F" w:rsidR="00DA352E" w:rsidRPr="00DA352E" w:rsidRDefault="009963DA" w:rsidP="003365A5">
            <w:pPr>
              <w:pStyle w:val="Tabletextprimarysource"/>
            </w:pPr>
            <w:r>
              <w:t>No report</w:t>
            </w:r>
            <w:r w:rsidR="00AB06CE">
              <w:t>.</w:t>
            </w:r>
          </w:p>
        </w:tc>
      </w:tr>
    </w:tbl>
    <w:p w14:paraId="6691F3FF"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87"/>
        <w:gridCol w:w="421"/>
        <w:gridCol w:w="661"/>
        <w:gridCol w:w="6457"/>
      </w:tblGrid>
      <w:tr w:rsidR="004966BF" w:rsidRPr="00263255" w14:paraId="6AE89AB3" w14:textId="77777777" w:rsidTr="00E9190A">
        <w:trPr>
          <w:cnfStyle w:val="100000000000" w:firstRow="1" w:lastRow="0" w:firstColumn="0" w:lastColumn="0" w:oddVBand="0" w:evenVBand="0" w:oddHBand="0" w:evenHBand="0" w:firstRowFirstColumn="0" w:firstRowLastColumn="0" w:lastRowFirstColumn="0" w:lastRowLastColumn="0"/>
          <w:cantSplit/>
          <w:trHeight w:val="393"/>
          <w:tblHeader/>
        </w:trPr>
        <w:tc>
          <w:tcPr>
            <w:tcW w:w="1487" w:type="dxa"/>
            <w:shd w:val="clear" w:color="auto" w:fill="BFBFBF" w:themeFill="background1" w:themeFillShade="BF"/>
            <w:vAlign w:val="center"/>
          </w:tcPr>
          <w:p w14:paraId="084A5BD3" w14:textId="77777777" w:rsidR="004966BF" w:rsidRPr="00263255" w:rsidRDefault="004966BF" w:rsidP="00263255">
            <w:pPr>
              <w:pStyle w:val="Tableheader"/>
            </w:pPr>
            <w:r w:rsidRPr="00263255">
              <w:t>Source</w:t>
            </w:r>
          </w:p>
        </w:tc>
        <w:tc>
          <w:tcPr>
            <w:tcW w:w="421" w:type="dxa"/>
            <w:shd w:val="clear" w:color="auto" w:fill="BFBFBF" w:themeFill="background1" w:themeFillShade="BF"/>
            <w:vAlign w:val="center"/>
          </w:tcPr>
          <w:p w14:paraId="27B16D7E" w14:textId="77777777" w:rsidR="004966BF" w:rsidRPr="00263255" w:rsidRDefault="004966BF" w:rsidP="00263255">
            <w:pPr>
              <w:pStyle w:val="Tableheader"/>
            </w:pPr>
          </w:p>
        </w:tc>
        <w:tc>
          <w:tcPr>
            <w:tcW w:w="661" w:type="dxa"/>
            <w:shd w:val="clear" w:color="auto" w:fill="BFBFBF" w:themeFill="background1" w:themeFillShade="BF"/>
            <w:vAlign w:val="center"/>
          </w:tcPr>
          <w:p w14:paraId="5CC24B52" w14:textId="77777777" w:rsidR="004966BF" w:rsidRPr="00263255" w:rsidRDefault="004966BF" w:rsidP="00263255">
            <w:pPr>
              <w:pStyle w:val="Tableheader"/>
            </w:pPr>
            <w:r>
              <w:t>Year</w:t>
            </w:r>
          </w:p>
        </w:tc>
        <w:tc>
          <w:tcPr>
            <w:tcW w:w="6457" w:type="dxa"/>
            <w:shd w:val="clear" w:color="auto" w:fill="BFBFBF" w:themeFill="background1" w:themeFillShade="BF"/>
            <w:vAlign w:val="center"/>
          </w:tcPr>
          <w:p w14:paraId="24D06CBF" w14:textId="77777777" w:rsidR="004966BF" w:rsidRPr="00263255" w:rsidRDefault="004966BF" w:rsidP="00263255">
            <w:pPr>
              <w:pStyle w:val="Tableheader"/>
            </w:pPr>
            <w:r>
              <w:t>Additional information</w:t>
            </w:r>
          </w:p>
        </w:tc>
      </w:tr>
      <w:tr w:rsidR="004966BF" w:rsidRPr="004C23F4" w14:paraId="67214C13" w14:textId="77777777" w:rsidTr="00E9190A">
        <w:trPr>
          <w:cantSplit/>
        </w:trPr>
        <w:tc>
          <w:tcPr>
            <w:tcW w:w="1487" w:type="dxa"/>
          </w:tcPr>
          <w:p w14:paraId="4B3B2A83" w14:textId="77777777" w:rsidR="004966BF" w:rsidRPr="004C23F4" w:rsidRDefault="004966BF" w:rsidP="00224EE2">
            <w:pPr>
              <w:pStyle w:val="Tablefont"/>
            </w:pPr>
            <w:r>
              <w:t>NICNAS</w:t>
            </w:r>
          </w:p>
        </w:tc>
        <w:tc>
          <w:tcPr>
            <w:tcW w:w="421" w:type="dxa"/>
          </w:tcPr>
          <w:p w14:paraId="37DAB09E" w14:textId="5CAE69CC" w:rsidR="004966BF" w:rsidRPr="00CE617F" w:rsidRDefault="00E9190A"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A4087C">
                  <w:rPr>
                    <w:rStyle w:val="checkbox"/>
                  </w:rPr>
                  <w:t></w:t>
                </w:r>
              </w:sdtContent>
            </w:sdt>
          </w:p>
        </w:tc>
        <w:tc>
          <w:tcPr>
            <w:tcW w:w="661" w:type="dxa"/>
          </w:tcPr>
          <w:p w14:paraId="5BB66CBF" w14:textId="5F12CA64" w:rsidR="004966BF" w:rsidRPr="004C23F4" w:rsidRDefault="00A4087C" w:rsidP="00717D45">
            <w:pPr>
              <w:pStyle w:val="Tablefont"/>
              <w:rPr>
                <w:rStyle w:val="checkbox"/>
                <w:rFonts w:ascii="Arial" w:hAnsi="Arial" w:cs="Arial"/>
              </w:rPr>
            </w:pPr>
            <w:r>
              <w:rPr>
                <w:rStyle w:val="checkbox"/>
                <w:rFonts w:ascii="Arial" w:hAnsi="Arial" w:cs="Arial"/>
              </w:rPr>
              <w:t>2015</w:t>
            </w:r>
          </w:p>
        </w:tc>
        <w:tc>
          <w:tcPr>
            <w:tcW w:w="6457" w:type="dxa"/>
          </w:tcPr>
          <w:p w14:paraId="712F8E2C" w14:textId="0BD06090" w:rsidR="004966BF" w:rsidRPr="00A4087C" w:rsidRDefault="00A4087C" w:rsidP="00CB46E0">
            <w:pPr>
              <w:pStyle w:val="Tablefont"/>
              <w:numPr>
                <w:ilvl w:val="0"/>
                <w:numId w:val="1"/>
              </w:numPr>
              <w:spacing w:before="60" w:after="60"/>
              <w:ind w:left="717"/>
              <w:rPr>
                <w:rFonts w:cs="Arial"/>
                <w:color w:val="262626"/>
              </w:rPr>
            </w:pPr>
            <w:r>
              <w:rPr>
                <w:rStyle w:val="checkbox"/>
                <w:rFonts w:ascii="Arial" w:hAnsi="Arial" w:cs="Arial"/>
                <w:color w:val="262626"/>
              </w:rPr>
              <w:t xml:space="preserve">Grouped assessment of white spirits type 1–3, chemicals in this groups are </w:t>
            </w:r>
            <w:r w:rsidRPr="00A4087C">
              <w:rPr>
                <w:rFonts w:cs="Arial"/>
                <w:color w:val="262626"/>
              </w:rPr>
              <w:t>unknown or variable compositions, complex reaction products and biological materials (UVCB) containing aliphatic and aromatic hydrocarbons</w:t>
            </w:r>
          </w:p>
          <w:p w14:paraId="6090AD47" w14:textId="4DE91943" w:rsidR="00DF4CCD" w:rsidRDefault="00A4087C" w:rsidP="00CB46E0">
            <w:pPr>
              <w:pStyle w:val="Tablefont"/>
              <w:numPr>
                <w:ilvl w:val="0"/>
                <w:numId w:val="1"/>
              </w:numPr>
              <w:spacing w:before="60" w:after="60"/>
              <w:ind w:left="717"/>
              <w:rPr>
                <w:rFonts w:cs="Arial"/>
              </w:rPr>
            </w:pPr>
            <w:r>
              <w:rPr>
                <w:rFonts w:cs="Arial"/>
              </w:rPr>
              <w:t>Up to 25% a</w:t>
            </w:r>
            <w:r w:rsidRPr="00A4087C">
              <w:rPr>
                <w:rFonts w:cs="Arial"/>
              </w:rPr>
              <w:t xml:space="preserve">romatic content </w:t>
            </w:r>
            <w:r>
              <w:rPr>
                <w:rFonts w:cs="Arial"/>
              </w:rPr>
              <w:t>when refined</w:t>
            </w:r>
            <w:r w:rsidRPr="00A4087C">
              <w:rPr>
                <w:rFonts w:cs="Arial"/>
              </w:rPr>
              <w:t xml:space="preserve"> </w:t>
            </w:r>
            <w:r>
              <w:rPr>
                <w:rFonts w:cs="Arial"/>
              </w:rPr>
              <w:t xml:space="preserve">for cosmetic/domestic uses </w:t>
            </w:r>
            <w:r w:rsidRPr="00A4087C">
              <w:rPr>
                <w:rFonts w:cs="Arial"/>
              </w:rPr>
              <w:t xml:space="preserve">with expected benzene </w:t>
            </w:r>
            <w:r w:rsidR="00DF4CCD">
              <w:rPr>
                <w:rFonts w:cs="Arial"/>
              </w:rPr>
              <w:t>content &lt;</w:t>
            </w:r>
            <w:r w:rsidRPr="00A4087C">
              <w:rPr>
                <w:rFonts w:cs="Arial"/>
              </w:rPr>
              <w:t>1%</w:t>
            </w:r>
            <w:r w:rsidR="007D404D">
              <w:rPr>
                <w:rFonts w:cs="Arial"/>
              </w:rPr>
              <w:t>:</w:t>
            </w:r>
            <w:r w:rsidRPr="00A4087C">
              <w:rPr>
                <w:rFonts w:cs="Arial"/>
              </w:rPr>
              <w:t xml:space="preserve"> </w:t>
            </w:r>
          </w:p>
          <w:p w14:paraId="5599B8A7" w14:textId="625BB4EF" w:rsidR="00DF4CCD" w:rsidRDefault="00A4087C" w:rsidP="00CB46E0">
            <w:pPr>
              <w:pStyle w:val="Tablefont"/>
              <w:numPr>
                <w:ilvl w:val="1"/>
                <w:numId w:val="1"/>
              </w:numPr>
              <w:spacing w:before="60" w:after="60"/>
              <w:ind w:left="1080"/>
              <w:rPr>
                <w:rFonts w:cs="Arial"/>
              </w:rPr>
            </w:pPr>
            <w:r w:rsidRPr="00A4087C">
              <w:rPr>
                <w:rFonts w:cs="Arial"/>
              </w:rPr>
              <w:t xml:space="preserve">in petroleum naphtha refinery streams, benzene content </w:t>
            </w:r>
            <w:r w:rsidR="00DF4CCD">
              <w:rPr>
                <w:rFonts w:cs="Arial"/>
              </w:rPr>
              <w:t>is</w:t>
            </w:r>
            <w:r w:rsidRPr="00A4087C">
              <w:rPr>
                <w:rFonts w:cs="Arial"/>
              </w:rPr>
              <w:t xml:space="preserve"> 1% </w:t>
            </w:r>
          </w:p>
          <w:p w14:paraId="0E984992" w14:textId="027B0AF1" w:rsidR="00DF4CCD" w:rsidRPr="00DF4CCD" w:rsidRDefault="00DF4CCD" w:rsidP="00CB46E0">
            <w:pPr>
              <w:pStyle w:val="Tablefont"/>
              <w:numPr>
                <w:ilvl w:val="0"/>
                <w:numId w:val="1"/>
              </w:numPr>
              <w:spacing w:before="60" w:after="60"/>
              <w:ind w:left="717"/>
              <w:rPr>
                <w:rFonts w:cs="Arial"/>
              </w:rPr>
            </w:pPr>
            <w:r>
              <w:rPr>
                <w:rFonts w:cs="Arial"/>
                <w:color w:val="262626"/>
              </w:rPr>
              <w:t xml:space="preserve">Classified as category 1 carcinogen and mutagen based on benzene content; however, if shown that the benzene content &lt;0.1% w/w, this classification is </w:t>
            </w:r>
            <w:r w:rsidR="00C54C55">
              <w:rPr>
                <w:rFonts w:cs="Arial"/>
                <w:color w:val="262626"/>
              </w:rPr>
              <w:t xml:space="preserve">not </w:t>
            </w:r>
            <w:r>
              <w:rPr>
                <w:rFonts w:cs="Arial"/>
                <w:color w:val="262626"/>
              </w:rPr>
              <w:t>applicable</w:t>
            </w:r>
            <w:r w:rsidR="007D404D">
              <w:rPr>
                <w:rFonts w:cs="Arial"/>
                <w:color w:val="262626"/>
              </w:rPr>
              <w:t>:</w:t>
            </w:r>
          </w:p>
          <w:p w14:paraId="1E12C9F0" w14:textId="5B01F6B1" w:rsidR="00DF4CCD" w:rsidRPr="00DF4CCD" w:rsidRDefault="00DF4CCD" w:rsidP="00CB46E0">
            <w:pPr>
              <w:pStyle w:val="Tablefont"/>
              <w:numPr>
                <w:ilvl w:val="1"/>
                <w:numId w:val="1"/>
              </w:numPr>
              <w:spacing w:before="60" w:after="60"/>
              <w:ind w:left="1080"/>
              <w:rPr>
                <w:rFonts w:cs="Arial"/>
              </w:rPr>
            </w:pPr>
            <w:r>
              <w:rPr>
                <w:rFonts w:cs="Arial"/>
                <w:color w:val="262626"/>
              </w:rPr>
              <w:t>benzene content of refined forms is typically below threshold for mutagenicity and carcinogenicity classification</w:t>
            </w:r>
          </w:p>
          <w:p w14:paraId="38BF163C" w14:textId="0C6B2846" w:rsidR="00DF4CCD" w:rsidRPr="00A4087C" w:rsidRDefault="00DF4CCD" w:rsidP="00CB46E0">
            <w:pPr>
              <w:pStyle w:val="Tablefont"/>
              <w:numPr>
                <w:ilvl w:val="1"/>
                <w:numId w:val="1"/>
              </w:numPr>
              <w:spacing w:before="60" w:after="60"/>
              <w:ind w:left="1080"/>
              <w:rPr>
                <w:rFonts w:cs="Arial"/>
              </w:rPr>
            </w:pPr>
            <w:r>
              <w:rPr>
                <w:rFonts w:cs="Arial"/>
                <w:color w:val="262626"/>
              </w:rPr>
              <w:t>benzene content of unrefined forms is above this threshold</w:t>
            </w:r>
          </w:p>
          <w:p w14:paraId="1F449FA3" w14:textId="32E6C020" w:rsidR="00CF2ECB" w:rsidRDefault="00CF2ECB" w:rsidP="00CB46E0">
            <w:pPr>
              <w:pStyle w:val="Tablefont"/>
              <w:numPr>
                <w:ilvl w:val="0"/>
                <w:numId w:val="1"/>
              </w:numPr>
              <w:spacing w:before="60" w:after="60"/>
              <w:ind w:left="717"/>
              <w:rPr>
                <w:rFonts w:cs="Arial"/>
              </w:rPr>
            </w:pPr>
            <w:r>
              <w:rPr>
                <w:rFonts w:cs="Arial"/>
              </w:rPr>
              <w:t>LOAEL: 500 mg/kg/d for haematological changes with white spirit type 2 (composition not specified) in repeat dermal application study (rats, 28 d)</w:t>
            </w:r>
          </w:p>
          <w:p w14:paraId="6888C2B4" w14:textId="534144B7" w:rsidR="00CB46E0" w:rsidRDefault="00CF2ECB">
            <w:pPr>
              <w:pStyle w:val="Tablefont"/>
              <w:numPr>
                <w:ilvl w:val="0"/>
                <w:numId w:val="1"/>
              </w:numPr>
              <w:spacing w:before="60" w:after="60"/>
              <w:ind w:left="717"/>
              <w:rPr>
                <w:rFonts w:cs="Arial"/>
              </w:rPr>
            </w:pPr>
            <w:r>
              <w:rPr>
                <w:rFonts w:cs="Arial"/>
              </w:rPr>
              <w:t>LOAEL: 200 mg/kg/d for decreased growth rate for unrefined substance (composition not specified) in repeat dermal application study (rabbits, 28–90 d)</w:t>
            </w:r>
            <w:r w:rsidR="007D404D">
              <w:rPr>
                <w:rFonts w:cs="Arial"/>
              </w:rPr>
              <w:t>:</w:t>
            </w:r>
            <w:r>
              <w:rPr>
                <w:rFonts w:cs="Arial"/>
              </w:rPr>
              <w:t xml:space="preserve"> </w:t>
            </w:r>
          </w:p>
          <w:p w14:paraId="0076C2F1" w14:textId="51634632" w:rsidR="00A4087C" w:rsidRPr="00CF2ECB" w:rsidRDefault="00CF2ECB" w:rsidP="00CB46E0">
            <w:pPr>
              <w:pStyle w:val="Tablefont"/>
              <w:numPr>
                <w:ilvl w:val="0"/>
                <w:numId w:val="4"/>
              </w:numPr>
              <w:spacing w:before="60" w:after="60"/>
              <w:rPr>
                <w:rStyle w:val="checkbox"/>
                <w:rFonts w:ascii="Arial" w:hAnsi="Arial" w:cs="Arial"/>
              </w:rPr>
            </w:pPr>
            <w:r>
              <w:rPr>
                <w:rFonts w:cs="Arial"/>
              </w:rPr>
              <w:t>increased mortality at 1,000 mg/kg/d</w:t>
            </w:r>
            <w:r w:rsidR="00A0724E">
              <w:rPr>
                <w:rFonts w:cs="Arial"/>
              </w:rPr>
              <w:t>.</w:t>
            </w:r>
          </w:p>
        </w:tc>
      </w:tr>
      <w:tr w:rsidR="004966BF" w:rsidRPr="004C23F4" w14:paraId="04FEEADE" w14:textId="77777777" w:rsidTr="00E9190A">
        <w:trPr>
          <w:cantSplit/>
        </w:trPr>
        <w:tc>
          <w:tcPr>
            <w:tcW w:w="1487" w:type="dxa"/>
          </w:tcPr>
          <w:p w14:paraId="0AEF458D" w14:textId="77777777" w:rsidR="004966BF" w:rsidRPr="004C23F4" w:rsidRDefault="004966BF" w:rsidP="00224EE2">
            <w:pPr>
              <w:pStyle w:val="Tablefont"/>
            </w:pPr>
            <w:r>
              <w:t>IARC</w:t>
            </w:r>
          </w:p>
        </w:tc>
        <w:tc>
          <w:tcPr>
            <w:tcW w:w="421" w:type="dxa"/>
          </w:tcPr>
          <w:p w14:paraId="184BEF97" w14:textId="45C6E8EB" w:rsidR="004966BF" w:rsidRPr="00CE617F" w:rsidRDefault="00E9190A" w:rsidP="00AB43C4">
            <w:pPr>
              <w:spacing w:before="40"/>
              <w:jc w:val="center"/>
              <w:rPr>
                <w:rStyle w:val="checkbox"/>
              </w:rPr>
            </w:pPr>
            <w:sdt>
              <w:sdtPr>
                <w:rPr>
                  <w:rStyle w:val="checkbox"/>
                </w:rPr>
                <w:id w:val="1592279139"/>
                <w:placeholder>
                  <w:docPart w:val="20BC8D26515A4C11AC6304FB75A7CBAD"/>
                </w:placeholder>
                <w:dropDownList>
                  <w:listItem w:displayText="" w:value=""/>
                  <w:listItem w:displayText="" w:value=""/>
                  <w:listItem w:displayText="" w:value=""/>
                </w:dropDownList>
              </w:sdtPr>
              <w:sdtEndPr>
                <w:rPr>
                  <w:rStyle w:val="checkbox"/>
                </w:rPr>
              </w:sdtEndPr>
              <w:sdtContent>
                <w:r w:rsidR="00CF2ECB">
                  <w:rPr>
                    <w:rStyle w:val="checkbox"/>
                  </w:rPr>
                  <w:t></w:t>
                </w:r>
              </w:sdtContent>
            </w:sdt>
          </w:p>
        </w:tc>
        <w:tc>
          <w:tcPr>
            <w:tcW w:w="661" w:type="dxa"/>
          </w:tcPr>
          <w:p w14:paraId="343344A1" w14:textId="41B42EF8" w:rsidR="004966BF" w:rsidRPr="004C23F4" w:rsidRDefault="00CF2ECB" w:rsidP="00717D45">
            <w:pPr>
              <w:pStyle w:val="Tablefont"/>
              <w:rPr>
                <w:rStyle w:val="checkbox"/>
                <w:rFonts w:ascii="Arial" w:hAnsi="Arial" w:cs="Arial"/>
              </w:rPr>
            </w:pPr>
            <w:r>
              <w:rPr>
                <w:rStyle w:val="checkbox"/>
                <w:rFonts w:ascii="Arial" w:hAnsi="Arial" w:cs="Arial"/>
              </w:rPr>
              <w:t>1989</w:t>
            </w:r>
          </w:p>
        </w:tc>
        <w:tc>
          <w:tcPr>
            <w:tcW w:w="6457" w:type="dxa"/>
          </w:tcPr>
          <w:p w14:paraId="575DEB03" w14:textId="0D45BAD6" w:rsidR="004966BF" w:rsidRPr="00CF2ECB" w:rsidRDefault="00CF2ECB" w:rsidP="00707DF9">
            <w:pPr>
              <w:pStyle w:val="Tablefont"/>
              <w:numPr>
                <w:ilvl w:val="0"/>
                <w:numId w:val="1"/>
              </w:numPr>
              <w:spacing w:before="60" w:after="60"/>
              <w:ind w:left="717"/>
              <w:rPr>
                <w:rStyle w:val="checkbox"/>
                <w:rFonts w:ascii="Arial" w:hAnsi="Arial" w:cs="Arial"/>
              </w:rPr>
            </w:pPr>
            <w:r w:rsidRPr="00CF2ECB">
              <w:rPr>
                <w:rStyle w:val="checkbox"/>
                <w:rFonts w:ascii="Arial" w:hAnsi="Arial" w:cs="Arial"/>
              </w:rPr>
              <w:t>Grouped assessment as petroleum solvents</w:t>
            </w:r>
            <w:r w:rsidR="00707DF9">
              <w:rPr>
                <w:rStyle w:val="checkbox"/>
                <w:rFonts w:ascii="Arial" w:hAnsi="Arial" w:cs="Arial"/>
              </w:rPr>
              <w:t>. A</w:t>
            </w:r>
            <w:r w:rsidRPr="00CF2ECB">
              <w:rPr>
                <w:rStyle w:val="checkbox"/>
                <w:rFonts w:ascii="Arial" w:hAnsi="Arial" w:cs="Arial"/>
              </w:rPr>
              <w:t>vailable epidemiological data and chronic animal studies provide inadequate evidence for carcinogenicity in humans due to mixed exposures, small study sizes and, in the case of animals, short study durations</w:t>
            </w:r>
            <w:r w:rsidR="007D404D">
              <w:rPr>
                <w:rStyle w:val="checkbox"/>
                <w:rFonts w:ascii="Arial" w:hAnsi="Arial" w:cs="Arial"/>
              </w:rPr>
              <w:t>:</w:t>
            </w:r>
          </w:p>
          <w:p w14:paraId="2DDCA6FC" w14:textId="41B13DC9" w:rsidR="00CF2ECB" w:rsidRPr="00CF2ECB" w:rsidRDefault="00CF2ECB" w:rsidP="00CB46E0">
            <w:pPr>
              <w:pStyle w:val="Tablefont"/>
              <w:numPr>
                <w:ilvl w:val="1"/>
                <w:numId w:val="1"/>
              </w:numPr>
              <w:spacing w:before="60" w:after="60"/>
              <w:ind w:left="1080"/>
              <w:rPr>
                <w:rStyle w:val="checkbox"/>
                <w:rFonts w:ascii="Arial" w:hAnsi="Arial" w:cs="Arial"/>
              </w:rPr>
            </w:pPr>
            <w:r w:rsidRPr="00CF2ECB">
              <w:rPr>
                <w:rStyle w:val="checkbox"/>
                <w:rFonts w:ascii="Arial" w:hAnsi="Arial" w:cs="Arial"/>
              </w:rPr>
              <w:t>classified as Group 3</w:t>
            </w:r>
            <w:r w:rsidR="00A0724E">
              <w:rPr>
                <w:rStyle w:val="checkbox"/>
                <w:rFonts w:ascii="Arial" w:hAnsi="Arial" w:cs="Arial"/>
              </w:rPr>
              <w:t>.</w:t>
            </w:r>
          </w:p>
        </w:tc>
      </w:tr>
      <w:tr w:rsidR="004966BF" w:rsidRPr="004C23F4" w14:paraId="20C4323A" w14:textId="77777777" w:rsidTr="00E9190A">
        <w:trPr>
          <w:cantSplit/>
        </w:trPr>
        <w:tc>
          <w:tcPr>
            <w:tcW w:w="1487" w:type="dxa"/>
          </w:tcPr>
          <w:p w14:paraId="76D0E357" w14:textId="77777777" w:rsidR="004966BF" w:rsidRDefault="004966BF" w:rsidP="00224EE2">
            <w:pPr>
              <w:pStyle w:val="Tablefont"/>
            </w:pPr>
            <w:r>
              <w:t>US NIOSH</w:t>
            </w:r>
          </w:p>
        </w:tc>
        <w:tc>
          <w:tcPr>
            <w:tcW w:w="421" w:type="dxa"/>
          </w:tcPr>
          <w:p w14:paraId="46AE65C2" w14:textId="0755B173" w:rsidR="004966BF" w:rsidRDefault="00E9190A"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152CA9">
                  <w:rPr>
                    <w:rStyle w:val="checkbox"/>
                  </w:rPr>
                  <w:t></w:t>
                </w:r>
              </w:sdtContent>
            </w:sdt>
          </w:p>
        </w:tc>
        <w:tc>
          <w:tcPr>
            <w:tcW w:w="661" w:type="dxa"/>
          </w:tcPr>
          <w:p w14:paraId="2B82A5B6" w14:textId="4733E7D6" w:rsidR="004966BF" w:rsidRPr="004C23F4" w:rsidRDefault="00152CA9" w:rsidP="00717D45">
            <w:pPr>
              <w:pStyle w:val="Tablefont"/>
              <w:rPr>
                <w:rStyle w:val="checkbox"/>
                <w:rFonts w:ascii="Arial" w:hAnsi="Arial" w:cs="Arial"/>
              </w:rPr>
            </w:pPr>
            <w:r>
              <w:rPr>
                <w:rStyle w:val="checkbox"/>
                <w:rFonts w:ascii="Arial" w:hAnsi="Arial" w:cs="Arial"/>
              </w:rPr>
              <w:t>1994</w:t>
            </w:r>
          </w:p>
        </w:tc>
        <w:tc>
          <w:tcPr>
            <w:tcW w:w="6457" w:type="dxa"/>
          </w:tcPr>
          <w:p w14:paraId="4E1BEF9D" w14:textId="7986510C" w:rsidR="004966BF" w:rsidRPr="004C23F4" w:rsidRDefault="00152CA9" w:rsidP="007D404D">
            <w:pPr>
              <w:pStyle w:val="Tablefont"/>
              <w:numPr>
                <w:ilvl w:val="0"/>
                <w:numId w:val="5"/>
              </w:numPr>
              <w:rPr>
                <w:rStyle w:val="checkbox"/>
                <w:rFonts w:ascii="Arial" w:hAnsi="Arial" w:cs="Arial"/>
              </w:rPr>
            </w:pPr>
            <w:r w:rsidRPr="00152CA9">
              <w:rPr>
                <w:rFonts w:cs="Arial"/>
                <w:i/>
              </w:rPr>
              <w:t>Stoddard solvent</w:t>
            </w:r>
            <w:r>
              <w:rPr>
                <w:rFonts w:cs="Arial"/>
              </w:rPr>
              <w:t>:</w:t>
            </w:r>
            <w:r w:rsidRPr="00152CA9">
              <w:rPr>
                <w:rFonts w:cs="Arial"/>
              </w:rPr>
              <w:t xml:space="preserve"> IDLH based on acute inhalation toxicity data in humans</w:t>
            </w:r>
            <w:r>
              <w:rPr>
                <w:rFonts w:cs="Arial"/>
              </w:rPr>
              <w:t>.</w:t>
            </w:r>
          </w:p>
        </w:tc>
      </w:tr>
    </w:tbl>
    <w:bookmarkEnd w:id="0"/>
    <w:p w14:paraId="04408E29" w14:textId="77777777" w:rsidR="007E2A4B" w:rsidRDefault="007E2A4B" w:rsidP="007E2A4B">
      <w:pPr>
        <w:pStyle w:val="Heading3"/>
      </w:pPr>
      <w:r>
        <w:lastRenderedPageBreak/>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328EBB70" w14:textId="77777777" w:rsidTr="00E559C8">
        <w:trPr>
          <w:trHeight w:val="454"/>
          <w:tblHeader/>
        </w:trPr>
        <w:tc>
          <w:tcPr>
            <w:tcW w:w="6603" w:type="dxa"/>
            <w:vAlign w:val="center"/>
          </w:tcPr>
          <w:p w14:paraId="3B9A5A84"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2B8F4675" w14:textId="13AC92B8" w:rsidR="002E0D61" w:rsidRDefault="00E559C8" w:rsidP="00C3091E">
                <w:pPr>
                  <w:pStyle w:val="Tablefont"/>
                  <w:keepNext/>
                  <w:keepLines/>
                  <w:spacing w:before="40" w:after="40"/>
                </w:pPr>
                <w:r>
                  <w:t>No</w:t>
                </w:r>
              </w:p>
            </w:tc>
          </w:sdtContent>
        </w:sdt>
      </w:tr>
      <w:tr w:rsidR="008A36CF" w14:paraId="4D6DDFA3" w14:textId="77777777" w:rsidTr="00E559C8">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1A7516AB" w14:textId="2C98AA26" w:rsidR="008A36CF" w:rsidRPr="006901A2" w:rsidRDefault="00E559C8" w:rsidP="008A36CF">
                <w:pPr>
                  <w:pStyle w:val="Tablefont"/>
                  <w:keepNext/>
                  <w:keepLines/>
                  <w:spacing w:before="40" w:after="40"/>
                  <w:rPr>
                    <w:b/>
                  </w:rPr>
                </w:pPr>
                <w:r>
                  <w:rPr>
                    <w:b/>
                  </w:rPr>
                  <w:t>The chemical is not a non-threshold based genotoxic carcinogen.</w:t>
                </w:r>
              </w:p>
            </w:tc>
          </w:sdtContent>
        </w:sdt>
        <w:tc>
          <w:tcPr>
            <w:tcW w:w="2423" w:type="dxa"/>
            <w:vAlign w:val="center"/>
          </w:tcPr>
          <w:p w14:paraId="18F36B73" w14:textId="77777777" w:rsidR="008A36CF" w:rsidRDefault="008A36CF" w:rsidP="008A36CF">
            <w:pPr>
              <w:pStyle w:val="Tablefont"/>
              <w:keepNext/>
              <w:keepLines/>
              <w:spacing w:before="40" w:after="40"/>
            </w:pPr>
          </w:p>
        </w:tc>
      </w:tr>
    </w:tbl>
    <w:bookmarkEnd w:id="1"/>
    <w:p w14:paraId="3F27FA04"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4C23F4" w14:paraId="652E2B21" w14:textId="77777777" w:rsidTr="00E9190A">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7BAF3EEC" w14:textId="77777777"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14:paraId="0D0DCAEA" w14:textId="77777777" w:rsidR="00687890" w:rsidRPr="004C23F4" w:rsidRDefault="00687890" w:rsidP="00F4402E">
            <w:pPr>
              <w:pStyle w:val="Tableheader"/>
              <w:tabs>
                <w:tab w:val="right" w:pos="5272"/>
              </w:tabs>
            </w:pPr>
            <w:r w:rsidRPr="004C23F4">
              <w:t>Notations</w:t>
            </w:r>
            <w:r w:rsidR="003A2B94">
              <w:tab/>
            </w:r>
          </w:p>
        </w:tc>
      </w:tr>
      <w:tr w:rsidR="00687890" w:rsidRPr="004C23F4" w14:paraId="32D44898" w14:textId="77777777" w:rsidTr="00E9190A">
        <w:trPr>
          <w:cantSplit/>
        </w:trPr>
        <w:tc>
          <w:tcPr>
            <w:tcW w:w="3227" w:type="dxa"/>
          </w:tcPr>
          <w:p w14:paraId="37396CB4" w14:textId="77777777" w:rsidR="004079B4" w:rsidRPr="004C23F4" w:rsidRDefault="00084513" w:rsidP="00F4402E">
            <w:pPr>
              <w:pStyle w:val="Tablefont"/>
            </w:pPr>
            <w:r w:rsidRPr="004C23F4">
              <w:t>SWA</w:t>
            </w:r>
          </w:p>
        </w:tc>
        <w:tc>
          <w:tcPr>
            <w:tcW w:w="6015" w:type="dxa"/>
          </w:tcPr>
          <w:p w14:paraId="310BF575" w14:textId="615A5300" w:rsidR="00687890" w:rsidRPr="00DD2F9B" w:rsidRDefault="00AF4C8C" w:rsidP="00DD2F9B">
            <w:pPr>
              <w:pStyle w:val="Tablefont"/>
            </w:pPr>
            <w:r w:rsidRPr="00AF4C8C">
              <w:t>Carc. 1B</w:t>
            </w:r>
          </w:p>
        </w:tc>
      </w:tr>
      <w:tr w:rsidR="007925F0" w:rsidRPr="004C23F4" w14:paraId="2A0C13EF" w14:textId="77777777" w:rsidTr="00E9190A">
        <w:trPr>
          <w:cantSplit/>
        </w:trPr>
        <w:tc>
          <w:tcPr>
            <w:tcW w:w="3227" w:type="dxa"/>
          </w:tcPr>
          <w:p w14:paraId="14F1C6D0" w14:textId="77777777" w:rsidR="004079B4" w:rsidRPr="004C23F4" w:rsidRDefault="007925F0" w:rsidP="00F4402E">
            <w:pPr>
              <w:pStyle w:val="Tablefont"/>
            </w:pPr>
            <w:r>
              <w:t>HCIS</w:t>
            </w:r>
          </w:p>
        </w:tc>
        <w:tc>
          <w:tcPr>
            <w:tcW w:w="6015" w:type="dxa"/>
          </w:tcPr>
          <w:p w14:paraId="1A64DA01" w14:textId="0513F960" w:rsidR="007925F0" w:rsidRPr="00DD2F9B" w:rsidRDefault="00AF4C8C" w:rsidP="00DD2F9B">
            <w:pPr>
              <w:pStyle w:val="Tablefont"/>
            </w:pPr>
            <w:r w:rsidRPr="00AF4C8C">
              <w:t>Carcinogenicity – category 1B</w:t>
            </w:r>
          </w:p>
        </w:tc>
      </w:tr>
      <w:tr w:rsidR="00AF483F" w:rsidRPr="004C23F4" w14:paraId="4C1044B3" w14:textId="77777777" w:rsidTr="00E9190A">
        <w:trPr>
          <w:cantSplit/>
        </w:trPr>
        <w:tc>
          <w:tcPr>
            <w:tcW w:w="3227" w:type="dxa"/>
          </w:tcPr>
          <w:p w14:paraId="2C657AD0" w14:textId="77777777" w:rsidR="00AF483F" w:rsidRPr="004C23F4" w:rsidRDefault="00AF483F" w:rsidP="00F4402E">
            <w:pPr>
              <w:pStyle w:val="Tablefont"/>
            </w:pPr>
            <w:r>
              <w:t>NICNAS</w:t>
            </w:r>
          </w:p>
        </w:tc>
        <w:tc>
          <w:tcPr>
            <w:tcW w:w="6015" w:type="dxa"/>
          </w:tcPr>
          <w:p w14:paraId="4C253FE0" w14:textId="3B03613E" w:rsidR="00AF483F" w:rsidRPr="00DD2F9B" w:rsidRDefault="00AF4C8C" w:rsidP="00DD2F9B">
            <w:pPr>
              <w:pStyle w:val="Tablefont"/>
            </w:pPr>
            <w:r w:rsidRPr="00AF4C8C">
              <w:t>Carc. Cat 2</w:t>
            </w:r>
          </w:p>
        </w:tc>
      </w:tr>
      <w:tr w:rsidR="00687890" w:rsidRPr="004C23F4" w14:paraId="7812F0EC" w14:textId="77777777" w:rsidTr="00E9190A">
        <w:trPr>
          <w:cantSplit/>
        </w:trPr>
        <w:tc>
          <w:tcPr>
            <w:tcW w:w="3227" w:type="dxa"/>
          </w:tcPr>
          <w:p w14:paraId="27285614" w14:textId="77777777" w:rsidR="004079B4" w:rsidRPr="004C23F4" w:rsidRDefault="00687890" w:rsidP="00F4402E">
            <w:pPr>
              <w:pStyle w:val="Tablefont"/>
            </w:pPr>
            <w:r w:rsidRPr="004C23F4">
              <w:t>EU Annex</w:t>
            </w:r>
          </w:p>
        </w:tc>
        <w:tc>
          <w:tcPr>
            <w:tcW w:w="6015" w:type="dxa"/>
          </w:tcPr>
          <w:p w14:paraId="517B08F1" w14:textId="4773B423" w:rsidR="00687890" w:rsidRPr="00DD2F9B" w:rsidRDefault="00AF4C8C" w:rsidP="00DD2F9B">
            <w:pPr>
              <w:pStyle w:val="Tablefont"/>
            </w:pPr>
            <w:r w:rsidRPr="00AF4C8C">
              <w:t>Carcinogenicity – category 1B</w:t>
            </w:r>
          </w:p>
        </w:tc>
      </w:tr>
      <w:tr w:rsidR="00E41A26" w:rsidRPr="004C23F4" w14:paraId="403F0800" w14:textId="77777777" w:rsidTr="00E9190A">
        <w:trPr>
          <w:cantSplit/>
        </w:trPr>
        <w:tc>
          <w:tcPr>
            <w:tcW w:w="3227" w:type="dxa"/>
          </w:tcPr>
          <w:p w14:paraId="09B172BE" w14:textId="77777777" w:rsidR="00E41A26" w:rsidRDefault="00E41A26" w:rsidP="00F4402E">
            <w:pPr>
              <w:pStyle w:val="Tablefont"/>
            </w:pPr>
            <w:r>
              <w:t>ECHA</w:t>
            </w:r>
          </w:p>
        </w:tc>
        <w:tc>
          <w:tcPr>
            <w:tcW w:w="6015" w:type="dxa"/>
          </w:tcPr>
          <w:p w14:paraId="778B90CD" w14:textId="2B70DFE6" w:rsidR="00E41A26" w:rsidRPr="00DD2F9B" w:rsidRDefault="00AF4C8C" w:rsidP="00DD2F9B">
            <w:pPr>
              <w:pStyle w:val="Tablefont"/>
            </w:pPr>
            <w:r w:rsidRPr="00AF4C8C">
              <w:t>Carc. 1B</w:t>
            </w:r>
          </w:p>
        </w:tc>
      </w:tr>
      <w:tr w:rsidR="002E0D61" w:rsidRPr="004C23F4" w14:paraId="57A490EF" w14:textId="77777777" w:rsidTr="00E9190A">
        <w:trPr>
          <w:cantSplit/>
        </w:trPr>
        <w:tc>
          <w:tcPr>
            <w:tcW w:w="3227" w:type="dxa"/>
          </w:tcPr>
          <w:p w14:paraId="4D22C7D5" w14:textId="77777777" w:rsidR="004079B4" w:rsidRPr="004C23F4" w:rsidRDefault="002E0D61" w:rsidP="00F4402E">
            <w:pPr>
              <w:pStyle w:val="Tablefont"/>
            </w:pPr>
            <w:r>
              <w:t>ACGIH</w:t>
            </w:r>
          </w:p>
        </w:tc>
        <w:tc>
          <w:tcPr>
            <w:tcW w:w="6015" w:type="dxa"/>
          </w:tcPr>
          <w:p w14:paraId="4A591C6E" w14:textId="36FEF2D0" w:rsidR="002E0D61" w:rsidRPr="00DD2F9B" w:rsidRDefault="00AF4C8C" w:rsidP="00DD2F9B">
            <w:pPr>
              <w:pStyle w:val="Tablefont"/>
            </w:pPr>
            <w:r>
              <w:t>—</w:t>
            </w:r>
          </w:p>
        </w:tc>
      </w:tr>
      <w:tr w:rsidR="002E0D61" w:rsidRPr="004C23F4" w14:paraId="43FA3590" w14:textId="77777777" w:rsidTr="00E9190A">
        <w:trPr>
          <w:cantSplit/>
        </w:trPr>
        <w:tc>
          <w:tcPr>
            <w:tcW w:w="3227" w:type="dxa"/>
          </w:tcPr>
          <w:p w14:paraId="5F590D05" w14:textId="77777777" w:rsidR="004079B4" w:rsidRPr="004C23F4" w:rsidRDefault="002E0D61" w:rsidP="00F4402E">
            <w:pPr>
              <w:pStyle w:val="Tablefont"/>
            </w:pPr>
            <w:r>
              <w:t>DFG</w:t>
            </w:r>
          </w:p>
        </w:tc>
        <w:tc>
          <w:tcPr>
            <w:tcW w:w="6015" w:type="dxa"/>
          </w:tcPr>
          <w:p w14:paraId="76555DBE" w14:textId="59F4DE7D" w:rsidR="002E0D61" w:rsidRPr="00DD2F9B" w:rsidRDefault="00AF4C8C" w:rsidP="00DD2F9B">
            <w:pPr>
              <w:pStyle w:val="Tablefont"/>
            </w:pPr>
            <w:r>
              <w:t>N</w:t>
            </w:r>
            <w:bookmarkStart w:id="3" w:name="_GoBack"/>
            <w:bookmarkEnd w:id="3"/>
            <w:r>
              <w:t>A</w:t>
            </w:r>
          </w:p>
        </w:tc>
      </w:tr>
      <w:tr w:rsidR="002E0D61" w:rsidRPr="004C23F4" w14:paraId="2AC7B866" w14:textId="77777777" w:rsidTr="00E9190A">
        <w:trPr>
          <w:cantSplit/>
        </w:trPr>
        <w:tc>
          <w:tcPr>
            <w:tcW w:w="3227" w:type="dxa"/>
          </w:tcPr>
          <w:p w14:paraId="70E5B2BF" w14:textId="77777777" w:rsidR="004079B4" w:rsidRPr="004C23F4" w:rsidRDefault="002E0D61" w:rsidP="00F4402E">
            <w:pPr>
              <w:pStyle w:val="Tablefont"/>
            </w:pPr>
            <w:r>
              <w:t>SCOEL</w:t>
            </w:r>
          </w:p>
        </w:tc>
        <w:tc>
          <w:tcPr>
            <w:tcW w:w="6015" w:type="dxa"/>
          </w:tcPr>
          <w:p w14:paraId="370736A2" w14:textId="4B54EFBF" w:rsidR="002E0D61" w:rsidRPr="00DD2F9B" w:rsidRDefault="003C6982" w:rsidP="00DD2F9B">
            <w:pPr>
              <w:pStyle w:val="Tablefont"/>
            </w:pPr>
            <w:r>
              <w:t>Skin</w:t>
            </w:r>
          </w:p>
        </w:tc>
      </w:tr>
      <w:tr w:rsidR="002E0D61" w:rsidRPr="004C23F4" w14:paraId="1BE6EC07" w14:textId="77777777" w:rsidTr="00E9190A">
        <w:trPr>
          <w:cantSplit/>
        </w:trPr>
        <w:tc>
          <w:tcPr>
            <w:tcW w:w="3227" w:type="dxa"/>
          </w:tcPr>
          <w:p w14:paraId="4AF9E8D6" w14:textId="77777777" w:rsidR="004079B4" w:rsidRDefault="002E0D61" w:rsidP="00F4402E">
            <w:pPr>
              <w:pStyle w:val="Tablefont"/>
            </w:pPr>
            <w:r>
              <w:t>HCOTN</w:t>
            </w:r>
          </w:p>
        </w:tc>
        <w:tc>
          <w:tcPr>
            <w:tcW w:w="6015" w:type="dxa"/>
          </w:tcPr>
          <w:p w14:paraId="70663407" w14:textId="5A42B178" w:rsidR="002E0D61" w:rsidRPr="00DD2F9B" w:rsidRDefault="00AF4C8C" w:rsidP="00DD2F9B">
            <w:pPr>
              <w:pStyle w:val="Tablefont"/>
            </w:pPr>
            <w:r>
              <w:t>NA</w:t>
            </w:r>
          </w:p>
        </w:tc>
      </w:tr>
      <w:tr w:rsidR="00386093" w:rsidRPr="004C23F4" w14:paraId="5F6A6A8E" w14:textId="77777777" w:rsidTr="00E9190A">
        <w:trPr>
          <w:cantSplit/>
        </w:trPr>
        <w:tc>
          <w:tcPr>
            <w:tcW w:w="3227" w:type="dxa"/>
          </w:tcPr>
          <w:p w14:paraId="04F98936" w14:textId="77777777" w:rsidR="004079B4" w:rsidRDefault="00386093" w:rsidP="00F4402E">
            <w:pPr>
              <w:pStyle w:val="Tablefont"/>
            </w:pPr>
            <w:r>
              <w:t>IARC</w:t>
            </w:r>
          </w:p>
        </w:tc>
        <w:tc>
          <w:tcPr>
            <w:tcW w:w="6015" w:type="dxa"/>
          </w:tcPr>
          <w:p w14:paraId="741186B9" w14:textId="2FECC381" w:rsidR="00386093" w:rsidRPr="00DD2F9B" w:rsidRDefault="003C6982" w:rsidP="00DD2F9B">
            <w:pPr>
              <w:pStyle w:val="Tablefont"/>
            </w:pPr>
            <w:r>
              <w:t>Carcinogenicity – Group 3</w:t>
            </w:r>
          </w:p>
        </w:tc>
      </w:tr>
      <w:tr w:rsidR="00386093" w:rsidRPr="004C23F4" w14:paraId="7461DB0E" w14:textId="77777777" w:rsidTr="00E9190A">
        <w:trPr>
          <w:cantSplit/>
        </w:trPr>
        <w:tc>
          <w:tcPr>
            <w:tcW w:w="3227" w:type="dxa"/>
          </w:tcPr>
          <w:p w14:paraId="1086B376" w14:textId="77777777" w:rsidR="004079B4" w:rsidRDefault="00386093" w:rsidP="00F4402E">
            <w:pPr>
              <w:pStyle w:val="Tablefont"/>
              <w:keepNext/>
            </w:pPr>
            <w:r>
              <w:t>US NIOSH</w:t>
            </w:r>
          </w:p>
        </w:tc>
        <w:tc>
          <w:tcPr>
            <w:tcW w:w="6015" w:type="dxa"/>
          </w:tcPr>
          <w:p w14:paraId="1A9F8299" w14:textId="08091C62" w:rsidR="00386093" w:rsidRPr="00DD2F9B" w:rsidRDefault="00AF4C8C" w:rsidP="00D87570">
            <w:pPr>
              <w:pStyle w:val="Tablefont"/>
              <w:keepNext/>
            </w:pPr>
            <w:r>
              <w:t>NA</w:t>
            </w:r>
          </w:p>
        </w:tc>
      </w:tr>
    </w:tbl>
    <w:bookmarkEnd w:id="2"/>
    <w:p w14:paraId="691DA01E"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30949ECD"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314802BA" w14:textId="77777777" w:rsidTr="00EA6243">
        <w:trPr>
          <w:cantSplit/>
          <w:tblHeader/>
        </w:trPr>
        <w:tc>
          <w:tcPr>
            <w:tcW w:w="5000" w:type="pct"/>
            <w:shd w:val="clear" w:color="auto" w:fill="BFBFBF" w:themeFill="background1" w:themeFillShade="BF"/>
            <w:vAlign w:val="center"/>
          </w:tcPr>
          <w:p w14:paraId="509CFAA2"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5B6A4B72" w14:textId="77777777" w:rsidTr="00EA6243">
        <w:trPr>
          <w:cantSplit/>
          <w:tblHeader/>
        </w:trPr>
        <w:tc>
          <w:tcPr>
            <w:tcW w:w="5000" w:type="pct"/>
            <w:vAlign w:val="center"/>
          </w:tcPr>
          <w:tbl>
            <w:tblPr>
              <w:tblW w:w="9467" w:type="dxa"/>
              <w:tblLook w:val="04A0" w:firstRow="1" w:lastRow="0" w:firstColumn="1" w:lastColumn="0" w:noHBand="0" w:noVBand="1"/>
            </w:tblPr>
            <w:tblGrid>
              <w:gridCol w:w="3654"/>
              <w:gridCol w:w="1088"/>
              <w:gridCol w:w="1088"/>
              <w:gridCol w:w="2980"/>
            </w:tblGrid>
            <w:tr w:rsidR="00D82D59" w:rsidRPr="00D82D59" w14:paraId="3D068EB3" w14:textId="77777777" w:rsidTr="00D82D59">
              <w:trPr>
                <w:trHeight w:val="231"/>
              </w:trPr>
              <w:tc>
                <w:tcPr>
                  <w:tcW w:w="3939" w:type="dxa"/>
                  <w:tcBorders>
                    <w:top w:val="nil"/>
                    <w:left w:val="nil"/>
                    <w:bottom w:val="nil"/>
                    <w:right w:val="nil"/>
                  </w:tcBorders>
                  <w:shd w:val="clear" w:color="000000" w:fill="C5D9F1"/>
                  <w:noWrap/>
                  <w:vAlign w:val="center"/>
                  <w:hideMark/>
                </w:tcPr>
                <w:p w14:paraId="5D8CFC35" w14:textId="77777777" w:rsidR="00D82D59" w:rsidRPr="00D82D59" w:rsidRDefault="00D82D59" w:rsidP="00D82D59">
                  <w:pPr>
                    <w:spacing w:after="0" w:line="240" w:lineRule="auto"/>
                    <w:jc w:val="right"/>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Adverse effects in human case study:</w:t>
                  </w:r>
                </w:p>
              </w:tc>
              <w:tc>
                <w:tcPr>
                  <w:tcW w:w="1160" w:type="dxa"/>
                  <w:tcBorders>
                    <w:top w:val="nil"/>
                    <w:left w:val="nil"/>
                    <w:bottom w:val="nil"/>
                    <w:right w:val="nil"/>
                  </w:tcBorders>
                  <w:shd w:val="clear" w:color="000000" w:fill="C5D9F1"/>
                  <w:noWrap/>
                  <w:vAlign w:val="center"/>
                  <w:hideMark/>
                </w:tcPr>
                <w:p w14:paraId="04B462C9" w14:textId="77777777" w:rsidR="00D82D59" w:rsidRPr="00D82D59" w:rsidRDefault="00D82D59" w:rsidP="00D82D59">
                  <w:pPr>
                    <w:spacing w:after="0" w:line="240" w:lineRule="auto"/>
                    <w:jc w:val="center"/>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 </w:t>
                  </w:r>
                </w:p>
              </w:tc>
              <w:tc>
                <w:tcPr>
                  <w:tcW w:w="1160" w:type="dxa"/>
                  <w:tcBorders>
                    <w:top w:val="nil"/>
                    <w:left w:val="nil"/>
                    <w:bottom w:val="nil"/>
                    <w:right w:val="nil"/>
                  </w:tcBorders>
                  <w:shd w:val="clear" w:color="000000" w:fill="C5D9F1"/>
                  <w:noWrap/>
                  <w:vAlign w:val="center"/>
                  <w:hideMark/>
                </w:tcPr>
                <w:p w14:paraId="173E7138" w14:textId="77777777" w:rsidR="00D82D59" w:rsidRPr="00D82D59" w:rsidRDefault="00D82D59" w:rsidP="00D82D59">
                  <w:pPr>
                    <w:spacing w:after="0" w:line="240" w:lineRule="auto"/>
                    <w:rPr>
                      <w:rFonts w:ascii="Segoe UI" w:eastAsia="Times New Roman" w:hAnsi="Segoe UI" w:cs="Segoe UI"/>
                      <w:color w:val="C5D9F1"/>
                      <w:sz w:val="18"/>
                      <w:szCs w:val="18"/>
                      <w:lang w:eastAsia="en-AU"/>
                    </w:rPr>
                  </w:pPr>
                  <w:r w:rsidRPr="00D82D59">
                    <w:rPr>
                      <w:rFonts w:ascii="Segoe UI" w:eastAsia="Times New Roman" w:hAnsi="Segoe UI" w:cs="Segoe UI"/>
                      <w:color w:val="C5D9F1"/>
                      <w:sz w:val="18"/>
                      <w:szCs w:val="18"/>
                      <w:lang w:eastAsia="en-AU"/>
                    </w:rPr>
                    <w:t> </w:t>
                  </w:r>
                </w:p>
              </w:tc>
              <w:tc>
                <w:tcPr>
                  <w:tcW w:w="3208" w:type="dxa"/>
                  <w:tcBorders>
                    <w:top w:val="nil"/>
                    <w:left w:val="nil"/>
                    <w:bottom w:val="nil"/>
                    <w:right w:val="nil"/>
                  </w:tcBorders>
                  <w:shd w:val="clear" w:color="000000" w:fill="C5D9F1"/>
                  <w:noWrap/>
                  <w:vAlign w:val="center"/>
                  <w:hideMark/>
                </w:tcPr>
                <w:p w14:paraId="518A2DA9" w14:textId="77777777" w:rsidR="00D82D59" w:rsidRPr="00D82D59" w:rsidRDefault="00D82D59" w:rsidP="00D82D59">
                  <w:pPr>
                    <w:spacing w:after="0" w:line="240" w:lineRule="auto"/>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 </w:t>
                  </w:r>
                </w:p>
              </w:tc>
            </w:tr>
            <w:tr w:rsidR="00D82D59" w:rsidRPr="00D82D59" w14:paraId="14E5D2FB" w14:textId="77777777" w:rsidTr="00D82D59">
              <w:trPr>
                <w:trHeight w:val="231"/>
              </w:trPr>
              <w:tc>
                <w:tcPr>
                  <w:tcW w:w="3939" w:type="dxa"/>
                  <w:tcBorders>
                    <w:top w:val="nil"/>
                    <w:left w:val="nil"/>
                    <w:bottom w:val="nil"/>
                    <w:right w:val="nil"/>
                  </w:tcBorders>
                  <w:shd w:val="clear" w:color="000000" w:fill="C5D9F1"/>
                  <w:noWrap/>
                  <w:vAlign w:val="center"/>
                  <w:hideMark/>
                </w:tcPr>
                <w:p w14:paraId="3F9D4EDB" w14:textId="77777777" w:rsidR="00D82D59" w:rsidRPr="00D82D59" w:rsidRDefault="00D82D59" w:rsidP="00D82D59">
                  <w:pPr>
                    <w:spacing w:after="0" w:line="240" w:lineRule="auto"/>
                    <w:jc w:val="right"/>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Dermal LD</w:t>
                  </w:r>
                  <w:r w:rsidRPr="00D82D59">
                    <w:rPr>
                      <w:rFonts w:ascii="Segoe UI" w:eastAsia="Times New Roman" w:hAnsi="Segoe UI" w:cs="Segoe UI"/>
                      <w:color w:val="000000"/>
                      <w:sz w:val="18"/>
                      <w:szCs w:val="18"/>
                      <w:vertAlign w:val="subscript"/>
                      <w:lang w:eastAsia="en-AU"/>
                    </w:rPr>
                    <w:t>50</w:t>
                  </w:r>
                  <w:r w:rsidRPr="00D82D59">
                    <w:rPr>
                      <w:rFonts w:ascii="Segoe UI" w:eastAsia="Times New Roman" w:hAnsi="Segoe UI" w:cs="Segoe UI"/>
                      <w:color w:val="000000"/>
                      <w:sz w:val="18"/>
                      <w:szCs w:val="18"/>
                      <w:lang w:eastAsia="en-AU"/>
                    </w:rPr>
                    <w:t xml:space="preserve"> ≤1000 mg/kg:</w:t>
                  </w:r>
                </w:p>
              </w:tc>
              <w:tc>
                <w:tcPr>
                  <w:tcW w:w="1160" w:type="dxa"/>
                  <w:tcBorders>
                    <w:top w:val="nil"/>
                    <w:left w:val="nil"/>
                    <w:bottom w:val="nil"/>
                    <w:right w:val="nil"/>
                  </w:tcBorders>
                  <w:shd w:val="clear" w:color="000000" w:fill="C5D9F1"/>
                  <w:noWrap/>
                  <w:vAlign w:val="center"/>
                  <w:hideMark/>
                </w:tcPr>
                <w:p w14:paraId="10E6FBA2" w14:textId="77777777" w:rsidR="00D82D59" w:rsidRPr="00D82D59" w:rsidRDefault="00D82D59" w:rsidP="00D82D59">
                  <w:pPr>
                    <w:spacing w:after="0" w:line="240" w:lineRule="auto"/>
                    <w:jc w:val="center"/>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no</w:t>
                  </w:r>
                </w:p>
              </w:tc>
              <w:tc>
                <w:tcPr>
                  <w:tcW w:w="1160" w:type="dxa"/>
                  <w:tcBorders>
                    <w:top w:val="nil"/>
                    <w:left w:val="nil"/>
                    <w:bottom w:val="nil"/>
                    <w:right w:val="nil"/>
                  </w:tcBorders>
                  <w:shd w:val="clear" w:color="000000" w:fill="C5D9F1"/>
                  <w:noWrap/>
                  <w:vAlign w:val="center"/>
                  <w:hideMark/>
                </w:tcPr>
                <w:p w14:paraId="085021B0" w14:textId="77777777" w:rsidR="00D82D59" w:rsidRPr="00D82D59" w:rsidRDefault="00D82D59" w:rsidP="00D82D59">
                  <w:pPr>
                    <w:spacing w:after="0" w:line="240" w:lineRule="auto"/>
                    <w:rPr>
                      <w:rFonts w:ascii="Segoe UI" w:eastAsia="Times New Roman" w:hAnsi="Segoe UI" w:cs="Segoe UI"/>
                      <w:color w:val="C5D9F1"/>
                      <w:sz w:val="18"/>
                      <w:szCs w:val="18"/>
                      <w:lang w:eastAsia="en-AU"/>
                    </w:rPr>
                  </w:pPr>
                  <w:r w:rsidRPr="00D82D59">
                    <w:rPr>
                      <w:rFonts w:ascii="Segoe UI" w:eastAsia="Times New Roman" w:hAnsi="Segoe UI" w:cs="Segoe UI"/>
                      <w:color w:val="C5D9F1"/>
                      <w:sz w:val="18"/>
                      <w:szCs w:val="18"/>
                      <w:lang w:eastAsia="en-AU"/>
                    </w:rPr>
                    <w:t> </w:t>
                  </w:r>
                </w:p>
              </w:tc>
              <w:tc>
                <w:tcPr>
                  <w:tcW w:w="3208" w:type="dxa"/>
                  <w:tcBorders>
                    <w:top w:val="nil"/>
                    <w:left w:val="nil"/>
                    <w:bottom w:val="nil"/>
                    <w:right w:val="nil"/>
                  </w:tcBorders>
                  <w:shd w:val="clear" w:color="000000" w:fill="C5D9F1"/>
                  <w:noWrap/>
                  <w:vAlign w:val="center"/>
                  <w:hideMark/>
                </w:tcPr>
                <w:p w14:paraId="05291A62" w14:textId="77777777" w:rsidR="00D82D59" w:rsidRPr="00D82D59" w:rsidRDefault="00D82D59" w:rsidP="00D82D59">
                  <w:pPr>
                    <w:spacing w:after="0" w:line="240" w:lineRule="auto"/>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 </w:t>
                  </w:r>
                </w:p>
              </w:tc>
            </w:tr>
            <w:tr w:rsidR="00D82D59" w:rsidRPr="00D82D59" w14:paraId="7B059723" w14:textId="77777777" w:rsidTr="00D82D59">
              <w:trPr>
                <w:trHeight w:val="231"/>
              </w:trPr>
              <w:tc>
                <w:tcPr>
                  <w:tcW w:w="3939" w:type="dxa"/>
                  <w:tcBorders>
                    <w:top w:val="nil"/>
                    <w:left w:val="nil"/>
                    <w:bottom w:val="nil"/>
                    <w:right w:val="nil"/>
                  </w:tcBorders>
                  <w:shd w:val="clear" w:color="000000" w:fill="C5D9F1"/>
                  <w:noWrap/>
                  <w:vAlign w:val="center"/>
                  <w:hideMark/>
                </w:tcPr>
                <w:p w14:paraId="4FDBB58F" w14:textId="77777777" w:rsidR="00D82D59" w:rsidRPr="00D82D59" w:rsidRDefault="00D82D59" w:rsidP="00D82D59">
                  <w:pPr>
                    <w:spacing w:after="0" w:line="240" w:lineRule="auto"/>
                    <w:jc w:val="right"/>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Dermal repeat-dose NOAEL ≤200 mg/kg:</w:t>
                  </w:r>
                </w:p>
              </w:tc>
              <w:tc>
                <w:tcPr>
                  <w:tcW w:w="1160" w:type="dxa"/>
                  <w:tcBorders>
                    <w:top w:val="nil"/>
                    <w:left w:val="nil"/>
                    <w:bottom w:val="nil"/>
                    <w:right w:val="nil"/>
                  </w:tcBorders>
                  <w:shd w:val="clear" w:color="000000" w:fill="FFEB9C"/>
                  <w:noWrap/>
                  <w:vAlign w:val="center"/>
                  <w:hideMark/>
                </w:tcPr>
                <w:p w14:paraId="3AD108A4" w14:textId="77777777" w:rsidR="00D82D59" w:rsidRPr="00D82D59" w:rsidRDefault="00D82D59" w:rsidP="00D82D59">
                  <w:pPr>
                    <w:spacing w:after="0" w:line="240" w:lineRule="auto"/>
                    <w:jc w:val="center"/>
                    <w:rPr>
                      <w:rFonts w:ascii="Segoe UI" w:eastAsia="Times New Roman" w:hAnsi="Segoe UI" w:cs="Segoe UI"/>
                      <w:color w:val="9C6500"/>
                      <w:sz w:val="18"/>
                      <w:szCs w:val="18"/>
                      <w:lang w:eastAsia="en-AU"/>
                    </w:rPr>
                  </w:pPr>
                  <w:r w:rsidRPr="00D82D59">
                    <w:rPr>
                      <w:rFonts w:ascii="Segoe UI" w:eastAsia="Times New Roman" w:hAnsi="Segoe UI" w:cs="Segoe UI"/>
                      <w:color w:val="9C6500"/>
                      <w:sz w:val="18"/>
                      <w:szCs w:val="18"/>
                      <w:lang w:eastAsia="en-AU"/>
                    </w:rPr>
                    <w:t>yes</w:t>
                  </w:r>
                </w:p>
              </w:tc>
              <w:tc>
                <w:tcPr>
                  <w:tcW w:w="1160" w:type="dxa"/>
                  <w:tcBorders>
                    <w:top w:val="nil"/>
                    <w:left w:val="nil"/>
                    <w:bottom w:val="nil"/>
                    <w:right w:val="nil"/>
                  </w:tcBorders>
                  <w:shd w:val="clear" w:color="000000" w:fill="C5D9F1"/>
                  <w:noWrap/>
                  <w:vAlign w:val="center"/>
                  <w:hideMark/>
                </w:tcPr>
                <w:p w14:paraId="00453F51" w14:textId="77777777" w:rsidR="00D82D59" w:rsidRPr="00D82D59" w:rsidRDefault="00D82D59" w:rsidP="00D82D59">
                  <w:pPr>
                    <w:spacing w:after="0" w:line="240" w:lineRule="auto"/>
                    <w:jc w:val="right"/>
                    <w:rPr>
                      <w:rFonts w:ascii="Segoe UI" w:eastAsia="Times New Roman" w:hAnsi="Segoe UI" w:cs="Segoe UI"/>
                      <w:color w:val="C5D9F1"/>
                      <w:sz w:val="18"/>
                      <w:szCs w:val="18"/>
                      <w:lang w:eastAsia="en-AU"/>
                    </w:rPr>
                  </w:pPr>
                  <w:r w:rsidRPr="00D82D59">
                    <w:rPr>
                      <w:rFonts w:ascii="Segoe UI" w:eastAsia="Times New Roman" w:hAnsi="Segoe UI" w:cs="Segoe UI"/>
                      <w:color w:val="C5D9F1"/>
                      <w:sz w:val="18"/>
                      <w:szCs w:val="18"/>
                      <w:lang w:eastAsia="en-AU"/>
                    </w:rPr>
                    <w:t>3.00</w:t>
                  </w:r>
                </w:p>
              </w:tc>
              <w:tc>
                <w:tcPr>
                  <w:tcW w:w="3208" w:type="dxa"/>
                  <w:tcBorders>
                    <w:top w:val="nil"/>
                    <w:left w:val="nil"/>
                    <w:bottom w:val="nil"/>
                    <w:right w:val="nil"/>
                  </w:tcBorders>
                  <w:shd w:val="clear" w:color="000000" w:fill="C5D9F1"/>
                  <w:noWrap/>
                  <w:vAlign w:val="center"/>
                  <w:hideMark/>
                </w:tcPr>
                <w:p w14:paraId="7B9AC1B1" w14:textId="77777777" w:rsidR="00D82D59" w:rsidRPr="00D82D59" w:rsidRDefault="00D82D59" w:rsidP="00D82D59">
                  <w:pPr>
                    <w:spacing w:after="0" w:line="240" w:lineRule="auto"/>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 </w:t>
                  </w:r>
                </w:p>
              </w:tc>
            </w:tr>
            <w:tr w:rsidR="00D82D59" w:rsidRPr="00D82D59" w14:paraId="1A59C6EC" w14:textId="77777777" w:rsidTr="00D82D59">
              <w:trPr>
                <w:trHeight w:val="231"/>
              </w:trPr>
              <w:tc>
                <w:tcPr>
                  <w:tcW w:w="3939" w:type="dxa"/>
                  <w:tcBorders>
                    <w:top w:val="nil"/>
                    <w:left w:val="nil"/>
                    <w:bottom w:val="nil"/>
                    <w:right w:val="nil"/>
                  </w:tcBorders>
                  <w:shd w:val="clear" w:color="000000" w:fill="C5D9F1"/>
                  <w:noWrap/>
                  <w:vAlign w:val="center"/>
                  <w:hideMark/>
                </w:tcPr>
                <w:p w14:paraId="20842143" w14:textId="77777777" w:rsidR="00D82D59" w:rsidRPr="00D82D59" w:rsidRDefault="00D82D59" w:rsidP="00D82D59">
                  <w:pPr>
                    <w:spacing w:after="0" w:line="240" w:lineRule="auto"/>
                    <w:jc w:val="right"/>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Dermal LD</w:t>
                  </w:r>
                  <w:r w:rsidRPr="00D82D59">
                    <w:rPr>
                      <w:rFonts w:ascii="Segoe UI" w:eastAsia="Times New Roman" w:hAnsi="Segoe UI" w:cs="Segoe UI"/>
                      <w:color w:val="000000"/>
                      <w:sz w:val="18"/>
                      <w:szCs w:val="18"/>
                      <w:vertAlign w:val="subscript"/>
                      <w:lang w:eastAsia="en-AU"/>
                    </w:rPr>
                    <w:t>50</w:t>
                  </w:r>
                  <w:r w:rsidRPr="00D82D59">
                    <w:rPr>
                      <w:rFonts w:ascii="Segoe UI" w:eastAsia="Times New Roman" w:hAnsi="Segoe UI" w:cs="Segoe UI"/>
                      <w:color w:val="000000"/>
                      <w:sz w:val="18"/>
                      <w:szCs w:val="18"/>
                      <w:lang w:eastAsia="en-AU"/>
                    </w:rPr>
                    <w:t>/Inhalation LD</w:t>
                  </w:r>
                  <w:r w:rsidRPr="00D82D59">
                    <w:rPr>
                      <w:rFonts w:ascii="Segoe UI" w:eastAsia="Times New Roman" w:hAnsi="Segoe UI" w:cs="Segoe UI"/>
                      <w:color w:val="000000"/>
                      <w:sz w:val="18"/>
                      <w:szCs w:val="18"/>
                      <w:vertAlign w:val="subscript"/>
                      <w:lang w:eastAsia="en-AU"/>
                    </w:rPr>
                    <w:t>50</w:t>
                  </w:r>
                  <w:r w:rsidRPr="00D82D59">
                    <w:rPr>
                      <w:rFonts w:ascii="Segoe UI" w:eastAsia="Times New Roman" w:hAnsi="Segoe UI" w:cs="Segoe UI"/>
                      <w:color w:val="000000"/>
                      <w:sz w:val="18"/>
                      <w:szCs w:val="18"/>
                      <w:lang w:eastAsia="en-AU"/>
                    </w:rPr>
                    <w:t xml:space="preserve"> &lt;10:</w:t>
                  </w:r>
                </w:p>
              </w:tc>
              <w:tc>
                <w:tcPr>
                  <w:tcW w:w="1160" w:type="dxa"/>
                  <w:tcBorders>
                    <w:top w:val="nil"/>
                    <w:left w:val="nil"/>
                    <w:bottom w:val="nil"/>
                    <w:right w:val="nil"/>
                  </w:tcBorders>
                  <w:shd w:val="clear" w:color="000000" w:fill="C5D9F1"/>
                  <w:noWrap/>
                  <w:vAlign w:val="center"/>
                  <w:hideMark/>
                </w:tcPr>
                <w:p w14:paraId="07FCD173" w14:textId="77777777" w:rsidR="00D82D59" w:rsidRPr="00D82D59" w:rsidRDefault="00D82D59" w:rsidP="00D82D59">
                  <w:pPr>
                    <w:spacing w:after="0" w:line="240" w:lineRule="auto"/>
                    <w:jc w:val="center"/>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 </w:t>
                  </w:r>
                </w:p>
              </w:tc>
              <w:tc>
                <w:tcPr>
                  <w:tcW w:w="1160" w:type="dxa"/>
                  <w:tcBorders>
                    <w:top w:val="nil"/>
                    <w:left w:val="nil"/>
                    <w:bottom w:val="nil"/>
                    <w:right w:val="nil"/>
                  </w:tcBorders>
                  <w:shd w:val="clear" w:color="000000" w:fill="C5D9F1"/>
                  <w:noWrap/>
                  <w:vAlign w:val="center"/>
                  <w:hideMark/>
                </w:tcPr>
                <w:p w14:paraId="08FBCE8B" w14:textId="77777777" w:rsidR="00D82D59" w:rsidRPr="00D82D59" w:rsidRDefault="00D82D59" w:rsidP="00D82D59">
                  <w:pPr>
                    <w:spacing w:after="0" w:line="240" w:lineRule="auto"/>
                    <w:rPr>
                      <w:rFonts w:ascii="Segoe UI" w:eastAsia="Times New Roman" w:hAnsi="Segoe UI" w:cs="Segoe UI"/>
                      <w:color w:val="C5D9F1"/>
                      <w:sz w:val="18"/>
                      <w:szCs w:val="18"/>
                      <w:lang w:eastAsia="en-AU"/>
                    </w:rPr>
                  </w:pPr>
                  <w:r w:rsidRPr="00D82D59">
                    <w:rPr>
                      <w:rFonts w:ascii="Segoe UI" w:eastAsia="Times New Roman" w:hAnsi="Segoe UI" w:cs="Segoe UI"/>
                      <w:color w:val="C5D9F1"/>
                      <w:sz w:val="18"/>
                      <w:szCs w:val="18"/>
                      <w:lang w:eastAsia="en-AU"/>
                    </w:rPr>
                    <w:t> </w:t>
                  </w:r>
                </w:p>
              </w:tc>
              <w:tc>
                <w:tcPr>
                  <w:tcW w:w="3208" w:type="dxa"/>
                  <w:tcBorders>
                    <w:top w:val="nil"/>
                    <w:left w:val="nil"/>
                    <w:bottom w:val="nil"/>
                    <w:right w:val="nil"/>
                  </w:tcBorders>
                  <w:shd w:val="clear" w:color="000000" w:fill="C5D9F1"/>
                  <w:noWrap/>
                  <w:vAlign w:val="center"/>
                  <w:hideMark/>
                </w:tcPr>
                <w:p w14:paraId="3F2F72F4" w14:textId="77777777" w:rsidR="00D82D59" w:rsidRPr="00D82D59" w:rsidRDefault="00D82D59" w:rsidP="00D82D59">
                  <w:pPr>
                    <w:spacing w:after="0" w:line="240" w:lineRule="auto"/>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 </w:t>
                  </w:r>
                </w:p>
              </w:tc>
            </w:tr>
            <w:tr w:rsidR="00D82D59" w:rsidRPr="00D82D59" w14:paraId="32947D06" w14:textId="77777777" w:rsidTr="00D82D59">
              <w:trPr>
                <w:trHeight w:val="231"/>
              </w:trPr>
              <w:tc>
                <w:tcPr>
                  <w:tcW w:w="3939" w:type="dxa"/>
                  <w:tcBorders>
                    <w:top w:val="nil"/>
                    <w:left w:val="nil"/>
                    <w:bottom w:val="nil"/>
                    <w:right w:val="nil"/>
                  </w:tcBorders>
                  <w:shd w:val="clear" w:color="000000" w:fill="C5D9F1"/>
                  <w:noWrap/>
                  <w:vAlign w:val="center"/>
                  <w:hideMark/>
                </w:tcPr>
                <w:p w14:paraId="0130FBC4" w14:textId="77777777" w:rsidR="00D82D59" w:rsidRPr="00D82D59" w:rsidRDefault="00D82D59" w:rsidP="00D82D59">
                  <w:pPr>
                    <w:spacing w:after="0" w:line="240" w:lineRule="auto"/>
                    <w:jc w:val="right"/>
                    <w:rPr>
                      <w:rFonts w:ascii="Segoe UI" w:eastAsia="Times New Roman" w:hAnsi="Segoe UI" w:cs="Segoe UI"/>
                      <w:i/>
                      <w:iCs/>
                      <w:color w:val="000000"/>
                      <w:sz w:val="18"/>
                      <w:szCs w:val="18"/>
                      <w:lang w:eastAsia="en-AU"/>
                    </w:rPr>
                  </w:pPr>
                  <w:r w:rsidRPr="00D82D59">
                    <w:rPr>
                      <w:rFonts w:ascii="Segoe UI" w:eastAsia="Times New Roman" w:hAnsi="Segoe UI" w:cs="Segoe UI"/>
                      <w:i/>
                      <w:iCs/>
                      <w:color w:val="000000"/>
                      <w:sz w:val="18"/>
                      <w:szCs w:val="18"/>
                      <w:lang w:eastAsia="en-AU"/>
                    </w:rPr>
                    <w:t>In vivo</w:t>
                  </w:r>
                  <w:r w:rsidRPr="00D82D59">
                    <w:rPr>
                      <w:rFonts w:ascii="Segoe UI" w:eastAsia="Times New Roman" w:hAnsi="Segoe UI" w:cs="Segoe UI"/>
                      <w:color w:val="000000"/>
                      <w:sz w:val="18"/>
                      <w:szCs w:val="18"/>
                      <w:lang w:eastAsia="en-AU"/>
                    </w:rPr>
                    <w:t xml:space="preserve"> dermal absorption rate &gt;10%:</w:t>
                  </w:r>
                </w:p>
              </w:tc>
              <w:tc>
                <w:tcPr>
                  <w:tcW w:w="1160" w:type="dxa"/>
                  <w:tcBorders>
                    <w:top w:val="nil"/>
                    <w:left w:val="nil"/>
                    <w:bottom w:val="nil"/>
                    <w:right w:val="nil"/>
                  </w:tcBorders>
                  <w:shd w:val="clear" w:color="000000" w:fill="C5D9F1"/>
                  <w:noWrap/>
                  <w:vAlign w:val="center"/>
                  <w:hideMark/>
                </w:tcPr>
                <w:p w14:paraId="4F37523D" w14:textId="77777777" w:rsidR="00D82D59" w:rsidRPr="00D82D59" w:rsidRDefault="00D82D59" w:rsidP="00D82D59">
                  <w:pPr>
                    <w:spacing w:after="0" w:line="240" w:lineRule="auto"/>
                    <w:jc w:val="center"/>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 </w:t>
                  </w:r>
                </w:p>
              </w:tc>
              <w:tc>
                <w:tcPr>
                  <w:tcW w:w="1160" w:type="dxa"/>
                  <w:tcBorders>
                    <w:top w:val="nil"/>
                    <w:left w:val="nil"/>
                    <w:bottom w:val="nil"/>
                    <w:right w:val="nil"/>
                  </w:tcBorders>
                  <w:shd w:val="clear" w:color="000000" w:fill="C5D9F1"/>
                  <w:noWrap/>
                  <w:vAlign w:val="center"/>
                  <w:hideMark/>
                </w:tcPr>
                <w:p w14:paraId="185AC54E" w14:textId="77777777" w:rsidR="00D82D59" w:rsidRPr="00D82D59" w:rsidRDefault="00D82D59" w:rsidP="00D82D59">
                  <w:pPr>
                    <w:spacing w:after="0" w:line="240" w:lineRule="auto"/>
                    <w:rPr>
                      <w:rFonts w:ascii="Segoe UI" w:eastAsia="Times New Roman" w:hAnsi="Segoe UI" w:cs="Segoe UI"/>
                      <w:color w:val="C5D9F1"/>
                      <w:sz w:val="18"/>
                      <w:szCs w:val="18"/>
                      <w:lang w:eastAsia="en-AU"/>
                    </w:rPr>
                  </w:pPr>
                  <w:r w:rsidRPr="00D82D59">
                    <w:rPr>
                      <w:rFonts w:ascii="Segoe UI" w:eastAsia="Times New Roman" w:hAnsi="Segoe UI" w:cs="Segoe UI"/>
                      <w:color w:val="C5D9F1"/>
                      <w:sz w:val="18"/>
                      <w:szCs w:val="18"/>
                      <w:lang w:eastAsia="en-AU"/>
                    </w:rPr>
                    <w:t> </w:t>
                  </w:r>
                </w:p>
              </w:tc>
              <w:tc>
                <w:tcPr>
                  <w:tcW w:w="3208" w:type="dxa"/>
                  <w:tcBorders>
                    <w:top w:val="nil"/>
                    <w:left w:val="nil"/>
                    <w:bottom w:val="nil"/>
                    <w:right w:val="nil"/>
                  </w:tcBorders>
                  <w:shd w:val="clear" w:color="000000" w:fill="C5D9F1"/>
                  <w:noWrap/>
                  <w:vAlign w:val="center"/>
                  <w:hideMark/>
                </w:tcPr>
                <w:p w14:paraId="6D5009CA" w14:textId="77777777" w:rsidR="00D82D59" w:rsidRPr="00D82D59" w:rsidRDefault="00D82D59" w:rsidP="00D82D59">
                  <w:pPr>
                    <w:spacing w:after="0" w:line="240" w:lineRule="auto"/>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 </w:t>
                  </w:r>
                </w:p>
              </w:tc>
            </w:tr>
            <w:tr w:rsidR="00D82D59" w:rsidRPr="00D82D59" w14:paraId="6B8ECA8B" w14:textId="77777777" w:rsidTr="00D82D59">
              <w:trPr>
                <w:trHeight w:val="231"/>
              </w:trPr>
              <w:tc>
                <w:tcPr>
                  <w:tcW w:w="3939" w:type="dxa"/>
                  <w:tcBorders>
                    <w:top w:val="nil"/>
                    <w:left w:val="nil"/>
                    <w:bottom w:val="nil"/>
                    <w:right w:val="nil"/>
                  </w:tcBorders>
                  <w:shd w:val="clear" w:color="000000" w:fill="C5D9F1"/>
                  <w:noWrap/>
                  <w:vAlign w:val="center"/>
                  <w:hideMark/>
                </w:tcPr>
                <w:p w14:paraId="058D25BA" w14:textId="77777777" w:rsidR="00D82D59" w:rsidRPr="00D82D59" w:rsidRDefault="00D82D59" w:rsidP="00D82D59">
                  <w:pPr>
                    <w:spacing w:after="0" w:line="240" w:lineRule="auto"/>
                    <w:jc w:val="right"/>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Estimated dermal exposure at WES &gt;10%:</w:t>
                  </w:r>
                </w:p>
              </w:tc>
              <w:tc>
                <w:tcPr>
                  <w:tcW w:w="1160" w:type="dxa"/>
                  <w:tcBorders>
                    <w:top w:val="nil"/>
                    <w:left w:val="nil"/>
                    <w:bottom w:val="nil"/>
                    <w:right w:val="nil"/>
                  </w:tcBorders>
                  <w:shd w:val="clear" w:color="000000" w:fill="C5D9F1"/>
                  <w:noWrap/>
                  <w:vAlign w:val="center"/>
                  <w:hideMark/>
                </w:tcPr>
                <w:p w14:paraId="12ECFC2F" w14:textId="77777777" w:rsidR="00D82D59" w:rsidRPr="00D82D59" w:rsidRDefault="00D82D59" w:rsidP="00D82D59">
                  <w:pPr>
                    <w:spacing w:after="0" w:line="240" w:lineRule="auto"/>
                    <w:jc w:val="center"/>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no</w:t>
                  </w:r>
                </w:p>
              </w:tc>
              <w:tc>
                <w:tcPr>
                  <w:tcW w:w="1160" w:type="dxa"/>
                  <w:tcBorders>
                    <w:top w:val="nil"/>
                    <w:left w:val="nil"/>
                    <w:bottom w:val="nil"/>
                    <w:right w:val="nil"/>
                  </w:tcBorders>
                  <w:shd w:val="clear" w:color="000000" w:fill="C5D9F1"/>
                  <w:noWrap/>
                  <w:vAlign w:val="center"/>
                  <w:hideMark/>
                </w:tcPr>
                <w:p w14:paraId="28933F9D" w14:textId="77777777" w:rsidR="00D82D59" w:rsidRPr="00D82D59" w:rsidRDefault="00D82D59" w:rsidP="00D82D59">
                  <w:pPr>
                    <w:spacing w:after="0" w:line="240" w:lineRule="auto"/>
                    <w:jc w:val="right"/>
                    <w:rPr>
                      <w:rFonts w:ascii="Segoe UI" w:eastAsia="Times New Roman" w:hAnsi="Segoe UI" w:cs="Segoe UI"/>
                      <w:color w:val="C5D9F1"/>
                      <w:sz w:val="18"/>
                      <w:szCs w:val="18"/>
                      <w:lang w:eastAsia="en-AU"/>
                    </w:rPr>
                  </w:pPr>
                  <w:r w:rsidRPr="00D82D59">
                    <w:rPr>
                      <w:rFonts w:ascii="Segoe UI" w:eastAsia="Times New Roman" w:hAnsi="Segoe UI" w:cs="Segoe UI"/>
                      <w:color w:val="C5D9F1"/>
                      <w:sz w:val="18"/>
                      <w:szCs w:val="18"/>
                      <w:lang w:eastAsia="en-AU"/>
                    </w:rPr>
                    <w:t>-2.00</w:t>
                  </w:r>
                </w:p>
              </w:tc>
              <w:tc>
                <w:tcPr>
                  <w:tcW w:w="3208" w:type="dxa"/>
                  <w:tcBorders>
                    <w:top w:val="nil"/>
                    <w:left w:val="nil"/>
                    <w:bottom w:val="nil"/>
                    <w:right w:val="nil"/>
                  </w:tcBorders>
                  <w:shd w:val="clear" w:color="000000" w:fill="C5D9F1"/>
                  <w:noWrap/>
                  <w:vAlign w:val="center"/>
                  <w:hideMark/>
                </w:tcPr>
                <w:p w14:paraId="33FC27C7" w14:textId="77777777" w:rsidR="00D82D59" w:rsidRPr="00D82D59" w:rsidRDefault="00D82D59" w:rsidP="00D82D59">
                  <w:pPr>
                    <w:spacing w:after="0" w:line="240" w:lineRule="auto"/>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 </w:t>
                  </w:r>
                </w:p>
              </w:tc>
            </w:tr>
            <w:tr w:rsidR="00D82D59" w:rsidRPr="00D82D59" w14:paraId="352ECF9B" w14:textId="77777777" w:rsidTr="00D82D59">
              <w:trPr>
                <w:trHeight w:val="231"/>
              </w:trPr>
              <w:tc>
                <w:tcPr>
                  <w:tcW w:w="3939" w:type="dxa"/>
                  <w:tcBorders>
                    <w:top w:val="nil"/>
                    <w:left w:val="nil"/>
                    <w:bottom w:val="nil"/>
                    <w:right w:val="nil"/>
                  </w:tcBorders>
                  <w:shd w:val="clear" w:color="000000" w:fill="C5D9F1"/>
                  <w:noWrap/>
                  <w:vAlign w:val="center"/>
                  <w:hideMark/>
                </w:tcPr>
                <w:p w14:paraId="5FFD1AC0" w14:textId="77777777" w:rsidR="00D82D59" w:rsidRPr="00D82D59" w:rsidRDefault="00D82D59" w:rsidP="00D82D59">
                  <w:pPr>
                    <w:spacing w:after="0" w:line="240" w:lineRule="auto"/>
                    <w:jc w:val="right"/>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 </w:t>
                  </w:r>
                </w:p>
              </w:tc>
              <w:tc>
                <w:tcPr>
                  <w:tcW w:w="1160" w:type="dxa"/>
                  <w:tcBorders>
                    <w:top w:val="nil"/>
                    <w:left w:val="nil"/>
                    <w:bottom w:val="nil"/>
                    <w:right w:val="nil"/>
                  </w:tcBorders>
                  <w:shd w:val="clear" w:color="000000" w:fill="C5D9F1"/>
                  <w:noWrap/>
                  <w:vAlign w:val="center"/>
                  <w:hideMark/>
                </w:tcPr>
                <w:p w14:paraId="0BF81317" w14:textId="77777777" w:rsidR="00D82D59" w:rsidRPr="00D82D59" w:rsidRDefault="00D82D59" w:rsidP="00D82D59">
                  <w:pPr>
                    <w:spacing w:after="0" w:line="240" w:lineRule="auto"/>
                    <w:jc w:val="center"/>
                    <w:rPr>
                      <w:rFonts w:ascii="Segoe UI" w:eastAsia="Times New Roman" w:hAnsi="Segoe UI" w:cs="Segoe UI"/>
                      <w:color w:val="000000"/>
                      <w:sz w:val="18"/>
                      <w:szCs w:val="18"/>
                      <w:lang w:eastAsia="en-AU"/>
                    </w:rPr>
                  </w:pPr>
                  <w:r w:rsidRPr="00D82D59">
                    <w:rPr>
                      <w:rFonts w:ascii="Segoe UI" w:eastAsia="Times New Roman" w:hAnsi="Segoe UI" w:cs="Segoe UI"/>
                      <w:color w:val="000000"/>
                      <w:sz w:val="18"/>
                      <w:szCs w:val="18"/>
                      <w:lang w:eastAsia="en-AU"/>
                    </w:rPr>
                    <w:t> </w:t>
                  </w:r>
                </w:p>
              </w:tc>
              <w:tc>
                <w:tcPr>
                  <w:tcW w:w="1160" w:type="dxa"/>
                  <w:tcBorders>
                    <w:top w:val="nil"/>
                    <w:left w:val="nil"/>
                    <w:bottom w:val="nil"/>
                    <w:right w:val="nil"/>
                  </w:tcBorders>
                  <w:shd w:val="clear" w:color="000000" w:fill="C5D9F1"/>
                  <w:noWrap/>
                  <w:vAlign w:val="center"/>
                  <w:hideMark/>
                </w:tcPr>
                <w:p w14:paraId="47011CF1" w14:textId="77777777" w:rsidR="00D82D59" w:rsidRPr="00D82D59" w:rsidRDefault="00D82D59" w:rsidP="00D82D59">
                  <w:pPr>
                    <w:spacing w:after="0" w:line="240" w:lineRule="auto"/>
                    <w:jc w:val="right"/>
                    <w:rPr>
                      <w:rFonts w:ascii="Segoe UI" w:eastAsia="Times New Roman" w:hAnsi="Segoe UI" w:cs="Segoe UI"/>
                      <w:color w:val="C5D9F1"/>
                      <w:sz w:val="18"/>
                      <w:szCs w:val="18"/>
                      <w:lang w:eastAsia="en-AU"/>
                    </w:rPr>
                  </w:pPr>
                  <w:r w:rsidRPr="00D82D59">
                    <w:rPr>
                      <w:rFonts w:ascii="Segoe UI" w:eastAsia="Times New Roman" w:hAnsi="Segoe UI" w:cs="Segoe UI"/>
                      <w:color w:val="C5D9F1"/>
                      <w:sz w:val="18"/>
                      <w:szCs w:val="18"/>
                      <w:lang w:eastAsia="en-AU"/>
                    </w:rPr>
                    <w:t>0.5</w:t>
                  </w:r>
                </w:p>
              </w:tc>
              <w:tc>
                <w:tcPr>
                  <w:tcW w:w="3208" w:type="dxa"/>
                  <w:tcBorders>
                    <w:top w:val="nil"/>
                    <w:left w:val="nil"/>
                    <w:bottom w:val="nil"/>
                    <w:right w:val="nil"/>
                  </w:tcBorders>
                  <w:shd w:val="clear" w:color="000000" w:fill="C5D9F1"/>
                  <w:noWrap/>
                  <w:vAlign w:val="center"/>
                  <w:hideMark/>
                </w:tcPr>
                <w:p w14:paraId="10C01D40" w14:textId="77777777" w:rsidR="00D82D59" w:rsidRPr="00D82D59" w:rsidRDefault="00D82D59" w:rsidP="00D82D59">
                  <w:pPr>
                    <w:spacing w:after="0" w:line="240" w:lineRule="auto"/>
                    <w:rPr>
                      <w:rFonts w:ascii="Segoe UI" w:eastAsia="Times New Roman" w:hAnsi="Segoe UI" w:cs="Segoe UI"/>
                      <w:b/>
                      <w:bCs/>
                      <w:color w:val="000000"/>
                      <w:sz w:val="18"/>
                      <w:szCs w:val="18"/>
                      <w:lang w:eastAsia="en-AU"/>
                    </w:rPr>
                  </w:pPr>
                  <w:r w:rsidRPr="00D82D59">
                    <w:rPr>
                      <w:rFonts w:ascii="Segoe UI" w:eastAsia="Times New Roman" w:hAnsi="Segoe UI" w:cs="Segoe UI"/>
                      <w:b/>
                      <w:bCs/>
                      <w:color w:val="000000"/>
                      <w:sz w:val="18"/>
                      <w:szCs w:val="18"/>
                      <w:lang w:eastAsia="en-AU"/>
                    </w:rPr>
                    <w:t>a skin notation is not warranted</w:t>
                  </w:r>
                </w:p>
              </w:tc>
            </w:tr>
          </w:tbl>
          <w:p w14:paraId="329D664C" w14:textId="77777777" w:rsidR="00932DCE" w:rsidRPr="004C23F4" w:rsidRDefault="00932DCE" w:rsidP="00F9496B">
            <w:pPr>
              <w:pStyle w:val="Tablefont"/>
            </w:pPr>
          </w:p>
        </w:tc>
      </w:tr>
    </w:tbl>
    <w:bookmarkEnd w:id="4"/>
    <w:p w14:paraId="17DD4C74"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76572C95" w14:textId="77777777" w:rsidTr="00610F2E">
        <w:trPr>
          <w:trHeight w:val="454"/>
          <w:tblHeader/>
        </w:trPr>
        <w:tc>
          <w:tcPr>
            <w:tcW w:w="4361" w:type="dxa"/>
            <w:vAlign w:val="center"/>
          </w:tcPr>
          <w:p w14:paraId="1FCAB12B"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3DFB8CD9" w14:textId="32B50C83" w:rsidR="00EB3D1B" w:rsidRDefault="00AF4C8C" w:rsidP="00EB3D1B">
                <w:pPr>
                  <w:pStyle w:val="Tablefont"/>
                </w:pPr>
                <w:r>
                  <w:t>Yes</w:t>
                </w:r>
              </w:p>
            </w:tc>
          </w:sdtContent>
        </w:sdt>
      </w:tr>
    </w:tbl>
    <w:p w14:paraId="09564279" w14:textId="77777777" w:rsidR="00687890" w:rsidRPr="004C23F4" w:rsidRDefault="00B479A9" w:rsidP="00474E33">
      <w:pPr>
        <w:pStyle w:val="Heading2"/>
      </w:pPr>
      <w:r w:rsidRPr="004C23F4">
        <w:lastRenderedPageBreak/>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20151388" w14:textId="77777777" w:rsidTr="00EA6243">
        <w:trPr>
          <w:cantSplit/>
          <w:tblHeader/>
        </w:trPr>
        <w:tc>
          <w:tcPr>
            <w:tcW w:w="4077" w:type="dxa"/>
            <w:vAlign w:val="center"/>
          </w:tcPr>
          <w:p w14:paraId="4D40D6A0"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4B769A95" w14:textId="36D8126E" w:rsidR="001B79E5" w:rsidRDefault="004613F6" w:rsidP="001B79E5">
                <w:pPr>
                  <w:pStyle w:val="Tablefont"/>
                </w:pPr>
                <w:r>
                  <w:t>145</w:t>
                </w:r>
              </w:p>
            </w:tc>
          </w:sdtContent>
        </w:sdt>
      </w:tr>
      <w:tr w:rsidR="00A31D99" w:rsidRPr="004C23F4" w14:paraId="4D7C99C9" w14:textId="77777777" w:rsidTr="00EA6243">
        <w:trPr>
          <w:cantSplit/>
          <w:tblHeader/>
        </w:trPr>
        <w:tc>
          <w:tcPr>
            <w:tcW w:w="4077" w:type="dxa"/>
            <w:vAlign w:val="center"/>
          </w:tcPr>
          <w:p w14:paraId="639B143B"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4F6414BE" w14:textId="5E1BC4D1" w:rsidR="00A31D99" w:rsidRDefault="00A0643F" w:rsidP="00A174CC">
            <w:pPr>
              <w:pStyle w:val="Tablefont"/>
            </w:pPr>
            <w:r>
              <w:t xml:space="preserve">1 ppm = </w:t>
            </w:r>
            <w:sdt>
              <w:sdtPr>
                <w:id w:val="-371151491"/>
                <w:placeholder>
                  <w:docPart w:val="A7231FB73EFF4B2B92EB3BD21C0CEA01"/>
                </w:placeholder>
              </w:sdtPr>
              <w:sdtEndPr/>
              <w:sdtContent>
                <w:r w:rsidR="00AF4C8C" w:rsidRPr="00AF4C8C">
                  <w:t>5.73</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20160F" w:rsidRPr="0020160F">
                  <w:t>0.175</w:t>
                </w:r>
              </w:sdtContent>
            </w:sdt>
            <w:r>
              <w:t xml:space="preserve"> ppm</w:t>
            </w:r>
          </w:p>
        </w:tc>
      </w:tr>
      <w:tr w:rsidR="00687890" w:rsidRPr="004C23F4" w14:paraId="64400DD3" w14:textId="77777777" w:rsidTr="00EA6243">
        <w:trPr>
          <w:cantSplit/>
          <w:tblHeader/>
        </w:trPr>
        <w:tc>
          <w:tcPr>
            <w:tcW w:w="4077" w:type="dxa"/>
            <w:vAlign w:val="center"/>
          </w:tcPr>
          <w:p w14:paraId="402488EA"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54A54B21"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348B99DA" w14:textId="77777777" w:rsidTr="00EA6243">
        <w:trPr>
          <w:cantSplit/>
        </w:trPr>
        <w:tc>
          <w:tcPr>
            <w:tcW w:w="4077" w:type="dxa"/>
            <w:vAlign w:val="center"/>
          </w:tcPr>
          <w:p w14:paraId="085F3385"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47481CF4"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4A425D20" w14:textId="77777777" w:rsidTr="00EA6243">
        <w:trPr>
          <w:cantSplit/>
        </w:trPr>
        <w:tc>
          <w:tcPr>
            <w:tcW w:w="4077" w:type="dxa"/>
            <w:vAlign w:val="center"/>
          </w:tcPr>
          <w:p w14:paraId="6A9A1889" w14:textId="77777777" w:rsidR="00687890" w:rsidRPr="00263255" w:rsidRDefault="00687890" w:rsidP="00263255">
            <w:pPr>
              <w:pStyle w:val="Tablefont"/>
            </w:pPr>
            <w:r w:rsidRPr="00263255">
              <w:t>This chemical is a by-product of a process:</w:t>
            </w:r>
          </w:p>
        </w:tc>
        <w:sdt>
          <w:sdtPr>
            <w:id w:val="-863134491"/>
            <w14:checkbox>
              <w14:checked w14:val="1"/>
              <w14:checkedState w14:val="00FC" w14:font="Wingdings"/>
              <w14:uncheckedState w14:val="2610" w14:font="MS Gothic"/>
            </w14:checkbox>
          </w:sdtPr>
          <w:sdtEndPr/>
          <w:sdtContent>
            <w:tc>
              <w:tcPr>
                <w:tcW w:w="5165" w:type="dxa"/>
                <w:vAlign w:val="center"/>
              </w:tcPr>
              <w:p w14:paraId="34AC1F87" w14:textId="35AA22A0" w:rsidR="00687890" w:rsidRPr="004C23F4" w:rsidRDefault="00152CA9" w:rsidP="00717D45">
                <w:pPr>
                  <w:pStyle w:val="Tablefont"/>
                </w:pPr>
                <w:r>
                  <w:sym w:font="Wingdings" w:char="F0FC"/>
                </w:r>
              </w:p>
            </w:tc>
          </w:sdtContent>
        </w:sdt>
      </w:tr>
      <w:tr w:rsidR="00E06F40" w:rsidRPr="004C23F4" w14:paraId="0C457149" w14:textId="77777777" w:rsidTr="00EA6243">
        <w:trPr>
          <w:cantSplit/>
        </w:trPr>
        <w:tc>
          <w:tcPr>
            <w:tcW w:w="4077" w:type="dxa"/>
            <w:vAlign w:val="center"/>
          </w:tcPr>
          <w:p w14:paraId="6EFB81B8"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41AC5BAA" w14:textId="77777777" w:rsidR="00E06F40" w:rsidRPr="00A006A0" w:rsidRDefault="00E9190A"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5F17BFE8"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1A6A40EF" w14:textId="77777777" w:rsidTr="00F053FA">
        <w:trPr>
          <w:tblHeader/>
        </w:trPr>
        <w:tc>
          <w:tcPr>
            <w:tcW w:w="4077" w:type="dxa"/>
            <w:shd w:val="clear" w:color="auto" w:fill="BFBFBF" w:themeFill="background1" w:themeFillShade="BF"/>
            <w:vAlign w:val="center"/>
          </w:tcPr>
          <w:p w14:paraId="2D29FE93"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3F181855" w14:textId="77777777" w:rsidR="00224EE2" w:rsidRPr="004C23F4" w:rsidRDefault="00224EE2" w:rsidP="00EB3D1B">
            <w:pPr>
              <w:pStyle w:val="Tableheader"/>
              <w:keepNext/>
              <w:keepLines/>
            </w:pPr>
            <w:r>
              <w:t>Standard</w:t>
            </w:r>
          </w:p>
        </w:tc>
      </w:tr>
      <w:tr w:rsidR="007F1005" w:rsidRPr="004C23F4" w14:paraId="0A8EDFF7" w14:textId="77777777" w:rsidTr="00F053FA">
        <w:trPr>
          <w:tblHeader/>
        </w:trPr>
        <w:sdt>
          <w:sdtPr>
            <w:id w:val="-25557549"/>
            <w:placeholder>
              <w:docPart w:val="2BF891C0AB704CDAB9BC6E80D556473F"/>
            </w:placeholder>
            <w:showingPlcHdr/>
            <w:text/>
          </w:sdtPr>
          <w:sdtEndPr/>
          <w:sdtContent>
            <w:tc>
              <w:tcPr>
                <w:tcW w:w="4077" w:type="dxa"/>
                <w:vAlign w:val="center"/>
              </w:tcPr>
              <w:p w14:paraId="7949D24F"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20161776" w14:textId="77777777" w:rsidR="007F1005" w:rsidRPr="004C23F4" w:rsidRDefault="007F1005" w:rsidP="00EB3D1B">
            <w:pPr>
              <w:pStyle w:val="Tablefont"/>
              <w:keepLines/>
            </w:pPr>
          </w:p>
        </w:tc>
      </w:tr>
    </w:tbl>
    <w:bookmarkEnd w:id="5"/>
    <w:p w14:paraId="2632AEE5" w14:textId="77777777" w:rsidR="00F87D92" w:rsidRDefault="00F87D92" w:rsidP="00EF7F78">
      <w:pPr>
        <w:pStyle w:val="Heading2"/>
        <w:tabs>
          <w:tab w:val="right" w:pos="8505"/>
        </w:tabs>
      </w:pPr>
      <w:r>
        <w:t>References</w:t>
      </w:r>
      <w:r w:rsidR="00EF7F78">
        <w:tab/>
      </w:r>
    </w:p>
    <w:p w14:paraId="016C4875" w14:textId="5D5CB16F"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480FD36E" w14:textId="2E16C90D" w:rsidR="004F2CF1" w:rsidRDefault="004F2CF1" w:rsidP="00084859">
      <w:r w:rsidRPr="004F2CF1">
        <w:t>Deutsche Forschungsgemeinschaft (DFG) (</w:t>
      </w:r>
      <w:r>
        <w:t>2010</w:t>
      </w:r>
      <w:r w:rsidRPr="004F2CF1">
        <w:t xml:space="preserve">) </w:t>
      </w:r>
      <w:r>
        <w:t>Naphtha (petroleum), hydrotreated heavy</w:t>
      </w:r>
      <w:r w:rsidRPr="004F2CF1">
        <w:t xml:space="preserve"> – MAK value documentation.</w:t>
      </w:r>
    </w:p>
    <w:p w14:paraId="3B2BC4E6" w14:textId="4C7ABD9D" w:rsidR="004F2CF1" w:rsidRDefault="004F2CF1" w:rsidP="00084859">
      <w:r w:rsidRPr="002022B6">
        <w:t>EU Scientific Committee on Occupational Exposure Limits (SCOEL)</w:t>
      </w:r>
      <w:r>
        <w:t xml:space="preserve"> (2007) Recommendation from the Scientific Committee on Occupational Exposure Limits for “White Spirit”. SCOEL/SUM/87.</w:t>
      </w:r>
    </w:p>
    <w:p w14:paraId="73FC9D1D" w14:textId="77777777" w:rsidR="002B32F0" w:rsidRDefault="002B32F0" w:rsidP="002B32F0">
      <w:r>
        <w:t xml:space="preserve">European Chemicals Agency (ECHA) (2019) </w:t>
      </w:r>
      <w:r w:rsidRPr="0020160F">
        <w:t>White spirits</w:t>
      </w:r>
      <w:r>
        <w:t xml:space="preserve"> – REACH assessment.</w:t>
      </w:r>
    </w:p>
    <w:p w14:paraId="191F13FC" w14:textId="77777777" w:rsidR="00AF4C8C" w:rsidRDefault="00AF4C8C" w:rsidP="00AF4C8C">
      <w:pPr>
        <w:rPr>
          <w:b/>
        </w:rPr>
      </w:pPr>
      <w:r w:rsidRPr="002022B6">
        <w:t>National Industrial Chemicals Notification and Assessment Scheme (NICNAS)</w:t>
      </w:r>
      <w:r>
        <w:t xml:space="preserve"> (</w:t>
      </w:r>
      <w:r w:rsidRPr="00392A2D">
        <w:t>2015</w:t>
      </w:r>
      <w:r>
        <w:t xml:space="preserve">) </w:t>
      </w:r>
      <w:r w:rsidRPr="00392A2D">
        <w:t>Hydrocarbon solvents commonly used in their refined forms</w:t>
      </w:r>
      <w:r w:rsidRPr="0071660C">
        <w:t xml:space="preserve">: Human health </w:t>
      </w:r>
      <w:r w:rsidRPr="00392A2D">
        <w:t>tier II</w:t>
      </w:r>
      <w:r>
        <w:t xml:space="preserve"> </w:t>
      </w:r>
      <w:r w:rsidRPr="0071660C">
        <w:t>assessment</w:t>
      </w:r>
      <w:r>
        <w:t xml:space="preserve"> – IMAP report.</w:t>
      </w:r>
    </w:p>
    <w:p w14:paraId="77EFB18B" w14:textId="22C524BF" w:rsidR="008E4F1F" w:rsidRDefault="008E4F1F" w:rsidP="008E4F1F">
      <w:r w:rsidRPr="00D86E03">
        <w:t>US National Institute for Occupational Safety and Health (NIOSH)</w:t>
      </w:r>
      <w:r>
        <w:t xml:space="preserve"> (</w:t>
      </w:r>
      <w:r w:rsidR="0020160F" w:rsidRPr="0020160F">
        <w:t>1994</w:t>
      </w:r>
      <w:r>
        <w:t xml:space="preserve">) Immediately dangerous to life or health concentrations – </w:t>
      </w:r>
      <w:r w:rsidR="0020160F" w:rsidRPr="0020160F">
        <w:t>Stoddard solvent</w:t>
      </w:r>
      <w:r>
        <w:t>.</w:t>
      </w:r>
    </w:p>
    <w:p w14:paraId="26914C66" w14:textId="3B75DD53" w:rsidR="004F2CF1" w:rsidRDefault="004F2CF1" w:rsidP="008E4F1F">
      <w:r w:rsidRPr="00DB0A36">
        <w:t>International Agency for Research on Cancer (IARC)</w:t>
      </w:r>
      <w:r>
        <w:t xml:space="preserve"> (1989) Some Petroleum Solvents</w:t>
      </w:r>
      <w:r w:rsidRPr="00DB0A36">
        <w:t xml:space="preserve">. IARC Monographs – </w:t>
      </w:r>
      <w:r>
        <w:t>Volume 47</w:t>
      </w:r>
      <w:r w:rsidRPr="00DB0A36">
        <w:t>.</w:t>
      </w:r>
    </w:p>
    <w:p w14:paraId="3DA0A2EF" w14:textId="77777777" w:rsidR="0020160F" w:rsidRDefault="0020160F" w:rsidP="0020160F">
      <w:r w:rsidRPr="0035432C">
        <w:t>Tenth Adaptation to Technical Progress Commission Regulation (EU) No 2017/776 amending, for the purposes of its adaptation to technical and scientific progress, Regulation (EC) No 1272/2008 of the European Parliament and of the Council on classification, labelling and packaging of substances and mixtures (the CLP Regulation).</w:t>
      </w:r>
    </w:p>
    <w:p w14:paraId="4645E388" w14:textId="77777777" w:rsidR="0020160F" w:rsidRDefault="0020160F" w:rsidP="008E4F1F">
      <w:pPr>
        <w:rPr>
          <w:b/>
        </w:rPr>
      </w:pPr>
    </w:p>
    <w:p w14:paraId="417B0753" w14:textId="77777777" w:rsidR="008E4F1F" w:rsidRPr="00351FE0" w:rsidRDefault="008E4F1F" w:rsidP="00084859"/>
    <w:sectPr w:rsidR="008E4F1F" w:rsidRPr="00351FE0"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42FAC" w14:textId="77777777" w:rsidR="00816B6D" w:rsidRDefault="00816B6D" w:rsidP="00F43AD5">
      <w:pPr>
        <w:spacing w:after="0" w:line="240" w:lineRule="auto"/>
      </w:pPr>
      <w:r>
        <w:separator/>
      </w:r>
    </w:p>
  </w:endnote>
  <w:endnote w:type="continuationSeparator" w:id="0">
    <w:p w14:paraId="6AE043A6" w14:textId="77777777" w:rsidR="00816B6D" w:rsidRDefault="00816B6D"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F3DFF" w14:textId="77777777" w:rsidR="00E9190A" w:rsidRDefault="00E91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39026E62" w14:textId="7E9837C2" w:rsidR="00E11B92" w:rsidRDefault="00E11B92" w:rsidP="0034744C">
        <w:pPr>
          <w:pStyle w:val="Footer"/>
          <w:rPr>
            <w:sz w:val="18"/>
            <w:szCs w:val="18"/>
          </w:rPr>
        </w:pPr>
        <w:r>
          <w:rPr>
            <w:b/>
            <w:sz w:val="18"/>
            <w:szCs w:val="18"/>
          </w:rPr>
          <w:t>Mineral</w:t>
        </w:r>
        <w:r w:rsidRPr="009963DA">
          <w:rPr>
            <w:b/>
            <w:sz w:val="18"/>
            <w:szCs w:val="18"/>
          </w:rPr>
          <w:t xml:space="preserve"> spirits</w:t>
        </w:r>
        <w:r>
          <w:rPr>
            <w:b/>
            <w:sz w:val="18"/>
            <w:szCs w:val="18"/>
          </w:rPr>
          <w:t xml:space="preserve"> (</w:t>
        </w:r>
        <w:r w:rsidRPr="009963DA">
          <w:rPr>
            <w:b/>
            <w:sz w:val="18"/>
            <w:szCs w:val="18"/>
          </w:rPr>
          <w:t>8052-41-3</w:t>
        </w:r>
        <w:r>
          <w:rPr>
            <w:b/>
            <w:sz w:val="18"/>
            <w:szCs w:val="18"/>
          </w:rPr>
          <w:t>,</w:t>
        </w:r>
        <w:r w:rsidRPr="00A4087C">
          <w:t xml:space="preserve"> </w:t>
        </w:r>
        <w:r>
          <w:rPr>
            <w:b/>
            <w:sz w:val="18"/>
            <w:szCs w:val="18"/>
          </w:rPr>
          <w:t xml:space="preserve">64742-82-1, </w:t>
        </w:r>
        <w:r w:rsidRPr="00C4752F">
          <w:rPr>
            <w:b/>
            <w:sz w:val="18"/>
            <w:szCs w:val="18"/>
          </w:rPr>
          <w:t>64742-95-6</w:t>
        </w:r>
        <w:r>
          <w:rPr>
            <w:b/>
            <w:sz w:val="18"/>
            <w:szCs w:val="18"/>
          </w:rPr>
          <w:t>)</w:t>
        </w:r>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w:t>
        </w:r>
        <w:r>
          <w:rPr>
            <w:sz w:val="18"/>
            <w:szCs w:val="18"/>
          </w:rPr>
          <w:t>2020</w:t>
        </w:r>
      </w:p>
      <w:p w14:paraId="2D517F5E" w14:textId="240A2894" w:rsidR="00E11B92" w:rsidRPr="00F43AD5" w:rsidRDefault="00E11B92"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C71B7D">
          <w:rPr>
            <w:noProof/>
            <w:sz w:val="18"/>
            <w:szCs w:val="18"/>
          </w:rPr>
          <w:t>9</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ABAB" w14:textId="77777777" w:rsidR="00E9190A" w:rsidRDefault="00E91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5CDD8" w14:textId="77777777" w:rsidR="00816B6D" w:rsidRDefault="00816B6D" w:rsidP="00F43AD5">
      <w:pPr>
        <w:spacing w:after="0" w:line="240" w:lineRule="auto"/>
      </w:pPr>
      <w:r>
        <w:separator/>
      </w:r>
    </w:p>
  </w:footnote>
  <w:footnote w:type="continuationSeparator" w:id="0">
    <w:p w14:paraId="51B4C37C" w14:textId="77777777" w:rsidR="00816B6D" w:rsidRDefault="00816B6D"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93AE" w14:textId="77777777" w:rsidR="00E9190A" w:rsidRDefault="00E91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8792" w14:textId="111AE602" w:rsidR="00E11B92" w:rsidRPr="00E9190A" w:rsidRDefault="00E9190A" w:rsidP="00E9190A">
    <w:pPr>
      <w:pStyle w:val="Header"/>
      <w:jc w:val="right"/>
    </w:pPr>
    <w:r>
      <w:pict w14:anchorId="3E8FF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64580" o:spid="_x0000_s6146" type="#_x0000_t136" style="position:absolute;left:0;text-align:left;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335C7431" wp14:editId="51D1FBFD">
          <wp:extent cx="2945130" cy="593725"/>
          <wp:effectExtent l="0" t="0" r="0" b="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B5FF" w14:textId="77777777" w:rsidR="00E9190A" w:rsidRDefault="00E91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11B24" w14:textId="20758C36" w:rsidR="00E9190A" w:rsidRDefault="00E9190A" w:rsidP="00E9190A">
    <w:pPr>
      <w:pStyle w:val="Header"/>
      <w:jc w:val="right"/>
    </w:pPr>
    <w:r>
      <w:pict w14:anchorId="51E97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7"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04BAFA4D" wp14:editId="16784ED9">
          <wp:extent cx="2945130" cy="593725"/>
          <wp:effectExtent l="0" t="0" r="0" b="0"/>
          <wp:docPr id="4" name="Picture 4"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551AEC46" w14:textId="77777777" w:rsidR="00E9190A" w:rsidRDefault="00E9190A" w:rsidP="00E9190A">
    <w:pPr>
      <w:pStyle w:val="Header"/>
    </w:pPr>
  </w:p>
  <w:p w14:paraId="71F09FB4" w14:textId="77777777" w:rsidR="00E11B92" w:rsidRDefault="00E11B92" w:rsidP="00F43A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13C8"/>
    <w:multiLevelType w:val="hybridMultilevel"/>
    <w:tmpl w:val="69229AAA"/>
    <w:lvl w:ilvl="0" w:tplc="5B3C861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3E6A63"/>
    <w:multiLevelType w:val="hybridMultilevel"/>
    <w:tmpl w:val="CB225952"/>
    <w:lvl w:ilvl="0" w:tplc="C9E857A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1C4D39"/>
    <w:multiLevelType w:val="hybridMultilevel"/>
    <w:tmpl w:val="9D16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741D67"/>
    <w:multiLevelType w:val="hybridMultilevel"/>
    <w:tmpl w:val="60A4FBDA"/>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6EC11EC0"/>
    <w:multiLevelType w:val="hybridMultilevel"/>
    <w:tmpl w:val="B19C491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7B80"/>
    <w:rsid w:val="00013A22"/>
    <w:rsid w:val="00014C3F"/>
    <w:rsid w:val="00017C82"/>
    <w:rsid w:val="00032B88"/>
    <w:rsid w:val="000337DF"/>
    <w:rsid w:val="00037E52"/>
    <w:rsid w:val="00046DF5"/>
    <w:rsid w:val="00052060"/>
    <w:rsid w:val="0005574A"/>
    <w:rsid w:val="00055FE1"/>
    <w:rsid w:val="00056EC2"/>
    <w:rsid w:val="00060B48"/>
    <w:rsid w:val="00067F32"/>
    <w:rsid w:val="00071807"/>
    <w:rsid w:val="000803E1"/>
    <w:rsid w:val="00084513"/>
    <w:rsid w:val="00084859"/>
    <w:rsid w:val="00092738"/>
    <w:rsid w:val="00092D94"/>
    <w:rsid w:val="000B0868"/>
    <w:rsid w:val="000B3E12"/>
    <w:rsid w:val="000B3E78"/>
    <w:rsid w:val="000B7B48"/>
    <w:rsid w:val="000C096D"/>
    <w:rsid w:val="000C139A"/>
    <w:rsid w:val="000C2053"/>
    <w:rsid w:val="000C248C"/>
    <w:rsid w:val="000C7D77"/>
    <w:rsid w:val="000D0643"/>
    <w:rsid w:val="000D291C"/>
    <w:rsid w:val="000E5A54"/>
    <w:rsid w:val="000E63D3"/>
    <w:rsid w:val="000E67CF"/>
    <w:rsid w:val="0010461E"/>
    <w:rsid w:val="00106FAA"/>
    <w:rsid w:val="00113443"/>
    <w:rsid w:val="00116E45"/>
    <w:rsid w:val="001241A4"/>
    <w:rsid w:val="001269A7"/>
    <w:rsid w:val="00131092"/>
    <w:rsid w:val="00140E6A"/>
    <w:rsid w:val="00146545"/>
    <w:rsid w:val="00146B75"/>
    <w:rsid w:val="0015266D"/>
    <w:rsid w:val="0015288A"/>
    <w:rsid w:val="00152CA9"/>
    <w:rsid w:val="00155999"/>
    <w:rsid w:val="00160F47"/>
    <w:rsid w:val="00177CA1"/>
    <w:rsid w:val="00183823"/>
    <w:rsid w:val="00183942"/>
    <w:rsid w:val="001915F6"/>
    <w:rsid w:val="00192399"/>
    <w:rsid w:val="001A009E"/>
    <w:rsid w:val="001A1287"/>
    <w:rsid w:val="001A3859"/>
    <w:rsid w:val="001A3C9D"/>
    <w:rsid w:val="001A43F8"/>
    <w:rsid w:val="001A4FC7"/>
    <w:rsid w:val="001B79E5"/>
    <w:rsid w:val="001C01E8"/>
    <w:rsid w:val="001C1C06"/>
    <w:rsid w:val="001D56F0"/>
    <w:rsid w:val="001D663B"/>
    <w:rsid w:val="001D7B41"/>
    <w:rsid w:val="001E46DA"/>
    <w:rsid w:val="001E7D80"/>
    <w:rsid w:val="001F2928"/>
    <w:rsid w:val="001F4B6C"/>
    <w:rsid w:val="001F62CB"/>
    <w:rsid w:val="001F6ED0"/>
    <w:rsid w:val="001F72E6"/>
    <w:rsid w:val="001F73C5"/>
    <w:rsid w:val="0020160F"/>
    <w:rsid w:val="002046A6"/>
    <w:rsid w:val="00204956"/>
    <w:rsid w:val="00213640"/>
    <w:rsid w:val="00221547"/>
    <w:rsid w:val="002216FC"/>
    <w:rsid w:val="002220D0"/>
    <w:rsid w:val="00222533"/>
    <w:rsid w:val="00222F30"/>
    <w:rsid w:val="00224EE2"/>
    <w:rsid w:val="00227EC7"/>
    <w:rsid w:val="002308D9"/>
    <w:rsid w:val="00244AD1"/>
    <w:rsid w:val="002462E5"/>
    <w:rsid w:val="002463BC"/>
    <w:rsid w:val="002465CE"/>
    <w:rsid w:val="0025734A"/>
    <w:rsid w:val="00263255"/>
    <w:rsid w:val="00274894"/>
    <w:rsid w:val="00276494"/>
    <w:rsid w:val="00277B0C"/>
    <w:rsid w:val="002B1361"/>
    <w:rsid w:val="002B1A2C"/>
    <w:rsid w:val="002B32F0"/>
    <w:rsid w:val="002C0F2C"/>
    <w:rsid w:val="002C34F2"/>
    <w:rsid w:val="002C58FF"/>
    <w:rsid w:val="002C7AFE"/>
    <w:rsid w:val="002D05D2"/>
    <w:rsid w:val="002D75EF"/>
    <w:rsid w:val="002E0D61"/>
    <w:rsid w:val="002E3E18"/>
    <w:rsid w:val="002E4C7B"/>
    <w:rsid w:val="002E640F"/>
    <w:rsid w:val="002F47AB"/>
    <w:rsid w:val="002F546E"/>
    <w:rsid w:val="00304BBC"/>
    <w:rsid w:val="0030740C"/>
    <w:rsid w:val="0031290D"/>
    <w:rsid w:val="00315833"/>
    <w:rsid w:val="003215EE"/>
    <w:rsid w:val="003224BF"/>
    <w:rsid w:val="003241A8"/>
    <w:rsid w:val="003253F0"/>
    <w:rsid w:val="003337DA"/>
    <w:rsid w:val="00334EFB"/>
    <w:rsid w:val="00335CDE"/>
    <w:rsid w:val="003365A5"/>
    <w:rsid w:val="00347192"/>
    <w:rsid w:val="0034744C"/>
    <w:rsid w:val="00351FE0"/>
    <w:rsid w:val="00352615"/>
    <w:rsid w:val="0035412B"/>
    <w:rsid w:val="003567A8"/>
    <w:rsid w:val="00362895"/>
    <w:rsid w:val="00365F38"/>
    <w:rsid w:val="00367DD8"/>
    <w:rsid w:val="00370DBF"/>
    <w:rsid w:val="00386093"/>
    <w:rsid w:val="003904A4"/>
    <w:rsid w:val="00391841"/>
    <w:rsid w:val="00391B6D"/>
    <w:rsid w:val="00394922"/>
    <w:rsid w:val="003A0E32"/>
    <w:rsid w:val="003A2B94"/>
    <w:rsid w:val="003B387D"/>
    <w:rsid w:val="003C0D58"/>
    <w:rsid w:val="003C5216"/>
    <w:rsid w:val="003C6982"/>
    <w:rsid w:val="003D0ADF"/>
    <w:rsid w:val="003D1504"/>
    <w:rsid w:val="003D20A7"/>
    <w:rsid w:val="003D4FA3"/>
    <w:rsid w:val="003E0807"/>
    <w:rsid w:val="003E41EC"/>
    <w:rsid w:val="003E51FB"/>
    <w:rsid w:val="003E6B39"/>
    <w:rsid w:val="003F07E1"/>
    <w:rsid w:val="003F6FFC"/>
    <w:rsid w:val="004030BC"/>
    <w:rsid w:val="00403F7D"/>
    <w:rsid w:val="004040D4"/>
    <w:rsid w:val="00406785"/>
    <w:rsid w:val="004079B4"/>
    <w:rsid w:val="00417A56"/>
    <w:rsid w:val="00420957"/>
    <w:rsid w:val="00422A10"/>
    <w:rsid w:val="00430179"/>
    <w:rsid w:val="004414B5"/>
    <w:rsid w:val="00444482"/>
    <w:rsid w:val="00444B42"/>
    <w:rsid w:val="00445E44"/>
    <w:rsid w:val="004509E2"/>
    <w:rsid w:val="004515EE"/>
    <w:rsid w:val="004529F0"/>
    <w:rsid w:val="00460A03"/>
    <w:rsid w:val="004613F6"/>
    <w:rsid w:val="00467BD8"/>
    <w:rsid w:val="00472A11"/>
    <w:rsid w:val="00472AAD"/>
    <w:rsid w:val="00474E33"/>
    <w:rsid w:val="00476803"/>
    <w:rsid w:val="0047701E"/>
    <w:rsid w:val="00485BFD"/>
    <w:rsid w:val="004867A2"/>
    <w:rsid w:val="004873F2"/>
    <w:rsid w:val="00490D4C"/>
    <w:rsid w:val="00493A35"/>
    <w:rsid w:val="0049527A"/>
    <w:rsid w:val="004966BF"/>
    <w:rsid w:val="00497984"/>
    <w:rsid w:val="004A5088"/>
    <w:rsid w:val="004B0EB9"/>
    <w:rsid w:val="004C1E3F"/>
    <w:rsid w:val="004C23F4"/>
    <w:rsid w:val="004C3475"/>
    <w:rsid w:val="004C58B6"/>
    <w:rsid w:val="004D16A3"/>
    <w:rsid w:val="004D4AA1"/>
    <w:rsid w:val="004D6D68"/>
    <w:rsid w:val="004E5EDD"/>
    <w:rsid w:val="004F2CF1"/>
    <w:rsid w:val="004F448A"/>
    <w:rsid w:val="004F493D"/>
    <w:rsid w:val="004F65E8"/>
    <w:rsid w:val="004F7838"/>
    <w:rsid w:val="0050005E"/>
    <w:rsid w:val="00502B88"/>
    <w:rsid w:val="0050424E"/>
    <w:rsid w:val="005142C4"/>
    <w:rsid w:val="0051509C"/>
    <w:rsid w:val="00520BCA"/>
    <w:rsid w:val="005272E2"/>
    <w:rsid w:val="00530382"/>
    <w:rsid w:val="0053108F"/>
    <w:rsid w:val="00532B56"/>
    <w:rsid w:val="00534B10"/>
    <w:rsid w:val="005405B8"/>
    <w:rsid w:val="005446A2"/>
    <w:rsid w:val="00544D2F"/>
    <w:rsid w:val="00551BD8"/>
    <w:rsid w:val="005575F9"/>
    <w:rsid w:val="00581055"/>
    <w:rsid w:val="0058438D"/>
    <w:rsid w:val="00591E38"/>
    <w:rsid w:val="00591F12"/>
    <w:rsid w:val="005A19C5"/>
    <w:rsid w:val="005A3034"/>
    <w:rsid w:val="005A462D"/>
    <w:rsid w:val="005B253B"/>
    <w:rsid w:val="005B771D"/>
    <w:rsid w:val="005C5D16"/>
    <w:rsid w:val="005D3193"/>
    <w:rsid w:val="005D4A6E"/>
    <w:rsid w:val="005E6979"/>
    <w:rsid w:val="005E74AB"/>
    <w:rsid w:val="005E75CB"/>
    <w:rsid w:val="006013C1"/>
    <w:rsid w:val="0060669E"/>
    <w:rsid w:val="00610F2E"/>
    <w:rsid w:val="00611399"/>
    <w:rsid w:val="00624C4E"/>
    <w:rsid w:val="00625200"/>
    <w:rsid w:val="006363A8"/>
    <w:rsid w:val="00636DB7"/>
    <w:rsid w:val="006408ED"/>
    <w:rsid w:val="00650905"/>
    <w:rsid w:val="006532ED"/>
    <w:rsid w:val="006549F2"/>
    <w:rsid w:val="006567B7"/>
    <w:rsid w:val="00657BFB"/>
    <w:rsid w:val="0066333C"/>
    <w:rsid w:val="006639B4"/>
    <w:rsid w:val="006650FE"/>
    <w:rsid w:val="00665E94"/>
    <w:rsid w:val="0067305D"/>
    <w:rsid w:val="00675572"/>
    <w:rsid w:val="00677D9B"/>
    <w:rsid w:val="00680D4C"/>
    <w:rsid w:val="006867F3"/>
    <w:rsid w:val="00687890"/>
    <w:rsid w:val="006901A2"/>
    <w:rsid w:val="00690368"/>
    <w:rsid w:val="0069079C"/>
    <w:rsid w:val="00690B53"/>
    <w:rsid w:val="00695B72"/>
    <w:rsid w:val="006B160A"/>
    <w:rsid w:val="006B4E6C"/>
    <w:rsid w:val="006B50B6"/>
    <w:rsid w:val="006D79EA"/>
    <w:rsid w:val="006E5D05"/>
    <w:rsid w:val="00701053"/>
    <w:rsid w:val="00701507"/>
    <w:rsid w:val="00707DF9"/>
    <w:rsid w:val="00714021"/>
    <w:rsid w:val="00716A0F"/>
    <w:rsid w:val="0071702C"/>
    <w:rsid w:val="00717D45"/>
    <w:rsid w:val="007208F7"/>
    <w:rsid w:val="007218AF"/>
    <w:rsid w:val="007365D1"/>
    <w:rsid w:val="00740E0E"/>
    <w:rsid w:val="00750212"/>
    <w:rsid w:val="00754779"/>
    <w:rsid w:val="0075716D"/>
    <w:rsid w:val="00765F14"/>
    <w:rsid w:val="00770E31"/>
    <w:rsid w:val="007770F1"/>
    <w:rsid w:val="00783FB1"/>
    <w:rsid w:val="00785CDD"/>
    <w:rsid w:val="00791847"/>
    <w:rsid w:val="007925F0"/>
    <w:rsid w:val="007939B3"/>
    <w:rsid w:val="0079509C"/>
    <w:rsid w:val="00796708"/>
    <w:rsid w:val="007B1B42"/>
    <w:rsid w:val="007C30EB"/>
    <w:rsid w:val="007D404D"/>
    <w:rsid w:val="007E063C"/>
    <w:rsid w:val="007E2A4B"/>
    <w:rsid w:val="007E307D"/>
    <w:rsid w:val="007E6A4E"/>
    <w:rsid w:val="007E6C94"/>
    <w:rsid w:val="007F1005"/>
    <w:rsid w:val="007F25E0"/>
    <w:rsid w:val="007F5328"/>
    <w:rsid w:val="00804DE0"/>
    <w:rsid w:val="00804F5A"/>
    <w:rsid w:val="00810C6D"/>
    <w:rsid w:val="00812887"/>
    <w:rsid w:val="00816B6D"/>
    <w:rsid w:val="00826F21"/>
    <w:rsid w:val="00834CC8"/>
    <w:rsid w:val="00835E00"/>
    <w:rsid w:val="00837113"/>
    <w:rsid w:val="008414E4"/>
    <w:rsid w:val="00843D2B"/>
    <w:rsid w:val="00843E21"/>
    <w:rsid w:val="0084508E"/>
    <w:rsid w:val="00857A8A"/>
    <w:rsid w:val="008630EE"/>
    <w:rsid w:val="00864D13"/>
    <w:rsid w:val="00871CD5"/>
    <w:rsid w:val="008745A2"/>
    <w:rsid w:val="008768A8"/>
    <w:rsid w:val="0088798F"/>
    <w:rsid w:val="00887E4B"/>
    <w:rsid w:val="0089155B"/>
    <w:rsid w:val="008915C8"/>
    <w:rsid w:val="008A36CF"/>
    <w:rsid w:val="008A3BC4"/>
    <w:rsid w:val="008B403C"/>
    <w:rsid w:val="008B7983"/>
    <w:rsid w:val="008C2511"/>
    <w:rsid w:val="008C741C"/>
    <w:rsid w:val="008D026D"/>
    <w:rsid w:val="008D23AB"/>
    <w:rsid w:val="008D4B8B"/>
    <w:rsid w:val="008D5A78"/>
    <w:rsid w:val="008D7D4F"/>
    <w:rsid w:val="008E4F1F"/>
    <w:rsid w:val="008E7B64"/>
    <w:rsid w:val="008F5DCD"/>
    <w:rsid w:val="00900951"/>
    <w:rsid w:val="009118A6"/>
    <w:rsid w:val="00913EFC"/>
    <w:rsid w:val="00916909"/>
    <w:rsid w:val="00916EC0"/>
    <w:rsid w:val="00920467"/>
    <w:rsid w:val="00921DE7"/>
    <w:rsid w:val="0093041A"/>
    <w:rsid w:val="00930714"/>
    <w:rsid w:val="00931B03"/>
    <w:rsid w:val="009323B9"/>
    <w:rsid w:val="00932DCE"/>
    <w:rsid w:val="0093327E"/>
    <w:rsid w:val="00934028"/>
    <w:rsid w:val="0093760E"/>
    <w:rsid w:val="00945AD9"/>
    <w:rsid w:val="00945EDD"/>
    <w:rsid w:val="00946044"/>
    <w:rsid w:val="0094660B"/>
    <w:rsid w:val="00946A33"/>
    <w:rsid w:val="0095260E"/>
    <w:rsid w:val="009578DD"/>
    <w:rsid w:val="00961124"/>
    <w:rsid w:val="009621B6"/>
    <w:rsid w:val="00974F2D"/>
    <w:rsid w:val="00977524"/>
    <w:rsid w:val="00977E88"/>
    <w:rsid w:val="00984920"/>
    <w:rsid w:val="00990721"/>
    <w:rsid w:val="0099303A"/>
    <w:rsid w:val="00996057"/>
    <w:rsid w:val="009963DA"/>
    <w:rsid w:val="009971C2"/>
    <w:rsid w:val="009A1254"/>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E7F54"/>
    <w:rsid w:val="009F04D2"/>
    <w:rsid w:val="009F05CF"/>
    <w:rsid w:val="009F0F3A"/>
    <w:rsid w:val="00A01D0C"/>
    <w:rsid w:val="00A03ABA"/>
    <w:rsid w:val="00A0643F"/>
    <w:rsid w:val="00A067EE"/>
    <w:rsid w:val="00A0724E"/>
    <w:rsid w:val="00A10FCE"/>
    <w:rsid w:val="00A16D91"/>
    <w:rsid w:val="00A174CC"/>
    <w:rsid w:val="00A2073D"/>
    <w:rsid w:val="00A20751"/>
    <w:rsid w:val="00A238B6"/>
    <w:rsid w:val="00A27E2D"/>
    <w:rsid w:val="00A31C64"/>
    <w:rsid w:val="00A31D99"/>
    <w:rsid w:val="00A357BA"/>
    <w:rsid w:val="00A35ADC"/>
    <w:rsid w:val="00A402A3"/>
    <w:rsid w:val="00A4087C"/>
    <w:rsid w:val="00A53681"/>
    <w:rsid w:val="00A633D4"/>
    <w:rsid w:val="00A6461A"/>
    <w:rsid w:val="00A84504"/>
    <w:rsid w:val="00A8672F"/>
    <w:rsid w:val="00A93057"/>
    <w:rsid w:val="00A95578"/>
    <w:rsid w:val="00A968B0"/>
    <w:rsid w:val="00AA3BC9"/>
    <w:rsid w:val="00AB06CE"/>
    <w:rsid w:val="00AB2672"/>
    <w:rsid w:val="00AB2817"/>
    <w:rsid w:val="00AB43C4"/>
    <w:rsid w:val="00AC32E7"/>
    <w:rsid w:val="00AC3A9F"/>
    <w:rsid w:val="00AC6698"/>
    <w:rsid w:val="00AC6D2F"/>
    <w:rsid w:val="00AE2745"/>
    <w:rsid w:val="00AE2F64"/>
    <w:rsid w:val="00AE6F7D"/>
    <w:rsid w:val="00AF42CB"/>
    <w:rsid w:val="00AF483F"/>
    <w:rsid w:val="00AF4C8C"/>
    <w:rsid w:val="00AF5E07"/>
    <w:rsid w:val="00AF5F06"/>
    <w:rsid w:val="00B00A25"/>
    <w:rsid w:val="00B07E99"/>
    <w:rsid w:val="00B13B00"/>
    <w:rsid w:val="00B1422A"/>
    <w:rsid w:val="00B1765C"/>
    <w:rsid w:val="00B213C4"/>
    <w:rsid w:val="00B40C60"/>
    <w:rsid w:val="00B479A9"/>
    <w:rsid w:val="00B52EDF"/>
    <w:rsid w:val="00B71188"/>
    <w:rsid w:val="00B76A41"/>
    <w:rsid w:val="00B87D4C"/>
    <w:rsid w:val="00B93646"/>
    <w:rsid w:val="00BA0B38"/>
    <w:rsid w:val="00BA1DBB"/>
    <w:rsid w:val="00BA4510"/>
    <w:rsid w:val="00BA529A"/>
    <w:rsid w:val="00BB612A"/>
    <w:rsid w:val="00BD499F"/>
    <w:rsid w:val="00BD56DE"/>
    <w:rsid w:val="00BF2406"/>
    <w:rsid w:val="00BF5E19"/>
    <w:rsid w:val="00C06E43"/>
    <w:rsid w:val="00C161A2"/>
    <w:rsid w:val="00C16315"/>
    <w:rsid w:val="00C3091E"/>
    <w:rsid w:val="00C40FF1"/>
    <w:rsid w:val="00C419E2"/>
    <w:rsid w:val="00C4752F"/>
    <w:rsid w:val="00C5020E"/>
    <w:rsid w:val="00C54C55"/>
    <w:rsid w:val="00C57452"/>
    <w:rsid w:val="00C61EDF"/>
    <w:rsid w:val="00C6239D"/>
    <w:rsid w:val="00C6594B"/>
    <w:rsid w:val="00C67FFB"/>
    <w:rsid w:val="00C7155E"/>
    <w:rsid w:val="00C71B7D"/>
    <w:rsid w:val="00C71D1E"/>
    <w:rsid w:val="00C71D7D"/>
    <w:rsid w:val="00C74833"/>
    <w:rsid w:val="00C80609"/>
    <w:rsid w:val="00C850A0"/>
    <w:rsid w:val="00C85A86"/>
    <w:rsid w:val="00C86748"/>
    <w:rsid w:val="00C978F0"/>
    <w:rsid w:val="00C97E9B"/>
    <w:rsid w:val="00CA58FE"/>
    <w:rsid w:val="00CB1CB1"/>
    <w:rsid w:val="00CB46E0"/>
    <w:rsid w:val="00CB56C0"/>
    <w:rsid w:val="00CB6BC1"/>
    <w:rsid w:val="00CB6CB8"/>
    <w:rsid w:val="00CC1A68"/>
    <w:rsid w:val="00CC200D"/>
    <w:rsid w:val="00CC2123"/>
    <w:rsid w:val="00CD2BFD"/>
    <w:rsid w:val="00CD5CB4"/>
    <w:rsid w:val="00CE5AD6"/>
    <w:rsid w:val="00CE617F"/>
    <w:rsid w:val="00CE78EF"/>
    <w:rsid w:val="00CF2ECB"/>
    <w:rsid w:val="00CF7DDE"/>
    <w:rsid w:val="00D048F7"/>
    <w:rsid w:val="00D0517E"/>
    <w:rsid w:val="00D140FC"/>
    <w:rsid w:val="00D21D8C"/>
    <w:rsid w:val="00D31357"/>
    <w:rsid w:val="00D33220"/>
    <w:rsid w:val="00D334D1"/>
    <w:rsid w:val="00D44C89"/>
    <w:rsid w:val="00D516CD"/>
    <w:rsid w:val="00D53E8D"/>
    <w:rsid w:val="00D668E6"/>
    <w:rsid w:val="00D70670"/>
    <w:rsid w:val="00D74D80"/>
    <w:rsid w:val="00D761B0"/>
    <w:rsid w:val="00D76624"/>
    <w:rsid w:val="00D82D59"/>
    <w:rsid w:val="00D83938"/>
    <w:rsid w:val="00D867A0"/>
    <w:rsid w:val="00D87570"/>
    <w:rsid w:val="00D919E2"/>
    <w:rsid w:val="00D91CB9"/>
    <w:rsid w:val="00D97989"/>
    <w:rsid w:val="00D97D8D"/>
    <w:rsid w:val="00DA352E"/>
    <w:rsid w:val="00DC2EEB"/>
    <w:rsid w:val="00DC7694"/>
    <w:rsid w:val="00DD1BF6"/>
    <w:rsid w:val="00DD2F9B"/>
    <w:rsid w:val="00DE2513"/>
    <w:rsid w:val="00DE26E8"/>
    <w:rsid w:val="00DE4F87"/>
    <w:rsid w:val="00DE74EE"/>
    <w:rsid w:val="00DF4CCD"/>
    <w:rsid w:val="00DF6F36"/>
    <w:rsid w:val="00E00596"/>
    <w:rsid w:val="00E0084C"/>
    <w:rsid w:val="00E025AB"/>
    <w:rsid w:val="00E02B23"/>
    <w:rsid w:val="00E06F40"/>
    <w:rsid w:val="00E06FE0"/>
    <w:rsid w:val="00E07CE8"/>
    <w:rsid w:val="00E11B92"/>
    <w:rsid w:val="00E26A07"/>
    <w:rsid w:val="00E32595"/>
    <w:rsid w:val="00E32E17"/>
    <w:rsid w:val="00E345D6"/>
    <w:rsid w:val="00E37CFD"/>
    <w:rsid w:val="00E41A26"/>
    <w:rsid w:val="00E46BCB"/>
    <w:rsid w:val="00E51CAF"/>
    <w:rsid w:val="00E559C8"/>
    <w:rsid w:val="00E60F04"/>
    <w:rsid w:val="00E62AAC"/>
    <w:rsid w:val="00E6681E"/>
    <w:rsid w:val="00E67C2F"/>
    <w:rsid w:val="00E67EF5"/>
    <w:rsid w:val="00E70DFF"/>
    <w:rsid w:val="00E7119C"/>
    <w:rsid w:val="00E804EA"/>
    <w:rsid w:val="00E80A71"/>
    <w:rsid w:val="00E82337"/>
    <w:rsid w:val="00E9190A"/>
    <w:rsid w:val="00E92499"/>
    <w:rsid w:val="00E949AF"/>
    <w:rsid w:val="00E96077"/>
    <w:rsid w:val="00EA0A06"/>
    <w:rsid w:val="00EA26F7"/>
    <w:rsid w:val="00EA6243"/>
    <w:rsid w:val="00EA74AB"/>
    <w:rsid w:val="00EB3D1B"/>
    <w:rsid w:val="00ED1D89"/>
    <w:rsid w:val="00ED2F00"/>
    <w:rsid w:val="00ED57DA"/>
    <w:rsid w:val="00ED66BC"/>
    <w:rsid w:val="00EF233A"/>
    <w:rsid w:val="00EF303E"/>
    <w:rsid w:val="00EF3A40"/>
    <w:rsid w:val="00EF7F78"/>
    <w:rsid w:val="00F01B08"/>
    <w:rsid w:val="00F01C4D"/>
    <w:rsid w:val="00F02193"/>
    <w:rsid w:val="00F053FA"/>
    <w:rsid w:val="00F10C97"/>
    <w:rsid w:val="00F10E4E"/>
    <w:rsid w:val="00F11C71"/>
    <w:rsid w:val="00F16019"/>
    <w:rsid w:val="00F20E68"/>
    <w:rsid w:val="00F22093"/>
    <w:rsid w:val="00F22A4E"/>
    <w:rsid w:val="00F236DF"/>
    <w:rsid w:val="00F25444"/>
    <w:rsid w:val="00F43AD5"/>
    <w:rsid w:val="00F4402E"/>
    <w:rsid w:val="00F56472"/>
    <w:rsid w:val="00F56DD0"/>
    <w:rsid w:val="00F6491C"/>
    <w:rsid w:val="00F64AE9"/>
    <w:rsid w:val="00F67BBB"/>
    <w:rsid w:val="00F7419B"/>
    <w:rsid w:val="00F87903"/>
    <w:rsid w:val="00F87D92"/>
    <w:rsid w:val="00F90AA7"/>
    <w:rsid w:val="00F92498"/>
    <w:rsid w:val="00F9496B"/>
    <w:rsid w:val="00F970C9"/>
    <w:rsid w:val="00FA06A8"/>
    <w:rsid w:val="00FA3DF5"/>
    <w:rsid w:val="00FA741F"/>
    <w:rsid w:val="00FA77A2"/>
    <w:rsid w:val="00FB4E07"/>
    <w:rsid w:val="00FB755A"/>
    <w:rsid w:val="00FC60A2"/>
    <w:rsid w:val="00FD1871"/>
    <w:rsid w:val="00FD3110"/>
    <w:rsid w:val="00FE3CE7"/>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1D60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styleId="CommentReference">
    <w:name w:val="annotation reference"/>
    <w:basedOn w:val="DefaultParagraphFont"/>
    <w:uiPriority w:val="99"/>
    <w:semiHidden/>
    <w:unhideWhenUsed/>
    <w:rsid w:val="004613F6"/>
    <w:rPr>
      <w:sz w:val="16"/>
      <w:szCs w:val="16"/>
    </w:rPr>
  </w:style>
  <w:style w:type="paragraph" w:styleId="CommentText">
    <w:name w:val="annotation text"/>
    <w:basedOn w:val="Normal"/>
    <w:link w:val="CommentTextChar"/>
    <w:uiPriority w:val="99"/>
    <w:semiHidden/>
    <w:unhideWhenUsed/>
    <w:rsid w:val="004613F6"/>
    <w:pPr>
      <w:spacing w:line="240" w:lineRule="auto"/>
    </w:pPr>
    <w:rPr>
      <w:szCs w:val="20"/>
    </w:rPr>
  </w:style>
  <w:style w:type="character" w:customStyle="1" w:styleId="CommentTextChar">
    <w:name w:val="Comment Text Char"/>
    <w:basedOn w:val="DefaultParagraphFont"/>
    <w:link w:val="CommentText"/>
    <w:uiPriority w:val="99"/>
    <w:semiHidden/>
    <w:rsid w:val="004613F6"/>
    <w:rPr>
      <w:szCs w:val="20"/>
    </w:rPr>
  </w:style>
  <w:style w:type="paragraph" w:styleId="CommentSubject">
    <w:name w:val="annotation subject"/>
    <w:basedOn w:val="CommentText"/>
    <w:next w:val="CommentText"/>
    <w:link w:val="CommentSubjectChar"/>
    <w:uiPriority w:val="99"/>
    <w:semiHidden/>
    <w:unhideWhenUsed/>
    <w:rsid w:val="00E345D6"/>
    <w:rPr>
      <w:b/>
      <w:bCs/>
    </w:rPr>
  </w:style>
  <w:style w:type="character" w:customStyle="1" w:styleId="CommentSubjectChar">
    <w:name w:val="Comment Subject Char"/>
    <w:basedOn w:val="CommentTextChar"/>
    <w:link w:val="CommentSubject"/>
    <w:uiPriority w:val="99"/>
    <w:semiHidden/>
    <w:rsid w:val="00E345D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4782">
      <w:bodyDiv w:val="1"/>
      <w:marLeft w:val="0"/>
      <w:marRight w:val="0"/>
      <w:marTop w:val="0"/>
      <w:marBottom w:val="0"/>
      <w:divBdr>
        <w:top w:val="none" w:sz="0" w:space="0" w:color="auto"/>
        <w:left w:val="none" w:sz="0" w:space="0" w:color="auto"/>
        <w:bottom w:val="none" w:sz="0" w:space="0" w:color="auto"/>
        <w:right w:val="none" w:sz="0" w:space="0" w:color="auto"/>
      </w:divBdr>
    </w:div>
    <w:div w:id="440489102">
      <w:bodyDiv w:val="1"/>
      <w:marLeft w:val="0"/>
      <w:marRight w:val="0"/>
      <w:marTop w:val="0"/>
      <w:marBottom w:val="0"/>
      <w:divBdr>
        <w:top w:val="none" w:sz="0" w:space="0" w:color="auto"/>
        <w:left w:val="none" w:sz="0" w:space="0" w:color="auto"/>
        <w:bottom w:val="none" w:sz="0" w:space="0" w:color="auto"/>
        <w:right w:val="none" w:sz="0" w:space="0" w:color="auto"/>
      </w:divBdr>
    </w:div>
    <w:div w:id="929237803">
      <w:bodyDiv w:val="1"/>
      <w:marLeft w:val="0"/>
      <w:marRight w:val="0"/>
      <w:marTop w:val="0"/>
      <w:marBottom w:val="0"/>
      <w:divBdr>
        <w:top w:val="none" w:sz="0" w:space="0" w:color="auto"/>
        <w:left w:val="none" w:sz="0" w:space="0" w:color="auto"/>
        <w:bottom w:val="none" w:sz="0" w:space="0" w:color="auto"/>
        <w:right w:val="none" w:sz="0" w:space="0" w:color="auto"/>
      </w:divBdr>
    </w:div>
    <w:div w:id="1662855150">
      <w:bodyDiv w:val="1"/>
      <w:marLeft w:val="0"/>
      <w:marRight w:val="0"/>
      <w:marTop w:val="0"/>
      <w:marBottom w:val="0"/>
      <w:divBdr>
        <w:top w:val="none" w:sz="0" w:space="0" w:color="auto"/>
        <w:left w:val="none" w:sz="0" w:space="0" w:color="auto"/>
        <w:bottom w:val="none" w:sz="0" w:space="0" w:color="auto"/>
        <w:right w:val="none" w:sz="0" w:space="0" w:color="auto"/>
      </w:divBdr>
    </w:div>
    <w:div w:id="1704673766">
      <w:bodyDiv w:val="1"/>
      <w:marLeft w:val="0"/>
      <w:marRight w:val="0"/>
      <w:marTop w:val="0"/>
      <w:marBottom w:val="0"/>
      <w:divBdr>
        <w:top w:val="none" w:sz="0" w:space="0" w:color="auto"/>
        <w:left w:val="none" w:sz="0" w:space="0" w:color="auto"/>
        <w:bottom w:val="none" w:sz="0" w:space="0" w:color="auto"/>
        <w:right w:val="none" w:sz="0" w:space="0" w:color="auto"/>
      </w:divBdr>
    </w:div>
    <w:div w:id="174903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20BC8D26515A4C11AC6304FB75A7CBAD"/>
        <w:category>
          <w:name w:val="General"/>
          <w:gallery w:val="placeholder"/>
        </w:category>
        <w:types>
          <w:type w:val="bbPlcHdr"/>
        </w:types>
        <w:behaviors>
          <w:behavior w:val="content"/>
        </w:behaviors>
        <w:guid w:val="{95AF72BE-1073-48D1-A613-18F5D94AD94A}"/>
      </w:docPartPr>
      <w:docPartBody>
        <w:p w:rsidR="00D21A9F" w:rsidRDefault="00D21A9F">
          <w:pPr>
            <w:pStyle w:val="20BC8D26515A4C11AC6304FB75A7CBAD"/>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DA2FFE9CEF2D415F9F59B567F352ED2C"/>
        <w:category>
          <w:name w:val="General"/>
          <w:gallery w:val="placeholder"/>
        </w:category>
        <w:types>
          <w:type w:val="bbPlcHdr"/>
        </w:types>
        <w:behaviors>
          <w:behavior w:val="content"/>
        </w:behaviors>
        <w:guid w:val="{06E881C5-42A4-4306-B55E-10EEC441C04B}"/>
      </w:docPartPr>
      <w:docPartBody>
        <w:p w:rsidR="00110D93" w:rsidRDefault="00CA72D3" w:rsidP="00CA72D3">
          <w:pPr>
            <w:pStyle w:val="DA2FFE9CEF2D415F9F59B567F352ED2C"/>
          </w:pPr>
          <w:r>
            <w:rPr>
              <w:rStyle w:val="PlaceholderText"/>
            </w:rPr>
            <w:t>Has this value changed?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0D7619"/>
    <w:rsid w:val="00110D93"/>
    <w:rsid w:val="00316543"/>
    <w:rsid w:val="00347D16"/>
    <w:rsid w:val="003E0149"/>
    <w:rsid w:val="00755FBF"/>
    <w:rsid w:val="008E21E1"/>
    <w:rsid w:val="008F0DE8"/>
    <w:rsid w:val="00CA72D3"/>
    <w:rsid w:val="00D21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619"/>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DA2FFE9CEF2D415F9F59B567F352ED2C">
    <w:name w:val="DA2FFE9CEF2D415F9F59B567F352ED2C"/>
    <w:rsid w:val="00CA72D3"/>
  </w:style>
  <w:style w:type="paragraph" w:customStyle="1" w:styleId="7B27E5D11CAE42D98A853FE7EAD4A038">
    <w:name w:val="7B27E5D11CAE42D98A853FE7EAD4A038"/>
    <w:rsid w:val="00316543"/>
  </w:style>
  <w:style w:type="paragraph" w:customStyle="1" w:styleId="B947476B1F1B4A09A2EF5D1F9447BFDE">
    <w:name w:val="B947476B1F1B4A09A2EF5D1F9447BFDE"/>
    <w:rsid w:val="00316543"/>
  </w:style>
  <w:style w:type="paragraph" w:customStyle="1" w:styleId="25D0F9353DE14224B589FCDB2220E893">
    <w:name w:val="25D0F9353DE14224B589FCDB2220E893"/>
    <w:rsid w:val="000D7619"/>
  </w:style>
  <w:style w:type="paragraph" w:customStyle="1" w:styleId="B32FC1F93E2647248EA4F9E2F4C00314">
    <w:name w:val="B32FC1F93E2647248EA4F9E2F4C00314"/>
    <w:rsid w:val="000D7619"/>
  </w:style>
  <w:style w:type="paragraph" w:customStyle="1" w:styleId="C9CFE337E50E4A4C95C697E4F3C83267">
    <w:name w:val="C9CFE337E50E4A4C95C697E4F3C83267"/>
    <w:rsid w:val="000D7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C407B-9D62-4456-A654-F9C1206B9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927EE-4186-4ACE-A68E-995444ABF6C9}">
  <ds:schemaRefs>
    <ds:schemaRef ds:uri="http://schemas.microsoft.com/sharepoint/v3/contenttype/forms"/>
  </ds:schemaRefs>
</ds:datastoreItem>
</file>

<file path=customXml/itemProps3.xml><?xml version="1.0" encoding="utf-8"?>
<ds:datastoreItem xmlns:ds="http://schemas.openxmlformats.org/officeDocument/2006/customXml" ds:itemID="{C5EA47DF-D018-4A69-B595-762EF4758A09}">
  <ds:schemaRefs>
    <ds:schemaRef ds:uri="http://purl.org/dc/elements/1.1/"/>
    <ds:schemaRef ds:uri="http://purl.org/dc/dcmitype/"/>
    <ds:schemaRef ds:uri="bf54d604-3e62-4e70-ba33-9e9084b96a66"/>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FEB7EE9A-D4F5-4445-A584-A9B80ACC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2020-03-10T04:41:00Z</dcterms:created>
  <dcterms:modified xsi:type="dcterms:W3CDTF">2020-05-20T01:14:00Z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