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455995C" w14:textId="3FDDCB33" w:rsidR="00BD499F" w:rsidRPr="004C23F4" w:rsidRDefault="00E929DB" w:rsidP="00B40C60">
          <w:pPr>
            <w:pStyle w:val="Heading1"/>
            <w:jc w:val="center"/>
            <w:rPr>
              <w:rFonts w:ascii="Arial" w:hAnsi="Arial" w:cs="Arial"/>
            </w:rPr>
          </w:pPr>
          <w:r w:rsidRPr="00E929DB">
            <w:rPr>
              <w:rFonts w:ascii="Arial" w:hAnsi="Arial" w:cs="Arial"/>
            </w:rPr>
            <w:t>Monocrotophos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9"/>
        <w:gridCol w:w="5047"/>
      </w:tblGrid>
      <w:tr w:rsidR="00F43AD5" w:rsidRPr="004C23F4" w14:paraId="1D6F752E" w14:textId="77777777" w:rsidTr="00B76A41">
        <w:trPr>
          <w:cantSplit/>
          <w:tblHeader/>
        </w:trPr>
        <w:tc>
          <w:tcPr>
            <w:tcW w:w="4077" w:type="dxa"/>
          </w:tcPr>
          <w:p w14:paraId="32E92B73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634AA21" w14:textId="329FC011" w:rsidR="00F43AD5" w:rsidRPr="00717D45" w:rsidRDefault="00E929DB" w:rsidP="00B76A41">
            <w:pPr>
              <w:pStyle w:val="Tablefont"/>
            </w:pPr>
            <w:r w:rsidRPr="00E929DB">
              <w:t>6923-22-4</w:t>
            </w:r>
          </w:p>
        </w:tc>
      </w:tr>
      <w:tr w:rsidR="00F43AD5" w:rsidRPr="004C23F4" w14:paraId="28D18E08" w14:textId="77777777" w:rsidTr="00B76A41">
        <w:trPr>
          <w:cantSplit/>
        </w:trPr>
        <w:tc>
          <w:tcPr>
            <w:tcW w:w="4077" w:type="dxa"/>
          </w:tcPr>
          <w:p w14:paraId="57EF1A3C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0ACE564D" w14:textId="12DF41D4" w:rsidR="00F43AD5" w:rsidRPr="00717D45" w:rsidRDefault="00E929DB" w:rsidP="00B76A41">
            <w:pPr>
              <w:pStyle w:val="Tablefont"/>
            </w:pPr>
            <w:proofErr w:type="spellStart"/>
            <w:r>
              <w:t>Azodrin</w:t>
            </w:r>
            <w:proofErr w:type="spellEnd"/>
            <w:r w:rsidR="00356303" w:rsidRPr="00356303">
              <w:rPr>
                <w:rFonts w:cs="Arial"/>
                <w:vertAlign w:val="superscript"/>
              </w:rPr>
              <w:t>®</w:t>
            </w:r>
            <w:r>
              <w:t xml:space="preserve">, dimethyl 2-methylcarbamoyl-1-methylvinyl phosphate, (E)-O,O-dimethyl-O-(1-methyl-3-oxo-1-propenyl) phosphate, </w:t>
            </w:r>
            <w:proofErr w:type="spellStart"/>
            <w:r w:rsidR="00356303">
              <w:t>Monocron</w:t>
            </w:r>
            <w:proofErr w:type="spellEnd"/>
            <w:r w:rsidR="00356303" w:rsidRPr="00E929DB">
              <w:rPr>
                <w:rFonts w:cs="Arial"/>
                <w:vertAlign w:val="superscript"/>
              </w:rPr>
              <w:t>®</w:t>
            </w:r>
            <w:r>
              <w:t xml:space="preserve">, </w:t>
            </w:r>
            <w:proofErr w:type="spellStart"/>
            <w:r>
              <w:t>Nuvacron</w:t>
            </w:r>
            <w:proofErr w:type="spellEnd"/>
            <w:r w:rsidRPr="00E929DB">
              <w:rPr>
                <w:rFonts w:cs="Arial"/>
                <w:vertAlign w:val="superscript"/>
              </w:rPr>
              <w:t>®</w:t>
            </w:r>
          </w:p>
        </w:tc>
      </w:tr>
      <w:tr w:rsidR="00F43AD5" w:rsidRPr="004C23F4" w14:paraId="206D2F22" w14:textId="77777777" w:rsidTr="00B76A41">
        <w:trPr>
          <w:cantSplit/>
        </w:trPr>
        <w:tc>
          <w:tcPr>
            <w:tcW w:w="4077" w:type="dxa"/>
          </w:tcPr>
          <w:p w14:paraId="0A429C61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875F60D" w14:textId="39E095D7" w:rsidR="00F43AD5" w:rsidRPr="00717D45" w:rsidRDefault="00356303" w:rsidP="00B76A41">
            <w:pPr>
              <w:pStyle w:val="Tablefont"/>
            </w:pPr>
            <w:r>
              <w:t>C</w:t>
            </w:r>
            <w:r w:rsidRPr="00356303">
              <w:rPr>
                <w:vertAlign w:val="subscript"/>
              </w:rPr>
              <w:t>7</w:t>
            </w:r>
            <w:r>
              <w:t>H</w:t>
            </w:r>
            <w:r w:rsidRPr="00356303">
              <w:rPr>
                <w:vertAlign w:val="subscript"/>
              </w:rPr>
              <w:t>14</w:t>
            </w:r>
            <w:r>
              <w:t>NO</w:t>
            </w:r>
            <w:r w:rsidRPr="00356303">
              <w:rPr>
                <w:vertAlign w:val="subscript"/>
              </w:rPr>
              <w:t>5</w:t>
            </w:r>
            <w:r>
              <w:t>P</w:t>
            </w:r>
          </w:p>
        </w:tc>
      </w:tr>
      <w:tr w:rsidR="00F43AD5" w:rsidRPr="004C23F4" w14:paraId="5F6EACC8" w14:textId="77777777" w:rsidTr="00B76A41">
        <w:trPr>
          <w:cantSplit/>
        </w:trPr>
        <w:tc>
          <w:tcPr>
            <w:tcW w:w="4077" w:type="dxa"/>
          </w:tcPr>
          <w:p w14:paraId="17B60019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3C2E8344" w14:textId="55C9BE62" w:rsidR="00F43AD5" w:rsidRPr="00B40C60" w:rsidRDefault="00356303" w:rsidP="00B76A41">
            <w:pPr>
              <w:pStyle w:val="Tablerowheading"/>
              <w:rPr>
                <w:b w:val="0"/>
              </w:rPr>
            </w:pPr>
            <w:r>
              <w:t>—</w:t>
            </w:r>
          </w:p>
        </w:tc>
      </w:tr>
    </w:tbl>
    <w:p w14:paraId="33E74FC5" w14:textId="6286AB93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1D43A4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4"/>
        <w:gridCol w:w="5022"/>
      </w:tblGrid>
      <w:tr w:rsidR="002C7AFE" w:rsidRPr="004C23F4" w14:paraId="6DC34F86" w14:textId="77777777" w:rsidTr="001D43A4">
        <w:trPr>
          <w:cantSplit/>
          <w:tblHeader/>
        </w:trPr>
        <w:tc>
          <w:tcPr>
            <w:tcW w:w="4004" w:type="dxa"/>
            <w:vAlign w:val="center"/>
          </w:tcPr>
          <w:p w14:paraId="4BEC0D9C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2" w:type="dxa"/>
          </w:tcPr>
          <w:p w14:paraId="39D2F9BB" w14:textId="2330530C" w:rsidR="002C7AFE" w:rsidRPr="001D43A4" w:rsidRDefault="001D43A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0.05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14:paraId="558CA559" w14:textId="77777777" w:rsidTr="001D43A4">
        <w:trPr>
          <w:cantSplit/>
        </w:trPr>
        <w:tc>
          <w:tcPr>
            <w:tcW w:w="4004" w:type="dxa"/>
            <w:vAlign w:val="center"/>
          </w:tcPr>
          <w:p w14:paraId="78CECAA7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2" w:type="dxa"/>
          </w:tcPr>
          <w:p w14:paraId="304155FD" w14:textId="34A06528" w:rsidR="002C7AFE" w:rsidRPr="00513D26" w:rsidRDefault="001D43A4" w:rsidP="00017C82">
            <w:pPr>
              <w:pStyle w:val="Tablefont"/>
              <w:rPr>
                <w:b/>
              </w:rPr>
            </w:pPr>
            <w:r w:rsidRPr="00513D26">
              <w:rPr>
                <w:b/>
              </w:rPr>
              <w:t>—</w:t>
            </w:r>
          </w:p>
        </w:tc>
      </w:tr>
      <w:tr w:rsidR="002C7AFE" w:rsidRPr="004C23F4" w14:paraId="4744F4F9" w14:textId="77777777" w:rsidTr="001D43A4">
        <w:trPr>
          <w:cantSplit/>
        </w:trPr>
        <w:tc>
          <w:tcPr>
            <w:tcW w:w="4004" w:type="dxa"/>
            <w:vAlign w:val="center"/>
          </w:tcPr>
          <w:p w14:paraId="0FB02A64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2" w:type="dxa"/>
          </w:tcPr>
          <w:p w14:paraId="7456F6BF" w14:textId="66A0947A" w:rsidR="002C7AFE" w:rsidRPr="00513D26" w:rsidRDefault="001D43A4" w:rsidP="00017C82">
            <w:pPr>
              <w:pStyle w:val="Tablefont"/>
              <w:rPr>
                <w:b/>
              </w:rPr>
            </w:pPr>
            <w:r w:rsidRPr="00513D26">
              <w:rPr>
                <w:b/>
              </w:rPr>
              <w:t>—</w:t>
            </w:r>
          </w:p>
        </w:tc>
      </w:tr>
      <w:tr w:rsidR="002C7AFE" w:rsidRPr="004C23F4" w14:paraId="3CD1203B" w14:textId="77777777" w:rsidTr="001D43A4">
        <w:trPr>
          <w:cantSplit/>
        </w:trPr>
        <w:tc>
          <w:tcPr>
            <w:tcW w:w="4004" w:type="dxa"/>
          </w:tcPr>
          <w:p w14:paraId="3B76CA66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2" w:type="dxa"/>
          </w:tcPr>
          <w:p w14:paraId="573F9201" w14:textId="574EB27A" w:rsidR="002C7AFE" w:rsidRPr="00EB3D1B" w:rsidRDefault="001D43A4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78BB2A3A" w14:textId="77777777" w:rsidTr="001D43A4">
        <w:trPr>
          <w:cantSplit/>
        </w:trPr>
        <w:tc>
          <w:tcPr>
            <w:tcW w:w="4004" w:type="dxa"/>
            <w:vAlign w:val="center"/>
          </w:tcPr>
          <w:p w14:paraId="3DCE588B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2" w:type="dxa"/>
          </w:tcPr>
          <w:p w14:paraId="30278F8F" w14:textId="6C2C8ACD" w:rsidR="002C7AFE" w:rsidRPr="00EB3D1B" w:rsidRDefault="00356303" w:rsidP="00017C82">
            <w:pPr>
              <w:pStyle w:val="Tablefont"/>
              <w:rPr>
                <w:b/>
              </w:rPr>
            </w:pPr>
            <w:r>
              <w:t>—</w:t>
            </w:r>
          </w:p>
        </w:tc>
      </w:tr>
      <w:tr w:rsidR="001D43A4" w:rsidRPr="004C23F4" w14:paraId="0B62D49C" w14:textId="77777777" w:rsidTr="00B67B6C">
        <w:trPr>
          <w:cantSplit/>
        </w:trPr>
        <w:tc>
          <w:tcPr>
            <w:tcW w:w="9026" w:type="dxa"/>
            <w:gridSpan w:val="2"/>
            <w:vAlign w:val="center"/>
          </w:tcPr>
          <w:p w14:paraId="77296DB6" w14:textId="0B1602AE" w:rsidR="001D43A4" w:rsidRPr="001D43A4" w:rsidRDefault="001D43A4" w:rsidP="00017C82">
            <w:pPr>
              <w:pStyle w:val="Tablefont"/>
              <w:rPr>
                <w:b/>
              </w:rPr>
            </w:pPr>
            <w:r w:rsidRPr="00F2402D">
              <w:rPr>
                <w:b/>
              </w:rPr>
              <w:t>Sampling and analysis:</w:t>
            </w:r>
            <w:r w:rsidRPr="001D43A4">
              <w:rPr>
                <w:lang w:eastAsia="en-US"/>
              </w:rPr>
              <w:t xml:space="preserve"> </w:t>
            </w:r>
            <w:sdt>
              <w:sdtPr>
                <w:id w:val="-2105258949"/>
                <w:placeholder>
                  <w:docPart w:val="54DBF9EAAE8F456F811DFFC456DA7CC1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/>
              <w:sdtContent>
                <w:r w:rsidRPr="00F2402D"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698310F4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42E47E4" w14:textId="1C2FAF54" w:rsidR="006639B4" w:rsidRPr="004C23F4" w:rsidRDefault="001D43A4" w:rsidP="000C139A">
      <w:pPr>
        <w:rPr>
          <w:rFonts w:cs="Arial"/>
        </w:rPr>
      </w:pPr>
      <w:r w:rsidRPr="001D43A4">
        <w:rPr>
          <w:rFonts w:cs="Arial"/>
        </w:rPr>
        <w:t xml:space="preserve">A TWA of </w:t>
      </w:r>
      <w:r>
        <w:rPr>
          <w:rFonts w:cs="Arial"/>
        </w:rPr>
        <w:t>0.05</w:t>
      </w:r>
      <w:r w:rsidRPr="001D43A4">
        <w:rPr>
          <w:rFonts w:cs="Arial"/>
        </w:rPr>
        <w:t xml:space="preserve"> mg/m</w:t>
      </w:r>
      <w:r w:rsidRPr="001D43A4">
        <w:rPr>
          <w:rFonts w:cs="Arial"/>
          <w:vertAlign w:val="superscript"/>
        </w:rPr>
        <w:t>3</w:t>
      </w:r>
      <w:r w:rsidRPr="001D43A4">
        <w:rPr>
          <w:rFonts w:cs="Arial"/>
        </w:rPr>
        <w:t xml:space="preserve"> is recommended to protect for </w:t>
      </w:r>
      <w:r>
        <w:rPr>
          <w:rFonts w:cs="Arial"/>
        </w:rPr>
        <w:t>cholinergic</w:t>
      </w:r>
      <w:r w:rsidRPr="001D43A4">
        <w:rPr>
          <w:rFonts w:cs="Arial"/>
        </w:rPr>
        <w:t xml:space="preserve"> effects in exposed workers</w:t>
      </w:r>
      <w:r>
        <w:rPr>
          <w:rFonts w:cs="Arial"/>
        </w:rPr>
        <w:t>.</w:t>
      </w:r>
    </w:p>
    <w:p w14:paraId="5E88DB34" w14:textId="77777777" w:rsidR="00C7155E" w:rsidRPr="004C23F4" w:rsidRDefault="00F10C97" w:rsidP="003365A5">
      <w:pPr>
        <w:pStyle w:val="Heading2"/>
      </w:pPr>
      <w:r>
        <w:t>Discussion and conclusions</w:t>
      </w:r>
    </w:p>
    <w:p w14:paraId="4CEE1106" w14:textId="77777777" w:rsidR="00667C29" w:rsidRDefault="00044DEC" w:rsidP="006639B4">
      <w:pPr>
        <w:rPr>
          <w:rFonts w:cs="Arial"/>
        </w:rPr>
      </w:pPr>
      <w:r>
        <w:rPr>
          <w:rFonts w:cs="Arial"/>
        </w:rPr>
        <w:t xml:space="preserve">Monocrotophos is used as an insecticide. </w:t>
      </w:r>
    </w:p>
    <w:p w14:paraId="48DF33D2" w14:textId="2154CAA0" w:rsidR="00FD71BB" w:rsidRDefault="0073662D" w:rsidP="006639B4">
      <w:pPr>
        <w:rPr>
          <w:rFonts w:cs="Arial"/>
        </w:rPr>
      </w:pPr>
      <w:r>
        <w:rPr>
          <w:rFonts w:cs="Arial"/>
        </w:rPr>
        <w:t xml:space="preserve">Critical effects of exposure are cholinesterase inhibition. </w:t>
      </w:r>
    </w:p>
    <w:p w14:paraId="05DA002C" w14:textId="710E9ADC" w:rsidR="00044DEC" w:rsidRDefault="004D7B22" w:rsidP="006639B4">
      <w:pPr>
        <w:rPr>
          <w:rFonts w:cs="Arial"/>
        </w:rPr>
      </w:pPr>
      <w:r>
        <w:rPr>
          <w:rFonts w:cs="Arial"/>
        </w:rPr>
        <w:t>Brain cholinesterase inhibition is considered the most sensitive toxic endpoint; red blood cell (RBC) cholinesterase activity is</w:t>
      </w:r>
      <w:r w:rsidR="00FD71BB">
        <w:rPr>
          <w:rFonts w:cs="Arial"/>
        </w:rPr>
        <w:t>,</w:t>
      </w:r>
      <w:r>
        <w:rPr>
          <w:rFonts w:cs="Arial"/>
        </w:rPr>
        <w:t xml:space="preserve"> however</w:t>
      </w:r>
      <w:r w:rsidR="00FD71BB">
        <w:rPr>
          <w:rFonts w:cs="Arial"/>
        </w:rPr>
        <w:t>,</w:t>
      </w:r>
      <w:r>
        <w:rPr>
          <w:rFonts w:cs="Arial"/>
        </w:rPr>
        <w:t xml:space="preserve"> used as a surrogate measure for this endpoint. </w:t>
      </w:r>
      <w:proofErr w:type="gramStart"/>
      <w:r>
        <w:rPr>
          <w:rFonts w:cs="Arial"/>
        </w:rPr>
        <w:t>Sufficient</w:t>
      </w:r>
      <w:proofErr w:type="gramEnd"/>
      <w:r>
        <w:rPr>
          <w:rFonts w:cs="Arial"/>
        </w:rPr>
        <w:t xml:space="preserve"> </w:t>
      </w:r>
      <w:r w:rsidR="00F05156">
        <w:rPr>
          <w:rFonts w:cs="Arial"/>
        </w:rPr>
        <w:t xml:space="preserve">cholinesterase </w:t>
      </w:r>
      <w:r>
        <w:rPr>
          <w:rFonts w:cs="Arial"/>
        </w:rPr>
        <w:t xml:space="preserve">inhibition </w:t>
      </w:r>
      <w:r w:rsidR="00044DEC">
        <w:rPr>
          <w:rFonts w:cs="Arial"/>
        </w:rPr>
        <w:t>lead</w:t>
      </w:r>
      <w:r>
        <w:rPr>
          <w:rFonts w:cs="Arial"/>
        </w:rPr>
        <w:t>s</w:t>
      </w:r>
      <w:r w:rsidR="00044DEC">
        <w:rPr>
          <w:rFonts w:cs="Arial"/>
        </w:rPr>
        <w:t xml:space="preserve"> to reversible cholinergic symptoms</w:t>
      </w:r>
      <w:r>
        <w:rPr>
          <w:rFonts w:cs="Arial"/>
        </w:rPr>
        <w:t>.</w:t>
      </w:r>
    </w:p>
    <w:p w14:paraId="481EA89B" w14:textId="509986B1" w:rsidR="00EC4E3D" w:rsidRDefault="00044DEC" w:rsidP="00FB641A">
      <w:pPr>
        <w:rPr>
          <w:rFonts w:cs="Arial"/>
        </w:rPr>
      </w:pPr>
      <w:r>
        <w:rPr>
          <w:rFonts w:cs="Arial"/>
        </w:rPr>
        <w:t>Inhalational exposure data for humans and animal</w:t>
      </w:r>
      <w:r w:rsidR="004D7B22">
        <w:rPr>
          <w:rFonts w:cs="Arial"/>
        </w:rPr>
        <w:t xml:space="preserve">s are limited. </w:t>
      </w:r>
      <w:r w:rsidR="00F10CCE">
        <w:rPr>
          <w:rFonts w:cs="Arial"/>
        </w:rPr>
        <w:t xml:space="preserve">In humans, </w:t>
      </w:r>
      <w:r w:rsidR="00FD71BB">
        <w:rPr>
          <w:rFonts w:cs="Arial"/>
        </w:rPr>
        <w:t xml:space="preserve">NOAEL </w:t>
      </w:r>
      <w:r w:rsidR="00F10CCE">
        <w:rPr>
          <w:rFonts w:cs="Arial"/>
        </w:rPr>
        <w:t xml:space="preserve">for RBC cholinesterase inhibition ranged </w:t>
      </w:r>
      <w:r w:rsidR="00FB641A">
        <w:rPr>
          <w:rFonts w:cs="Arial"/>
        </w:rPr>
        <w:t>from</w:t>
      </w:r>
      <w:r w:rsidR="00FD71BB">
        <w:rPr>
          <w:rFonts w:cs="Arial"/>
        </w:rPr>
        <w:t xml:space="preserve"> 0.0057 </w:t>
      </w:r>
      <w:r w:rsidR="00FB641A">
        <w:rPr>
          <w:rFonts w:cs="Arial"/>
        </w:rPr>
        <w:t>to</w:t>
      </w:r>
      <w:r w:rsidR="00FD71BB">
        <w:rPr>
          <w:rFonts w:cs="Arial"/>
        </w:rPr>
        <w:t xml:space="preserve"> 0.015 mg/kg/d</w:t>
      </w:r>
      <w:r w:rsidR="005B631D">
        <w:rPr>
          <w:rFonts w:cs="Arial"/>
        </w:rPr>
        <w:t>ay</w:t>
      </w:r>
      <w:r w:rsidR="00FD71BB">
        <w:rPr>
          <w:rFonts w:cs="Arial"/>
        </w:rPr>
        <w:t xml:space="preserve"> in </w:t>
      </w:r>
      <w:r w:rsidR="004D7B22">
        <w:rPr>
          <w:rFonts w:cs="Arial"/>
        </w:rPr>
        <w:t>repeat oral dose studies (ACGIH, 2018)</w:t>
      </w:r>
      <w:r w:rsidR="0078696C">
        <w:rPr>
          <w:rFonts w:cs="Arial"/>
        </w:rPr>
        <w:t xml:space="preserve">. This </w:t>
      </w:r>
      <w:r w:rsidR="00F10CCE">
        <w:rPr>
          <w:rFonts w:cs="Arial"/>
        </w:rPr>
        <w:t xml:space="preserve">range is consistent with that of NOAEL </w:t>
      </w:r>
      <w:r w:rsidR="004D7B22">
        <w:rPr>
          <w:rFonts w:cs="Arial"/>
        </w:rPr>
        <w:t>between 0.005 and 0.0125</w:t>
      </w:r>
      <w:r w:rsidR="0078696C">
        <w:rPr>
          <w:rFonts w:cs="Arial"/>
        </w:rPr>
        <w:t> </w:t>
      </w:r>
      <w:r w:rsidR="004D7B22">
        <w:rPr>
          <w:rFonts w:cs="Arial"/>
        </w:rPr>
        <w:t>mg/kg</w:t>
      </w:r>
      <w:r w:rsidR="00F10CCE">
        <w:rPr>
          <w:rFonts w:cs="Arial"/>
        </w:rPr>
        <w:t>/d</w:t>
      </w:r>
      <w:r w:rsidR="005B631D">
        <w:rPr>
          <w:rFonts w:cs="Arial"/>
        </w:rPr>
        <w:t>ay</w:t>
      </w:r>
      <w:r w:rsidR="004D7B22">
        <w:rPr>
          <w:rFonts w:cs="Arial"/>
        </w:rPr>
        <w:t xml:space="preserve"> </w:t>
      </w:r>
      <w:r w:rsidR="00F10CCE">
        <w:rPr>
          <w:rFonts w:cs="Arial"/>
        </w:rPr>
        <w:t xml:space="preserve">reported </w:t>
      </w:r>
      <w:r w:rsidR="004D7B22">
        <w:rPr>
          <w:rFonts w:cs="Arial"/>
        </w:rPr>
        <w:t xml:space="preserve">for the same endpoints in animals (HCOTN, 2003). </w:t>
      </w:r>
    </w:p>
    <w:p w14:paraId="33015ACA" w14:textId="2D230878" w:rsidR="001D43A4" w:rsidRDefault="004D7B22">
      <w:pPr>
        <w:rPr>
          <w:rFonts w:cs="Arial"/>
        </w:rPr>
      </w:pPr>
      <w:r>
        <w:rPr>
          <w:rFonts w:cs="Arial"/>
        </w:rPr>
        <w:t>In the absence of suitable inhalational data</w:t>
      </w:r>
      <w:r w:rsidR="005B631D">
        <w:rPr>
          <w:rFonts w:cs="Arial"/>
        </w:rPr>
        <w:t>,</w:t>
      </w:r>
      <w:r w:rsidR="00EC4E3D">
        <w:rPr>
          <w:rFonts w:cs="Arial"/>
        </w:rPr>
        <w:t xml:space="preserve"> </w:t>
      </w:r>
      <w:r w:rsidR="00667C29">
        <w:rPr>
          <w:rFonts w:cs="Arial"/>
        </w:rPr>
        <w:t xml:space="preserve">the </w:t>
      </w:r>
      <w:r>
        <w:rPr>
          <w:rFonts w:cs="Arial"/>
        </w:rPr>
        <w:t xml:space="preserve">TWA </w:t>
      </w:r>
      <w:r w:rsidR="00667C29">
        <w:rPr>
          <w:rFonts w:cs="Arial"/>
        </w:rPr>
        <w:t xml:space="preserve">derived by ACGIH (2018) is recommended to be adopted. It </w:t>
      </w:r>
      <w:r>
        <w:rPr>
          <w:rFonts w:cs="Arial"/>
        </w:rPr>
        <w:t xml:space="preserve">is </w:t>
      </w:r>
      <w:r w:rsidR="000A6522">
        <w:rPr>
          <w:rFonts w:cs="Arial"/>
        </w:rPr>
        <w:t xml:space="preserve">based on the </w:t>
      </w:r>
      <w:r w:rsidR="00EC4E3D">
        <w:rPr>
          <w:rFonts w:cs="Arial"/>
        </w:rPr>
        <w:t xml:space="preserve">estimated inhalational dose equivalent of the </w:t>
      </w:r>
      <w:r w:rsidR="000A6522">
        <w:rPr>
          <w:rFonts w:cs="Arial"/>
        </w:rPr>
        <w:t>oral NOAEL for RBC cholinesterase inhibition in humans</w:t>
      </w:r>
      <w:r w:rsidR="00EC4E3D">
        <w:rPr>
          <w:rFonts w:cs="Arial"/>
        </w:rPr>
        <w:t>.</w:t>
      </w:r>
    </w:p>
    <w:p w14:paraId="2E818C4D" w14:textId="77777777" w:rsidR="004529F0" w:rsidRPr="004C23F4" w:rsidRDefault="004529F0" w:rsidP="00816DAB">
      <w:pPr>
        <w:pStyle w:val="Heading2"/>
      </w:pPr>
      <w:r>
        <w:lastRenderedPageBreak/>
        <w:t>Recommendation for notations</w:t>
      </w:r>
    </w:p>
    <w:p w14:paraId="67234819" w14:textId="4BA6CF79" w:rsidR="00356303" w:rsidRDefault="00356303" w:rsidP="007F3ADF">
      <w:pPr>
        <w:keepNext/>
        <w:rPr>
          <w:rFonts w:cs="Arial"/>
        </w:rPr>
      </w:pPr>
      <w:r>
        <w:rPr>
          <w:rFonts w:cs="Arial"/>
        </w:rPr>
        <w:t>Not classified as a carcinogen according to the Globally Harmonized System of Classification and Labelling o</w:t>
      </w:r>
      <w:r w:rsidR="00816DAB">
        <w:rPr>
          <w:rFonts w:cs="Arial"/>
        </w:rPr>
        <w:t>f</w:t>
      </w:r>
      <w:r>
        <w:rPr>
          <w:rFonts w:cs="Arial"/>
        </w:rPr>
        <w:t xml:space="preserve"> Chemicals (GHS). </w:t>
      </w:r>
    </w:p>
    <w:p w14:paraId="4F91CBC9" w14:textId="5F56D69E" w:rsidR="00356303" w:rsidRDefault="00356303" w:rsidP="007F3ADF">
      <w:pPr>
        <w:keepNext/>
        <w:rPr>
          <w:rFonts w:cs="Arial"/>
        </w:rPr>
      </w:pPr>
      <w:r>
        <w:rPr>
          <w:rFonts w:cs="Arial"/>
        </w:rPr>
        <w:t xml:space="preserve">Not classified as a skin </w:t>
      </w:r>
      <w:r w:rsidR="00816DAB">
        <w:rPr>
          <w:rFonts w:cs="Arial"/>
        </w:rPr>
        <w:t xml:space="preserve">sensitiser </w:t>
      </w:r>
      <w:r>
        <w:rPr>
          <w:rFonts w:cs="Arial"/>
        </w:rPr>
        <w:t>or respiratory sensitiser according to the GHS.</w:t>
      </w:r>
    </w:p>
    <w:p w14:paraId="11FC157C" w14:textId="1FAFD45A" w:rsidR="00E36673" w:rsidRDefault="0078696C" w:rsidP="0073662D">
      <w:pPr>
        <w:rPr>
          <w:rFonts w:cs="Arial"/>
        </w:rPr>
      </w:pPr>
      <w:r>
        <w:rPr>
          <w:rFonts w:cs="Arial"/>
        </w:rPr>
        <w:t>A skin notation is recommended based on reports of severe cholinergic toxicity following dermal exposure and low ratio of dermal to inhalational toxicity reported in animals (ACGIH, 2018; HCOTN, 2003).</w:t>
      </w:r>
    </w:p>
    <w:p w14:paraId="2E801A4C" w14:textId="77777777" w:rsidR="0034744C" w:rsidRPr="004C23F4" w:rsidRDefault="005E6979" w:rsidP="00B45B6D">
      <w:pPr>
        <w:pStyle w:val="Heading1"/>
        <w:pageBreakBefore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37D91B5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4875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8781"/>
      </w:tblGrid>
      <w:tr w:rsidR="00C978F0" w:rsidRPr="00DA352E" w14:paraId="00A5FE94" w14:textId="77777777" w:rsidTr="00634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34B73CC" w14:textId="77777777" w:rsidR="00C978F0" w:rsidRPr="00DA352E" w:rsidRDefault="00C978F0" w:rsidP="00816DA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33F9EA17" w14:textId="77777777" w:rsidTr="00634831">
        <w:tc>
          <w:tcPr>
            <w:tcW w:w="5000" w:type="pct"/>
            <w:shd w:val="clear" w:color="auto" w:fill="F2F2F2" w:themeFill="background1" w:themeFillShade="F2"/>
          </w:tcPr>
          <w:p w14:paraId="7B242059" w14:textId="23874C79" w:rsidR="00DE26E8" w:rsidRPr="003365A5" w:rsidRDefault="00DE26E8" w:rsidP="007F3ADF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356303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356303">
                  <w:t>TWA: 0.25 mg/m</w:t>
                </w:r>
                <w:r w:rsidR="00356303" w:rsidRPr="00356303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30BDCC9" w14:textId="77777777" w:rsidTr="00634831">
        <w:tc>
          <w:tcPr>
            <w:tcW w:w="5000" w:type="pct"/>
          </w:tcPr>
          <w:p w14:paraId="15965371" w14:textId="77777777" w:rsidR="00C978F0" w:rsidRPr="00DA352E" w:rsidRDefault="00C978F0" w:rsidP="00816DAB">
            <w:pPr>
              <w:pStyle w:val="Tabletextprimarysource"/>
            </w:pPr>
          </w:p>
        </w:tc>
      </w:tr>
      <w:tr w:rsidR="00C978F0" w:rsidRPr="00DA352E" w14:paraId="6147C0C5" w14:textId="77777777" w:rsidTr="00634831">
        <w:tc>
          <w:tcPr>
            <w:tcW w:w="5000" w:type="pct"/>
            <w:shd w:val="clear" w:color="auto" w:fill="F2F2F2" w:themeFill="background1" w:themeFillShade="F2"/>
          </w:tcPr>
          <w:p w14:paraId="3921D07B" w14:textId="2401F9ED" w:rsidR="00C978F0" w:rsidRPr="00DA352E" w:rsidRDefault="00DA352E" w:rsidP="007F3ADF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356303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356303">
                  <w:t>TLV-TWA: 0.05 mg/m</w:t>
                </w:r>
                <w:r w:rsidR="00356303" w:rsidRPr="00356303">
                  <w:rPr>
                    <w:vertAlign w:val="superscript"/>
                  </w:rPr>
                  <w:t>3</w:t>
                </w:r>
                <w:r w:rsidR="00616713">
                  <w:t xml:space="preserve"> </w:t>
                </w:r>
                <w:r w:rsidR="003A38CE">
                  <w:t>(</w:t>
                </w:r>
                <w:r w:rsidR="00616713">
                  <w:t>i</w:t>
                </w:r>
                <w:r w:rsidR="003A38CE">
                  <w:t>nhalable aerosol and vapour)</w:t>
                </w:r>
              </w:sdtContent>
            </w:sdt>
          </w:p>
        </w:tc>
      </w:tr>
      <w:tr w:rsidR="00C978F0" w:rsidRPr="00DA352E" w14:paraId="5EE15CBE" w14:textId="77777777" w:rsidTr="00634831">
        <w:tc>
          <w:tcPr>
            <w:tcW w:w="5000" w:type="pct"/>
          </w:tcPr>
          <w:p w14:paraId="26CBBAAB" w14:textId="2150D270" w:rsidR="00450BB9" w:rsidRDefault="00450BB9" w:rsidP="00816DAB">
            <w:pPr>
              <w:pStyle w:val="Tabletextprimarysource"/>
            </w:pPr>
            <w:r>
              <w:t xml:space="preserve">TLV-TWA </w:t>
            </w:r>
            <w:r w:rsidR="00567B6C">
              <w:t xml:space="preserve">intended to protect for </w:t>
            </w:r>
            <w:r w:rsidR="00DF2B8D">
              <w:t>reversible cholinergic effects</w:t>
            </w:r>
            <w:r w:rsidR="00567B6C">
              <w:t xml:space="preserve"> resulting from cholinesterase inhibition.</w:t>
            </w:r>
            <w:r w:rsidR="00DF2B8D">
              <w:t xml:space="preserve"> Not classifiable as a human carcinogen based on lack of carcinogenicity in lifetime animal feeding studies. Skin notation warranted based on reported dermal toxicity in animals.</w:t>
            </w:r>
          </w:p>
          <w:p w14:paraId="70C504B1" w14:textId="77777777" w:rsidR="00450BB9" w:rsidRDefault="00450BB9" w:rsidP="00816DAB">
            <w:pPr>
              <w:pStyle w:val="Tabletextprimarysource"/>
            </w:pPr>
            <w:r>
              <w:t>Summary of data:</w:t>
            </w:r>
          </w:p>
          <w:p w14:paraId="5151F196" w14:textId="371D4B24" w:rsidR="00450BB9" w:rsidRDefault="00863B56" w:rsidP="00816DAB">
            <w:pPr>
              <w:pStyle w:val="Tabletextprimarysource"/>
            </w:pPr>
            <w:r>
              <w:t xml:space="preserve">Cholinesterase inhibition is the most sensitive toxic endpoint. </w:t>
            </w:r>
            <w:r w:rsidR="00567B6C">
              <w:t>TLV-TWA derived from NOAEL of 0.015 mg/kg</w:t>
            </w:r>
            <w:r w:rsidR="00FB14A1">
              <w:t>/d</w:t>
            </w:r>
            <w:r w:rsidR="00567B6C">
              <w:t xml:space="preserve"> for RBC cholinesterase inhibition in volunteer repeat oral dose study, which is supported by </w:t>
            </w:r>
            <w:r w:rsidR="00DF2B8D">
              <w:t>NOAEL of 0.0</w:t>
            </w:r>
            <w:r w:rsidR="008B31E7">
              <w:t>3</w:t>
            </w:r>
            <w:r w:rsidR="00DF2B8D">
              <w:t>–0.05 mg/kg</w:t>
            </w:r>
            <w:r w:rsidR="00FB14A1">
              <w:t>/d</w:t>
            </w:r>
            <w:r w:rsidR="00DF2B8D">
              <w:t xml:space="preserve"> for the same endpoints in animals. The oral NOAEL in humans is converted to an inhalational dose assuming a respiratory volume of 10 m</w:t>
            </w:r>
            <w:r w:rsidR="00DF2B8D">
              <w:rPr>
                <w:vertAlign w:val="superscript"/>
              </w:rPr>
              <w:t>3</w:t>
            </w:r>
            <w:r w:rsidR="00DF2B8D">
              <w:t xml:space="preserve"> over an 8</w:t>
            </w:r>
            <w:r w:rsidR="00EC4E3D">
              <w:t>-</w:t>
            </w:r>
            <w:r w:rsidR="00DF2B8D">
              <w:t xml:space="preserve">h shift </w:t>
            </w:r>
            <w:r w:rsidR="00DC6AE8">
              <w:t>for</w:t>
            </w:r>
            <w:r w:rsidR="00DF2B8D">
              <w:t xml:space="preserve"> a 70</w:t>
            </w:r>
            <w:r w:rsidR="00EC4E3D">
              <w:t>-</w:t>
            </w:r>
            <w:r w:rsidR="00DF2B8D">
              <w:t xml:space="preserve">kg worker </w:t>
            </w:r>
            <w:r w:rsidR="00DF2B8D" w:rsidRPr="00FB641A">
              <w:t>to arrive</w:t>
            </w:r>
            <w:r w:rsidR="00DF2B8D">
              <w:t xml:space="preserve"> at 0.1 mg/m</w:t>
            </w:r>
            <w:r w:rsidR="00DF2B8D">
              <w:rPr>
                <w:vertAlign w:val="superscript"/>
              </w:rPr>
              <w:t>3</w:t>
            </w:r>
            <w:r w:rsidR="00DF2B8D">
              <w:t xml:space="preserve">. Based on the </w:t>
            </w:r>
            <w:r w:rsidR="00A00B00">
              <w:t>available data, TLV-TWA of 0.05 </w:t>
            </w:r>
            <w:r w:rsidR="00DF2B8D">
              <w:t>mg/m</w:t>
            </w:r>
            <w:r w:rsidR="00DF2B8D">
              <w:rPr>
                <w:vertAlign w:val="superscript"/>
              </w:rPr>
              <w:t>3</w:t>
            </w:r>
            <w:r w:rsidR="00DF2B8D">
              <w:t xml:space="preserve"> is considered protective of critical cholinergic effects.</w:t>
            </w:r>
          </w:p>
          <w:p w14:paraId="4FADE7ED" w14:textId="77777777" w:rsidR="00450BB9" w:rsidRDefault="00450BB9" w:rsidP="00816DAB">
            <w:pPr>
              <w:pStyle w:val="ListBullet"/>
              <w:spacing w:before="60" w:after="60"/>
              <w:ind w:left="360" w:hanging="360"/>
              <w:contextualSpacing w:val="0"/>
            </w:pPr>
            <w:r>
              <w:t>Human data:</w:t>
            </w:r>
          </w:p>
          <w:p w14:paraId="462F9792" w14:textId="31C6F283" w:rsidR="00B1527A" w:rsidRDefault="00A36F6A">
            <w:pPr>
              <w:pStyle w:val="ListBullet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</w:pPr>
            <w:r>
              <w:t xml:space="preserve">Elimination </w:t>
            </w:r>
            <w:r w:rsidR="00E73DEE">
              <w:rPr>
                <w:rFonts w:cs="Arial"/>
                <w:color w:val="222222"/>
                <w:shd w:val="clear" w:color="auto" w:fill="FFFFFF"/>
              </w:rPr>
              <w:t>t</w:t>
            </w:r>
            <w:r w:rsidR="00E73DEE">
              <w:rPr>
                <w:rFonts w:cs="Arial"/>
                <w:color w:val="222222"/>
                <w:shd w:val="clear" w:color="auto" w:fill="FFFFFF"/>
                <w:vertAlign w:val="subscript"/>
              </w:rPr>
              <w:t>1⁄2</w:t>
            </w:r>
            <w:r>
              <w:t>: 20 h</w:t>
            </w:r>
            <w:r w:rsidR="00DE19AE">
              <w:t>;</w:t>
            </w:r>
            <w:r>
              <w:t xml:space="preserve"> 67–75% of iv dose excreted in urine within 4–8 h</w:t>
            </w:r>
          </w:p>
          <w:p w14:paraId="7839BC34" w14:textId="377238AB" w:rsidR="00A36F6A" w:rsidRDefault="004843F5">
            <w:pPr>
              <w:pStyle w:val="ListBullet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</w:pPr>
            <w:r>
              <w:t xml:space="preserve">Severe cholinergic symptoms, coma and death reported in several </w:t>
            </w:r>
            <w:r w:rsidR="00FD2E37">
              <w:t xml:space="preserve">cases of accidental acute overexposures </w:t>
            </w:r>
            <w:r w:rsidR="00FD2E37" w:rsidRPr="00B45B6D">
              <w:rPr>
                <w:i/>
              </w:rPr>
              <w:t>via</w:t>
            </w:r>
            <w:r w:rsidR="00FD2E37">
              <w:t xml:space="preserve"> dermal contact or ingestion report; acute poisoning may lead to intermediate syndrome, characterised by delayed respiratory distress, weakness and palsies</w:t>
            </w:r>
          </w:p>
          <w:p w14:paraId="1821A325" w14:textId="747C08D7" w:rsidR="00FD2E37" w:rsidRDefault="007A5B58">
            <w:pPr>
              <w:pStyle w:val="ListBullet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</w:pPr>
            <w:r>
              <w:t xml:space="preserve">Inhalational exposure to </w:t>
            </w:r>
            <w:r w:rsidR="00E73DEE">
              <w:t>~</w:t>
            </w:r>
            <w:r>
              <w:t>0.05–0.15 mg/m</w:t>
            </w:r>
            <w:r>
              <w:rPr>
                <w:vertAlign w:val="superscript"/>
              </w:rPr>
              <w:t>3</w:t>
            </w:r>
            <w:r>
              <w:t xml:space="preserve"> caused no overt symptoms in farmers (n=17); filling spray bottles was associated with plasma cholinesterase inhibition</w:t>
            </w:r>
          </w:p>
          <w:p w14:paraId="28287092" w14:textId="79D87838" w:rsidR="007A5B58" w:rsidRDefault="00863B56" w:rsidP="0078696C">
            <w:pPr>
              <w:pStyle w:val="ListBullet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</w:pPr>
            <w:r>
              <w:t>15–24% plasma cholinesterase inhibition at 0.0036–0.0057 mg/kg/</w:t>
            </w:r>
            <w:r w:rsidR="00FB641A">
              <w:t>d</w:t>
            </w:r>
            <w:r>
              <w:t xml:space="preserve"> in volunteer repeat oral dose study (1 mo); RBC cholinesterase activity unchanged and no cholinergic effects</w:t>
            </w:r>
            <w:r w:rsidR="00F62515">
              <w:t>:</w:t>
            </w:r>
          </w:p>
          <w:p w14:paraId="69EA6920" w14:textId="3EBFF166" w:rsidR="00863B56" w:rsidRDefault="00863B56" w:rsidP="0078696C">
            <w:pPr>
              <w:pStyle w:val="ListBullet"/>
              <w:numPr>
                <w:ilvl w:val="1"/>
                <w:numId w:val="6"/>
              </w:numPr>
              <w:spacing w:before="60" w:after="60"/>
              <w:ind w:left="1094" w:hanging="357"/>
              <w:contextualSpacing w:val="0"/>
            </w:pPr>
            <w:r>
              <w:t>associated pilot study reported NOAEL of 0.015 mg/kg</w:t>
            </w:r>
            <w:r w:rsidR="00B45B6D">
              <w:t>/d</w:t>
            </w:r>
            <w:r>
              <w:t xml:space="preserve"> for RBC cholinesterase inhibition although plasma cholinesterase activity was decreased by 51%</w:t>
            </w:r>
            <w:r w:rsidR="00E73DEE">
              <w:t>.</w:t>
            </w:r>
          </w:p>
          <w:p w14:paraId="7AE97338" w14:textId="596E9A70" w:rsidR="00394FD5" w:rsidRDefault="00394FD5" w:rsidP="00816DAB">
            <w:pPr>
              <w:pStyle w:val="ListBullet"/>
              <w:spacing w:before="60" w:after="60"/>
              <w:ind w:left="360" w:hanging="360"/>
              <w:contextualSpacing w:val="0"/>
            </w:pPr>
            <w:r>
              <w:t>Animal data:</w:t>
            </w:r>
          </w:p>
          <w:p w14:paraId="4A7C9D45" w14:textId="4CBF8A6E" w:rsidR="000A74FC" w:rsidRDefault="00567B6C" w:rsidP="0078696C">
            <w:pPr>
              <w:pStyle w:val="ListBullet"/>
              <w:numPr>
                <w:ilvl w:val="0"/>
                <w:numId w:val="5"/>
              </w:numPr>
              <w:spacing w:before="60" w:after="60"/>
              <w:ind w:left="720" w:hanging="357"/>
              <w:contextualSpacing w:val="0"/>
            </w:pPr>
            <w:r>
              <w:t xml:space="preserve">Oral </w:t>
            </w:r>
            <w:r w:rsidR="003F0CB9">
              <w:t>L</w:t>
            </w:r>
            <w:r w:rsidR="00507BE5">
              <w:t>D</w:t>
            </w:r>
            <w:r w:rsidR="00507BE5" w:rsidRPr="00F2402D">
              <w:rPr>
                <w:vertAlign w:val="subscript"/>
              </w:rPr>
              <w:t>50</w:t>
            </w:r>
            <w:r>
              <w:t xml:space="preserve">: </w:t>
            </w:r>
            <w:r w:rsidR="00312A92">
              <w:t>14</w:t>
            </w:r>
            <w:r>
              <w:t>–</w:t>
            </w:r>
            <w:r w:rsidR="00312A92">
              <w:t>20 mg/kg</w:t>
            </w:r>
            <w:r w:rsidR="00CF781D">
              <w:t xml:space="preserve"> </w:t>
            </w:r>
            <w:r w:rsidR="003F0CB9">
              <w:t>(</w:t>
            </w:r>
            <w:r>
              <w:t>rats</w:t>
            </w:r>
            <w:r w:rsidR="003F0CB9">
              <w:t>)</w:t>
            </w:r>
            <w:r w:rsidR="00E73DEE">
              <w:t>;</w:t>
            </w:r>
            <w:r w:rsidR="00DF2B8D">
              <w:t xml:space="preserve"> </w:t>
            </w:r>
            <w:r w:rsidR="00206A07">
              <w:t>63–100 mg/m</w:t>
            </w:r>
            <w:r w:rsidR="00206A07">
              <w:rPr>
                <w:vertAlign w:val="superscript"/>
              </w:rPr>
              <w:t>3</w:t>
            </w:r>
            <w:r w:rsidR="00206A07">
              <w:t xml:space="preserve"> (rats, 4 h)</w:t>
            </w:r>
          </w:p>
          <w:p w14:paraId="2B98B9FC" w14:textId="7A2607BA" w:rsidR="000A74FC" w:rsidRDefault="00567B6C" w:rsidP="0078696C">
            <w:pPr>
              <w:pStyle w:val="ListBullet"/>
              <w:numPr>
                <w:ilvl w:val="0"/>
                <w:numId w:val="5"/>
              </w:numPr>
              <w:spacing w:before="60" w:after="60"/>
              <w:ind w:left="720" w:hanging="357"/>
              <w:contextualSpacing w:val="0"/>
            </w:pPr>
            <w:r>
              <w:t>Dermal LD</w:t>
            </w:r>
            <w:r w:rsidRPr="008B31E7">
              <w:rPr>
                <w:vertAlign w:val="subscript"/>
              </w:rPr>
              <w:t>50</w:t>
            </w:r>
            <w:r>
              <w:t xml:space="preserve">: </w:t>
            </w:r>
            <w:r w:rsidR="003F0CB9">
              <w:t>112</w:t>
            </w:r>
            <w:r>
              <w:t>–</w:t>
            </w:r>
            <w:r w:rsidR="003F0CB9">
              <w:t>126</w:t>
            </w:r>
            <w:r w:rsidR="00B374BE">
              <w:t xml:space="preserve"> mg/kg (</w:t>
            </w:r>
            <w:r>
              <w:t>rats</w:t>
            </w:r>
            <w:r w:rsidR="00B374BE">
              <w:t>)</w:t>
            </w:r>
            <w:r>
              <w:t xml:space="preserve">; </w:t>
            </w:r>
            <w:r w:rsidR="00CF781D">
              <w:t>270</w:t>
            </w:r>
            <w:r>
              <w:t>–</w:t>
            </w:r>
            <w:r w:rsidR="00CF781D">
              <w:t>354</w:t>
            </w:r>
            <w:r w:rsidR="00FB7410">
              <w:t xml:space="preserve"> mg/kg</w:t>
            </w:r>
            <w:r w:rsidR="00CF781D">
              <w:t xml:space="preserve"> </w:t>
            </w:r>
            <w:r w:rsidR="00FB7410">
              <w:t>(</w:t>
            </w:r>
            <w:r>
              <w:t>rabbits</w:t>
            </w:r>
            <w:r w:rsidR="00FB7410">
              <w:t>)</w:t>
            </w:r>
            <w:r w:rsidR="00F62515">
              <w:t>:</w:t>
            </w:r>
          </w:p>
          <w:p w14:paraId="7BF7C0DF" w14:textId="67DCA823" w:rsidR="000A74FC" w:rsidRDefault="000A74FC" w:rsidP="0078696C">
            <w:pPr>
              <w:pStyle w:val="ListBullet"/>
              <w:numPr>
                <w:ilvl w:val="1"/>
                <w:numId w:val="6"/>
              </w:numPr>
              <w:spacing w:before="60" w:after="60"/>
              <w:ind w:left="1094" w:hanging="357"/>
              <w:contextualSpacing w:val="0"/>
            </w:pPr>
            <w:r>
              <w:t xml:space="preserve">no cholinergic symptoms at </w:t>
            </w:r>
            <w:r w:rsidR="00FB14A1">
              <w:t xml:space="preserve">dose range </w:t>
            </w:r>
            <w:r>
              <w:t>20–40 mg/kg</w:t>
            </w:r>
            <w:r w:rsidR="00FB14A1">
              <w:t>/d</w:t>
            </w:r>
            <w:r>
              <w:t xml:space="preserve"> (rabbits, </w:t>
            </w:r>
            <w:r w:rsidR="00E73DEE">
              <w:t>repeat dermal, 6 h/d, 5 d/wk, 3 </w:t>
            </w:r>
            <w:r>
              <w:t>wk)</w:t>
            </w:r>
          </w:p>
          <w:p w14:paraId="717D55BF" w14:textId="0088FBE0" w:rsidR="0043285B" w:rsidRDefault="0043285B" w:rsidP="0078696C">
            <w:pPr>
              <w:pStyle w:val="ListBullet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</w:pPr>
            <w:r>
              <w:t>Sub</w:t>
            </w:r>
            <w:r w:rsidR="004843F5">
              <w:t>-</w:t>
            </w:r>
            <w:r>
              <w:t xml:space="preserve">chronic feeding study </w:t>
            </w:r>
            <w:r w:rsidR="00FB14A1">
              <w:t>dose range</w:t>
            </w:r>
            <w:r>
              <w:t xml:space="preserve"> 0.01–0.6 mg/kg/d (rats, 8–13 wk) reported</w:t>
            </w:r>
            <w:r w:rsidR="00F62515">
              <w:t>:</w:t>
            </w:r>
          </w:p>
          <w:p w14:paraId="5EA473E9" w14:textId="172C60C4" w:rsidR="0043285B" w:rsidRDefault="0043285B" w:rsidP="0078696C">
            <w:pPr>
              <w:pStyle w:val="ListBullet"/>
              <w:numPr>
                <w:ilvl w:val="1"/>
                <w:numId w:val="6"/>
              </w:numPr>
              <w:spacing w:before="60" w:after="60"/>
              <w:ind w:left="1094" w:hanging="357"/>
              <w:contextualSpacing w:val="0"/>
            </w:pPr>
            <w:r>
              <w:t>NOAEL: 0.0</w:t>
            </w:r>
            <w:r w:rsidR="0053287C">
              <w:t>1</w:t>
            </w:r>
            <w:r>
              <w:t xml:space="preserve"> mg/kg/d for </w:t>
            </w:r>
            <w:r w:rsidR="0053287C">
              <w:t>brain</w:t>
            </w:r>
            <w:r>
              <w:t xml:space="preserve"> cholinesterase inhibition</w:t>
            </w:r>
          </w:p>
          <w:p w14:paraId="25C5B2BC" w14:textId="646F7C18" w:rsidR="00616713" w:rsidRDefault="00616713" w:rsidP="0078696C">
            <w:pPr>
              <w:pStyle w:val="ListBullet"/>
              <w:numPr>
                <w:ilvl w:val="1"/>
                <w:numId w:val="6"/>
              </w:numPr>
              <w:spacing w:before="60" w:after="60"/>
              <w:ind w:left="1094" w:hanging="357"/>
              <w:contextualSpacing w:val="0"/>
            </w:pPr>
            <w:r>
              <w:t>95% brain cholinesterase activity at 0.01 mg/kg/d</w:t>
            </w:r>
          </w:p>
          <w:p w14:paraId="22F7A74C" w14:textId="33F4C5E6" w:rsidR="00992B76" w:rsidRDefault="0043285B" w:rsidP="0078696C">
            <w:pPr>
              <w:pStyle w:val="ListBullet"/>
              <w:numPr>
                <w:ilvl w:val="1"/>
                <w:numId w:val="6"/>
              </w:numPr>
              <w:spacing w:before="60" w:after="60"/>
              <w:ind w:left="1094" w:hanging="357"/>
              <w:contextualSpacing w:val="0"/>
            </w:pPr>
            <w:r>
              <w:t>0.6 mg/kg/d caused significant RBC</w:t>
            </w:r>
            <w:r w:rsidR="00616713">
              <w:t xml:space="preserve"> (15%)</w:t>
            </w:r>
            <w:r>
              <w:t>, plasma</w:t>
            </w:r>
            <w:r w:rsidR="00616713">
              <w:t xml:space="preserve"> (35%)</w:t>
            </w:r>
            <w:r>
              <w:t xml:space="preserve"> and brain</w:t>
            </w:r>
            <w:r w:rsidR="00616713">
              <w:t xml:space="preserve"> (27%)</w:t>
            </w:r>
            <w:r>
              <w:t xml:space="preserve"> cholinesterase inhibition</w:t>
            </w:r>
          </w:p>
          <w:p w14:paraId="6A8BFA99" w14:textId="752A3C91" w:rsidR="00616713" w:rsidRDefault="00616713" w:rsidP="0078696C">
            <w:pPr>
              <w:pStyle w:val="ListBullet"/>
              <w:numPr>
                <w:ilvl w:val="1"/>
                <w:numId w:val="6"/>
              </w:numPr>
              <w:spacing w:before="60" w:after="60"/>
              <w:ind w:left="1094" w:hanging="357"/>
              <w:contextualSpacing w:val="0"/>
            </w:pPr>
            <w:r>
              <w:t>similar toxicity reported in 90</w:t>
            </w:r>
            <w:r w:rsidR="00816DAB">
              <w:t xml:space="preserve"> </w:t>
            </w:r>
            <w:r>
              <w:t>d repeat gavage</w:t>
            </w:r>
            <w:r w:rsidR="00E73DEE">
              <w:t xml:space="preserve"> study, treatment range </w:t>
            </w:r>
            <w:r w:rsidR="00F62515">
              <w:br/>
            </w:r>
            <w:r w:rsidR="00E73DEE">
              <w:t>0.3–1.2 </w:t>
            </w:r>
            <w:r>
              <w:t>mg/kg/d</w:t>
            </w:r>
          </w:p>
          <w:p w14:paraId="36074967" w14:textId="223379D9" w:rsidR="00095678" w:rsidRDefault="00095678" w:rsidP="0078696C">
            <w:pPr>
              <w:pStyle w:val="ListBullet"/>
              <w:numPr>
                <w:ilvl w:val="3"/>
                <w:numId w:val="2"/>
              </w:numPr>
              <w:spacing w:before="60" w:after="60"/>
              <w:ind w:left="714" w:hanging="357"/>
              <w:contextualSpacing w:val="0"/>
            </w:pPr>
            <w:r>
              <w:t>Dose-dependent liver degeneration and inflammation reported in sub</w:t>
            </w:r>
            <w:r w:rsidR="004843F5">
              <w:t>-</w:t>
            </w:r>
            <w:r>
              <w:t xml:space="preserve">chronic feeding study, </w:t>
            </w:r>
            <w:r w:rsidR="00FB14A1">
              <w:t xml:space="preserve">dose </w:t>
            </w:r>
            <w:r>
              <w:t>range: 0.4–1.5 mg/kg/d (mice, 6 wk)</w:t>
            </w:r>
            <w:r w:rsidR="00F62515">
              <w:t>:</w:t>
            </w:r>
          </w:p>
          <w:p w14:paraId="00739B7B" w14:textId="55DCC8F9" w:rsidR="00095678" w:rsidRDefault="000C27D7" w:rsidP="0078696C">
            <w:pPr>
              <w:pStyle w:val="ListBullet"/>
              <w:numPr>
                <w:ilvl w:val="1"/>
                <w:numId w:val="6"/>
              </w:numPr>
              <w:spacing w:before="60" w:after="60"/>
              <w:ind w:left="1094" w:hanging="357"/>
              <w:contextualSpacing w:val="0"/>
            </w:pPr>
            <w:r>
              <w:t xml:space="preserve">no evidence for liver toxicity or carcinogenic activity in chronic feeding study at </w:t>
            </w:r>
            <w:r w:rsidR="00F62515">
              <w:br/>
            </w:r>
            <w:r>
              <w:t>0.15–1.5 mg/kg/d; dose-related cholinesterase inhibition reported at all tested levels</w:t>
            </w:r>
          </w:p>
          <w:p w14:paraId="22BAF7BE" w14:textId="44F66E04" w:rsidR="000C27D7" w:rsidRDefault="000C27D7" w:rsidP="0078696C">
            <w:pPr>
              <w:pStyle w:val="ListBullet"/>
              <w:numPr>
                <w:ilvl w:val="3"/>
                <w:numId w:val="2"/>
              </w:numPr>
              <w:spacing w:before="60" w:after="60"/>
              <w:ind w:left="714" w:hanging="357"/>
              <w:contextualSpacing w:val="0"/>
            </w:pPr>
            <w:r>
              <w:t>No gross histopathology or carcinogenicity in 2 chronic feeding studies (rats, 2 yr)</w:t>
            </w:r>
            <w:r w:rsidR="00F62515">
              <w:t>:</w:t>
            </w:r>
          </w:p>
          <w:p w14:paraId="1451760A" w14:textId="5058D0DC" w:rsidR="000C27D7" w:rsidRDefault="000C27D7" w:rsidP="0078696C">
            <w:pPr>
              <w:pStyle w:val="ListBullet"/>
              <w:numPr>
                <w:ilvl w:val="1"/>
                <w:numId w:val="6"/>
              </w:numPr>
              <w:spacing w:before="60" w:after="60"/>
              <w:ind w:left="1094" w:hanging="357"/>
              <w:contextualSpacing w:val="0"/>
            </w:pPr>
            <w:r>
              <w:lastRenderedPageBreak/>
              <w:t>NOAEL: 0.0</w:t>
            </w:r>
            <w:r w:rsidR="0061685D">
              <w:t>02</w:t>
            </w:r>
            <w:r>
              <w:t>–0.05 mg/kg/d for RBC, plasma and brain cholinesterase inhibition</w:t>
            </w:r>
          </w:p>
          <w:p w14:paraId="3C3D031C" w14:textId="3F3A1EC8" w:rsidR="008B31E7" w:rsidRDefault="008B31E7" w:rsidP="0078696C">
            <w:pPr>
              <w:pStyle w:val="ListBullet"/>
              <w:numPr>
                <w:ilvl w:val="3"/>
                <w:numId w:val="2"/>
              </w:numPr>
              <w:spacing w:before="60" w:after="60"/>
              <w:ind w:left="714" w:hanging="357"/>
              <w:contextualSpacing w:val="0"/>
            </w:pPr>
            <w:r>
              <w:t>Minimal changes to cholinesterase activity at 0.04 mg/kg/d considered NOAEL in chronic feeding study (dogs, 2 yr); LOAEL: 0.4 mg/kg/d</w:t>
            </w:r>
          </w:p>
          <w:p w14:paraId="57C87E01" w14:textId="1374DCE7" w:rsidR="00390AA1" w:rsidRDefault="008B31E7" w:rsidP="0078696C">
            <w:pPr>
              <w:pStyle w:val="ListBullet"/>
              <w:numPr>
                <w:ilvl w:val="3"/>
                <w:numId w:val="2"/>
              </w:numPr>
              <w:spacing w:before="60" w:after="60"/>
              <w:ind w:left="714" w:hanging="357"/>
              <w:contextualSpacing w:val="0"/>
            </w:pPr>
            <w:r>
              <w:t xml:space="preserve">Mutagenic </w:t>
            </w:r>
            <w:r w:rsidR="00A36F6A" w:rsidRPr="00A36F6A">
              <w:rPr>
                <w:i/>
              </w:rPr>
              <w:t>in vitro</w:t>
            </w:r>
            <w:r w:rsidR="00A36F6A">
              <w:t xml:space="preserve"> in bacteria and </w:t>
            </w:r>
            <w:r w:rsidR="00A36F6A" w:rsidRPr="00A36F6A">
              <w:rPr>
                <w:i/>
              </w:rPr>
              <w:t xml:space="preserve">in vivo </w:t>
            </w:r>
            <w:r w:rsidR="00A36F6A">
              <w:t xml:space="preserve">in </w:t>
            </w:r>
            <w:r w:rsidR="00A36F6A" w:rsidRPr="00A36F6A">
              <w:rPr>
                <w:i/>
              </w:rPr>
              <w:t>Drosophila melanogaster</w:t>
            </w:r>
            <w:r w:rsidR="00A36F6A">
              <w:t xml:space="preserve"> and chickens but negative </w:t>
            </w:r>
            <w:r w:rsidR="00A36F6A" w:rsidRPr="00A36F6A">
              <w:rPr>
                <w:i/>
              </w:rPr>
              <w:t xml:space="preserve">in vivo </w:t>
            </w:r>
            <w:r w:rsidR="00A36F6A">
              <w:t>in a dominant lethal cell assay with mice</w:t>
            </w:r>
            <w:r w:rsidR="00816DAB">
              <w:t>.</w:t>
            </w:r>
          </w:p>
          <w:p w14:paraId="53597EA9" w14:textId="77777777" w:rsidR="00B002EC" w:rsidRDefault="00B002EC" w:rsidP="00B45B6D">
            <w:pPr>
              <w:pStyle w:val="ListBullet"/>
              <w:spacing w:before="60" w:after="60"/>
              <w:ind w:left="363" w:hanging="357"/>
            </w:pPr>
          </w:p>
          <w:p w14:paraId="4865275F" w14:textId="77777777" w:rsidR="00CB58C7" w:rsidRDefault="00CB58C7" w:rsidP="00B45B6D">
            <w:pPr>
              <w:pStyle w:val="ListBullet"/>
              <w:spacing w:before="60" w:after="60"/>
              <w:ind w:left="363" w:hanging="357"/>
            </w:pPr>
            <w:r>
              <w:t>Insufficient data available for recommendation of SEN notation or a TLV-STEL.</w:t>
            </w:r>
          </w:p>
          <w:p w14:paraId="18BB275A" w14:textId="05D49BAE" w:rsidR="00B002EC" w:rsidRPr="00DA352E" w:rsidRDefault="00B002EC" w:rsidP="00816DAB">
            <w:pPr>
              <w:pStyle w:val="ListBullet"/>
              <w:spacing w:before="60" w:after="60"/>
              <w:ind w:left="360" w:hanging="357"/>
              <w:contextualSpacing w:val="0"/>
            </w:pPr>
          </w:p>
        </w:tc>
      </w:tr>
      <w:tr w:rsidR="00C978F0" w:rsidRPr="00DA352E" w14:paraId="22AF4E20" w14:textId="77777777" w:rsidTr="00634831">
        <w:tc>
          <w:tcPr>
            <w:tcW w:w="5000" w:type="pct"/>
            <w:shd w:val="clear" w:color="auto" w:fill="F2F2F2" w:themeFill="background1" w:themeFillShade="F2"/>
          </w:tcPr>
          <w:p w14:paraId="06AFD5F2" w14:textId="6A0C635E" w:rsidR="00C978F0" w:rsidRPr="00DA352E" w:rsidRDefault="00DA352E" w:rsidP="007F3ADF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35630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356303">
                  <w:t>NA</w:t>
                </w:r>
                <w:proofErr w:type="spellEnd"/>
              </w:sdtContent>
            </w:sdt>
          </w:p>
        </w:tc>
      </w:tr>
      <w:tr w:rsidR="00C978F0" w:rsidRPr="00DA352E" w14:paraId="68B01C5E" w14:textId="77777777" w:rsidTr="00634831">
        <w:tc>
          <w:tcPr>
            <w:tcW w:w="5000" w:type="pct"/>
          </w:tcPr>
          <w:p w14:paraId="3A54F7B8" w14:textId="1128ABEF" w:rsidR="00C978F0" w:rsidRPr="00DA352E" w:rsidRDefault="00356303" w:rsidP="00816DAB">
            <w:pPr>
              <w:pStyle w:val="Tabletextprimarysource"/>
            </w:pPr>
            <w:r>
              <w:t>No report</w:t>
            </w:r>
            <w:r w:rsidR="00816DAB">
              <w:t>.</w:t>
            </w:r>
          </w:p>
        </w:tc>
      </w:tr>
      <w:tr w:rsidR="00C978F0" w:rsidRPr="00DA352E" w14:paraId="107872CA" w14:textId="77777777" w:rsidTr="00634831">
        <w:tc>
          <w:tcPr>
            <w:tcW w:w="5000" w:type="pct"/>
            <w:shd w:val="clear" w:color="auto" w:fill="F2F2F2" w:themeFill="background1" w:themeFillShade="F2"/>
          </w:tcPr>
          <w:p w14:paraId="473D29C6" w14:textId="5979DC96" w:rsidR="00C978F0" w:rsidRPr="00DA352E" w:rsidRDefault="00DA352E" w:rsidP="007F3ADF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35630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356303">
                  <w:t>NA</w:t>
                </w:r>
                <w:proofErr w:type="spellEnd"/>
              </w:sdtContent>
            </w:sdt>
          </w:p>
        </w:tc>
      </w:tr>
      <w:tr w:rsidR="00C978F0" w:rsidRPr="00DA352E" w14:paraId="449D14DA" w14:textId="77777777" w:rsidTr="00634831">
        <w:tc>
          <w:tcPr>
            <w:tcW w:w="5000" w:type="pct"/>
          </w:tcPr>
          <w:p w14:paraId="77D86B66" w14:textId="60589882" w:rsidR="00C978F0" w:rsidRPr="00DA352E" w:rsidRDefault="00356303" w:rsidP="00816DAB">
            <w:pPr>
              <w:pStyle w:val="Tabletextprimarysource"/>
            </w:pPr>
            <w:r>
              <w:t>No report</w:t>
            </w:r>
            <w:r w:rsidR="00816DAB">
              <w:t>.</w:t>
            </w:r>
          </w:p>
        </w:tc>
      </w:tr>
      <w:tr w:rsidR="00DA352E" w:rsidRPr="00DA352E" w14:paraId="7DF2C102" w14:textId="77777777" w:rsidTr="00634831">
        <w:tc>
          <w:tcPr>
            <w:tcW w:w="5000" w:type="pct"/>
            <w:shd w:val="clear" w:color="auto" w:fill="F2F2F2" w:themeFill="background1" w:themeFillShade="F2"/>
          </w:tcPr>
          <w:p w14:paraId="5935BF25" w14:textId="566F1719" w:rsidR="00DA352E" w:rsidRPr="00DA352E" w:rsidRDefault="00DA352E" w:rsidP="007F3ADF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35630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356303">
                  <w:t>NA</w:t>
                </w:r>
                <w:proofErr w:type="spellEnd"/>
              </w:sdtContent>
            </w:sdt>
          </w:p>
        </w:tc>
      </w:tr>
      <w:tr w:rsidR="00DA352E" w:rsidRPr="00DA352E" w14:paraId="045AD617" w14:textId="77777777" w:rsidTr="00634831">
        <w:tc>
          <w:tcPr>
            <w:tcW w:w="5000" w:type="pct"/>
          </w:tcPr>
          <w:p w14:paraId="64E3705F" w14:textId="41DFA545" w:rsidR="00DA352E" w:rsidRPr="00DA352E" w:rsidRDefault="00356303" w:rsidP="00816DAB">
            <w:pPr>
              <w:pStyle w:val="Tabletextprimarysource"/>
            </w:pPr>
            <w:r>
              <w:t>No report</w:t>
            </w:r>
            <w:r w:rsidR="00816DAB">
              <w:t>.</w:t>
            </w:r>
          </w:p>
        </w:tc>
      </w:tr>
      <w:tr w:rsidR="00DA352E" w:rsidRPr="00DA352E" w14:paraId="7A739893" w14:textId="77777777" w:rsidTr="00634831">
        <w:tc>
          <w:tcPr>
            <w:tcW w:w="5000" w:type="pct"/>
            <w:shd w:val="clear" w:color="auto" w:fill="F2F2F2" w:themeFill="background1" w:themeFillShade="F2"/>
          </w:tcPr>
          <w:p w14:paraId="2BD3E136" w14:textId="480298FA" w:rsidR="00DA352E" w:rsidRPr="00DA352E" w:rsidRDefault="00DA352E" w:rsidP="007F3ADF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356303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E73DEE">
                  <w:t>TWA</w:t>
                </w:r>
                <w:r w:rsidR="00D45311">
                  <w:t>: 0.25 mg/m</w:t>
                </w:r>
                <w:r w:rsidR="00D45311" w:rsidRPr="00D45311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0C6F1FD1" w14:textId="77777777" w:rsidTr="00634831">
        <w:tc>
          <w:tcPr>
            <w:tcW w:w="5000" w:type="pct"/>
          </w:tcPr>
          <w:p w14:paraId="4895CBB3" w14:textId="51C5126B" w:rsidR="00D8683D" w:rsidRDefault="00D8683D" w:rsidP="00816DAB">
            <w:pPr>
              <w:pStyle w:val="ListBullet"/>
              <w:spacing w:before="60" w:after="60"/>
              <w:ind w:left="360" w:hanging="360"/>
              <w:contextualSpacing w:val="0"/>
            </w:pPr>
            <w:r>
              <w:t>Summary of additional data:</w:t>
            </w:r>
          </w:p>
          <w:p w14:paraId="1060661F" w14:textId="434D7B10" w:rsidR="00863B56" w:rsidRDefault="003F58AF" w:rsidP="00816DAB">
            <w:pPr>
              <w:pStyle w:val="ListBullet"/>
              <w:spacing w:before="60" w:after="60"/>
              <w:contextualSpacing w:val="0"/>
            </w:pPr>
            <w:r>
              <w:t>Current administrative level considered unprotective of critical effects. Brain cholinesterase inhibition considered most sensitive endpoint; RBC cholinesterase inhibition used as surrogate measurement and is expected to be equally sensitive based on animal studies. Health-based recommendation (HBROEL) derived from NOAEL of 0.006 mg/kg/d for RBC cholinesterase inhibition in volunteers. A factor of 7/5 is applied to account for continuous exposure under experimental conditions followed by an assessment factor of 3 to account for intraindividual variation to arrive at a NAEL of 0.003 mg/kg/d. This NAEL is converted to an inhalational dose assuming a respiratory volume of 10 m</w:t>
            </w:r>
            <w:r>
              <w:rPr>
                <w:vertAlign w:val="superscript"/>
              </w:rPr>
              <w:t>3</w:t>
            </w:r>
            <w:r>
              <w:t xml:space="preserve"> over an 8</w:t>
            </w:r>
            <w:r w:rsidR="00B45B6D">
              <w:t>-</w:t>
            </w:r>
            <w:r>
              <w:t>h shift in a 70</w:t>
            </w:r>
            <w:r w:rsidR="00816DAB">
              <w:t xml:space="preserve"> </w:t>
            </w:r>
            <w:r>
              <w:t xml:space="preserve">kg worker to </w:t>
            </w:r>
            <w:r w:rsidR="00B45B6D">
              <w:t xml:space="preserve">obtain </w:t>
            </w:r>
            <w:r>
              <w:t>the proposed HBROEL of 0.02 mg/m</w:t>
            </w:r>
            <w:r>
              <w:rPr>
                <w:vertAlign w:val="superscript"/>
              </w:rPr>
              <w:t>3</w:t>
            </w:r>
            <w:r>
              <w:t xml:space="preserve"> as an 8</w:t>
            </w:r>
            <w:r w:rsidR="00B45B6D">
              <w:t>-</w:t>
            </w:r>
            <w:r>
              <w:t>h TWA.</w:t>
            </w:r>
          </w:p>
          <w:p w14:paraId="3FCD2B84" w14:textId="2D1E07C1" w:rsidR="003F58AF" w:rsidRPr="003F58AF" w:rsidRDefault="003F58AF" w:rsidP="00816DAB">
            <w:pPr>
              <w:pStyle w:val="ListBullet"/>
              <w:spacing w:before="60" w:after="60"/>
              <w:contextualSpacing w:val="0"/>
            </w:pPr>
            <w:r>
              <w:t>A skin notation is warranted based on reports of systemic effects resulting from dermal absorption.</w:t>
            </w:r>
          </w:p>
          <w:p w14:paraId="3A9E2F16" w14:textId="7AF0F34E" w:rsidR="00863B56" w:rsidRDefault="00863B56" w:rsidP="00816DAB">
            <w:pPr>
              <w:pStyle w:val="ListBullet"/>
              <w:spacing w:before="60" w:after="60"/>
              <w:ind w:left="360" w:hanging="360"/>
              <w:contextualSpacing w:val="0"/>
            </w:pPr>
            <w:r>
              <w:t>Human data:</w:t>
            </w:r>
          </w:p>
          <w:p w14:paraId="2908D493" w14:textId="72067315" w:rsidR="0061685D" w:rsidRDefault="00FB641A" w:rsidP="0078696C">
            <w:pPr>
              <w:pStyle w:val="ListBullet"/>
              <w:numPr>
                <w:ilvl w:val="3"/>
                <w:numId w:val="2"/>
              </w:numPr>
              <w:spacing w:before="60" w:after="60"/>
              <w:ind w:left="714" w:hanging="357"/>
              <w:contextualSpacing w:val="0"/>
            </w:pPr>
            <w:r>
              <w:t>Dermal absorption rate of 4 µg/cm</w:t>
            </w:r>
            <w:r>
              <w:rPr>
                <w:vertAlign w:val="superscript"/>
              </w:rPr>
              <w:t>2</w:t>
            </w:r>
            <w:r>
              <w:t xml:space="preserve"> dermal dose was 7.3 ng/cm</w:t>
            </w:r>
            <w:r>
              <w:rPr>
                <w:vertAlign w:val="superscript"/>
              </w:rPr>
              <w:t>2</w:t>
            </w:r>
            <w:r>
              <w:t>/h (n=6, 24–48 h)</w:t>
            </w:r>
          </w:p>
          <w:p w14:paraId="13E89BFF" w14:textId="26EF2198" w:rsidR="0061685D" w:rsidRDefault="0061685D" w:rsidP="0078696C">
            <w:pPr>
              <w:pStyle w:val="ListBullet"/>
              <w:numPr>
                <w:ilvl w:val="3"/>
                <w:numId w:val="2"/>
              </w:numPr>
              <w:spacing w:before="60" w:after="60"/>
              <w:ind w:left="714" w:hanging="357"/>
              <w:contextualSpacing w:val="0"/>
            </w:pPr>
            <w:r>
              <w:t>NOAEL &gt;0.0057 mg/kg/d for RBC cholinesterase inhibition in volunteer repeat oral dose study (also cited in ACGIH, 2018); recovery of plasma cholinesterase activity is slower in humans than in animals</w:t>
            </w:r>
            <w:r w:rsidR="00816DAB">
              <w:t>.</w:t>
            </w:r>
          </w:p>
          <w:p w14:paraId="563396CA" w14:textId="38F1D858" w:rsidR="0061685D" w:rsidRDefault="0061685D" w:rsidP="00816DAB">
            <w:pPr>
              <w:pStyle w:val="ListBullet"/>
              <w:spacing w:before="60" w:after="60"/>
              <w:contextualSpacing w:val="0"/>
            </w:pPr>
            <w:r>
              <w:t>Animal data:</w:t>
            </w:r>
          </w:p>
          <w:p w14:paraId="4BC87A1C" w14:textId="349F6B82" w:rsidR="0061685D" w:rsidRDefault="0061685D" w:rsidP="0078696C">
            <w:pPr>
              <w:pStyle w:val="ListBullet"/>
              <w:numPr>
                <w:ilvl w:val="3"/>
                <w:numId w:val="2"/>
              </w:numPr>
              <w:spacing w:before="60" w:after="60"/>
              <w:ind w:left="714" w:hanging="357"/>
              <w:contextualSpacing w:val="0"/>
            </w:pPr>
            <w:r>
              <w:t>No evidence for bioaccumulation following oral dose (rats)</w:t>
            </w:r>
          </w:p>
          <w:p w14:paraId="7849218E" w14:textId="68E7690B" w:rsidR="0053287C" w:rsidRDefault="003F58AF" w:rsidP="0078696C">
            <w:pPr>
              <w:pStyle w:val="ListBullet"/>
              <w:numPr>
                <w:ilvl w:val="3"/>
                <w:numId w:val="2"/>
              </w:numPr>
              <w:spacing w:before="60" w:after="60"/>
              <w:ind w:left="714" w:hanging="357"/>
              <w:contextualSpacing w:val="0"/>
            </w:pPr>
            <w:r>
              <w:t>Several sub</w:t>
            </w:r>
            <w:r w:rsidR="00FB14A1">
              <w:t>-</w:t>
            </w:r>
            <w:r>
              <w:t xml:space="preserve">chronic </w:t>
            </w:r>
            <w:r w:rsidR="0053287C">
              <w:t>oral dose</w:t>
            </w:r>
            <w:r>
              <w:t xml:space="preserve"> studies</w:t>
            </w:r>
            <w:r w:rsidR="0053287C">
              <w:t xml:space="preserve"> with various species</w:t>
            </w:r>
            <w:r>
              <w:t xml:space="preserve"> </w:t>
            </w:r>
            <w:r w:rsidR="0053287C">
              <w:t xml:space="preserve">report NOAEL range of 0.005–0.125 mg/kg/d (5–13 wk) for cholinesterase </w:t>
            </w:r>
            <w:r w:rsidR="00816DAB">
              <w:t>inhibition</w:t>
            </w:r>
            <w:r w:rsidR="00B002EC">
              <w:t>:</w:t>
            </w:r>
            <w:r w:rsidR="0053287C">
              <w:t xml:space="preserve"> </w:t>
            </w:r>
          </w:p>
          <w:p w14:paraId="22F49EEB" w14:textId="26153E1C" w:rsidR="00914C38" w:rsidRDefault="0053287C" w:rsidP="0078696C">
            <w:pPr>
              <w:pStyle w:val="ListBullet"/>
              <w:numPr>
                <w:ilvl w:val="1"/>
                <w:numId w:val="6"/>
              </w:numPr>
              <w:spacing w:before="60" w:after="60"/>
              <w:ind w:left="1094" w:hanging="357"/>
              <w:contextualSpacing w:val="0"/>
            </w:pPr>
            <w:r>
              <w:t>agency considers NOAEL of 0.0125 mg/kg/d for RBC and brain cholinesterase inhibition the most biologically relevant (rats, 8–13 wk, also cited in ACGIH, 2018)</w:t>
            </w:r>
          </w:p>
          <w:p w14:paraId="061388C5" w14:textId="77777777" w:rsidR="00176820" w:rsidRDefault="0053287C" w:rsidP="0078696C">
            <w:pPr>
              <w:pStyle w:val="ListBullet"/>
              <w:numPr>
                <w:ilvl w:val="3"/>
                <w:numId w:val="2"/>
              </w:numPr>
              <w:spacing w:before="60" w:after="60"/>
              <w:ind w:left="714" w:hanging="357"/>
              <w:contextualSpacing w:val="0"/>
            </w:pPr>
            <w:r>
              <w:t xml:space="preserve">Positive mutagenicity consistent with weak DNA alkylating ability; positive results in comet assay with mouse leukocytes and negative results in other </w:t>
            </w:r>
            <w:r>
              <w:rPr>
                <w:i/>
              </w:rPr>
              <w:t xml:space="preserve">in vivo </w:t>
            </w:r>
            <w:r>
              <w:t>studies suggests DNA damage is repairable and therefore not reflected in chronic carcinogenicity studies</w:t>
            </w:r>
            <w:r w:rsidR="00816DAB">
              <w:t>.</w:t>
            </w:r>
          </w:p>
          <w:p w14:paraId="3FB135F0" w14:textId="63BA8880" w:rsidR="00B002EC" w:rsidRPr="00DA352E" w:rsidRDefault="00B002EC" w:rsidP="0078696C">
            <w:pPr>
              <w:pStyle w:val="ListBullet"/>
              <w:spacing w:before="60" w:after="60"/>
              <w:contextualSpacing w:val="0"/>
            </w:pPr>
          </w:p>
        </w:tc>
      </w:tr>
    </w:tbl>
    <w:p w14:paraId="1E24506C" w14:textId="3BF85FF5" w:rsidR="00A20751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42861411" w14:textId="413B0911" w:rsidR="003C02A5" w:rsidRPr="00F2402D" w:rsidRDefault="00816DAB" w:rsidP="00F2402D">
      <w:r>
        <w:rPr>
          <w:lang w:eastAsia="en-AU"/>
        </w:rPr>
        <w:t>NIL</w:t>
      </w:r>
      <w:r w:rsidR="00E36673">
        <w:rPr>
          <w:lang w:eastAsia="en-AU"/>
        </w:rPr>
        <w:t>.</w:t>
      </w:r>
    </w:p>
    <w:bookmarkEnd w:id="0"/>
    <w:p w14:paraId="2B824CB0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5905BE86" w14:textId="77777777" w:rsidTr="003C02A5">
        <w:trPr>
          <w:trHeight w:val="454"/>
          <w:tblHeader/>
        </w:trPr>
        <w:tc>
          <w:tcPr>
            <w:tcW w:w="6603" w:type="dxa"/>
            <w:vAlign w:val="center"/>
          </w:tcPr>
          <w:p w14:paraId="40C4CF55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5952D016" w14:textId="3FA955A2" w:rsidR="002E0D61" w:rsidRDefault="003C02A5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627B8848" w14:textId="77777777" w:rsidTr="003C02A5">
        <w:trPr>
          <w:trHeight w:val="454"/>
        </w:trPr>
        <w:tc>
          <w:tcPr>
            <w:tcW w:w="6603" w:type="dxa"/>
            <w:vAlign w:val="center"/>
          </w:tcPr>
          <w:p w14:paraId="4C6AEF0C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3D618D6E" w14:textId="208CA3D8" w:rsidR="008A36CF" w:rsidRDefault="003C02A5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7A2EEBF6" w14:textId="77777777" w:rsidTr="003C02A5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38280B66" w14:textId="53E42BB7" w:rsidR="008A36CF" w:rsidRPr="006901A2" w:rsidRDefault="003C02A5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734A0857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2AF73675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3287636" w14:textId="77777777" w:rsidTr="00634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8F0F7F3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7F65101F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56130AD7" w14:textId="77777777" w:rsidTr="00634831">
        <w:trPr>
          <w:cantSplit/>
        </w:trPr>
        <w:tc>
          <w:tcPr>
            <w:tcW w:w="3227" w:type="dxa"/>
          </w:tcPr>
          <w:p w14:paraId="224BE6B0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54DDA515" w14:textId="41A8EFB1" w:rsidR="00687890" w:rsidRPr="00DD2F9B" w:rsidRDefault="00D45311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2C3FF552" w14:textId="77777777" w:rsidTr="00634831">
        <w:trPr>
          <w:cantSplit/>
        </w:trPr>
        <w:tc>
          <w:tcPr>
            <w:tcW w:w="3227" w:type="dxa"/>
          </w:tcPr>
          <w:p w14:paraId="3393CFBE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8958C9B" w14:textId="784603BD" w:rsidR="007925F0" w:rsidRPr="00DD2F9B" w:rsidRDefault="00D45311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41EE3A55" w14:textId="77777777" w:rsidTr="00634831">
        <w:trPr>
          <w:cantSplit/>
        </w:trPr>
        <w:tc>
          <w:tcPr>
            <w:tcW w:w="3227" w:type="dxa"/>
          </w:tcPr>
          <w:p w14:paraId="2CB30A8E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BA8B32A" w14:textId="77974D36" w:rsidR="00AF483F" w:rsidRPr="00DD2F9B" w:rsidRDefault="00D45311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17CC9082" w14:textId="77777777" w:rsidTr="00634831">
        <w:trPr>
          <w:cantSplit/>
        </w:trPr>
        <w:tc>
          <w:tcPr>
            <w:tcW w:w="3227" w:type="dxa"/>
          </w:tcPr>
          <w:p w14:paraId="6B40B441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C50189A" w14:textId="684F7082" w:rsidR="00687890" w:rsidRPr="00DD2F9B" w:rsidRDefault="001D43A4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16B386F1" w14:textId="77777777" w:rsidTr="00634831">
        <w:trPr>
          <w:cantSplit/>
        </w:trPr>
        <w:tc>
          <w:tcPr>
            <w:tcW w:w="3227" w:type="dxa"/>
          </w:tcPr>
          <w:p w14:paraId="1DD0866C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3C1A3BD" w14:textId="600B0D11" w:rsidR="00E41A26" w:rsidRPr="00DD2F9B" w:rsidRDefault="00D45311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07EA5D04" w14:textId="77777777" w:rsidTr="00634831">
        <w:trPr>
          <w:cantSplit/>
        </w:trPr>
        <w:tc>
          <w:tcPr>
            <w:tcW w:w="3227" w:type="dxa"/>
          </w:tcPr>
          <w:p w14:paraId="004C9A01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5BCD2A9" w14:textId="4211CD59" w:rsidR="002E0D61" w:rsidRPr="00DD2F9B" w:rsidRDefault="00D45311" w:rsidP="00DD2F9B">
            <w:pPr>
              <w:pStyle w:val="Tablefont"/>
            </w:pPr>
            <w:r w:rsidRPr="00D45311">
              <w:t>Carcinogenicity – A4</w:t>
            </w:r>
            <w:r>
              <w:t>, Skin</w:t>
            </w:r>
          </w:p>
        </w:tc>
      </w:tr>
      <w:tr w:rsidR="002E0D61" w:rsidRPr="004C23F4" w14:paraId="5844995B" w14:textId="77777777" w:rsidTr="00634831">
        <w:trPr>
          <w:cantSplit/>
        </w:trPr>
        <w:tc>
          <w:tcPr>
            <w:tcW w:w="3227" w:type="dxa"/>
          </w:tcPr>
          <w:p w14:paraId="44FF061A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0699E075" w14:textId="58F41E2E" w:rsidR="002E0D61" w:rsidRPr="00DD2F9B" w:rsidRDefault="00D45311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9D26869" w14:textId="77777777" w:rsidTr="00634831">
        <w:trPr>
          <w:cantSplit/>
        </w:trPr>
        <w:tc>
          <w:tcPr>
            <w:tcW w:w="3227" w:type="dxa"/>
          </w:tcPr>
          <w:p w14:paraId="5ABC2261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7E7FD9C5" w14:textId="5A233C56" w:rsidR="002E0D61" w:rsidRPr="00DD2F9B" w:rsidRDefault="00D45311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119583E" w14:textId="77777777" w:rsidTr="00634831">
        <w:trPr>
          <w:cantSplit/>
        </w:trPr>
        <w:tc>
          <w:tcPr>
            <w:tcW w:w="3227" w:type="dxa"/>
          </w:tcPr>
          <w:p w14:paraId="67FC31C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510E6A85" w14:textId="53F20F6B" w:rsidR="002E0D61" w:rsidRPr="00DD2F9B" w:rsidRDefault="00D45311" w:rsidP="00DD2F9B">
            <w:pPr>
              <w:pStyle w:val="Tablefont"/>
            </w:pPr>
            <w:r>
              <w:t>Skin</w:t>
            </w:r>
          </w:p>
        </w:tc>
      </w:tr>
      <w:tr w:rsidR="00386093" w:rsidRPr="004C23F4" w14:paraId="789DD480" w14:textId="77777777" w:rsidTr="00634831">
        <w:trPr>
          <w:cantSplit/>
        </w:trPr>
        <w:tc>
          <w:tcPr>
            <w:tcW w:w="3227" w:type="dxa"/>
          </w:tcPr>
          <w:p w14:paraId="345B19E4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5FD11BA" w14:textId="6483127D" w:rsidR="00386093" w:rsidRPr="00DD2F9B" w:rsidRDefault="00D45311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4D93C30F" w14:textId="77777777" w:rsidTr="00634831">
        <w:trPr>
          <w:cantSplit/>
        </w:trPr>
        <w:tc>
          <w:tcPr>
            <w:tcW w:w="3227" w:type="dxa"/>
          </w:tcPr>
          <w:p w14:paraId="59EE1AB9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E841E86" w14:textId="7E8D013F" w:rsidR="00386093" w:rsidRPr="00DD2F9B" w:rsidRDefault="00544A8D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38AF021F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CF139C7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3424D4E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D424AF4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3B24F53F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144" w:type="dxa"/>
              <w:tblLook w:val="04A0" w:firstRow="1" w:lastRow="0" w:firstColumn="1" w:lastColumn="0" w:noHBand="0" w:noVBand="1"/>
            </w:tblPr>
            <w:tblGrid>
              <w:gridCol w:w="3821"/>
              <w:gridCol w:w="1132"/>
              <w:gridCol w:w="1132"/>
              <w:gridCol w:w="2725"/>
            </w:tblGrid>
            <w:tr w:rsidR="003C02A5" w:rsidRPr="003C02A5" w14:paraId="39A14A66" w14:textId="77777777" w:rsidTr="00F2402D">
              <w:trPr>
                <w:trHeight w:val="231"/>
              </w:trPr>
              <w:tc>
                <w:tcPr>
                  <w:tcW w:w="3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4047F4" w14:textId="77777777" w:rsidR="003C02A5" w:rsidRPr="003C02A5" w:rsidRDefault="003C02A5" w:rsidP="003C02A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1B155BC5" w14:textId="77777777" w:rsidR="003C02A5" w:rsidRPr="003C02A5" w:rsidRDefault="003C02A5" w:rsidP="003C02A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6E5F6C" w14:textId="77777777" w:rsidR="003C02A5" w:rsidRPr="003C02A5" w:rsidRDefault="003C02A5" w:rsidP="003C02A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4F7752" w14:textId="77777777" w:rsidR="003C02A5" w:rsidRPr="003C02A5" w:rsidRDefault="003C02A5" w:rsidP="003C02A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C02A5" w:rsidRPr="003C02A5" w14:paraId="7E18A534" w14:textId="77777777" w:rsidTr="00F2402D">
              <w:trPr>
                <w:trHeight w:val="231"/>
              </w:trPr>
              <w:tc>
                <w:tcPr>
                  <w:tcW w:w="3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AFFB13" w14:textId="77777777" w:rsidR="003C02A5" w:rsidRPr="003C02A5" w:rsidRDefault="003C02A5" w:rsidP="003C02A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C02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C02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294007CF" w14:textId="77777777" w:rsidR="003C02A5" w:rsidRPr="003C02A5" w:rsidRDefault="003C02A5" w:rsidP="003C02A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784613" w14:textId="77777777" w:rsidR="003C02A5" w:rsidRPr="003C02A5" w:rsidRDefault="003C02A5" w:rsidP="003C02A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251161" w14:textId="77777777" w:rsidR="003C02A5" w:rsidRPr="003C02A5" w:rsidRDefault="003C02A5" w:rsidP="003C02A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C02A5" w:rsidRPr="003C02A5" w14:paraId="6625BB22" w14:textId="77777777" w:rsidTr="00F2402D">
              <w:trPr>
                <w:trHeight w:val="231"/>
              </w:trPr>
              <w:tc>
                <w:tcPr>
                  <w:tcW w:w="3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86BC78" w14:textId="77777777" w:rsidR="003C02A5" w:rsidRPr="003C02A5" w:rsidRDefault="003C02A5" w:rsidP="003C02A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55F915BE" w14:textId="77777777" w:rsidR="003C02A5" w:rsidRPr="003C02A5" w:rsidRDefault="003C02A5" w:rsidP="003C02A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C4052C" w14:textId="77777777" w:rsidR="003C02A5" w:rsidRPr="003C02A5" w:rsidRDefault="003C02A5" w:rsidP="003C02A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073916" w14:textId="77777777" w:rsidR="003C02A5" w:rsidRPr="003C02A5" w:rsidRDefault="003C02A5" w:rsidP="003C02A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C02A5" w:rsidRPr="003C02A5" w14:paraId="6BE96AC5" w14:textId="77777777" w:rsidTr="00F2402D">
              <w:trPr>
                <w:trHeight w:val="231"/>
              </w:trPr>
              <w:tc>
                <w:tcPr>
                  <w:tcW w:w="3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8905C1" w14:textId="77777777" w:rsidR="003C02A5" w:rsidRPr="003C02A5" w:rsidRDefault="003C02A5" w:rsidP="003C02A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C02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C02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3C02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C02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AEA75D" w14:textId="77777777" w:rsidR="003C02A5" w:rsidRPr="003C02A5" w:rsidRDefault="003C02A5" w:rsidP="003C02A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5763FD" w14:textId="77777777" w:rsidR="003C02A5" w:rsidRPr="003C02A5" w:rsidRDefault="003C02A5" w:rsidP="003C02A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-3.00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A3CC83" w14:textId="77777777" w:rsidR="003C02A5" w:rsidRPr="003C02A5" w:rsidRDefault="003C02A5" w:rsidP="003C02A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C02A5" w:rsidRPr="003C02A5" w14:paraId="116133E7" w14:textId="77777777" w:rsidTr="00F2402D">
              <w:trPr>
                <w:trHeight w:val="231"/>
              </w:trPr>
              <w:tc>
                <w:tcPr>
                  <w:tcW w:w="3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B1F5B5" w14:textId="77777777" w:rsidR="003C02A5" w:rsidRPr="003C02A5" w:rsidRDefault="003C02A5" w:rsidP="003C02A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3C02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2C218E" w14:textId="77777777" w:rsidR="003C02A5" w:rsidRPr="003C02A5" w:rsidRDefault="003C02A5" w:rsidP="003C02A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1027B7" w14:textId="77777777" w:rsidR="003C02A5" w:rsidRPr="003C02A5" w:rsidRDefault="003C02A5" w:rsidP="003C02A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-3.00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D07D3C" w14:textId="77777777" w:rsidR="003C02A5" w:rsidRPr="003C02A5" w:rsidRDefault="003C02A5" w:rsidP="003C02A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C02A5" w:rsidRPr="003C02A5" w14:paraId="1DC3D18E" w14:textId="77777777" w:rsidTr="00F2402D">
              <w:trPr>
                <w:trHeight w:val="231"/>
              </w:trPr>
              <w:tc>
                <w:tcPr>
                  <w:tcW w:w="3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10D4DF" w14:textId="77777777" w:rsidR="003C02A5" w:rsidRPr="003C02A5" w:rsidRDefault="003C02A5" w:rsidP="003C02A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75C35270" w14:textId="77777777" w:rsidR="003C02A5" w:rsidRPr="003C02A5" w:rsidRDefault="003C02A5" w:rsidP="003C02A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3E9450" w14:textId="77777777" w:rsidR="003C02A5" w:rsidRPr="003C02A5" w:rsidRDefault="003C02A5" w:rsidP="003C02A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2.00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CCA432" w14:textId="77777777" w:rsidR="003C02A5" w:rsidRPr="003C02A5" w:rsidRDefault="003C02A5" w:rsidP="003C02A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C02A5" w:rsidRPr="003C02A5" w14:paraId="21B9EC1C" w14:textId="77777777" w:rsidTr="00F2402D">
              <w:trPr>
                <w:trHeight w:val="231"/>
              </w:trPr>
              <w:tc>
                <w:tcPr>
                  <w:tcW w:w="3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4B01AF" w14:textId="77777777" w:rsidR="003C02A5" w:rsidRPr="003C02A5" w:rsidRDefault="003C02A5" w:rsidP="003C02A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8C9341" w14:textId="77777777" w:rsidR="003C02A5" w:rsidRPr="003C02A5" w:rsidRDefault="003C02A5" w:rsidP="003C02A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FA080A" w14:textId="77777777" w:rsidR="003C02A5" w:rsidRPr="003C02A5" w:rsidRDefault="003C02A5" w:rsidP="003C02A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0.4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136942" w14:textId="77777777" w:rsidR="003C02A5" w:rsidRPr="003C02A5" w:rsidRDefault="003C02A5" w:rsidP="003C02A5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02A5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119C7AF0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13E1443C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153BB1F6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4037D2D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4E5F6D8" w14:textId="09E8E315" w:rsidR="00EB3D1B" w:rsidRDefault="00544A8D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2E26D6A7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56AA3D5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305858F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5E17DF7" w14:textId="72B423A4" w:rsidR="001B79E5" w:rsidRDefault="00544A8D" w:rsidP="001B79E5">
                <w:pPr>
                  <w:pStyle w:val="Tablefont"/>
                </w:pPr>
                <w:r w:rsidRPr="00544A8D">
                  <w:t>223.2</w:t>
                </w:r>
              </w:p>
            </w:tc>
          </w:sdtContent>
        </w:sdt>
      </w:tr>
      <w:tr w:rsidR="00A31D99" w:rsidRPr="004C23F4" w14:paraId="7B4E238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C00909E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1CB8DEF5" w14:textId="2D358B44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544A8D">
                  <w:t>9.13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544A8D">
                  <w:t>0.11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AAC399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FB52F81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4EC5CAD" w14:textId="467EABC6" w:rsidR="00687890" w:rsidRPr="004C23F4" w:rsidRDefault="003C02A5" w:rsidP="00717D45">
                <w:pPr>
                  <w:pStyle w:val="Tablefont"/>
                </w:pPr>
                <w:r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p>
            </w:tc>
          </w:sdtContent>
        </w:sdt>
      </w:tr>
      <w:tr w:rsidR="00687890" w:rsidRPr="004C23F4" w14:paraId="59A08BB1" w14:textId="77777777" w:rsidTr="00EA6243">
        <w:trPr>
          <w:cantSplit/>
        </w:trPr>
        <w:tc>
          <w:tcPr>
            <w:tcW w:w="4077" w:type="dxa"/>
            <w:vAlign w:val="center"/>
          </w:tcPr>
          <w:p w14:paraId="1C29CFB7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B125702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0B809CB" w14:textId="77777777" w:rsidTr="00EA6243">
        <w:trPr>
          <w:cantSplit/>
        </w:trPr>
        <w:tc>
          <w:tcPr>
            <w:tcW w:w="4077" w:type="dxa"/>
            <w:vAlign w:val="center"/>
          </w:tcPr>
          <w:p w14:paraId="7F1BE654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C602D55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BB81ACB" w14:textId="77777777" w:rsidTr="00EA6243">
        <w:trPr>
          <w:cantSplit/>
        </w:trPr>
        <w:tc>
          <w:tcPr>
            <w:tcW w:w="4077" w:type="dxa"/>
            <w:vAlign w:val="center"/>
          </w:tcPr>
          <w:p w14:paraId="6F5C8A95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C3D6E2A" w14:textId="08F85B8B" w:rsidR="00E06F40" w:rsidRPr="00A006A0" w:rsidRDefault="00634831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C02A5"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0E8E046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E32F36A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0F0A117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A60CA0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274EFA6" w14:textId="77777777" w:rsidTr="00F053FA">
        <w:trPr>
          <w:tblHeader/>
        </w:trPr>
        <w:sdt>
          <w:sdtPr>
            <w:id w:val="-25557549"/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3B0FBED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7BDABCE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0B1AB024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19E3F9DF" w14:textId="6635CCFA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1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27B71F22" w14:textId="77777777" w:rsidR="00816DAB" w:rsidRDefault="00816DAB" w:rsidP="00816DAB">
      <w:r w:rsidRPr="00F02105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39058CE1" w14:textId="3B3DEC24" w:rsidR="00544A8D" w:rsidRDefault="00544A8D" w:rsidP="00084859">
      <w:r w:rsidRPr="002022B6">
        <w:t>Health Council of the Netherlands</w:t>
      </w:r>
      <w:r>
        <w:t xml:space="preserve"> (HCOTN) (2003) </w:t>
      </w:r>
      <w:r w:rsidRPr="00544A8D">
        <w:t>Monocrotophos</w:t>
      </w:r>
      <w:r w:rsidRPr="005F7416">
        <w:t xml:space="preserve">. </w:t>
      </w:r>
      <w:r w:rsidR="001334FF" w:rsidRPr="001334FF">
        <w:t>Health-based reassessment of administrative occupational exposure limits</w:t>
      </w:r>
      <w:r w:rsidRPr="005F7416">
        <w:t>. The Hague: Health Council of the Netherlands; publication no.</w:t>
      </w:r>
      <w:bookmarkStart w:id="5" w:name="_GoBack"/>
      <w:bookmarkEnd w:id="5"/>
      <w:r w:rsidRPr="005F7416">
        <w:t xml:space="preserve"> </w:t>
      </w:r>
      <w:r w:rsidRPr="00544A8D">
        <w:t>2000/15OSH/073</w:t>
      </w:r>
      <w:r>
        <w:t>.</w:t>
      </w:r>
    </w:p>
    <w:p w14:paraId="77050953" w14:textId="73846B81" w:rsidR="00544A8D" w:rsidRPr="00F2402D" w:rsidRDefault="001D43A4" w:rsidP="00F02105">
      <w:pPr>
        <w:rPr>
          <w:color w:val="000000"/>
        </w:rPr>
      </w:pPr>
      <w:r w:rsidRPr="00E461B8">
        <w:rPr>
          <w:color w:val="000000"/>
        </w:rPr>
        <w:t>Tenth Adaptation to Technical Progress Commission Regulation (EU Annex)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sectPr w:rsidR="00544A8D" w:rsidRPr="00F2402D" w:rsidSect="00E738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DE723" w14:textId="77777777" w:rsidR="00EF7500" w:rsidRDefault="00EF7500" w:rsidP="00F43AD5">
      <w:pPr>
        <w:spacing w:after="0" w:line="240" w:lineRule="auto"/>
      </w:pPr>
      <w:r>
        <w:separator/>
      </w:r>
    </w:p>
  </w:endnote>
  <w:endnote w:type="continuationSeparator" w:id="0">
    <w:p w14:paraId="3988E6A2" w14:textId="77777777" w:rsidR="00EF7500" w:rsidRDefault="00EF7500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C63C4" w14:textId="77777777" w:rsidR="00300FC9" w:rsidRDefault="00300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45BC5" w14:textId="77777777" w:rsidR="00300FC9" w:rsidRDefault="00300F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C49AD" w14:textId="1C47DC2E" w:rsidR="00E74AF6" w:rsidRDefault="00E74AF6" w:rsidP="00E74AF6">
    <w:pPr>
      <w:pStyle w:val="Footer"/>
      <w:rPr>
        <w:sz w:val="18"/>
        <w:szCs w:val="18"/>
      </w:rPr>
    </w:pPr>
    <w:r>
      <w:rPr>
        <w:b/>
        <w:sz w:val="18"/>
        <w:szCs w:val="18"/>
      </w:rPr>
      <w:t>Monocrotophos (</w:t>
    </w:r>
    <w:r w:rsidRPr="00E74AF6">
      <w:rPr>
        <w:b/>
        <w:sz w:val="18"/>
        <w:szCs w:val="18"/>
      </w:rPr>
      <w:t>6923-22-4</w:t>
    </w:r>
    <w:r>
      <w:rPr>
        <w:b/>
        <w:sz w:val="18"/>
        <w:szCs w:val="18"/>
      </w:rPr>
      <w:t>)</w:t>
    </w:r>
    <w:r>
      <w:rPr>
        <w:sz w:val="18"/>
        <w:szCs w:val="18"/>
      </w:rPr>
      <w:br/>
      <w:t xml:space="preserve">Safe Work Australia </w:t>
    </w:r>
    <w:r>
      <w:rPr>
        <w:rFonts w:ascii="Courier New" w:hAnsi="Courier New" w:cs="Courier New"/>
        <w:sz w:val="18"/>
        <w:szCs w:val="18"/>
      </w:rPr>
      <w:t>—</w:t>
    </w:r>
    <w:r>
      <w:rPr>
        <w:sz w:val="18"/>
        <w:szCs w:val="18"/>
      </w:rPr>
      <w:t xml:space="preserve"> 2019</w:t>
    </w:r>
  </w:p>
  <w:p w14:paraId="2C3702B9" w14:textId="77777777" w:rsidR="00E74AF6" w:rsidRDefault="00E74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641D6" w14:textId="77777777" w:rsidR="00EF7500" w:rsidRDefault="00EF7500" w:rsidP="00F43AD5">
      <w:pPr>
        <w:spacing w:after="0" w:line="240" w:lineRule="auto"/>
      </w:pPr>
      <w:r>
        <w:separator/>
      </w:r>
    </w:p>
  </w:footnote>
  <w:footnote w:type="continuationSeparator" w:id="0">
    <w:p w14:paraId="19938CC5" w14:textId="77777777" w:rsidR="00EF7500" w:rsidRDefault="00EF7500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43ED9" w14:textId="77777777" w:rsidR="00300FC9" w:rsidRDefault="00300F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15C3E" w14:textId="3BD8E649" w:rsidR="00634831" w:rsidRDefault="00634831" w:rsidP="00634831">
    <w:pPr>
      <w:pStyle w:val="Header"/>
      <w:jc w:val="right"/>
    </w:pPr>
    <w:r>
      <w:pict w14:anchorId="368B52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7" type="#_x0000_t136" style="position:absolute;left:0;text-align:left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19D64D54" wp14:editId="71AAADC2">
          <wp:extent cx="2943225" cy="590550"/>
          <wp:effectExtent l="0" t="0" r="0" b="0"/>
          <wp:docPr id="4" name="Picture 4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1C905D" w14:textId="77777777" w:rsidR="00634831" w:rsidRDefault="00634831" w:rsidP="00634831">
    <w:pPr>
      <w:pStyle w:val="Header"/>
    </w:pPr>
  </w:p>
  <w:p w14:paraId="3E3907CC" w14:textId="77777777" w:rsidR="00B67B6C" w:rsidRDefault="00B67B6C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46CBF" w14:textId="5330C68A" w:rsidR="00E74AF6" w:rsidRPr="00634831" w:rsidRDefault="00634831" w:rsidP="00634831">
    <w:pPr>
      <w:pStyle w:val="Header"/>
      <w:jc w:val="right"/>
    </w:pPr>
    <w:r>
      <w:pict w14:anchorId="0D9F5C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6" type="#_x0000_t136" style="position:absolute;left:0;text-align:left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35BDCB2B" wp14:editId="07E60E70">
          <wp:extent cx="2943225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E87686C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9"/>
    <w:multiLevelType w:val="singleLevel"/>
    <w:tmpl w:val="0C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31CA603C"/>
    <w:multiLevelType w:val="hybridMultilevel"/>
    <w:tmpl w:val="923C836A"/>
    <w:lvl w:ilvl="0" w:tplc="04CA10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54F47"/>
    <w:multiLevelType w:val="hybridMultilevel"/>
    <w:tmpl w:val="553E930E"/>
    <w:lvl w:ilvl="0" w:tplc="0C09000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7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5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2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9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6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388" w:hanging="360"/>
      </w:pPr>
      <w:rPr>
        <w:rFonts w:ascii="Wingdings" w:hAnsi="Wingdings" w:hint="default"/>
      </w:rPr>
    </w:lvl>
  </w:abstractNum>
  <w:abstractNum w:abstractNumId="4" w15:restartNumberingAfterBreak="0">
    <w:nsid w:val="5B1F0E58"/>
    <w:multiLevelType w:val="hybridMultilevel"/>
    <w:tmpl w:val="F75AD782"/>
    <w:lvl w:ilvl="0" w:tplc="0C090001">
      <w:start w:val="1"/>
      <w:numFmt w:val="bullet"/>
      <w:lvlText w:val=""/>
      <w:lvlJc w:val="left"/>
      <w:pPr>
        <w:ind w:left="84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9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1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2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2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3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4180" w:hanging="360"/>
      </w:pPr>
      <w:rPr>
        <w:rFonts w:ascii="Wingdings" w:hAnsi="Wingdings" w:hint="default"/>
      </w:rPr>
    </w:lvl>
  </w:abstractNum>
  <w:abstractNum w:abstractNumId="5" w15:restartNumberingAfterBreak="0">
    <w:nsid w:val="5BDB3125"/>
    <w:multiLevelType w:val="hybridMultilevel"/>
    <w:tmpl w:val="17162A76"/>
    <w:lvl w:ilvl="0" w:tplc="C4C07DF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51A33"/>
    <w:multiLevelType w:val="hybridMultilevel"/>
    <w:tmpl w:val="3200817A"/>
    <w:lvl w:ilvl="0" w:tplc="0C090003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778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850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92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9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6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388" w:hanging="360"/>
      </w:pPr>
      <w:rPr>
        <w:rFonts w:ascii="Wingdings" w:hAnsi="Wingdings" w:hint="default"/>
      </w:rPr>
    </w:lvl>
  </w:abstractNum>
  <w:abstractNum w:abstractNumId="7" w15:restartNumberingAfterBreak="0">
    <w:nsid w:val="72951CA7"/>
    <w:multiLevelType w:val="hybridMultilevel"/>
    <w:tmpl w:val="DAD822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65C4C"/>
    <w:multiLevelType w:val="hybridMultilevel"/>
    <w:tmpl w:val="05D080B0"/>
    <w:lvl w:ilvl="0" w:tplc="FCD28E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6395"/>
    <w:rsid w:val="00007B80"/>
    <w:rsid w:val="00010AE6"/>
    <w:rsid w:val="000128FD"/>
    <w:rsid w:val="00013A22"/>
    <w:rsid w:val="00014C3F"/>
    <w:rsid w:val="00017C82"/>
    <w:rsid w:val="00032B88"/>
    <w:rsid w:val="0004492B"/>
    <w:rsid w:val="00044DEC"/>
    <w:rsid w:val="00046DF5"/>
    <w:rsid w:val="00052060"/>
    <w:rsid w:val="0005574A"/>
    <w:rsid w:val="00055FE1"/>
    <w:rsid w:val="00056EC2"/>
    <w:rsid w:val="00057B40"/>
    <w:rsid w:val="00060B48"/>
    <w:rsid w:val="00067F32"/>
    <w:rsid w:val="00071807"/>
    <w:rsid w:val="000803E1"/>
    <w:rsid w:val="00084513"/>
    <w:rsid w:val="00084859"/>
    <w:rsid w:val="00092D94"/>
    <w:rsid w:val="00095678"/>
    <w:rsid w:val="000A6522"/>
    <w:rsid w:val="000A74FC"/>
    <w:rsid w:val="000B0868"/>
    <w:rsid w:val="000B3E12"/>
    <w:rsid w:val="000B3E78"/>
    <w:rsid w:val="000B7B48"/>
    <w:rsid w:val="000C096D"/>
    <w:rsid w:val="000C139A"/>
    <w:rsid w:val="000C2053"/>
    <w:rsid w:val="000C248C"/>
    <w:rsid w:val="000C27D7"/>
    <w:rsid w:val="000D291C"/>
    <w:rsid w:val="000E4226"/>
    <w:rsid w:val="000E5A54"/>
    <w:rsid w:val="000E63D3"/>
    <w:rsid w:val="000E67CF"/>
    <w:rsid w:val="000E6A1C"/>
    <w:rsid w:val="000F686C"/>
    <w:rsid w:val="0010461E"/>
    <w:rsid w:val="00106FAA"/>
    <w:rsid w:val="00113443"/>
    <w:rsid w:val="0011344B"/>
    <w:rsid w:val="001137EE"/>
    <w:rsid w:val="001269A7"/>
    <w:rsid w:val="00131092"/>
    <w:rsid w:val="001334FF"/>
    <w:rsid w:val="00140E6A"/>
    <w:rsid w:val="00146545"/>
    <w:rsid w:val="00146B75"/>
    <w:rsid w:val="0015266D"/>
    <w:rsid w:val="0015288A"/>
    <w:rsid w:val="0015626F"/>
    <w:rsid w:val="00160F47"/>
    <w:rsid w:val="00176820"/>
    <w:rsid w:val="00177CA1"/>
    <w:rsid w:val="00183823"/>
    <w:rsid w:val="00183942"/>
    <w:rsid w:val="00184D15"/>
    <w:rsid w:val="00197C24"/>
    <w:rsid w:val="001A009E"/>
    <w:rsid w:val="001A1287"/>
    <w:rsid w:val="001A19A1"/>
    <w:rsid w:val="001A3859"/>
    <w:rsid w:val="001A3C9D"/>
    <w:rsid w:val="001A43F8"/>
    <w:rsid w:val="001B79E5"/>
    <w:rsid w:val="001D43A4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06A07"/>
    <w:rsid w:val="00213640"/>
    <w:rsid w:val="00221547"/>
    <w:rsid w:val="002216FC"/>
    <w:rsid w:val="00222533"/>
    <w:rsid w:val="00222F30"/>
    <w:rsid w:val="00224EE2"/>
    <w:rsid w:val="00227EC7"/>
    <w:rsid w:val="002319C8"/>
    <w:rsid w:val="00244AD1"/>
    <w:rsid w:val="002463BC"/>
    <w:rsid w:val="002465CE"/>
    <w:rsid w:val="0025734A"/>
    <w:rsid w:val="00263255"/>
    <w:rsid w:val="00266DED"/>
    <w:rsid w:val="00276494"/>
    <w:rsid w:val="00277B0C"/>
    <w:rsid w:val="002A0DF6"/>
    <w:rsid w:val="002A15D0"/>
    <w:rsid w:val="002B1A2C"/>
    <w:rsid w:val="002C2A0D"/>
    <w:rsid w:val="002C34F2"/>
    <w:rsid w:val="002C58FF"/>
    <w:rsid w:val="002C7AFE"/>
    <w:rsid w:val="002D05D2"/>
    <w:rsid w:val="002E0D61"/>
    <w:rsid w:val="002E4C7B"/>
    <w:rsid w:val="002F10E2"/>
    <w:rsid w:val="00300FC9"/>
    <w:rsid w:val="0030740C"/>
    <w:rsid w:val="00312A92"/>
    <w:rsid w:val="00315833"/>
    <w:rsid w:val="003215EE"/>
    <w:rsid w:val="003224BF"/>
    <w:rsid w:val="003241A8"/>
    <w:rsid w:val="003253F0"/>
    <w:rsid w:val="0033001F"/>
    <w:rsid w:val="003337DA"/>
    <w:rsid w:val="00334EFB"/>
    <w:rsid w:val="00335CDE"/>
    <w:rsid w:val="003365A5"/>
    <w:rsid w:val="00345A3F"/>
    <w:rsid w:val="00347192"/>
    <w:rsid w:val="0034744C"/>
    <w:rsid w:val="00351FE0"/>
    <w:rsid w:val="00352615"/>
    <w:rsid w:val="0035412B"/>
    <w:rsid w:val="00356303"/>
    <w:rsid w:val="003564D6"/>
    <w:rsid w:val="003567A8"/>
    <w:rsid w:val="00362895"/>
    <w:rsid w:val="00363BCB"/>
    <w:rsid w:val="00370DBF"/>
    <w:rsid w:val="0038605E"/>
    <w:rsid w:val="00386093"/>
    <w:rsid w:val="003904A4"/>
    <w:rsid w:val="00390AA1"/>
    <w:rsid w:val="00391841"/>
    <w:rsid w:val="00391B6D"/>
    <w:rsid w:val="00394922"/>
    <w:rsid w:val="00394FD5"/>
    <w:rsid w:val="003A0E32"/>
    <w:rsid w:val="003A2B94"/>
    <w:rsid w:val="003A38CE"/>
    <w:rsid w:val="003B387D"/>
    <w:rsid w:val="003C02A5"/>
    <w:rsid w:val="003C0D58"/>
    <w:rsid w:val="003D4FA3"/>
    <w:rsid w:val="003D59FF"/>
    <w:rsid w:val="003E0807"/>
    <w:rsid w:val="003E51FB"/>
    <w:rsid w:val="003E6B39"/>
    <w:rsid w:val="003F07E1"/>
    <w:rsid w:val="003F0CB9"/>
    <w:rsid w:val="003F58AF"/>
    <w:rsid w:val="004030BC"/>
    <w:rsid w:val="00403F7D"/>
    <w:rsid w:val="00406785"/>
    <w:rsid w:val="004079B4"/>
    <w:rsid w:val="00417A56"/>
    <w:rsid w:val="00420957"/>
    <w:rsid w:val="0042172C"/>
    <w:rsid w:val="00422A10"/>
    <w:rsid w:val="0042767C"/>
    <w:rsid w:val="00430179"/>
    <w:rsid w:val="0043178C"/>
    <w:rsid w:val="0043285B"/>
    <w:rsid w:val="00436E2C"/>
    <w:rsid w:val="004414B5"/>
    <w:rsid w:val="00444482"/>
    <w:rsid w:val="00444B42"/>
    <w:rsid w:val="00445E44"/>
    <w:rsid w:val="004509E2"/>
    <w:rsid w:val="00450BB9"/>
    <w:rsid w:val="004515EE"/>
    <w:rsid w:val="004529F0"/>
    <w:rsid w:val="00457C1A"/>
    <w:rsid w:val="00460A03"/>
    <w:rsid w:val="00462550"/>
    <w:rsid w:val="00472A11"/>
    <w:rsid w:val="00472AAD"/>
    <w:rsid w:val="004746E4"/>
    <w:rsid w:val="00474E33"/>
    <w:rsid w:val="00476803"/>
    <w:rsid w:val="004843F5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7444"/>
    <w:rsid w:val="004C1E3F"/>
    <w:rsid w:val="004C23F4"/>
    <w:rsid w:val="004C3475"/>
    <w:rsid w:val="004C58B6"/>
    <w:rsid w:val="004D16A3"/>
    <w:rsid w:val="004D4AA1"/>
    <w:rsid w:val="004D6D68"/>
    <w:rsid w:val="004D7B22"/>
    <w:rsid w:val="004E5DE6"/>
    <w:rsid w:val="004E5EDD"/>
    <w:rsid w:val="004F448A"/>
    <w:rsid w:val="004F493D"/>
    <w:rsid w:val="004F65E8"/>
    <w:rsid w:val="0050005E"/>
    <w:rsid w:val="00502B88"/>
    <w:rsid w:val="00507BE5"/>
    <w:rsid w:val="00512421"/>
    <w:rsid w:val="00513D26"/>
    <w:rsid w:val="005142C4"/>
    <w:rsid w:val="0051509C"/>
    <w:rsid w:val="005272E2"/>
    <w:rsid w:val="0053108F"/>
    <w:rsid w:val="0053287C"/>
    <w:rsid w:val="00532B56"/>
    <w:rsid w:val="00533B73"/>
    <w:rsid w:val="00534B10"/>
    <w:rsid w:val="005446A2"/>
    <w:rsid w:val="00544A8D"/>
    <w:rsid w:val="00544D2F"/>
    <w:rsid w:val="00551BD8"/>
    <w:rsid w:val="00563FF0"/>
    <w:rsid w:val="00567B6C"/>
    <w:rsid w:val="00581055"/>
    <w:rsid w:val="00591E38"/>
    <w:rsid w:val="005A19C5"/>
    <w:rsid w:val="005A279C"/>
    <w:rsid w:val="005A3034"/>
    <w:rsid w:val="005A42E0"/>
    <w:rsid w:val="005A462D"/>
    <w:rsid w:val="005B253B"/>
    <w:rsid w:val="005B3D5F"/>
    <w:rsid w:val="005B631D"/>
    <w:rsid w:val="005B771D"/>
    <w:rsid w:val="005C5D16"/>
    <w:rsid w:val="005D3193"/>
    <w:rsid w:val="005D4A6E"/>
    <w:rsid w:val="005E6979"/>
    <w:rsid w:val="005E75CB"/>
    <w:rsid w:val="005F424C"/>
    <w:rsid w:val="006013C1"/>
    <w:rsid w:val="0060520F"/>
    <w:rsid w:val="0060669E"/>
    <w:rsid w:val="00610F2E"/>
    <w:rsid w:val="00611399"/>
    <w:rsid w:val="00616713"/>
    <w:rsid w:val="0061685D"/>
    <w:rsid w:val="00624C4E"/>
    <w:rsid w:val="00625200"/>
    <w:rsid w:val="00634831"/>
    <w:rsid w:val="006363A8"/>
    <w:rsid w:val="00636DB7"/>
    <w:rsid w:val="00650905"/>
    <w:rsid w:val="00652BA7"/>
    <w:rsid w:val="006532ED"/>
    <w:rsid w:val="006549F2"/>
    <w:rsid w:val="00654B43"/>
    <w:rsid w:val="006567B7"/>
    <w:rsid w:val="00657BFB"/>
    <w:rsid w:val="00657FE2"/>
    <w:rsid w:val="0066333C"/>
    <w:rsid w:val="006639B4"/>
    <w:rsid w:val="006650FE"/>
    <w:rsid w:val="00667C29"/>
    <w:rsid w:val="0067305D"/>
    <w:rsid w:val="00677D9B"/>
    <w:rsid w:val="00686608"/>
    <w:rsid w:val="006867F3"/>
    <w:rsid w:val="00687890"/>
    <w:rsid w:val="006901A2"/>
    <w:rsid w:val="00690368"/>
    <w:rsid w:val="0069079C"/>
    <w:rsid w:val="00690B53"/>
    <w:rsid w:val="00695B72"/>
    <w:rsid w:val="006A5042"/>
    <w:rsid w:val="006B160A"/>
    <w:rsid w:val="006B4E6C"/>
    <w:rsid w:val="006B50B6"/>
    <w:rsid w:val="006D79EA"/>
    <w:rsid w:val="006E5D05"/>
    <w:rsid w:val="006F7EDE"/>
    <w:rsid w:val="00701053"/>
    <w:rsid w:val="00701507"/>
    <w:rsid w:val="00714021"/>
    <w:rsid w:val="00716A0F"/>
    <w:rsid w:val="00717D45"/>
    <w:rsid w:val="007208F7"/>
    <w:rsid w:val="007218AF"/>
    <w:rsid w:val="00735C6A"/>
    <w:rsid w:val="007365D1"/>
    <w:rsid w:val="0073662D"/>
    <w:rsid w:val="00740688"/>
    <w:rsid w:val="00740E0E"/>
    <w:rsid w:val="00750212"/>
    <w:rsid w:val="0075024B"/>
    <w:rsid w:val="00754779"/>
    <w:rsid w:val="0075716D"/>
    <w:rsid w:val="00760971"/>
    <w:rsid w:val="00765F14"/>
    <w:rsid w:val="00770E31"/>
    <w:rsid w:val="007770F1"/>
    <w:rsid w:val="00783FB1"/>
    <w:rsid w:val="0078440C"/>
    <w:rsid w:val="00785CDD"/>
    <w:rsid w:val="0078696C"/>
    <w:rsid w:val="00791847"/>
    <w:rsid w:val="007925F0"/>
    <w:rsid w:val="007939B3"/>
    <w:rsid w:val="0079509C"/>
    <w:rsid w:val="00796708"/>
    <w:rsid w:val="007A5B58"/>
    <w:rsid w:val="007B1B42"/>
    <w:rsid w:val="007C30EB"/>
    <w:rsid w:val="007D3E9A"/>
    <w:rsid w:val="007E063C"/>
    <w:rsid w:val="007E2A4B"/>
    <w:rsid w:val="007E307D"/>
    <w:rsid w:val="007E6A4E"/>
    <w:rsid w:val="007E6C94"/>
    <w:rsid w:val="007F1005"/>
    <w:rsid w:val="007F25E0"/>
    <w:rsid w:val="007F2901"/>
    <w:rsid w:val="007F3ADF"/>
    <w:rsid w:val="007F5328"/>
    <w:rsid w:val="00804F5A"/>
    <w:rsid w:val="00810C6D"/>
    <w:rsid w:val="00811852"/>
    <w:rsid w:val="00812887"/>
    <w:rsid w:val="00816DAB"/>
    <w:rsid w:val="00826F21"/>
    <w:rsid w:val="0083006B"/>
    <w:rsid w:val="00834CC8"/>
    <w:rsid w:val="00835E00"/>
    <w:rsid w:val="00837113"/>
    <w:rsid w:val="008414E4"/>
    <w:rsid w:val="00843E21"/>
    <w:rsid w:val="0084508E"/>
    <w:rsid w:val="00857A8A"/>
    <w:rsid w:val="008630EE"/>
    <w:rsid w:val="00863B56"/>
    <w:rsid w:val="0086478F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31E7"/>
    <w:rsid w:val="008B3D50"/>
    <w:rsid w:val="008B403C"/>
    <w:rsid w:val="008B7983"/>
    <w:rsid w:val="008C2511"/>
    <w:rsid w:val="008C2A35"/>
    <w:rsid w:val="008C4432"/>
    <w:rsid w:val="008D026D"/>
    <w:rsid w:val="008D23AB"/>
    <w:rsid w:val="008D4B8B"/>
    <w:rsid w:val="008D5A78"/>
    <w:rsid w:val="008E7B64"/>
    <w:rsid w:val="008F5DCD"/>
    <w:rsid w:val="00900951"/>
    <w:rsid w:val="009118A6"/>
    <w:rsid w:val="00914C38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2B76"/>
    <w:rsid w:val="0099303A"/>
    <w:rsid w:val="009970F5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459C"/>
    <w:rsid w:val="00A00B00"/>
    <w:rsid w:val="00A01D0C"/>
    <w:rsid w:val="00A0643F"/>
    <w:rsid w:val="00A067EE"/>
    <w:rsid w:val="00A10FCE"/>
    <w:rsid w:val="00A16D91"/>
    <w:rsid w:val="00A174CC"/>
    <w:rsid w:val="00A2073D"/>
    <w:rsid w:val="00A20751"/>
    <w:rsid w:val="00A24D90"/>
    <w:rsid w:val="00A27E2D"/>
    <w:rsid w:val="00A31D99"/>
    <w:rsid w:val="00A357BA"/>
    <w:rsid w:val="00A35ADC"/>
    <w:rsid w:val="00A36F6A"/>
    <w:rsid w:val="00A402A3"/>
    <w:rsid w:val="00A515AD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453F"/>
    <w:rsid w:val="00AC6D2F"/>
    <w:rsid w:val="00AE2745"/>
    <w:rsid w:val="00AE2F64"/>
    <w:rsid w:val="00AF42CB"/>
    <w:rsid w:val="00AF483F"/>
    <w:rsid w:val="00AF5E07"/>
    <w:rsid w:val="00AF5F06"/>
    <w:rsid w:val="00B002EC"/>
    <w:rsid w:val="00B00A25"/>
    <w:rsid w:val="00B1422A"/>
    <w:rsid w:val="00B14FDB"/>
    <w:rsid w:val="00B1527A"/>
    <w:rsid w:val="00B1765C"/>
    <w:rsid w:val="00B213C4"/>
    <w:rsid w:val="00B374BE"/>
    <w:rsid w:val="00B40C60"/>
    <w:rsid w:val="00B45B6D"/>
    <w:rsid w:val="00B479A9"/>
    <w:rsid w:val="00B52EDF"/>
    <w:rsid w:val="00B67B6C"/>
    <w:rsid w:val="00B71188"/>
    <w:rsid w:val="00B76A41"/>
    <w:rsid w:val="00B809F0"/>
    <w:rsid w:val="00B87D4C"/>
    <w:rsid w:val="00B93646"/>
    <w:rsid w:val="00BA0B38"/>
    <w:rsid w:val="00BA1DBB"/>
    <w:rsid w:val="00BA4510"/>
    <w:rsid w:val="00BA523A"/>
    <w:rsid w:val="00BA529A"/>
    <w:rsid w:val="00BB612A"/>
    <w:rsid w:val="00BD499F"/>
    <w:rsid w:val="00BD56DE"/>
    <w:rsid w:val="00BF2406"/>
    <w:rsid w:val="00C06E43"/>
    <w:rsid w:val="00C16315"/>
    <w:rsid w:val="00C3091E"/>
    <w:rsid w:val="00C40E38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078A"/>
    <w:rsid w:val="00C850A0"/>
    <w:rsid w:val="00C85A86"/>
    <w:rsid w:val="00C91A4D"/>
    <w:rsid w:val="00C978F0"/>
    <w:rsid w:val="00CA58FE"/>
    <w:rsid w:val="00CB1CB1"/>
    <w:rsid w:val="00CB58C7"/>
    <w:rsid w:val="00CB6BC1"/>
    <w:rsid w:val="00CB6CB8"/>
    <w:rsid w:val="00CC1A68"/>
    <w:rsid w:val="00CC2123"/>
    <w:rsid w:val="00CD2BFD"/>
    <w:rsid w:val="00CE2D0E"/>
    <w:rsid w:val="00CE5AD6"/>
    <w:rsid w:val="00CE617F"/>
    <w:rsid w:val="00CE78EF"/>
    <w:rsid w:val="00CF5CD8"/>
    <w:rsid w:val="00CF781D"/>
    <w:rsid w:val="00D01AF1"/>
    <w:rsid w:val="00D048F7"/>
    <w:rsid w:val="00D0517E"/>
    <w:rsid w:val="00D140FC"/>
    <w:rsid w:val="00D21D8C"/>
    <w:rsid w:val="00D31357"/>
    <w:rsid w:val="00D33220"/>
    <w:rsid w:val="00D334D1"/>
    <w:rsid w:val="00D44C89"/>
    <w:rsid w:val="00D45311"/>
    <w:rsid w:val="00D516CD"/>
    <w:rsid w:val="00D668E6"/>
    <w:rsid w:val="00D70670"/>
    <w:rsid w:val="00D74D80"/>
    <w:rsid w:val="00D76624"/>
    <w:rsid w:val="00D8683D"/>
    <w:rsid w:val="00D87570"/>
    <w:rsid w:val="00D91CB9"/>
    <w:rsid w:val="00D97989"/>
    <w:rsid w:val="00D97D8D"/>
    <w:rsid w:val="00DA352E"/>
    <w:rsid w:val="00DB07DD"/>
    <w:rsid w:val="00DC6AE8"/>
    <w:rsid w:val="00DC7694"/>
    <w:rsid w:val="00DD1BF6"/>
    <w:rsid w:val="00DD2F9B"/>
    <w:rsid w:val="00DE19AE"/>
    <w:rsid w:val="00DE2513"/>
    <w:rsid w:val="00DE26E8"/>
    <w:rsid w:val="00DF2B8D"/>
    <w:rsid w:val="00DF6F36"/>
    <w:rsid w:val="00E0084C"/>
    <w:rsid w:val="00E025AB"/>
    <w:rsid w:val="00E02B23"/>
    <w:rsid w:val="00E06F40"/>
    <w:rsid w:val="00E07CE8"/>
    <w:rsid w:val="00E20596"/>
    <w:rsid w:val="00E255A1"/>
    <w:rsid w:val="00E26A07"/>
    <w:rsid w:val="00E32595"/>
    <w:rsid w:val="00E36673"/>
    <w:rsid w:val="00E37CFD"/>
    <w:rsid w:val="00E41A26"/>
    <w:rsid w:val="00E444C1"/>
    <w:rsid w:val="00E46BCB"/>
    <w:rsid w:val="00E51CAF"/>
    <w:rsid w:val="00E60F04"/>
    <w:rsid w:val="00E62AAC"/>
    <w:rsid w:val="00E67C2F"/>
    <w:rsid w:val="00E67EF5"/>
    <w:rsid w:val="00E73857"/>
    <w:rsid w:val="00E73DEE"/>
    <w:rsid w:val="00E747D7"/>
    <w:rsid w:val="00E74AF6"/>
    <w:rsid w:val="00E804EA"/>
    <w:rsid w:val="00E80592"/>
    <w:rsid w:val="00E80A71"/>
    <w:rsid w:val="00E82337"/>
    <w:rsid w:val="00E92499"/>
    <w:rsid w:val="00E929DB"/>
    <w:rsid w:val="00E949AF"/>
    <w:rsid w:val="00E96077"/>
    <w:rsid w:val="00EA0A06"/>
    <w:rsid w:val="00EA6243"/>
    <w:rsid w:val="00EA74AB"/>
    <w:rsid w:val="00EB3D1B"/>
    <w:rsid w:val="00EC0B95"/>
    <w:rsid w:val="00EC4E3D"/>
    <w:rsid w:val="00ED1D89"/>
    <w:rsid w:val="00ED4A54"/>
    <w:rsid w:val="00ED66BC"/>
    <w:rsid w:val="00EF233A"/>
    <w:rsid w:val="00EF303E"/>
    <w:rsid w:val="00EF3A40"/>
    <w:rsid w:val="00EF7500"/>
    <w:rsid w:val="00EF7F78"/>
    <w:rsid w:val="00F01B08"/>
    <w:rsid w:val="00F01C4D"/>
    <w:rsid w:val="00F02105"/>
    <w:rsid w:val="00F05156"/>
    <w:rsid w:val="00F053FA"/>
    <w:rsid w:val="00F10C97"/>
    <w:rsid w:val="00F10CCE"/>
    <w:rsid w:val="00F11C71"/>
    <w:rsid w:val="00F16019"/>
    <w:rsid w:val="00F20E68"/>
    <w:rsid w:val="00F22093"/>
    <w:rsid w:val="00F236DF"/>
    <w:rsid w:val="00F2402D"/>
    <w:rsid w:val="00F43AD5"/>
    <w:rsid w:val="00F4402E"/>
    <w:rsid w:val="00F45C65"/>
    <w:rsid w:val="00F56DD0"/>
    <w:rsid w:val="00F62515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422A"/>
    <w:rsid w:val="00FA741F"/>
    <w:rsid w:val="00FB14A1"/>
    <w:rsid w:val="00FB4E07"/>
    <w:rsid w:val="00FB641A"/>
    <w:rsid w:val="00FB7410"/>
    <w:rsid w:val="00FB755A"/>
    <w:rsid w:val="00FC60A2"/>
    <w:rsid w:val="00FD1871"/>
    <w:rsid w:val="00FD2E37"/>
    <w:rsid w:val="00FD3110"/>
    <w:rsid w:val="00FD71BB"/>
    <w:rsid w:val="00FE66EC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450BB9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4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DE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DE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A4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8696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279C"/>
    <w:pPr>
      <w:ind w:left="720"/>
      <w:contextualSpacing/>
    </w:pPr>
  </w:style>
  <w:style w:type="paragraph" w:styleId="Revision">
    <w:name w:val="Revision"/>
    <w:hidden/>
    <w:uiPriority w:val="99"/>
    <w:semiHidden/>
    <w:rsid w:val="00E36673"/>
    <w:pPr>
      <w:spacing w:after="0" w:line="240" w:lineRule="auto"/>
    </w:pPr>
  </w:style>
  <w:style w:type="paragraph" w:styleId="ListNumber3">
    <w:name w:val="List Number 3"/>
    <w:basedOn w:val="Normal"/>
    <w:uiPriority w:val="99"/>
    <w:unhideWhenUsed/>
    <w:rsid w:val="00B14FDB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gih.org/tlv-bei-guidelines/policies-procedures-present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BF9EAAE8F456F811DFFC456DA7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F2C6F-A198-4BCF-A5CF-0CA4451BF68B}"/>
      </w:docPartPr>
      <w:docPartBody>
        <w:p w:rsidR="00AF015D" w:rsidRDefault="00880F7D" w:rsidP="00880F7D">
          <w:pPr>
            <w:pStyle w:val="54DBF9EAAE8F456F811DFFC456DA7CC1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38374C"/>
    <w:rsid w:val="00427FED"/>
    <w:rsid w:val="00880F7D"/>
    <w:rsid w:val="00AF015D"/>
    <w:rsid w:val="00C30FE2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F7D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F5CF7476C67F4C6F81A17A062B078D54">
    <w:name w:val="F5CF7476C67F4C6F81A17A062B078D54"/>
    <w:rsid w:val="00427FED"/>
  </w:style>
  <w:style w:type="paragraph" w:customStyle="1" w:styleId="2EAEBD20D55242F59D88CC6A116D61E2">
    <w:name w:val="2EAEBD20D55242F59D88CC6A116D61E2"/>
    <w:rsid w:val="00427FED"/>
  </w:style>
  <w:style w:type="paragraph" w:customStyle="1" w:styleId="B53DE55654C5484FBDF515F1D67100E9">
    <w:name w:val="B53DE55654C5484FBDF515F1D67100E9"/>
    <w:rsid w:val="00427FED"/>
  </w:style>
  <w:style w:type="paragraph" w:customStyle="1" w:styleId="07802A538279413A8F0070E63A493779">
    <w:name w:val="07802A538279413A8F0070E63A493779"/>
    <w:rsid w:val="00427FED"/>
  </w:style>
  <w:style w:type="paragraph" w:customStyle="1" w:styleId="E192F859B1D64B0E84077FF36EA37F9C">
    <w:name w:val="E192F859B1D64B0E84077FF36EA37F9C"/>
    <w:rsid w:val="00427FED"/>
  </w:style>
  <w:style w:type="paragraph" w:customStyle="1" w:styleId="54DBF9EAAE8F456F811DFFC456DA7CC1">
    <w:name w:val="54DBF9EAAE8F456F811DFFC456DA7CC1"/>
    <w:rsid w:val="00880F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AB02D-C3DA-44CB-807B-F0E0C4B8C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f54d604-3e62-4e70-ba33-9e9084b96a66"/>
  </ds:schemaRefs>
</ds:datastoreItem>
</file>

<file path=customXml/itemProps4.xml><?xml version="1.0" encoding="utf-8"?>
<ds:datastoreItem xmlns:ds="http://schemas.openxmlformats.org/officeDocument/2006/customXml" ds:itemID="{12056BA8-DE81-4984-B058-003B71EC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30</cp:revision>
  <cp:lastPrinted>2018-10-22T22:41:00Z</cp:lastPrinted>
  <dcterms:created xsi:type="dcterms:W3CDTF">2019-11-21T23:43:00Z</dcterms:created>
  <dcterms:modified xsi:type="dcterms:W3CDTF">2020-05-20T01:20:00Z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