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i/>
          <w:iCs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6C4FD21" w14:textId="77777777" w:rsidR="00BD499F" w:rsidRPr="004C23F4" w:rsidRDefault="009D3DE7" w:rsidP="00B40C60">
          <w:pPr>
            <w:pStyle w:val="Heading1"/>
            <w:jc w:val="center"/>
            <w:rPr>
              <w:rFonts w:ascii="Arial" w:hAnsi="Arial" w:cs="Arial"/>
            </w:rPr>
          </w:pPr>
          <w:r w:rsidRPr="00990BAD">
            <w:rPr>
              <w:rFonts w:ascii="Arial" w:hAnsi="Arial" w:cs="Arial"/>
              <w:i/>
              <w:iCs/>
            </w:rPr>
            <w:t>n-valeraldehyde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56656629" w14:textId="77777777" w:rsidTr="00E6298D">
        <w:trPr>
          <w:cantSplit/>
          <w:tblHeader/>
        </w:trPr>
        <w:tc>
          <w:tcPr>
            <w:tcW w:w="3989" w:type="dxa"/>
          </w:tcPr>
          <w:p w14:paraId="1E2F9FB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7" w:type="dxa"/>
          </w:tcPr>
          <w:p w14:paraId="240E5F29" w14:textId="77777777" w:rsidR="00F43AD5" w:rsidRPr="00717D45" w:rsidRDefault="00E153BB" w:rsidP="00B76A41">
            <w:pPr>
              <w:pStyle w:val="Tablefont"/>
            </w:pPr>
            <w:bookmarkStart w:id="0" w:name="_GoBack"/>
            <w:r>
              <w:t>11</w:t>
            </w:r>
            <w:r w:rsidR="009D3DE7">
              <w:t>0-62-3</w:t>
            </w:r>
            <w:bookmarkEnd w:id="0"/>
          </w:p>
        </w:tc>
      </w:tr>
      <w:tr w:rsidR="00F43AD5" w:rsidRPr="004C23F4" w14:paraId="53C459A7" w14:textId="77777777" w:rsidTr="00E6298D">
        <w:trPr>
          <w:cantSplit/>
        </w:trPr>
        <w:tc>
          <w:tcPr>
            <w:tcW w:w="3989" w:type="dxa"/>
          </w:tcPr>
          <w:p w14:paraId="0B0D0A9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7" w:type="dxa"/>
          </w:tcPr>
          <w:p w14:paraId="0E5AFDB9" w14:textId="44348584" w:rsidR="00F43AD5" w:rsidRPr="00717D45" w:rsidRDefault="009D3DE7" w:rsidP="00B76A41">
            <w:pPr>
              <w:pStyle w:val="Tablefont"/>
            </w:pPr>
            <w:r>
              <w:t>Amyl aldehyde, pentanal, valeric aldehyde</w:t>
            </w:r>
            <w:r w:rsidR="002E163D">
              <w:t xml:space="preserve">, </w:t>
            </w:r>
            <w:r w:rsidR="00E55C93">
              <w:br/>
            </w:r>
            <w:r w:rsidR="002E163D" w:rsidRPr="002E163D">
              <w:t>valeryl aldehyde</w:t>
            </w:r>
            <w:r w:rsidR="002E163D">
              <w:t xml:space="preserve">, </w:t>
            </w:r>
            <w:r w:rsidR="002E163D" w:rsidRPr="002E163D">
              <w:t>butyl formal</w:t>
            </w:r>
            <w:r w:rsidR="002E163D">
              <w:t xml:space="preserve">, </w:t>
            </w:r>
            <w:r w:rsidR="002E163D" w:rsidRPr="002E163D">
              <w:t>valeral</w:t>
            </w:r>
            <w:r w:rsidR="002E163D">
              <w:t xml:space="preserve">, </w:t>
            </w:r>
            <w:r w:rsidR="002E163D" w:rsidRPr="00990BAD">
              <w:rPr>
                <w:i/>
                <w:iCs/>
              </w:rPr>
              <w:t>n</w:t>
            </w:r>
            <w:r w:rsidR="002E163D" w:rsidRPr="002E163D">
              <w:t>-pentanal</w:t>
            </w:r>
          </w:p>
        </w:tc>
      </w:tr>
      <w:tr w:rsidR="00F43AD5" w:rsidRPr="004C23F4" w14:paraId="5DFD3AC3" w14:textId="77777777" w:rsidTr="00E6298D">
        <w:trPr>
          <w:cantSplit/>
        </w:trPr>
        <w:tc>
          <w:tcPr>
            <w:tcW w:w="3989" w:type="dxa"/>
          </w:tcPr>
          <w:p w14:paraId="2EB0456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7" w:type="dxa"/>
          </w:tcPr>
          <w:p w14:paraId="3B62F27B" w14:textId="77777777" w:rsidR="00F43AD5" w:rsidRPr="00717D45" w:rsidRDefault="00FC7C88" w:rsidP="00B76A41">
            <w:pPr>
              <w:pStyle w:val="Tablefont"/>
            </w:pPr>
            <w:r>
              <w:t>C</w:t>
            </w:r>
            <w:r w:rsidRPr="00FC7C88">
              <w:rPr>
                <w:vertAlign w:val="subscript"/>
              </w:rPr>
              <w:t>5</w:t>
            </w:r>
            <w:r>
              <w:t>H</w:t>
            </w:r>
            <w:r w:rsidRPr="00FC7C88">
              <w:rPr>
                <w:vertAlign w:val="subscript"/>
              </w:rPr>
              <w:t>10</w:t>
            </w:r>
            <w:r>
              <w:t>O</w:t>
            </w:r>
          </w:p>
        </w:tc>
      </w:tr>
    </w:tbl>
    <w:p w14:paraId="383B02B0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75C1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2C08F9F1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4AE2E2C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D226852" w14:textId="77777777" w:rsidR="002C7AFE" w:rsidRPr="00127E10" w:rsidRDefault="00127E10" w:rsidP="00017C82">
            <w:pPr>
              <w:pStyle w:val="Tablefont"/>
              <w:rPr>
                <w:b/>
              </w:rPr>
            </w:pPr>
            <w:r w:rsidRPr="00127E10">
              <w:rPr>
                <w:b/>
              </w:rPr>
              <w:t>50 ppm (176 mg/m</w:t>
            </w:r>
            <w:r w:rsidRPr="00127E10">
              <w:rPr>
                <w:b/>
                <w:vertAlign w:val="superscript"/>
              </w:rPr>
              <w:t>3</w:t>
            </w:r>
            <w:r w:rsidRPr="00127E10">
              <w:rPr>
                <w:b/>
              </w:rPr>
              <w:t>)</w:t>
            </w:r>
          </w:p>
        </w:tc>
      </w:tr>
      <w:tr w:rsidR="00037E52" w:rsidRPr="004C23F4" w14:paraId="3E9F4868" w14:textId="77777777" w:rsidTr="00037E52">
        <w:trPr>
          <w:cantSplit/>
        </w:trPr>
        <w:tc>
          <w:tcPr>
            <w:tcW w:w="4010" w:type="dxa"/>
            <w:vAlign w:val="center"/>
          </w:tcPr>
          <w:p w14:paraId="6F69589B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37792C2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AAA5EC3" w14:textId="77777777" w:rsidTr="00037E52">
        <w:trPr>
          <w:cantSplit/>
        </w:trPr>
        <w:tc>
          <w:tcPr>
            <w:tcW w:w="4010" w:type="dxa"/>
            <w:vAlign w:val="center"/>
          </w:tcPr>
          <w:p w14:paraId="7FA983C3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2530C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7392534" w14:textId="77777777" w:rsidTr="00037E52">
        <w:trPr>
          <w:cantSplit/>
        </w:trPr>
        <w:tc>
          <w:tcPr>
            <w:tcW w:w="4010" w:type="dxa"/>
          </w:tcPr>
          <w:p w14:paraId="550243D8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52F1899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32727" w14:textId="77777777" w:rsidTr="00037E52">
        <w:trPr>
          <w:cantSplit/>
        </w:trPr>
        <w:tc>
          <w:tcPr>
            <w:tcW w:w="4010" w:type="dxa"/>
            <w:vAlign w:val="center"/>
          </w:tcPr>
          <w:p w14:paraId="0654F537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044FF0B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27E10" w:rsidRPr="004C23F4" w14:paraId="67BC2B38" w14:textId="77777777" w:rsidTr="006940C8">
        <w:trPr>
          <w:cantSplit/>
        </w:trPr>
        <w:tc>
          <w:tcPr>
            <w:tcW w:w="9026" w:type="dxa"/>
            <w:gridSpan w:val="2"/>
            <w:vAlign w:val="center"/>
          </w:tcPr>
          <w:p w14:paraId="0491C841" w14:textId="270EFCDE" w:rsidR="00127E10" w:rsidRPr="00127E10" w:rsidRDefault="00127E10" w:rsidP="00037E52">
            <w:pPr>
              <w:pStyle w:val="Tablefont"/>
              <w:rPr>
                <w:b/>
              </w:rPr>
            </w:pPr>
            <w:r w:rsidRPr="00127E10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FFD1438D54A0441F9FD0F764830712EA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747526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8D2F9B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0C3547A" w14:textId="6A8885DC" w:rsidR="006639B4" w:rsidRPr="004C23F4" w:rsidRDefault="00127E10" w:rsidP="000C139A">
      <w:pPr>
        <w:rPr>
          <w:rFonts w:cs="Arial"/>
        </w:rPr>
      </w:pPr>
      <w:r>
        <w:rPr>
          <w:rFonts w:cs="Arial"/>
        </w:rPr>
        <w:t>A TWA of 50 ppm (17</w:t>
      </w:r>
      <w:r w:rsidR="00435A58">
        <w:rPr>
          <w:rFonts w:cs="Arial"/>
        </w:rPr>
        <w:t>6</w:t>
      </w:r>
      <w:r>
        <w:rPr>
          <w:rFonts w:cs="Arial"/>
        </w:rPr>
        <w:t xml:space="preserve"> mg/m</w:t>
      </w:r>
      <w:r w:rsidRPr="00127E10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 w:rsidR="00CE0A39">
        <w:rPr>
          <w:rFonts w:cs="Arial"/>
        </w:rPr>
        <w:t xml:space="preserve">irritation of the </w:t>
      </w:r>
      <w:r>
        <w:rPr>
          <w:rFonts w:cs="Arial"/>
        </w:rPr>
        <w:t>respiratory tract, skin and eye</w:t>
      </w:r>
      <w:r w:rsidR="00CE0A39">
        <w:rPr>
          <w:rFonts w:cs="Arial"/>
        </w:rPr>
        <w:t>s</w:t>
      </w:r>
      <w:r>
        <w:rPr>
          <w:rFonts w:cs="Arial"/>
        </w:rPr>
        <w:t xml:space="preserve"> in exposed workers.</w:t>
      </w:r>
    </w:p>
    <w:p w14:paraId="308C821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60D2F72" w14:textId="77777777" w:rsidR="0042505C" w:rsidRDefault="00930387" w:rsidP="006639B4">
      <w:pPr>
        <w:rPr>
          <w:rFonts w:cs="Arial"/>
        </w:rPr>
      </w:pPr>
      <w:r>
        <w:rPr>
          <w:rFonts w:cs="Arial"/>
        </w:rPr>
        <w:t>N-Valeraldehyde</w:t>
      </w:r>
      <w:r w:rsidR="00A431D5">
        <w:rPr>
          <w:rFonts w:cs="Arial"/>
        </w:rPr>
        <w:t xml:space="preserve"> is used as a flavouring agent, in resin chemistry and as a rubber accelerator. </w:t>
      </w:r>
    </w:p>
    <w:p w14:paraId="6F9B057D" w14:textId="77777777" w:rsidR="004127BD" w:rsidRDefault="0042505C" w:rsidP="006639B4">
      <w:pPr>
        <w:rPr>
          <w:rFonts w:cs="Arial"/>
        </w:rPr>
      </w:pPr>
      <w:r>
        <w:rPr>
          <w:rFonts w:cs="Arial"/>
        </w:rPr>
        <w:t>The c</w:t>
      </w:r>
      <w:r w:rsidR="00A431D5">
        <w:rPr>
          <w:rFonts w:cs="Arial"/>
        </w:rPr>
        <w:t>ritical effects of exposure are irritation to respiratory tract, skin and eyes.</w:t>
      </w:r>
      <w:r>
        <w:rPr>
          <w:rFonts w:cs="Arial"/>
        </w:rPr>
        <w:t xml:space="preserve"> </w:t>
      </w:r>
    </w:p>
    <w:p w14:paraId="1968A2C6" w14:textId="44CA8F9D" w:rsidR="006639B4" w:rsidRDefault="00127E10" w:rsidP="006639B4">
      <w:r>
        <w:rPr>
          <w:rFonts w:cs="Arial"/>
        </w:rPr>
        <w:t xml:space="preserve">The only human toxicological data pertains to a </w:t>
      </w:r>
      <w:r w:rsidR="00AF7C04">
        <w:t>closed-patch test and maximisation test, both of which were negative</w:t>
      </w:r>
      <w:r w:rsidR="00F2232D">
        <w:t xml:space="preserve"> (HCOTN, 2003)</w:t>
      </w:r>
      <w:r>
        <w:rPr>
          <w:rFonts w:cs="Arial"/>
        </w:rPr>
        <w:t xml:space="preserve">. </w:t>
      </w:r>
      <w:r w:rsidR="00F2232D">
        <w:rPr>
          <w:rFonts w:cs="Arial"/>
        </w:rPr>
        <w:t xml:space="preserve">No chronic </w:t>
      </w:r>
      <w:r w:rsidR="004127BD">
        <w:rPr>
          <w:rFonts w:cs="Arial"/>
        </w:rPr>
        <w:t xml:space="preserve">toxicological </w:t>
      </w:r>
      <w:r w:rsidR="00F2232D">
        <w:rPr>
          <w:rFonts w:cs="Arial"/>
        </w:rPr>
        <w:t xml:space="preserve">studies in animals </w:t>
      </w:r>
      <w:r w:rsidR="00CE0A39">
        <w:rPr>
          <w:rFonts w:cs="Arial"/>
        </w:rPr>
        <w:t>a</w:t>
      </w:r>
      <w:r w:rsidR="00F2232D">
        <w:rPr>
          <w:rFonts w:cs="Arial"/>
        </w:rPr>
        <w:t>re available.</w:t>
      </w:r>
      <w:r w:rsidR="00557EDB">
        <w:rPr>
          <w:rFonts w:cs="Arial"/>
        </w:rPr>
        <w:t xml:space="preserve"> Of the</w:t>
      </w:r>
      <w:r w:rsidR="00F2232D">
        <w:rPr>
          <w:rFonts w:cs="Arial"/>
        </w:rPr>
        <w:t xml:space="preserve"> </w:t>
      </w:r>
      <w:r w:rsidR="00557EDB">
        <w:rPr>
          <w:rFonts w:cs="Arial"/>
        </w:rPr>
        <w:t xml:space="preserve">acute data, </w:t>
      </w:r>
      <w:r w:rsidR="00F2232D">
        <w:rPr>
          <w:rFonts w:cs="Arial"/>
        </w:rPr>
        <w:t xml:space="preserve">rats survived a </w:t>
      </w:r>
      <w:r w:rsidR="00E9709C">
        <w:rPr>
          <w:rFonts w:cs="Arial"/>
        </w:rPr>
        <w:t>six</w:t>
      </w:r>
      <w:r w:rsidR="004127BD">
        <w:rPr>
          <w:rFonts w:cs="Arial"/>
        </w:rPr>
        <w:t>-</w:t>
      </w:r>
      <w:r w:rsidR="00E9709C">
        <w:rPr>
          <w:rFonts w:cs="Arial"/>
        </w:rPr>
        <w:t>hour</w:t>
      </w:r>
      <w:r w:rsidR="00F2232D">
        <w:rPr>
          <w:rFonts w:cs="Arial"/>
        </w:rPr>
        <w:t xml:space="preserve"> exposure at </w:t>
      </w:r>
      <w:r w:rsidR="00F2232D">
        <w:t>5,000 mg/m</w:t>
      </w:r>
      <w:r w:rsidR="00F2232D" w:rsidRPr="00D476B9">
        <w:rPr>
          <w:vertAlign w:val="superscript"/>
        </w:rPr>
        <w:t>3</w:t>
      </w:r>
      <w:r w:rsidR="00F2232D">
        <w:t xml:space="preserve"> (1,400 ppm), w</w:t>
      </w:r>
      <w:r w:rsidR="00CE0A39">
        <w:t xml:space="preserve">ith </w:t>
      </w:r>
      <w:r w:rsidR="00557EDB">
        <w:t xml:space="preserve">mortality </w:t>
      </w:r>
      <w:r w:rsidR="004127BD">
        <w:t>following</w:t>
      </w:r>
      <w:r w:rsidR="00557EDB">
        <w:t xml:space="preserve"> a four</w:t>
      </w:r>
      <w:r w:rsidR="004127BD">
        <w:t>-</w:t>
      </w:r>
      <w:r w:rsidR="00557EDB">
        <w:t>hour exposure at 14,120</w:t>
      </w:r>
      <w:r w:rsidR="00CE0A39">
        <w:t> </w:t>
      </w:r>
      <w:r w:rsidR="00557EDB">
        <w:t>mg/m</w:t>
      </w:r>
      <w:r w:rsidR="00557EDB" w:rsidRPr="00557EDB">
        <w:rPr>
          <w:vertAlign w:val="superscript"/>
        </w:rPr>
        <w:t>3</w:t>
      </w:r>
      <w:r w:rsidR="00557EDB">
        <w:t xml:space="preserve"> (4,000 ppm)</w:t>
      </w:r>
      <w:r w:rsidR="00E9709C" w:rsidRPr="00E9709C">
        <w:t xml:space="preserve"> </w:t>
      </w:r>
      <w:r w:rsidR="00E9709C">
        <w:t>(ACGIH, 201</w:t>
      </w:r>
      <w:r w:rsidR="00747526">
        <w:t>8</w:t>
      </w:r>
      <w:r w:rsidR="00E9709C">
        <w:t>; HCOTN, 2003)</w:t>
      </w:r>
      <w:r w:rsidR="00557EDB">
        <w:t xml:space="preserve">. </w:t>
      </w:r>
      <w:r w:rsidR="009B1095">
        <w:t xml:space="preserve">Initial irritation </w:t>
      </w:r>
      <w:r w:rsidR="004127BD">
        <w:t>of</w:t>
      </w:r>
      <w:r w:rsidR="009B1095">
        <w:t xml:space="preserve"> eyes and face </w:t>
      </w:r>
      <w:r w:rsidR="004127BD">
        <w:t xml:space="preserve">is reported </w:t>
      </w:r>
      <w:r w:rsidR="005114B7">
        <w:t>in mice, guinea pigs and rabbits exposed at 2,359 mg/m</w:t>
      </w:r>
      <w:r w:rsidR="005114B7" w:rsidRPr="007870FB">
        <w:rPr>
          <w:vertAlign w:val="superscript"/>
        </w:rPr>
        <w:t>3</w:t>
      </w:r>
      <w:r w:rsidR="005114B7">
        <w:t xml:space="preserve"> </w:t>
      </w:r>
      <w:r w:rsidR="00D27332">
        <w:t xml:space="preserve">(670 ppm) </w:t>
      </w:r>
      <w:r w:rsidR="005114B7">
        <w:t>for up to 10 hours</w:t>
      </w:r>
      <w:r w:rsidR="009B1095">
        <w:t xml:space="preserve">, </w:t>
      </w:r>
      <w:r w:rsidR="004127BD">
        <w:t xml:space="preserve">followed by </w:t>
      </w:r>
      <w:r w:rsidR="009B1095">
        <w:t>respiratory effects, convulsion</w:t>
      </w:r>
      <w:r w:rsidR="005114B7">
        <w:t xml:space="preserve"> </w:t>
      </w:r>
      <w:r w:rsidR="009B1095">
        <w:t xml:space="preserve">and death (HCOTN, 2003). </w:t>
      </w:r>
      <w:r w:rsidR="004127BD">
        <w:t>A NOEL of 1,000</w:t>
      </w:r>
      <w:r w:rsidR="00250A6A">
        <w:t> </w:t>
      </w:r>
      <w:r w:rsidR="004127BD">
        <w:t>mg/kg/day (highest dose tested) is reported in a</w:t>
      </w:r>
      <w:r w:rsidR="00557EDB">
        <w:t xml:space="preserve"> </w:t>
      </w:r>
      <w:r w:rsidR="00E9709C">
        <w:t>28</w:t>
      </w:r>
      <w:r w:rsidR="004127BD">
        <w:t>-</w:t>
      </w:r>
      <w:r w:rsidR="00E9709C">
        <w:t>day</w:t>
      </w:r>
      <w:r w:rsidR="00557EDB">
        <w:t xml:space="preserve"> oral study in rats </w:t>
      </w:r>
      <w:r w:rsidR="00E9709C">
        <w:t>(ECHA, 2019).</w:t>
      </w:r>
    </w:p>
    <w:p w14:paraId="5E3952A8" w14:textId="2B85F9AA" w:rsidR="00E9709C" w:rsidRPr="004C23F4" w:rsidRDefault="00375C1E" w:rsidP="006639B4">
      <w:pPr>
        <w:rPr>
          <w:rFonts w:cs="Arial"/>
        </w:rPr>
      </w:pPr>
      <w:r>
        <w:rPr>
          <w:rFonts w:cs="Arial"/>
        </w:rPr>
        <w:t>The TWA is consistent across the primary sources and the TWA of 50 ppm (176 mg/m</w:t>
      </w:r>
      <w:r w:rsidRPr="00375C1E"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="00E9709C">
        <w:rPr>
          <w:rFonts w:cs="Arial"/>
        </w:rPr>
        <w:t xml:space="preserve"> </w:t>
      </w:r>
      <w:r>
        <w:rPr>
          <w:rFonts w:cs="Arial"/>
        </w:rPr>
        <w:t>is recommended to be retained to limit irritant effects reported in animal studies.</w:t>
      </w:r>
    </w:p>
    <w:p w14:paraId="5824D0DE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76DCCB0" w14:textId="11CB3318" w:rsidR="008E4F1F" w:rsidRPr="00127E10" w:rsidRDefault="008E4F1F" w:rsidP="008E4F1F">
      <w:pPr>
        <w:rPr>
          <w:rFonts w:cs="Arial"/>
        </w:rPr>
      </w:pPr>
      <w:r w:rsidRPr="00127E10">
        <w:rPr>
          <w:rFonts w:cs="Arial"/>
        </w:rPr>
        <w:t>Not classified as a carcinogen according to the Globally Harmonized System of Classification and Labelling o</w:t>
      </w:r>
      <w:r w:rsidR="00747526">
        <w:rPr>
          <w:rFonts w:cs="Arial"/>
        </w:rPr>
        <w:t>f</w:t>
      </w:r>
      <w:r w:rsidRPr="00127E10">
        <w:rPr>
          <w:rFonts w:cs="Arial"/>
        </w:rPr>
        <w:t xml:space="preserve"> Chemicals (GHS). </w:t>
      </w:r>
    </w:p>
    <w:p w14:paraId="6A522EF6" w14:textId="50EC0606" w:rsidR="008E4F1F" w:rsidRPr="00127E10" w:rsidRDefault="008E4F1F" w:rsidP="008E4F1F">
      <w:pPr>
        <w:rPr>
          <w:rFonts w:cs="Arial"/>
        </w:rPr>
      </w:pPr>
      <w:r w:rsidRPr="00127E10">
        <w:rPr>
          <w:rFonts w:cs="Arial"/>
        </w:rPr>
        <w:t>Not classified as a skin</w:t>
      </w:r>
      <w:r w:rsidR="00747526">
        <w:rPr>
          <w:rFonts w:cs="Arial"/>
        </w:rPr>
        <w:t xml:space="preserve"> sensitiser</w:t>
      </w:r>
      <w:r w:rsidRPr="00127E10">
        <w:rPr>
          <w:rFonts w:cs="Arial"/>
        </w:rPr>
        <w:t xml:space="preserve"> or respiratory sensitiser according to the GHS.</w:t>
      </w:r>
    </w:p>
    <w:p w14:paraId="6DE087F4" w14:textId="59D3EF64" w:rsidR="004529F0" w:rsidRPr="004C23F4" w:rsidRDefault="00AF7C04" w:rsidP="008E4F1F">
      <w:pPr>
        <w:rPr>
          <w:rFonts w:cs="Arial"/>
        </w:rPr>
      </w:pPr>
      <w:r w:rsidRPr="00AF7C04">
        <w:rPr>
          <w:rFonts w:cs="Arial"/>
        </w:rPr>
        <w:t xml:space="preserve">A skin notation is not </w:t>
      </w:r>
      <w:r w:rsidR="00CE0A39">
        <w:rPr>
          <w:rFonts w:cs="Arial"/>
        </w:rPr>
        <w:t>recommend</w:t>
      </w:r>
      <w:r w:rsidRPr="00AF7C04">
        <w:rPr>
          <w:rFonts w:cs="Arial"/>
        </w:rPr>
        <w:t>ed based on the available evidence</w:t>
      </w:r>
      <w:r w:rsidR="008E4F1F" w:rsidRPr="00AF7C04">
        <w:rPr>
          <w:rFonts w:cs="Arial"/>
        </w:rPr>
        <w:t>.</w:t>
      </w:r>
    </w:p>
    <w:p w14:paraId="59CC8DC1" w14:textId="77777777" w:rsidR="0025734A" w:rsidRPr="004C23F4" w:rsidRDefault="0025734A">
      <w:pPr>
        <w:rPr>
          <w:rFonts w:cs="Arial"/>
        </w:rPr>
      </w:pPr>
    </w:p>
    <w:p w14:paraId="17671788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8FE7DE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6308A9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29290EE" w14:textId="77777777" w:rsidTr="00297B2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F4198E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B6260BC" w14:textId="77777777" w:rsidTr="00297B23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BCEE636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153B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153BB">
                  <w:t>TWA: 50 ppm (176 mg/m</w:t>
                </w:r>
                <w:r w:rsidR="00E153BB" w:rsidRPr="00E153BB">
                  <w:rPr>
                    <w:vertAlign w:val="superscript"/>
                  </w:rPr>
                  <w:t>3</w:t>
                </w:r>
                <w:r w:rsidR="00E153BB">
                  <w:t>)</w:t>
                </w:r>
              </w:sdtContent>
            </w:sdt>
          </w:p>
        </w:tc>
      </w:tr>
      <w:tr w:rsidR="00C978F0" w:rsidRPr="00DA352E" w14:paraId="72C96990" w14:textId="77777777" w:rsidTr="00297B23">
        <w:trPr>
          <w:gridAfter w:val="1"/>
          <w:wAfter w:w="8" w:type="pct"/>
        </w:trPr>
        <w:tc>
          <w:tcPr>
            <w:tcW w:w="4992" w:type="pct"/>
          </w:tcPr>
          <w:p w14:paraId="4825F23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08D8314" w14:textId="77777777" w:rsidTr="00297B2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3E3ADC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139A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139A4">
                  <w:t>TLV-</w:t>
                </w:r>
                <w:r w:rsidR="006139A4" w:rsidRPr="006139A4">
                  <w:t>TWA: 50 ppm (176 mg/m</w:t>
                </w:r>
                <w:r w:rsidR="006139A4" w:rsidRPr="006139A4">
                  <w:rPr>
                    <w:vertAlign w:val="superscript"/>
                  </w:rPr>
                  <w:t>3</w:t>
                </w:r>
                <w:r w:rsidR="006139A4" w:rsidRPr="006139A4">
                  <w:t>)</w:t>
                </w:r>
              </w:sdtContent>
            </w:sdt>
          </w:p>
        </w:tc>
      </w:tr>
      <w:tr w:rsidR="00C978F0" w:rsidRPr="00DA352E" w14:paraId="61122E40" w14:textId="77777777" w:rsidTr="00297B23">
        <w:trPr>
          <w:gridAfter w:val="1"/>
          <w:wAfter w:w="8" w:type="pct"/>
        </w:trPr>
        <w:tc>
          <w:tcPr>
            <w:tcW w:w="4992" w:type="pct"/>
          </w:tcPr>
          <w:p w14:paraId="0FEA786D" w14:textId="3293BB87" w:rsidR="00C978F0" w:rsidRDefault="00E564A4" w:rsidP="003365A5">
            <w:pPr>
              <w:pStyle w:val="Tabletextprimarysource"/>
            </w:pPr>
            <w:r>
              <w:t>TLV-TWA recommended to minimise the risk of respiratory, skin and eye irritation. Derivation of the TLV-TWA is not provided.</w:t>
            </w:r>
          </w:p>
          <w:p w14:paraId="311A9F20" w14:textId="172B6FCE" w:rsidR="00E564A4" w:rsidRDefault="00E564A4" w:rsidP="003365A5">
            <w:pPr>
              <w:pStyle w:val="Tabletextprimarysource"/>
            </w:pPr>
            <w:r>
              <w:t>Summary of data:</w:t>
            </w:r>
          </w:p>
          <w:p w14:paraId="65576AEF" w14:textId="77777777" w:rsidR="00E564A4" w:rsidRDefault="00E564A4" w:rsidP="003365A5">
            <w:pPr>
              <w:pStyle w:val="Tabletextprimarysource"/>
            </w:pPr>
            <w:r>
              <w:t>No human data available.</w:t>
            </w:r>
          </w:p>
          <w:p w14:paraId="65AE4AA2" w14:textId="77777777" w:rsidR="00E564A4" w:rsidRDefault="00E564A4" w:rsidP="003365A5">
            <w:pPr>
              <w:pStyle w:val="Tabletextprimarysource"/>
            </w:pPr>
            <w:r>
              <w:t>Animal data:</w:t>
            </w:r>
          </w:p>
          <w:p w14:paraId="6A7213B2" w14:textId="29F45E37" w:rsidR="00E564A4" w:rsidRDefault="00E564A4" w:rsidP="0042505C">
            <w:pPr>
              <w:pStyle w:val="ListBullet"/>
              <w:spacing w:before="60" w:after="60"/>
              <w:ind w:left="720" w:hanging="357"/>
              <w:contextualSpacing w:val="0"/>
            </w:pPr>
            <w:r>
              <w:t>LD</w:t>
            </w:r>
            <w:r w:rsidRPr="00E564A4">
              <w:rPr>
                <w:vertAlign w:val="subscript"/>
              </w:rPr>
              <w:t>50</w:t>
            </w:r>
            <w:r w:rsidR="00122BDD">
              <w:t xml:space="preserve"> of </w:t>
            </w:r>
            <w:r>
              <w:t>4,860 mg/kg (rabbit</w:t>
            </w:r>
            <w:r w:rsidR="00747526">
              <w:t>, dermal</w:t>
            </w:r>
            <w:r>
              <w:t>)</w:t>
            </w:r>
          </w:p>
          <w:p w14:paraId="356A949E" w14:textId="1ECF3834" w:rsidR="00E564A4" w:rsidRDefault="00B62771" w:rsidP="0042505C">
            <w:pPr>
              <w:pStyle w:val="ListBullet"/>
              <w:spacing w:before="60" w:after="60"/>
              <w:ind w:left="720" w:hanging="357"/>
              <w:contextualSpacing w:val="0"/>
            </w:pPr>
            <w:r>
              <w:t>LD</w:t>
            </w:r>
            <w:r w:rsidRPr="00B62771">
              <w:rPr>
                <w:vertAlign w:val="subscript"/>
              </w:rPr>
              <w:t>50</w:t>
            </w:r>
            <w:r w:rsidR="00122BDD">
              <w:t xml:space="preserve"> of</w:t>
            </w:r>
            <w:r>
              <w:t xml:space="preserve"> 4,590 mg/kg (rat</w:t>
            </w:r>
            <w:r w:rsidR="00747526">
              <w:t>, oral</w:t>
            </w:r>
            <w:r>
              <w:t>)</w:t>
            </w:r>
          </w:p>
          <w:p w14:paraId="54D43C07" w14:textId="0EABDCAA" w:rsidR="00B62771" w:rsidRDefault="00B62771" w:rsidP="0042505C">
            <w:pPr>
              <w:pStyle w:val="ListBullet"/>
              <w:spacing w:before="60" w:after="60"/>
              <w:ind w:left="720" w:hanging="357"/>
              <w:contextualSpacing w:val="0"/>
            </w:pPr>
            <w:r>
              <w:t>Inhalation at 4,000 ppm for 4 h</w:t>
            </w:r>
            <w:r w:rsidR="00122BDD">
              <w:t xml:space="preserve"> was </w:t>
            </w:r>
            <w:r>
              <w:t>lethal to 3/6 rats</w:t>
            </w:r>
          </w:p>
          <w:p w14:paraId="6D0FAF15" w14:textId="723D1AF4" w:rsidR="00B62771" w:rsidRDefault="00B62771" w:rsidP="0042505C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Severely irritating to guinea pig skin and rabbit eye </w:t>
            </w:r>
            <w:r w:rsidR="00122BDD">
              <w:t>(</w:t>
            </w:r>
            <w:r>
              <w:t>no further information</w:t>
            </w:r>
            <w:r w:rsidR="00122BDD">
              <w:t>)</w:t>
            </w:r>
          </w:p>
          <w:p w14:paraId="0DBCB0F8" w14:textId="3567AE4F" w:rsidR="00B62771" w:rsidRDefault="00947690" w:rsidP="0042505C">
            <w:pPr>
              <w:pStyle w:val="ListBullet"/>
              <w:spacing w:before="60" w:after="60"/>
              <w:ind w:left="720" w:hanging="357"/>
              <w:contextualSpacing w:val="0"/>
            </w:pPr>
            <w:r>
              <w:t>RD</w:t>
            </w:r>
            <w:r w:rsidRPr="00947690">
              <w:rPr>
                <w:vertAlign w:val="subscript"/>
              </w:rPr>
              <w:t>50</w:t>
            </w:r>
            <w:r w:rsidR="00122BDD">
              <w:t xml:space="preserve"> of </w:t>
            </w:r>
            <w:r>
              <w:t>1,121</w:t>
            </w:r>
            <w:r w:rsidR="0042505C">
              <w:t>–</w:t>
            </w:r>
            <w:r>
              <w:t>1,190 ppm; head-only exposure in mice</w:t>
            </w:r>
            <w:r w:rsidR="00654F65">
              <w:t xml:space="preserve"> (10 min)</w:t>
            </w:r>
            <w:r w:rsidR="00242AF1">
              <w:t>:</w:t>
            </w:r>
          </w:p>
          <w:p w14:paraId="1ADDC2C8" w14:textId="29D7CC00" w:rsidR="00654F65" w:rsidRDefault="00654F65" w:rsidP="0042505C">
            <w:pPr>
              <w:pStyle w:val="ListBullet"/>
              <w:numPr>
                <w:ilvl w:val="0"/>
                <w:numId w:val="2"/>
              </w:numPr>
              <w:spacing w:before="60" w:after="60"/>
              <w:ind w:left="1159" w:hanging="357"/>
              <w:contextualSpacing w:val="0"/>
            </w:pPr>
            <w:r>
              <w:t xml:space="preserve">occupational exposure value </w:t>
            </w:r>
            <w:r w:rsidR="004647A4">
              <w:t xml:space="preserve">of between 11 and 112 ppm recommended by </w:t>
            </w:r>
            <w:r w:rsidR="00747526">
              <w:t xml:space="preserve">study </w:t>
            </w:r>
            <w:r w:rsidR="004647A4">
              <w:t>authors (</w:t>
            </w:r>
            <w:r>
              <w:t>extrapolated from lower RD</w:t>
            </w:r>
            <w:r w:rsidRPr="00654F65">
              <w:rPr>
                <w:vertAlign w:val="subscript"/>
              </w:rPr>
              <w:t>50</w:t>
            </w:r>
            <w:r w:rsidR="004647A4">
              <w:t>)</w:t>
            </w:r>
            <w:r>
              <w:t>.</w:t>
            </w:r>
          </w:p>
          <w:p w14:paraId="347EDC59" w14:textId="77777777" w:rsidR="00CE0A39" w:rsidRDefault="00CE0A39" w:rsidP="00654F65"/>
          <w:p w14:paraId="57147FD1" w14:textId="77777777" w:rsidR="00654F65" w:rsidRDefault="00654F65" w:rsidP="00654F65">
            <w:r>
              <w:t xml:space="preserve">Insufficient </w:t>
            </w:r>
            <w:r w:rsidR="00127E10">
              <w:t>data</w:t>
            </w:r>
            <w:r w:rsidR="004647A4">
              <w:t xml:space="preserve"> </w:t>
            </w:r>
            <w:r>
              <w:t>to recommend Skin, SEN or carcinogenicity notations or a TLV-STEL.</w:t>
            </w:r>
          </w:p>
          <w:p w14:paraId="48863E55" w14:textId="01D803C0" w:rsidR="00CE0A39" w:rsidRPr="00DA352E" w:rsidRDefault="00CE0A39" w:rsidP="00654F65"/>
        </w:tc>
      </w:tr>
      <w:tr w:rsidR="00C978F0" w:rsidRPr="00DA352E" w14:paraId="3DE5BBC2" w14:textId="77777777" w:rsidTr="00297B2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185324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208E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208EF">
                  <w:t>NA</w:t>
                </w:r>
              </w:sdtContent>
            </w:sdt>
          </w:p>
        </w:tc>
      </w:tr>
      <w:tr w:rsidR="00C978F0" w:rsidRPr="00DA352E" w14:paraId="6BB0A542" w14:textId="77777777" w:rsidTr="00297B23">
        <w:trPr>
          <w:gridAfter w:val="1"/>
          <w:wAfter w:w="8" w:type="pct"/>
        </w:trPr>
        <w:tc>
          <w:tcPr>
            <w:tcW w:w="4992" w:type="pct"/>
          </w:tcPr>
          <w:p w14:paraId="3160DAA4" w14:textId="56B9E953" w:rsidR="00C978F0" w:rsidRPr="00DA352E" w:rsidRDefault="00B208EF" w:rsidP="003365A5">
            <w:pPr>
              <w:pStyle w:val="Tabletextprimarysource"/>
            </w:pPr>
            <w:r>
              <w:t>No report</w:t>
            </w:r>
            <w:r w:rsidR="00747526">
              <w:t>.</w:t>
            </w:r>
          </w:p>
        </w:tc>
      </w:tr>
      <w:tr w:rsidR="00C978F0" w:rsidRPr="00DA352E" w14:paraId="6A7CFA5B" w14:textId="77777777" w:rsidTr="00297B2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2C0D37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877C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1877CC">
                  <w:t>NA</w:t>
                </w:r>
              </w:sdtContent>
            </w:sdt>
          </w:p>
        </w:tc>
      </w:tr>
      <w:tr w:rsidR="00C978F0" w:rsidRPr="00DA352E" w14:paraId="4B8F00B5" w14:textId="77777777" w:rsidTr="00297B23">
        <w:trPr>
          <w:gridAfter w:val="1"/>
          <w:wAfter w:w="8" w:type="pct"/>
        </w:trPr>
        <w:tc>
          <w:tcPr>
            <w:tcW w:w="4992" w:type="pct"/>
          </w:tcPr>
          <w:p w14:paraId="579D6094" w14:textId="35390060" w:rsidR="00C978F0" w:rsidRPr="00DA352E" w:rsidRDefault="001877CC" w:rsidP="003365A5">
            <w:pPr>
              <w:pStyle w:val="Tabletextprimarysource"/>
            </w:pPr>
            <w:r>
              <w:t>No report</w:t>
            </w:r>
            <w:r w:rsidR="00747526">
              <w:t>.</w:t>
            </w:r>
          </w:p>
        </w:tc>
      </w:tr>
      <w:tr w:rsidR="00DA352E" w:rsidRPr="00DA352E" w14:paraId="4BCF65F2" w14:textId="77777777" w:rsidTr="00297B2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81AEBA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479F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5479FB">
                  <w:t>NA</w:t>
                </w:r>
              </w:sdtContent>
            </w:sdt>
          </w:p>
        </w:tc>
      </w:tr>
      <w:tr w:rsidR="00DA352E" w:rsidRPr="00DA352E" w14:paraId="448895DB" w14:textId="77777777" w:rsidTr="00297B23">
        <w:trPr>
          <w:gridAfter w:val="1"/>
          <w:wAfter w:w="8" w:type="pct"/>
        </w:trPr>
        <w:tc>
          <w:tcPr>
            <w:tcW w:w="4992" w:type="pct"/>
          </w:tcPr>
          <w:p w14:paraId="6E86CD8D" w14:textId="66D039F1" w:rsidR="00DA352E" w:rsidRPr="00DA352E" w:rsidRDefault="005479FB" w:rsidP="003365A5">
            <w:pPr>
              <w:pStyle w:val="Tabletextprimarysource"/>
            </w:pPr>
            <w:r>
              <w:t>No report</w:t>
            </w:r>
            <w:r w:rsidR="00747526">
              <w:t>.</w:t>
            </w:r>
          </w:p>
        </w:tc>
      </w:tr>
      <w:tr w:rsidR="00DA352E" w:rsidRPr="00DA352E" w14:paraId="10A9C9DF" w14:textId="77777777" w:rsidTr="00297B2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6E9C14F" w14:textId="2C7ACBA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0033B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30033B" w:rsidRPr="0030033B">
                  <w:t>TWA:</w:t>
                </w:r>
                <w:r w:rsidR="0030033B">
                  <w:t xml:space="preserve"> 175 mg/m</w:t>
                </w:r>
                <w:r w:rsidR="0030033B" w:rsidRPr="0030033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3C25C8FA" w14:textId="77777777" w:rsidTr="00297B23">
        <w:trPr>
          <w:gridAfter w:val="1"/>
          <w:wAfter w:w="8" w:type="pct"/>
        </w:trPr>
        <w:tc>
          <w:tcPr>
            <w:tcW w:w="4992" w:type="pct"/>
          </w:tcPr>
          <w:p w14:paraId="5CB21F24" w14:textId="77777777" w:rsidR="00DA352E" w:rsidRDefault="00930387" w:rsidP="003365A5">
            <w:pPr>
              <w:pStyle w:val="Tabletextprimarysource"/>
            </w:pPr>
            <w:r>
              <w:t>Summary of additional data:</w:t>
            </w:r>
          </w:p>
          <w:p w14:paraId="38618B95" w14:textId="68184784" w:rsidR="00930387" w:rsidRDefault="00C53132" w:rsidP="00E6298D">
            <w:pPr>
              <w:pStyle w:val="ListBullet"/>
              <w:spacing w:before="60" w:after="60"/>
              <w:ind w:left="720" w:hanging="357"/>
              <w:contextualSpacing w:val="0"/>
            </w:pPr>
            <w:r>
              <w:t>No irritation at 2% in petrolatum in 48</w:t>
            </w:r>
            <w:r w:rsidR="004127BD">
              <w:t>-</w:t>
            </w:r>
            <w:r>
              <w:t>h closed-patch test in humans</w:t>
            </w:r>
          </w:p>
          <w:p w14:paraId="1134B55D" w14:textId="77777777" w:rsidR="00C53132" w:rsidRDefault="00C53132" w:rsidP="00E6298D">
            <w:pPr>
              <w:pStyle w:val="ListBullet"/>
              <w:spacing w:before="60" w:after="60"/>
              <w:ind w:left="720" w:hanging="357"/>
              <w:contextualSpacing w:val="0"/>
            </w:pPr>
            <w:r>
              <w:t>No sensitisation in 25 volunteers following maximisation test</w:t>
            </w:r>
          </w:p>
          <w:p w14:paraId="2E1E6948" w14:textId="77777777" w:rsidR="00C53132" w:rsidRDefault="00C53132" w:rsidP="00E6298D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Moderately irritating to </w:t>
            </w:r>
            <w:r w:rsidR="00D476B9">
              <w:t>intact or abraded skin of rabbits; 24 h covered application</w:t>
            </w:r>
          </w:p>
          <w:p w14:paraId="5FB9C758" w14:textId="6596D00F" w:rsidR="00D476B9" w:rsidRDefault="00D476B9" w:rsidP="00E6298D">
            <w:pPr>
              <w:pStyle w:val="ListBullet"/>
              <w:spacing w:before="60" w:after="60"/>
              <w:ind w:left="720" w:hanging="357"/>
              <w:contextualSpacing w:val="0"/>
            </w:pPr>
            <w:r>
              <w:t>Injury grade of 5 (scale of 1</w:t>
            </w:r>
            <w:r w:rsidR="00250A6A">
              <w:t>–</w:t>
            </w:r>
            <w:r>
              <w:t>10) following instillation of 0.005 mL undiluted compound in rabbit eye</w:t>
            </w:r>
          </w:p>
          <w:p w14:paraId="75217327" w14:textId="272175DA" w:rsidR="00D476B9" w:rsidRDefault="00D476B9" w:rsidP="00E6298D">
            <w:pPr>
              <w:pStyle w:val="ListBullet"/>
              <w:spacing w:before="60" w:after="60"/>
              <w:ind w:left="720" w:hanging="357"/>
              <w:contextualSpacing w:val="0"/>
            </w:pPr>
            <w:r>
              <w:t>6/6 rats survived 6 h exposure at 5,000 mg/m</w:t>
            </w:r>
            <w:r w:rsidRPr="00D476B9">
              <w:rPr>
                <w:vertAlign w:val="superscript"/>
              </w:rPr>
              <w:t>3</w:t>
            </w:r>
            <w:r>
              <w:t xml:space="preserve"> (1,400 ppm); no further information</w:t>
            </w:r>
          </w:p>
          <w:p w14:paraId="1F4B867F" w14:textId="34407D63" w:rsidR="00D476B9" w:rsidRDefault="00C221FD" w:rsidP="00E6298D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Groups of </w:t>
            </w:r>
            <w:r w:rsidR="007870FB">
              <w:t xml:space="preserve">50 </w:t>
            </w:r>
            <w:r>
              <w:t xml:space="preserve">mice, </w:t>
            </w:r>
            <w:r w:rsidR="007870FB">
              <w:t xml:space="preserve">20 </w:t>
            </w:r>
            <w:r>
              <w:t xml:space="preserve">guinea pigs and </w:t>
            </w:r>
            <w:r w:rsidR="007870FB">
              <w:t xml:space="preserve">5 </w:t>
            </w:r>
            <w:r>
              <w:t xml:space="preserve">rabbits exposed at </w:t>
            </w:r>
            <w:r w:rsidR="007870FB">
              <w:t>2,359 mg/m</w:t>
            </w:r>
            <w:r w:rsidR="007870FB" w:rsidRPr="007870FB">
              <w:rPr>
                <w:vertAlign w:val="superscript"/>
              </w:rPr>
              <w:t>3</w:t>
            </w:r>
            <w:r w:rsidR="007870FB">
              <w:t xml:space="preserve"> </w:t>
            </w:r>
            <w:r w:rsidR="00250A6A">
              <w:t xml:space="preserve">(670 ppm) </w:t>
            </w:r>
            <w:r w:rsidR="007870FB">
              <w:t xml:space="preserve">to a series of aldehydes (as aerosol, </w:t>
            </w:r>
            <w:r w:rsidR="00E6298D">
              <w:rPr>
                <w:rFonts w:cs="Arial"/>
              </w:rPr>
              <w:t>≤</w:t>
            </w:r>
            <w:r w:rsidR="007870FB">
              <w:t>10 h duration</w:t>
            </w:r>
            <w:r w:rsidR="00122BDD">
              <w:t>)</w:t>
            </w:r>
            <w:r w:rsidR="00242AF1">
              <w:t>:</w:t>
            </w:r>
          </w:p>
          <w:p w14:paraId="2F737C32" w14:textId="77777777" w:rsidR="007870FB" w:rsidRDefault="007870FB" w:rsidP="00E6298D">
            <w:pPr>
              <w:pStyle w:val="ListBullet"/>
              <w:numPr>
                <w:ilvl w:val="0"/>
                <w:numId w:val="3"/>
              </w:numPr>
              <w:spacing w:before="60" w:after="60"/>
              <w:ind w:left="1179" w:hanging="357"/>
              <w:contextualSpacing w:val="0"/>
            </w:pPr>
            <w:r>
              <w:lastRenderedPageBreak/>
              <w:t>following initial irritation</w:t>
            </w:r>
            <w:r w:rsidR="005D27D6">
              <w:t xml:space="preserve"> (eyes and face)</w:t>
            </w:r>
            <w:r>
              <w:t>, respiration slowed and deepened until animals convulsed and died</w:t>
            </w:r>
          </w:p>
          <w:p w14:paraId="7C705DA1" w14:textId="1F5252D5" w:rsidR="007870FB" w:rsidRDefault="00E135A8" w:rsidP="00E6298D">
            <w:pPr>
              <w:pStyle w:val="ListBullet"/>
              <w:numPr>
                <w:ilvl w:val="0"/>
                <w:numId w:val="3"/>
              </w:numPr>
              <w:spacing w:before="60" w:after="60"/>
              <w:ind w:left="1179" w:hanging="357"/>
              <w:contextualSpacing w:val="0"/>
            </w:pPr>
            <w:r>
              <w:t xml:space="preserve">for n-valeraldehyde </w:t>
            </w:r>
            <w:r w:rsidR="004647A4">
              <w:t>2 mice died during exposure</w:t>
            </w:r>
            <w:r>
              <w:t>;</w:t>
            </w:r>
            <w:r w:rsidR="004647A4">
              <w:t xml:space="preserve"> 5 guinea pigs and 2 mice died post</w:t>
            </w:r>
            <w:r w:rsidR="00122BDD">
              <w:noBreakHyphen/>
            </w:r>
            <w:r w:rsidR="004647A4">
              <w:t>exposure</w:t>
            </w:r>
            <w:r w:rsidR="00122BDD">
              <w:t>.</w:t>
            </w:r>
            <w:r w:rsidR="004647A4">
              <w:t xml:space="preserve"> </w:t>
            </w:r>
            <w:r w:rsidR="00122BDD">
              <w:t xml:space="preserve">No </w:t>
            </w:r>
            <w:r w:rsidR="005D27D6">
              <w:t xml:space="preserve">mortality </w:t>
            </w:r>
            <w:r w:rsidR="00E6298D">
              <w:t>in</w:t>
            </w:r>
            <w:r w:rsidR="00501073">
              <w:t xml:space="preserve"> rabbits</w:t>
            </w:r>
          </w:p>
          <w:p w14:paraId="7DC4F706" w14:textId="10B0C422" w:rsidR="005D27D6" w:rsidRDefault="005D27D6" w:rsidP="00E6298D">
            <w:pPr>
              <w:pStyle w:val="ListBullet"/>
              <w:numPr>
                <w:ilvl w:val="0"/>
                <w:numId w:val="3"/>
              </w:numPr>
              <w:spacing w:before="60" w:after="60"/>
              <w:ind w:left="1179" w:hanging="357"/>
              <w:contextualSpacing w:val="0"/>
            </w:pPr>
            <w:r>
              <w:t xml:space="preserve">autopsy revealed fluid in lungs and pleural cavity, distended alveoli, ruptured alveolar septa </w:t>
            </w:r>
            <w:r w:rsidR="00E135A8">
              <w:t xml:space="preserve">and </w:t>
            </w:r>
            <w:r>
              <w:t>enlarged livers</w:t>
            </w:r>
            <w:r w:rsidR="00E135A8">
              <w:t xml:space="preserve"> in all animals</w:t>
            </w:r>
            <w:r w:rsidR="00990BAD">
              <w:t xml:space="preserve"> (no further information)</w:t>
            </w:r>
          </w:p>
          <w:p w14:paraId="0845A608" w14:textId="77777777" w:rsidR="00D476B9" w:rsidRDefault="00D476B9" w:rsidP="00E6298D">
            <w:pPr>
              <w:pStyle w:val="ListBullet"/>
              <w:spacing w:before="60" w:after="60"/>
              <w:ind w:left="720" w:hanging="357"/>
              <w:contextualSpacing w:val="0"/>
            </w:pPr>
            <w:r>
              <w:t>No data on repeated-dose toxicity, carcinogenicity or reproduction toxicity were found</w:t>
            </w:r>
          </w:p>
          <w:p w14:paraId="72FF3654" w14:textId="17C5C6D4" w:rsidR="005D27D6" w:rsidRDefault="005D27D6" w:rsidP="00E6298D">
            <w:pPr>
              <w:pStyle w:val="ListBullet"/>
              <w:spacing w:before="60" w:after="60"/>
              <w:ind w:left="720" w:hanging="357"/>
              <w:contextualSpacing w:val="0"/>
            </w:pPr>
            <w:r>
              <w:t>Positive in forward mutation assay in V79 Chinese hamster lung cells</w:t>
            </w:r>
            <w:r w:rsidR="00E6298D">
              <w:t>,</w:t>
            </w:r>
            <w:r w:rsidR="000615D0">
              <w:t xml:space="preserve"> on induction of DNA double and single strand breaks in bacteriophage PM2 DNA</w:t>
            </w:r>
            <w:r w:rsidR="00E6298D">
              <w:t>,</w:t>
            </w:r>
            <w:r w:rsidR="000615D0">
              <w:t xml:space="preserve"> on induction of DNA single strand breaks in CHO cells and UDS assay in rat hepatocytes</w:t>
            </w:r>
          </w:p>
          <w:p w14:paraId="122145F0" w14:textId="7E148458" w:rsidR="00501073" w:rsidRDefault="0050107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Committee consider insufficient toxicological database to recommend HB</w:t>
            </w:r>
            <w:r w:rsidR="00747526">
              <w:t>R</w:t>
            </w:r>
            <w:r>
              <w:t>OEL or provide comment on present administrative value.</w:t>
            </w:r>
          </w:p>
          <w:p w14:paraId="43D421E9" w14:textId="48D0ED02" w:rsidR="00E6298D" w:rsidRPr="00DA352E" w:rsidRDefault="00E6298D" w:rsidP="00E6298D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109BF6CA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3"/>
        <w:gridCol w:w="650"/>
        <w:gridCol w:w="6458"/>
      </w:tblGrid>
      <w:tr w:rsidR="004966BF" w:rsidRPr="00263255" w14:paraId="223EBCCE" w14:textId="77777777" w:rsidTr="0029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4A57604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516374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105449D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8" w:type="dxa"/>
            <w:shd w:val="clear" w:color="auto" w:fill="BFBFBF" w:themeFill="background1" w:themeFillShade="BF"/>
            <w:vAlign w:val="center"/>
          </w:tcPr>
          <w:p w14:paraId="0CA1477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F0540DC" w14:textId="77777777" w:rsidTr="00297B23">
        <w:trPr>
          <w:cantSplit/>
        </w:trPr>
        <w:tc>
          <w:tcPr>
            <w:tcW w:w="1495" w:type="dxa"/>
          </w:tcPr>
          <w:p w14:paraId="5BDDDCE3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696FD730" w14:textId="77777777" w:rsidR="004966BF" w:rsidRPr="00CE617F" w:rsidRDefault="00435A5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0471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029F4DC5" w14:textId="77777777" w:rsidR="004966BF" w:rsidRPr="004C23F4" w:rsidRDefault="004966B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</w:p>
        </w:tc>
        <w:tc>
          <w:tcPr>
            <w:tcW w:w="6458" w:type="dxa"/>
          </w:tcPr>
          <w:p w14:paraId="34771F50" w14:textId="7D4E2258" w:rsidR="004966BF" w:rsidRDefault="00242AF1" w:rsidP="00242AF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Caused irritation in a study following a</w:t>
            </w:r>
            <w:r w:rsidR="0029081D">
              <w:rPr>
                <w:rStyle w:val="checkbox"/>
                <w:rFonts w:ascii="Arial" w:hAnsi="Arial" w:cs="Arial"/>
              </w:rPr>
              <w:t>pplication of 0.5 mL (semi</w:t>
            </w:r>
            <w:r w:rsidR="004127BD">
              <w:rPr>
                <w:rStyle w:val="checkbox"/>
                <w:rFonts w:ascii="Arial" w:hAnsi="Arial" w:cs="Arial"/>
              </w:rPr>
              <w:t>-</w:t>
            </w:r>
            <w:r w:rsidR="0029081D">
              <w:rPr>
                <w:rStyle w:val="checkbox"/>
                <w:rFonts w:ascii="Arial" w:hAnsi="Arial" w:cs="Arial"/>
              </w:rPr>
              <w:t>occlusive) to shaved rabbit skin</w:t>
            </w:r>
            <w:r>
              <w:rPr>
                <w:rStyle w:val="checkbox"/>
                <w:rFonts w:ascii="Arial" w:hAnsi="Arial" w:cs="Arial"/>
              </w:rPr>
              <w:t xml:space="preserve"> (</w:t>
            </w:r>
            <w:r w:rsidR="0029081D">
              <w:rPr>
                <w:rStyle w:val="checkbox"/>
                <w:rFonts w:ascii="Arial" w:hAnsi="Arial" w:cs="Arial"/>
              </w:rPr>
              <w:t>4</w:t>
            </w:r>
            <w:r w:rsidR="00747526">
              <w:rPr>
                <w:rStyle w:val="checkbox"/>
                <w:rFonts w:ascii="Arial" w:hAnsi="Arial" w:cs="Arial"/>
              </w:rPr>
              <w:t> </w:t>
            </w:r>
            <w:r w:rsidR="0029081D">
              <w:rPr>
                <w:rStyle w:val="checkbox"/>
                <w:rFonts w:ascii="Arial" w:hAnsi="Arial" w:cs="Arial"/>
              </w:rPr>
              <w:t>h exposure and observed for 14 d</w:t>
            </w:r>
            <w:r>
              <w:rPr>
                <w:rStyle w:val="checkbox"/>
                <w:rFonts w:ascii="Arial" w:hAnsi="Arial" w:cs="Arial"/>
              </w:rPr>
              <w:t>)</w:t>
            </w:r>
            <w:r w:rsidR="00122BDD">
              <w:rPr>
                <w:rStyle w:val="checkbox"/>
                <w:rFonts w:ascii="Arial" w:hAnsi="Arial" w:cs="Arial"/>
              </w:rPr>
              <w:t xml:space="preserve"> </w:t>
            </w:r>
            <w:r w:rsidR="0029081D">
              <w:rPr>
                <w:rStyle w:val="checkbox"/>
                <w:rFonts w:ascii="Arial" w:hAnsi="Arial" w:cs="Arial"/>
              </w:rPr>
              <w:t xml:space="preserve"> </w:t>
            </w:r>
          </w:p>
          <w:p w14:paraId="58F90200" w14:textId="13EEEC83" w:rsidR="0029081D" w:rsidRDefault="004127BD" w:rsidP="00E6298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adverse effects in male and female rats from oral exposure (gavage) </w:t>
            </w:r>
            <w:r w:rsidR="00606287">
              <w:rPr>
                <w:rStyle w:val="checkbox"/>
                <w:rFonts w:ascii="Arial" w:hAnsi="Arial" w:cs="Arial"/>
              </w:rPr>
              <w:t>at 0, 300 and 1,000 mg/kg</w:t>
            </w:r>
            <w:r w:rsidR="00AF7C04">
              <w:rPr>
                <w:rStyle w:val="checkbox"/>
                <w:rFonts w:ascii="Arial" w:hAnsi="Arial" w:cs="Arial"/>
              </w:rPr>
              <w:t>/</w:t>
            </w:r>
            <w:r w:rsidR="00606287">
              <w:rPr>
                <w:rStyle w:val="checkbox"/>
                <w:rFonts w:ascii="Arial" w:hAnsi="Arial" w:cs="Arial"/>
              </w:rPr>
              <w:t xml:space="preserve">d, </w:t>
            </w:r>
            <w:r w:rsidR="0079083F">
              <w:rPr>
                <w:rStyle w:val="checkbox"/>
                <w:rFonts w:ascii="Arial" w:hAnsi="Arial" w:cs="Arial"/>
              </w:rPr>
              <w:t xml:space="preserve">28 d </w:t>
            </w:r>
            <w:r w:rsidR="00606287">
              <w:rPr>
                <w:rStyle w:val="checkbox"/>
                <w:rFonts w:ascii="Arial" w:hAnsi="Arial" w:cs="Arial"/>
              </w:rPr>
              <w:t>duration</w:t>
            </w:r>
          </w:p>
          <w:p w14:paraId="63CEA4D9" w14:textId="77777777" w:rsidR="00606287" w:rsidRDefault="00606287" w:rsidP="00E6298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DF7AF0">
              <w:rPr>
                <w:rStyle w:val="checkbox"/>
                <w:rFonts w:ascii="Arial" w:hAnsi="Arial" w:cs="Arial"/>
              </w:rPr>
              <w:t xml:space="preserve">o </w:t>
            </w:r>
            <w:r w:rsidR="00DF7AF0">
              <w:rPr>
                <w:rStyle w:val="checkbox"/>
                <w:rFonts w:ascii="Arial" w:hAnsi="Arial" w:cs="Arial"/>
                <w:i/>
              </w:rPr>
              <w:t xml:space="preserve">in </w:t>
            </w:r>
            <w:r w:rsidR="00DF7AF0" w:rsidRPr="00DF7AF0">
              <w:rPr>
                <w:rStyle w:val="checkbox"/>
                <w:rFonts w:ascii="Arial" w:hAnsi="Arial" w:cs="Arial"/>
                <w:i/>
              </w:rPr>
              <w:t>vivo</w:t>
            </w:r>
            <w:r w:rsidR="00DF7AF0">
              <w:rPr>
                <w:rStyle w:val="checkbox"/>
                <w:rFonts w:ascii="Arial" w:hAnsi="Arial" w:cs="Arial"/>
              </w:rPr>
              <w:t xml:space="preserve"> genotoxicity data found; n</w:t>
            </w:r>
            <w:r w:rsidRPr="00DF7AF0">
              <w:rPr>
                <w:rStyle w:val="checkbox"/>
                <w:rFonts w:ascii="Arial" w:hAnsi="Arial" w:cs="Arial"/>
              </w:rPr>
              <w:t>egative</w:t>
            </w:r>
            <w:r>
              <w:rPr>
                <w:rStyle w:val="checkbox"/>
                <w:rFonts w:ascii="Arial" w:hAnsi="Arial" w:cs="Arial"/>
              </w:rPr>
              <w:t xml:space="preserve"> results </w:t>
            </w:r>
            <w:r w:rsidR="00DF7AF0">
              <w:rPr>
                <w:rStyle w:val="checkbox"/>
                <w:rFonts w:ascii="Arial" w:hAnsi="Arial" w:cs="Arial"/>
                <w:i/>
              </w:rPr>
              <w:t>in vitro</w:t>
            </w:r>
            <w:r w:rsidR="00DF7AF0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 xml:space="preserve">with bacterial cells but positive results with mammalian cells; </w:t>
            </w:r>
            <w:r w:rsidR="00DF7AF0">
              <w:rPr>
                <w:rStyle w:val="checkbox"/>
                <w:rFonts w:ascii="Arial" w:hAnsi="Arial" w:cs="Arial"/>
              </w:rPr>
              <w:t>same</w:t>
            </w:r>
            <w:r>
              <w:rPr>
                <w:rStyle w:val="checkbox"/>
                <w:rFonts w:ascii="Arial" w:hAnsi="Arial" w:cs="Arial"/>
              </w:rPr>
              <w:t xml:space="preserve"> results</w:t>
            </w:r>
            <w:r w:rsidR="00DF7AF0">
              <w:rPr>
                <w:rStyle w:val="checkbox"/>
                <w:rFonts w:ascii="Arial" w:hAnsi="Arial" w:cs="Arial"/>
              </w:rPr>
              <w:t xml:space="preserve"> </w:t>
            </w:r>
            <w:r w:rsidR="00DF7AF0">
              <w:rPr>
                <w:rStyle w:val="checkbox"/>
                <w:rFonts w:ascii="Arial" w:hAnsi="Arial" w:cs="Arial"/>
                <w:i/>
              </w:rPr>
              <w:t>in vitro</w:t>
            </w:r>
            <w:r w:rsidR="00DF7AF0">
              <w:rPr>
                <w:rStyle w:val="checkbox"/>
                <w:rFonts w:ascii="Arial" w:hAnsi="Arial" w:cs="Arial"/>
              </w:rPr>
              <w:t xml:space="preserve"> from closely related aldehydes and negative results</w:t>
            </w:r>
            <w:r w:rsidR="00DF7AF0">
              <w:rPr>
                <w:rStyle w:val="checkbox"/>
                <w:rFonts w:ascii="Arial" w:hAnsi="Arial" w:cs="Arial"/>
                <w:i/>
              </w:rPr>
              <w:t xml:space="preserve"> </w:t>
            </w:r>
            <w:r>
              <w:rPr>
                <w:rStyle w:val="checkbox"/>
                <w:rFonts w:ascii="Arial" w:hAnsi="Arial" w:cs="Arial"/>
                <w:i/>
              </w:rPr>
              <w:t>in vivo</w:t>
            </w:r>
            <w:r w:rsidR="00DF7AF0">
              <w:rPr>
                <w:rStyle w:val="checkbox"/>
                <w:rFonts w:ascii="Arial" w:hAnsi="Arial" w:cs="Arial"/>
              </w:rPr>
              <w:t>; based on read-across ECHA conclude it is not genotoxic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  <w:p w14:paraId="0996F36D" w14:textId="77777777" w:rsidR="005F4294" w:rsidRPr="004C23F4" w:rsidRDefault="005F4294" w:rsidP="00E6298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Classification for carcinogenicity not warranted</w:t>
            </w:r>
            <w:r w:rsidR="00127E10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28757B1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6344CCA" w14:textId="77777777" w:rsidTr="00127E10">
        <w:trPr>
          <w:trHeight w:val="454"/>
          <w:tblHeader/>
        </w:trPr>
        <w:tc>
          <w:tcPr>
            <w:tcW w:w="6603" w:type="dxa"/>
            <w:vAlign w:val="center"/>
          </w:tcPr>
          <w:p w14:paraId="3DFEEAA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77DF531" w14:textId="77777777" w:rsidR="002E0D61" w:rsidRDefault="00557ED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8F7AF92" w14:textId="77777777" w:rsidTr="00127E1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0F72C21E" w14:textId="77777777" w:rsidR="008A36CF" w:rsidRPr="006901A2" w:rsidRDefault="00557EDB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08DBF7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71173E5E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23A8EE4" w14:textId="77777777" w:rsidTr="0029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3C07D2F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A8F303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91EEA9D" w14:textId="77777777" w:rsidTr="00297B23">
        <w:trPr>
          <w:cantSplit/>
        </w:trPr>
        <w:tc>
          <w:tcPr>
            <w:tcW w:w="3227" w:type="dxa"/>
          </w:tcPr>
          <w:p w14:paraId="2B88AEE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5AA80E0" w14:textId="77777777" w:rsidR="00687890" w:rsidRPr="00DD2F9B" w:rsidRDefault="00B208EF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637D4A0D" w14:textId="77777777" w:rsidTr="00297B23">
        <w:trPr>
          <w:cantSplit/>
        </w:trPr>
        <w:tc>
          <w:tcPr>
            <w:tcW w:w="3227" w:type="dxa"/>
          </w:tcPr>
          <w:p w14:paraId="621B6FA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19886EE" w14:textId="77777777" w:rsidR="007925F0" w:rsidRPr="00DD2F9B" w:rsidRDefault="00B208EF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3DE1AF62" w14:textId="77777777" w:rsidTr="00297B23">
        <w:trPr>
          <w:cantSplit/>
        </w:trPr>
        <w:tc>
          <w:tcPr>
            <w:tcW w:w="3227" w:type="dxa"/>
          </w:tcPr>
          <w:p w14:paraId="588EBCA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6E803AB" w14:textId="77777777" w:rsidR="00AF483F" w:rsidRPr="00DD2F9B" w:rsidRDefault="009950FA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0E4DC9E" w14:textId="77777777" w:rsidTr="00297B23">
        <w:trPr>
          <w:cantSplit/>
        </w:trPr>
        <w:tc>
          <w:tcPr>
            <w:tcW w:w="3227" w:type="dxa"/>
          </w:tcPr>
          <w:p w14:paraId="16120A9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D2DCB80" w14:textId="77777777" w:rsidR="00687890" w:rsidRPr="00DD2F9B" w:rsidRDefault="009950FA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FC4D1A0" w14:textId="77777777" w:rsidTr="00297B23">
        <w:trPr>
          <w:cantSplit/>
        </w:trPr>
        <w:tc>
          <w:tcPr>
            <w:tcW w:w="3227" w:type="dxa"/>
          </w:tcPr>
          <w:p w14:paraId="16F0818D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3A6C448" w14:textId="77777777" w:rsidR="00E41A26" w:rsidRPr="00DD2F9B" w:rsidRDefault="009950F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09B0A59" w14:textId="77777777" w:rsidTr="00297B23">
        <w:trPr>
          <w:cantSplit/>
        </w:trPr>
        <w:tc>
          <w:tcPr>
            <w:tcW w:w="3227" w:type="dxa"/>
          </w:tcPr>
          <w:p w14:paraId="4CAACE4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FB93E62" w14:textId="77777777" w:rsidR="002E0D61" w:rsidRPr="00DD2F9B" w:rsidRDefault="00D2454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3228304" w14:textId="77777777" w:rsidTr="00297B23">
        <w:trPr>
          <w:cantSplit/>
        </w:trPr>
        <w:tc>
          <w:tcPr>
            <w:tcW w:w="3227" w:type="dxa"/>
          </w:tcPr>
          <w:p w14:paraId="26E8BC85" w14:textId="77777777" w:rsidR="004079B4" w:rsidRPr="004C23F4" w:rsidRDefault="002E0D61" w:rsidP="00F4402E">
            <w:pPr>
              <w:pStyle w:val="Tablefont"/>
            </w:pPr>
            <w:r>
              <w:lastRenderedPageBreak/>
              <w:t>DFG</w:t>
            </w:r>
          </w:p>
        </w:tc>
        <w:tc>
          <w:tcPr>
            <w:tcW w:w="6015" w:type="dxa"/>
          </w:tcPr>
          <w:p w14:paraId="4994F908" w14:textId="77777777" w:rsidR="002E0D61" w:rsidRPr="00DD2F9B" w:rsidRDefault="005479F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7B82FA6" w14:textId="77777777" w:rsidTr="00297B23">
        <w:trPr>
          <w:cantSplit/>
        </w:trPr>
        <w:tc>
          <w:tcPr>
            <w:tcW w:w="3227" w:type="dxa"/>
          </w:tcPr>
          <w:p w14:paraId="0E092BD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0E4770F" w14:textId="77777777" w:rsidR="002E0D61" w:rsidRPr="00DD2F9B" w:rsidRDefault="005479F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2D97DE5" w14:textId="77777777" w:rsidTr="00297B23">
        <w:trPr>
          <w:cantSplit/>
        </w:trPr>
        <w:tc>
          <w:tcPr>
            <w:tcW w:w="3227" w:type="dxa"/>
          </w:tcPr>
          <w:p w14:paraId="6008CBCB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C7F1871" w14:textId="77777777" w:rsidR="002E0D61" w:rsidRPr="00DD2F9B" w:rsidRDefault="002E163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91E57F0" w14:textId="77777777" w:rsidTr="00297B23">
        <w:trPr>
          <w:cantSplit/>
        </w:trPr>
        <w:tc>
          <w:tcPr>
            <w:tcW w:w="3227" w:type="dxa"/>
          </w:tcPr>
          <w:p w14:paraId="2CBF81AD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9DE8843" w14:textId="77777777" w:rsidR="00386093" w:rsidRPr="00DD2F9B" w:rsidRDefault="009950F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702B834" w14:textId="77777777" w:rsidTr="00297B23">
        <w:trPr>
          <w:cantSplit/>
        </w:trPr>
        <w:tc>
          <w:tcPr>
            <w:tcW w:w="3227" w:type="dxa"/>
          </w:tcPr>
          <w:p w14:paraId="1C209E1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A5D43E7" w14:textId="77777777" w:rsidR="00386093" w:rsidRPr="00DD2F9B" w:rsidRDefault="009950F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1E61811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DA19C1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8F1EF0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BEE885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731"/>
        <w:gridCol w:w="1125"/>
        <w:gridCol w:w="1125"/>
        <w:gridCol w:w="3045"/>
      </w:tblGrid>
      <w:tr w:rsidR="00AF7C04" w14:paraId="51A70E4E" w14:textId="77777777" w:rsidTr="00AF7C04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4"/>
          <w:p w14:paraId="246B2BC5" w14:textId="77777777" w:rsidR="00AF7C04" w:rsidRDefault="00AF7C04">
            <w:pPr>
              <w:spacing w:after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Adverse effects in human case study: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7AEAB3" w14:textId="77777777" w:rsidR="00AF7C04" w:rsidRDefault="00AF7C04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8AAF78" w14:textId="77777777" w:rsidR="00AF7C04" w:rsidRDefault="00AF7C04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F7A4B49" w14:textId="77777777" w:rsidR="00AF7C04" w:rsidRDefault="00AF7C0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AF7C04" w14:paraId="02CA2EBF" w14:textId="77777777" w:rsidTr="00AF7C04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0DC9790" w14:textId="77777777" w:rsidR="00AF7C04" w:rsidRDefault="00AF7C04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≤1000 mg/kg: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9AF1EE4" w14:textId="77777777" w:rsidR="00AF7C04" w:rsidRDefault="00AF7C04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E40F7C7" w14:textId="77777777" w:rsidR="00AF7C04" w:rsidRDefault="00AF7C04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D6E7D50" w14:textId="77777777" w:rsidR="00AF7C04" w:rsidRDefault="00AF7C0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AF7C04" w14:paraId="0A7FE4CC" w14:textId="77777777" w:rsidTr="00AF7C04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1701035" w14:textId="77777777" w:rsidR="00AF7C04" w:rsidRDefault="00AF7C04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repeat-dose NOAEL ≤200 mg/kg: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32A8B49" w14:textId="77777777" w:rsidR="00AF7C04" w:rsidRDefault="00AF7C04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2E4BAE" w14:textId="77777777" w:rsidR="00AF7C04" w:rsidRDefault="00AF7C04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51A3C15" w14:textId="77777777" w:rsidR="00AF7C04" w:rsidRDefault="00AF7C0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AF7C04" w14:paraId="504CA0FE" w14:textId="77777777" w:rsidTr="00AF7C04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77920A0" w14:textId="77777777" w:rsidR="00AF7C04" w:rsidRDefault="00AF7C04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/Inhalation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&lt;10: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CE59502" w14:textId="77777777" w:rsidR="00AF7C04" w:rsidRDefault="00AF7C04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92435E" w14:textId="77777777" w:rsidR="00AF7C04" w:rsidRDefault="00AF7C04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2F5E97" w14:textId="77777777" w:rsidR="00AF7C04" w:rsidRDefault="00AF7C0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AF7C04" w14:paraId="06E47D6C" w14:textId="77777777" w:rsidTr="00AF7C04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6C91DD2" w14:textId="77777777" w:rsidR="00AF7C04" w:rsidRDefault="00AF7C04">
            <w:pPr>
              <w:jc w:val="right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In vivo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dermal absorption rate &gt;10%: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89CA33" w14:textId="77777777" w:rsidR="00AF7C04" w:rsidRDefault="00AF7C04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1EAFE4" w14:textId="77777777" w:rsidR="00AF7C04" w:rsidRDefault="00AF7C04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D4E7B7F" w14:textId="77777777" w:rsidR="00AF7C04" w:rsidRDefault="00AF7C0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AF7C04" w14:paraId="4D178DDE" w14:textId="77777777" w:rsidTr="00AF7C04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AC5A40" w14:textId="77777777" w:rsidR="00AF7C04" w:rsidRDefault="00AF7C04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Estimated dermal exposure at WES &gt;10%: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0EFDB4" w14:textId="77777777" w:rsidR="00AF7C04" w:rsidRDefault="00AF7C04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3279B8F" w14:textId="77777777" w:rsidR="00AF7C04" w:rsidRDefault="00AF7C04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87AD7F" w14:textId="77777777" w:rsidR="00AF7C04" w:rsidRDefault="00AF7C04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AF7C04" w14:paraId="71B51FBD" w14:textId="77777777" w:rsidTr="00AF7C04">
        <w:trPr>
          <w:trHeight w:val="342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BAA685A" w14:textId="77777777" w:rsidR="00AF7C04" w:rsidRDefault="00AF7C04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371F672" w14:textId="77777777" w:rsidR="00AF7C04" w:rsidRDefault="00AF7C04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60864A1" w14:textId="77777777" w:rsidR="00AF7C04" w:rsidRDefault="00AF7C04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096003" w14:textId="77777777" w:rsidR="00AF7C04" w:rsidRDefault="00AF7C04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a skin notation is not warranted</w:t>
            </w:r>
          </w:p>
        </w:tc>
      </w:tr>
    </w:tbl>
    <w:p w14:paraId="4C8F8EE5" w14:textId="77777777" w:rsidR="00EB3D1B" w:rsidRDefault="00AF7C04" w:rsidP="00EB3D1B">
      <w:pPr>
        <w:pStyle w:val="Heading3"/>
      </w:pPr>
      <w:r>
        <w:t xml:space="preserve"> </w:t>
      </w:r>
      <w:r w:rsidR="00EB3D1B"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D0A81D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A69BD2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589A84F" w14:textId="77777777" w:rsidR="00EB3D1B" w:rsidRDefault="009950FA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6723F63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75EE59F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9A95F0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1AFF247" w14:textId="77777777" w:rsidR="001B79E5" w:rsidRDefault="00AF1C3F" w:rsidP="001B79E5">
                <w:pPr>
                  <w:pStyle w:val="Tablefont"/>
                </w:pPr>
                <w:r>
                  <w:t>86.13</w:t>
                </w:r>
              </w:p>
            </w:tc>
          </w:sdtContent>
        </w:sdt>
      </w:tr>
      <w:tr w:rsidR="00A31D99" w:rsidRPr="004C23F4" w14:paraId="0F10CCD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3FF5B0F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06553CF9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4647A4">
                  <w:t>3.52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4647A4">
                  <w:t>0.284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2B82AF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28FFAC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8954D02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241C055" w14:textId="77777777" w:rsidTr="00EA6243">
        <w:trPr>
          <w:cantSplit/>
        </w:trPr>
        <w:tc>
          <w:tcPr>
            <w:tcW w:w="4077" w:type="dxa"/>
            <w:vAlign w:val="center"/>
          </w:tcPr>
          <w:p w14:paraId="7E54BBB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3B1421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3675529" w14:textId="77777777" w:rsidTr="00EA6243">
        <w:trPr>
          <w:cantSplit/>
        </w:trPr>
        <w:tc>
          <w:tcPr>
            <w:tcW w:w="4077" w:type="dxa"/>
            <w:vAlign w:val="center"/>
          </w:tcPr>
          <w:p w14:paraId="7F7C2B0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98BCDE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EA14F18" w14:textId="77777777" w:rsidTr="00EA6243">
        <w:trPr>
          <w:cantSplit/>
        </w:trPr>
        <w:tc>
          <w:tcPr>
            <w:tcW w:w="4077" w:type="dxa"/>
            <w:vAlign w:val="center"/>
          </w:tcPr>
          <w:p w14:paraId="0E3AE6D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4B714B0" w14:textId="77777777" w:rsidR="00E06F40" w:rsidRPr="00A006A0" w:rsidRDefault="00435A5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D643D8A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D015A2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999874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1E8DA0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106C16F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7ED07C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B5117B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B379AE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F3DCEF4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1395457" w14:textId="77777777" w:rsidR="00127E10" w:rsidRDefault="00127E10" w:rsidP="008E4F1F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0F653E16" w14:textId="77777777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1A3BBE">
        <w:t>2003</w:t>
      </w:r>
      <w:r>
        <w:t xml:space="preserve">) </w:t>
      </w:r>
      <w:r w:rsidR="001A3BBE" w:rsidRPr="001A3BBE">
        <w:t>Valeraldehyde</w:t>
      </w:r>
      <w:r w:rsidRPr="005F7416">
        <w:t xml:space="preserve">. </w:t>
      </w:r>
      <w:r w:rsidR="009950FA" w:rsidRPr="009950FA">
        <w:t>Health-based Reassessment of Administrative</w:t>
      </w:r>
      <w:r w:rsidR="009950FA">
        <w:t xml:space="preserve"> </w:t>
      </w:r>
      <w:r w:rsidR="009950FA">
        <w:rPr>
          <w:rFonts w:cs="Arial"/>
          <w:szCs w:val="20"/>
          <w:lang w:val="en-US"/>
        </w:rPr>
        <w:t>Occupational Exposure Limits</w:t>
      </w:r>
      <w:r w:rsidRPr="005F7416">
        <w:t xml:space="preserve">. The Hague: Health Council of the Netherlands; publication no. </w:t>
      </w:r>
      <w:r w:rsidR="001A3BBE">
        <w:t>2000/15OSH/066</w:t>
      </w:r>
      <w:r>
        <w:t>.</w:t>
      </w:r>
    </w:p>
    <w:p w14:paraId="3A0B997A" w14:textId="77777777" w:rsidR="008E4F1F" w:rsidRPr="00351FE0" w:rsidRDefault="008E4F1F" w:rsidP="00084859"/>
    <w:sectPr w:rsidR="008E4F1F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3A0B" w14:textId="77777777" w:rsidR="00A43C9A" w:rsidRDefault="00A43C9A" w:rsidP="00F43AD5">
      <w:pPr>
        <w:spacing w:after="0" w:line="240" w:lineRule="auto"/>
      </w:pPr>
      <w:r>
        <w:separator/>
      </w:r>
    </w:p>
  </w:endnote>
  <w:endnote w:type="continuationSeparator" w:id="0">
    <w:p w14:paraId="1CDD8400" w14:textId="77777777" w:rsidR="00A43C9A" w:rsidRDefault="00A43C9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4C5EA07" w14:textId="185A5294" w:rsidR="00606287" w:rsidRDefault="00606287" w:rsidP="0034744C">
        <w:pPr>
          <w:pStyle w:val="Footer"/>
          <w:rPr>
            <w:sz w:val="18"/>
            <w:szCs w:val="18"/>
          </w:rPr>
        </w:pPr>
        <w:r w:rsidRPr="00990BAD">
          <w:rPr>
            <w:b/>
            <w:i/>
            <w:iCs/>
            <w:sz w:val="18"/>
            <w:szCs w:val="18"/>
          </w:rPr>
          <w:t>n</w:t>
        </w:r>
        <w:r>
          <w:rPr>
            <w:b/>
            <w:sz w:val="18"/>
            <w:szCs w:val="18"/>
          </w:rPr>
          <w:t>-Valeraldehyde (110-62-3)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747526">
          <w:rPr>
            <w:sz w:val="18"/>
            <w:szCs w:val="18"/>
          </w:rPr>
          <w:t>20</w:t>
        </w:r>
      </w:p>
      <w:p w14:paraId="47AFFF03" w14:textId="5DCF19AE" w:rsidR="00606287" w:rsidRPr="00F43AD5" w:rsidRDefault="00606287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B1095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C35E8" w14:textId="77777777" w:rsidR="00A43C9A" w:rsidRDefault="00A43C9A" w:rsidP="00F43AD5">
      <w:pPr>
        <w:spacing w:after="0" w:line="240" w:lineRule="auto"/>
      </w:pPr>
      <w:r>
        <w:separator/>
      </w:r>
    </w:p>
  </w:footnote>
  <w:footnote w:type="continuationSeparator" w:id="0">
    <w:p w14:paraId="3A913040" w14:textId="77777777" w:rsidR="00A43C9A" w:rsidRDefault="00A43C9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4C37" w14:textId="77777777" w:rsidR="00297B23" w:rsidRDefault="00435A58" w:rsidP="00297B23">
    <w:pPr>
      <w:pStyle w:val="Header"/>
      <w:jc w:val="right"/>
    </w:pPr>
    <w:r>
      <w:pict w14:anchorId="46BCF7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3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297B23">
      <w:rPr>
        <w:noProof/>
        <w:lang w:eastAsia="en-AU"/>
      </w:rPr>
      <w:drawing>
        <wp:inline distT="0" distB="0" distL="0" distR="0" wp14:anchorId="26A2181E" wp14:editId="3383FDC8">
          <wp:extent cx="2945130" cy="595630"/>
          <wp:effectExtent l="0" t="0" r="762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3D10B" w14:textId="77777777" w:rsidR="00297B23" w:rsidRDefault="00297B23" w:rsidP="00297B23">
    <w:pPr>
      <w:pStyle w:val="Header"/>
    </w:pPr>
  </w:p>
  <w:p w14:paraId="52A28381" w14:textId="3516CCD6" w:rsidR="00606287" w:rsidRPr="00297B23" w:rsidRDefault="00606287" w:rsidP="00297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2BB7" w14:textId="77777777" w:rsidR="00297B23" w:rsidRDefault="00435A58" w:rsidP="00297B23">
    <w:pPr>
      <w:pStyle w:val="Header"/>
      <w:jc w:val="right"/>
    </w:pPr>
    <w:r>
      <w:pict w14:anchorId="6A30F3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297B23">
      <w:rPr>
        <w:noProof/>
        <w:lang w:eastAsia="en-AU"/>
      </w:rPr>
      <w:drawing>
        <wp:inline distT="0" distB="0" distL="0" distR="0" wp14:anchorId="4D440A4F" wp14:editId="464C5396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30084" w14:textId="77777777" w:rsidR="00297B23" w:rsidRDefault="00297B23" w:rsidP="00297B23">
    <w:pPr>
      <w:pStyle w:val="Header"/>
    </w:pPr>
  </w:p>
  <w:p w14:paraId="1A47BDAB" w14:textId="77777777" w:rsidR="00297B23" w:rsidRPr="005C77A6" w:rsidRDefault="00297B23" w:rsidP="00297B23">
    <w:pPr>
      <w:pStyle w:val="Header"/>
    </w:pPr>
  </w:p>
  <w:p w14:paraId="5FB146CC" w14:textId="77777777" w:rsidR="00606287" w:rsidRDefault="00606287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2967F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34114"/>
    <w:multiLevelType w:val="hybridMultilevel"/>
    <w:tmpl w:val="C44C2C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B1FA5"/>
    <w:multiLevelType w:val="hybridMultilevel"/>
    <w:tmpl w:val="6916D0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4B677C"/>
    <w:multiLevelType w:val="hybridMultilevel"/>
    <w:tmpl w:val="BC2EAC0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6FC1"/>
    <w:rsid w:val="00032B88"/>
    <w:rsid w:val="00037E52"/>
    <w:rsid w:val="00046DF5"/>
    <w:rsid w:val="00052060"/>
    <w:rsid w:val="0005574A"/>
    <w:rsid w:val="00055FE1"/>
    <w:rsid w:val="00056EC2"/>
    <w:rsid w:val="00060B48"/>
    <w:rsid w:val="000615D0"/>
    <w:rsid w:val="00062833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07508"/>
    <w:rsid w:val="00113443"/>
    <w:rsid w:val="00122BDD"/>
    <w:rsid w:val="001269A7"/>
    <w:rsid w:val="00127E10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877CC"/>
    <w:rsid w:val="001915F6"/>
    <w:rsid w:val="001A009E"/>
    <w:rsid w:val="001A1287"/>
    <w:rsid w:val="001A3040"/>
    <w:rsid w:val="001A3859"/>
    <w:rsid w:val="001A3BBE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2AF1"/>
    <w:rsid w:val="00244AD1"/>
    <w:rsid w:val="002463BC"/>
    <w:rsid w:val="002465CE"/>
    <w:rsid w:val="00250A6A"/>
    <w:rsid w:val="0025734A"/>
    <w:rsid w:val="00261F75"/>
    <w:rsid w:val="00263255"/>
    <w:rsid w:val="00276494"/>
    <w:rsid w:val="00277B0C"/>
    <w:rsid w:val="0029081D"/>
    <w:rsid w:val="0029431A"/>
    <w:rsid w:val="00297B23"/>
    <w:rsid w:val="002A30D6"/>
    <w:rsid w:val="002B1A2C"/>
    <w:rsid w:val="002C34F2"/>
    <w:rsid w:val="002C58FF"/>
    <w:rsid w:val="002C7AFE"/>
    <w:rsid w:val="002D05D2"/>
    <w:rsid w:val="002E0D61"/>
    <w:rsid w:val="002E163D"/>
    <w:rsid w:val="002E4C7B"/>
    <w:rsid w:val="0030033B"/>
    <w:rsid w:val="00304715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5C1E"/>
    <w:rsid w:val="00386093"/>
    <w:rsid w:val="003904A4"/>
    <w:rsid w:val="00391841"/>
    <w:rsid w:val="00391B6D"/>
    <w:rsid w:val="003947CB"/>
    <w:rsid w:val="00394922"/>
    <w:rsid w:val="003A0E32"/>
    <w:rsid w:val="003A2B94"/>
    <w:rsid w:val="003B387D"/>
    <w:rsid w:val="003C0D58"/>
    <w:rsid w:val="003D0A45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27BD"/>
    <w:rsid w:val="00417A56"/>
    <w:rsid w:val="00420957"/>
    <w:rsid w:val="00422A10"/>
    <w:rsid w:val="0042505C"/>
    <w:rsid w:val="00430179"/>
    <w:rsid w:val="00435A58"/>
    <w:rsid w:val="004414B5"/>
    <w:rsid w:val="00444482"/>
    <w:rsid w:val="00444B42"/>
    <w:rsid w:val="00445E44"/>
    <w:rsid w:val="004509E2"/>
    <w:rsid w:val="004515EE"/>
    <w:rsid w:val="004529F0"/>
    <w:rsid w:val="00460A03"/>
    <w:rsid w:val="004647A4"/>
    <w:rsid w:val="00472A11"/>
    <w:rsid w:val="00472AAD"/>
    <w:rsid w:val="00474E33"/>
    <w:rsid w:val="00476803"/>
    <w:rsid w:val="00485BFD"/>
    <w:rsid w:val="004867A2"/>
    <w:rsid w:val="004873F2"/>
    <w:rsid w:val="00490D4C"/>
    <w:rsid w:val="004912D2"/>
    <w:rsid w:val="00493A35"/>
    <w:rsid w:val="0049527A"/>
    <w:rsid w:val="004966BF"/>
    <w:rsid w:val="00497984"/>
    <w:rsid w:val="004A457F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1073"/>
    <w:rsid w:val="00502B88"/>
    <w:rsid w:val="005114B7"/>
    <w:rsid w:val="005142C4"/>
    <w:rsid w:val="0051509C"/>
    <w:rsid w:val="005272E2"/>
    <w:rsid w:val="0053108F"/>
    <w:rsid w:val="00532B56"/>
    <w:rsid w:val="00534B10"/>
    <w:rsid w:val="005446A2"/>
    <w:rsid w:val="00544D2F"/>
    <w:rsid w:val="005479FB"/>
    <w:rsid w:val="00551BD8"/>
    <w:rsid w:val="00557EDB"/>
    <w:rsid w:val="00581055"/>
    <w:rsid w:val="00591E38"/>
    <w:rsid w:val="005A19C5"/>
    <w:rsid w:val="005A3034"/>
    <w:rsid w:val="005A462D"/>
    <w:rsid w:val="005B253B"/>
    <w:rsid w:val="005B771D"/>
    <w:rsid w:val="005C5D16"/>
    <w:rsid w:val="005D27D6"/>
    <w:rsid w:val="005D3193"/>
    <w:rsid w:val="005D4A6E"/>
    <w:rsid w:val="005E6979"/>
    <w:rsid w:val="005E75CB"/>
    <w:rsid w:val="005F4294"/>
    <w:rsid w:val="006013C1"/>
    <w:rsid w:val="00606287"/>
    <w:rsid w:val="0060669E"/>
    <w:rsid w:val="00610F2E"/>
    <w:rsid w:val="00611399"/>
    <w:rsid w:val="006139A4"/>
    <w:rsid w:val="00614A6F"/>
    <w:rsid w:val="00624C4E"/>
    <w:rsid w:val="00625200"/>
    <w:rsid w:val="006363A8"/>
    <w:rsid w:val="00636DB7"/>
    <w:rsid w:val="00650905"/>
    <w:rsid w:val="006532ED"/>
    <w:rsid w:val="006549F2"/>
    <w:rsid w:val="00654F65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7526"/>
    <w:rsid w:val="00750212"/>
    <w:rsid w:val="00754779"/>
    <w:rsid w:val="0075716D"/>
    <w:rsid w:val="00765F14"/>
    <w:rsid w:val="00770E31"/>
    <w:rsid w:val="007770F1"/>
    <w:rsid w:val="00783FB1"/>
    <w:rsid w:val="00785CDD"/>
    <w:rsid w:val="007870FB"/>
    <w:rsid w:val="0079083F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6FEC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38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47690"/>
    <w:rsid w:val="0095260E"/>
    <w:rsid w:val="009578DD"/>
    <w:rsid w:val="00961124"/>
    <w:rsid w:val="009621B6"/>
    <w:rsid w:val="00974F2D"/>
    <w:rsid w:val="00977524"/>
    <w:rsid w:val="00977E88"/>
    <w:rsid w:val="00984920"/>
    <w:rsid w:val="009852F7"/>
    <w:rsid w:val="00990BAD"/>
    <w:rsid w:val="0099303A"/>
    <w:rsid w:val="009950FA"/>
    <w:rsid w:val="009971C2"/>
    <w:rsid w:val="009A1254"/>
    <w:rsid w:val="009B1095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3DE7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0960"/>
    <w:rsid w:val="00A431D5"/>
    <w:rsid w:val="00A43C9A"/>
    <w:rsid w:val="00A53681"/>
    <w:rsid w:val="00A633D4"/>
    <w:rsid w:val="00A6461A"/>
    <w:rsid w:val="00A84504"/>
    <w:rsid w:val="00A851B0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7D67"/>
    <w:rsid w:val="00AE2745"/>
    <w:rsid w:val="00AE2F64"/>
    <w:rsid w:val="00AF1C3F"/>
    <w:rsid w:val="00AF42CB"/>
    <w:rsid w:val="00AF483F"/>
    <w:rsid w:val="00AF5E07"/>
    <w:rsid w:val="00AF5F06"/>
    <w:rsid w:val="00AF798F"/>
    <w:rsid w:val="00AF7C04"/>
    <w:rsid w:val="00B00A25"/>
    <w:rsid w:val="00B1422A"/>
    <w:rsid w:val="00B1765C"/>
    <w:rsid w:val="00B208EF"/>
    <w:rsid w:val="00B213C4"/>
    <w:rsid w:val="00B40C60"/>
    <w:rsid w:val="00B479A9"/>
    <w:rsid w:val="00B52EDF"/>
    <w:rsid w:val="00B62771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221FD"/>
    <w:rsid w:val="00C3091E"/>
    <w:rsid w:val="00C40FF1"/>
    <w:rsid w:val="00C419E2"/>
    <w:rsid w:val="00C5020E"/>
    <w:rsid w:val="00C53132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0A39"/>
    <w:rsid w:val="00CE5AD6"/>
    <w:rsid w:val="00CE617F"/>
    <w:rsid w:val="00CE78EF"/>
    <w:rsid w:val="00D048F7"/>
    <w:rsid w:val="00D0517E"/>
    <w:rsid w:val="00D140FC"/>
    <w:rsid w:val="00D21D8C"/>
    <w:rsid w:val="00D24548"/>
    <w:rsid w:val="00D27332"/>
    <w:rsid w:val="00D31357"/>
    <w:rsid w:val="00D33220"/>
    <w:rsid w:val="00D334D1"/>
    <w:rsid w:val="00D44C89"/>
    <w:rsid w:val="00D476B9"/>
    <w:rsid w:val="00D516CD"/>
    <w:rsid w:val="00D53B58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DF7AF0"/>
    <w:rsid w:val="00E0084C"/>
    <w:rsid w:val="00E025AB"/>
    <w:rsid w:val="00E02B23"/>
    <w:rsid w:val="00E06F40"/>
    <w:rsid w:val="00E07CE8"/>
    <w:rsid w:val="00E135A8"/>
    <w:rsid w:val="00E153BB"/>
    <w:rsid w:val="00E26A07"/>
    <w:rsid w:val="00E32595"/>
    <w:rsid w:val="00E37CFD"/>
    <w:rsid w:val="00E41A26"/>
    <w:rsid w:val="00E43162"/>
    <w:rsid w:val="00E44606"/>
    <w:rsid w:val="00E46BCB"/>
    <w:rsid w:val="00E51CAF"/>
    <w:rsid w:val="00E55C93"/>
    <w:rsid w:val="00E564A4"/>
    <w:rsid w:val="00E60F04"/>
    <w:rsid w:val="00E6298D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709C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232D"/>
    <w:rsid w:val="00F236DF"/>
    <w:rsid w:val="00F43AD5"/>
    <w:rsid w:val="00F4402E"/>
    <w:rsid w:val="00F56DD0"/>
    <w:rsid w:val="00F6491C"/>
    <w:rsid w:val="00F67BBB"/>
    <w:rsid w:val="00F73EB9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C7C88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5567B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E564A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0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A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A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3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FD1438D54A0441F9FD0F76483071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904D-977C-413E-8294-009B9D076838}"/>
      </w:docPartPr>
      <w:docPartBody>
        <w:p w:rsidR="00A86F1D" w:rsidRDefault="00AB0C94" w:rsidP="00AB0C94">
          <w:pPr>
            <w:pStyle w:val="FFD1438D54A0441F9FD0F764830712EA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C0591"/>
    <w:rsid w:val="00347D16"/>
    <w:rsid w:val="003E0149"/>
    <w:rsid w:val="008C654B"/>
    <w:rsid w:val="00A86F1D"/>
    <w:rsid w:val="00AB0C94"/>
    <w:rsid w:val="00CD65A7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C9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FFD1438D54A0441F9FD0F764830712EA">
    <w:name w:val="FFD1438D54A0441F9FD0F764830712EA"/>
    <w:rsid w:val="00AB0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6A6A-FB72-425F-BE60-A92ABEAE1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D2B7D-A115-40E4-A6BA-4E69F6AE4587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bf54d604-3e62-4e70-ba33-9e9084b96a6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74D3D5-47D7-4975-94D3-4CCB5E695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E2ED18-879C-4C9E-8551-704231A4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2020-04-14T02:21:00Z</dcterms:created>
  <dcterms:modified xsi:type="dcterms:W3CDTF">2020-07-21T23:23:00Z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