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8270FCF" w14:textId="77777777" w:rsidR="00BD499F" w:rsidRPr="004C23F4" w:rsidRDefault="00466651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</w:t>
          </w:r>
          <w:r w:rsidR="009917AC">
            <w:rPr>
              <w:rFonts w:ascii="Arial" w:hAnsi="Arial" w:cs="Arial"/>
            </w:rPr>
            <w:t>itroethane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0"/>
        <w:gridCol w:w="5036"/>
      </w:tblGrid>
      <w:tr w:rsidR="00F43AD5" w:rsidRPr="004C23F4" w14:paraId="5E3D8042" w14:textId="77777777" w:rsidTr="00216C42">
        <w:trPr>
          <w:cantSplit/>
          <w:tblHeader/>
        </w:trPr>
        <w:tc>
          <w:tcPr>
            <w:tcW w:w="3990" w:type="dxa"/>
          </w:tcPr>
          <w:p w14:paraId="6D965A94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6" w:type="dxa"/>
          </w:tcPr>
          <w:p w14:paraId="3C1DCC90" w14:textId="77777777" w:rsidR="00F43AD5" w:rsidRPr="00717D45" w:rsidRDefault="009917AC" w:rsidP="00B76A41">
            <w:pPr>
              <w:pStyle w:val="Tablefont"/>
            </w:pPr>
            <w:r>
              <w:t>79-24-3</w:t>
            </w:r>
          </w:p>
        </w:tc>
      </w:tr>
      <w:tr w:rsidR="00F43AD5" w:rsidRPr="004C23F4" w14:paraId="401B0BAC" w14:textId="77777777" w:rsidTr="00216C42">
        <w:trPr>
          <w:cantSplit/>
        </w:trPr>
        <w:tc>
          <w:tcPr>
            <w:tcW w:w="3990" w:type="dxa"/>
          </w:tcPr>
          <w:p w14:paraId="786E5CE8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6" w:type="dxa"/>
          </w:tcPr>
          <w:p w14:paraId="3CEF36EE" w14:textId="77777777" w:rsidR="00F43AD5" w:rsidRPr="00717D45" w:rsidRDefault="008E6761" w:rsidP="00B76A41">
            <w:pPr>
              <w:pStyle w:val="Tablefont"/>
            </w:pPr>
            <w:r>
              <w:t>Ethane, nitro-</w:t>
            </w:r>
          </w:p>
        </w:tc>
      </w:tr>
      <w:tr w:rsidR="00F43AD5" w:rsidRPr="004C23F4" w14:paraId="46F171DE" w14:textId="77777777" w:rsidTr="00216C42">
        <w:trPr>
          <w:cantSplit/>
        </w:trPr>
        <w:tc>
          <w:tcPr>
            <w:tcW w:w="3990" w:type="dxa"/>
          </w:tcPr>
          <w:p w14:paraId="689B9CB3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6" w:type="dxa"/>
          </w:tcPr>
          <w:p w14:paraId="34D7695A" w14:textId="77777777" w:rsidR="00F43AD5" w:rsidRPr="00717D45" w:rsidRDefault="009917AC" w:rsidP="00B76A41">
            <w:pPr>
              <w:pStyle w:val="Tablefont"/>
            </w:pPr>
            <w:r>
              <w:t>C</w:t>
            </w:r>
            <w:r w:rsidRPr="009917AC">
              <w:rPr>
                <w:vertAlign w:val="subscript"/>
              </w:rPr>
              <w:t>2</w:t>
            </w:r>
            <w:r>
              <w:t>H</w:t>
            </w:r>
            <w:r w:rsidRPr="009917AC">
              <w:rPr>
                <w:vertAlign w:val="subscript"/>
              </w:rPr>
              <w:t>5</w:t>
            </w:r>
            <w:r>
              <w:t>NO</w:t>
            </w:r>
            <w:r w:rsidRPr="009917AC">
              <w:rPr>
                <w:vertAlign w:val="subscript"/>
              </w:rPr>
              <w:t>2</w:t>
            </w:r>
          </w:p>
        </w:tc>
      </w:tr>
    </w:tbl>
    <w:p w14:paraId="6AC1C1F1" w14:textId="5F77B5BC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C96189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70054758" w14:textId="77777777" w:rsidTr="009917AC">
        <w:trPr>
          <w:cantSplit/>
          <w:tblHeader/>
        </w:trPr>
        <w:tc>
          <w:tcPr>
            <w:tcW w:w="4010" w:type="dxa"/>
            <w:vAlign w:val="center"/>
          </w:tcPr>
          <w:p w14:paraId="263A380F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22855471" w14:textId="598E1629" w:rsidR="002C7AFE" w:rsidRPr="00CE68E9" w:rsidRDefault="00CE68E9" w:rsidP="00017C82">
            <w:pPr>
              <w:pStyle w:val="Tablefont"/>
              <w:rPr>
                <w:b/>
              </w:rPr>
            </w:pPr>
            <w:r w:rsidRPr="00CE68E9">
              <w:rPr>
                <w:rFonts w:cs="Arial"/>
                <w:b/>
              </w:rPr>
              <w:t>10</w:t>
            </w:r>
            <w:r w:rsidR="008601B8">
              <w:rPr>
                <w:rFonts w:cs="Arial"/>
                <w:b/>
              </w:rPr>
              <w:t>0</w:t>
            </w:r>
            <w:r w:rsidRPr="00CE68E9">
              <w:rPr>
                <w:rFonts w:cs="Arial"/>
                <w:b/>
              </w:rPr>
              <w:t xml:space="preserve"> ppm (3</w:t>
            </w:r>
            <w:r w:rsidR="008601B8">
              <w:rPr>
                <w:rFonts w:cs="Arial"/>
                <w:b/>
              </w:rPr>
              <w:t>07</w:t>
            </w:r>
            <w:r w:rsidRPr="00CE68E9">
              <w:rPr>
                <w:rFonts w:cs="Arial"/>
                <w:b/>
              </w:rPr>
              <w:t xml:space="preserve"> mg/m</w:t>
            </w:r>
            <w:r w:rsidRPr="00CE68E9">
              <w:rPr>
                <w:rFonts w:cs="Arial"/>
                <w:b/>
                <w:vertAlign w:val="superscript"/>
              </w:rPr>
              <w:t>3</w:t>
            </w:r>
            <w:r w:rsidRPr="00CE68E9">
              <w:rPr>
                <w:rFonts w:cs="Arial"/>
                <w:b/>
              </w:rPr>
              <w:t>)</w:t>
            </w:r>
          </w:p>
        </w:tc>
      </w:tr>
      <w:tr w:rsidR="009917AC" w:rsidRPr="004C23F4" w14:paraId="4636AD0C" w14:textId="77777777" w:rsidTr="009917AC">
        <w:trPr>
          <w:cantSplit/>
        </w:trPr>
        <w:tc>
          <w:tcPr>
            <w:tcW w:w="4010" w:type="dxa"/>
            <w:vAlign w:val="center"/>
          </w:tcPr>
          <w:p w14:paraId="158EE213" w14:textId="77777777" w:rsidR="009917AC" w:rsidRPr="002C58FF" w:rsidRDefault="009917AC" w:rsidP="009917AC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2583A3FB" w14:textId="77777777" w:rsidR="009917AC" w:rsidRPr="00EB3D1B" w:rsidRDefault="009917AC" w:rsidP="009917AC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9917AC" w:rsidRPr="004C23F4" w14:paraId="79453F14" w14:textId="77777777" w:rsidTr="009917AC">
        <w:trPr>
          <w:cantSplit/>
        </w:trPr>
        <w:tc>
          <w:tcPr>
            <w:tcW w:w="4010" w:type="dxa"/>
            <w:vAlign w:val="center"/>
          </w:tcPr>
          <w:p w14:paraId="3A998F89" w14:textId="77777777" w:rsidR="009917AC" w:rsidRPr="002C58FF" w:rsidRDefault="009917AC" w:rsidP="009917AC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30243D02" w14:textId="77777777" w:rsidR="009917AC" w:rsidRPr="00EB3D1B" w:rsidRDefault="009917AC" w:rsidP="009917AC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9917AC" w:rsidRPr="004C23F4" w14:paraId="65A4E4A3" w14:textId="77777777" w:rsidTr="009917AC">
        <w:trPr>
          <w:cantSplit/>
        </w:trPr>
        <w:tc>
          <w:tcPr>
            <w:tcW w:w="4010" w:type="dxa"/>
          </w:tcPr>
          <w:p w14:paraId="7091DBCC" w14:textId="77777777" w:rsidR="009917AC" w:rsidRPr="002C58FF" w:rsidRDefault="009917AC" w:rsidP="009917AC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26AA12ED" w14:textId="77777777" w:rsidR="009917AC" w:rsidRPr="00EB3D1B" w:rsidRDefault="009917AC" w:rsidP="009917AC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9917AC" w:rsidRPr="004C23F4" w14:paraId="014B7A5F" w14:textId="77777777" w:rsidTr="009917AC">
        <w:trPr>
          <w:cantSplit/>
        </w:trPr>
        <w:tc>
          <w:tcPr>
            <w:tcW w:w="4010" w:type="dxa"/>
            <w:vAlign w:val="center"/>
          </w:tcPr>
          <w:p w14:paraId="01E4398E" w14:textId="77777777" w:rsidR="009917AC" w:rsidRPr="002C58FF" w:rsidRDefault="009917AC" w:rsidP="009917AC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2B80A520" w14:textId="77777777" w:rsidR="009917AC" w:rsidRPr="00EB3D1B" w:rsidRDefault="00610B6A" w:rsidP="009917AC">
            <w:pPr>
              <w:pStyle w:val="Tablefont"/>
              <w:rPr>
                <w:b/>
              </w:rPr>
            </w:pPr>
            <w:r>
              <w:rPr>
                <w:b/>
              </w:rPr>
              <w:t>1,000 ppm</w:t>
            </w:r>
          </w:p>
        </w:tc>
      </w:tr>
      <w:tr w:rsidR="00D32BC8" w:rsidRPr="004C23F4" w14:paraId="3859E69C" w14:textId="77777777" w:rsidTr="008C0E4E">
        <w:trPr>
          <w:cantSplit/>
        </w:trPr>
        <w:tc>
          <w:tcPr>
            <w:tcW w:w="9026" w:type="dxa"/>
            <w:gridSpan w:val="2"/>
            <w:vAlign w:val="center"/>
          </w:tcPr>
          <w:p w14:paraId="47A24C67" w14:textId="77777777" w:rsidR="00D32BC8" w:rsidRPr="00D32BC8" w:rsidRDefault="00D32BC8" w:rsidP="00D32BC8">
            <w:pPr>
              <w:pStyle w:val="Tablerowright"/>
              <w:jc w:val="left"/>
            </w:pPr>
            <w:r>
              <w:t>Sampling and analysis:</w:t>
            </w:r>
            <w:r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b w:val="0"/>
                  <w:color w:val="auto"/>
                </w:rPr>
                <w:id w:val="-2105258949"/>
                <w:placeholder>
                  <w:docPart w:val="89545EC6EE7C4740AA7C307CD6320E9B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D32BC8">
                  <w:rPr>
                    <w:rStyle w:val="WESstatus"/>
                    <w:b w:val="0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6BF0AFC8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0B9485F1" w14:textId="4BF0B37D" w:rsidR="006639B4" w:rsidRDefault="00CE68E9" w:rsidP="000C139A">
      <w:pPr>
        <w:rPr>
          <w:rFonts w:cs="Arial"/>
        </w:rPr>
      </w:pPr>
      <w:r w:rsidRPr="00CE68E9">
        <w:rPr>
          <w:rFonts w:cs="Arial"/>
        </w:rPr>
        <w:t xml:space="preserve">A TWA of </w:t>
      </w:r>
      <w:r>
        <w:rPr>
          <w:rFonts w:cs="Arial"/>
        </w:rPr>
        <w:t>10</w:t>
      </w:r>
      <w:r w:rsidR="008601B8">
        <w:rPr>
          <w:rFonts w:cs="Arial"/>
        </w:rPr>
        <w:t>0</w:t>
      </w:r>
      <w:r w:rsidRPr="00CE68E9">
        <w:rPr>
          <w:rFonts w:cs="Arial"/>
        </w:rPr>
        <w:t xml:space="preserve"> ppm (</w:t>
      </w:r>
      <w:r>
        <w:rPr>
          <w:rFonts w:cs="Arial"/>
        </w:rPr>
        <w:t>3</w:t>
      </w:r>
      <w:r w:rsidR="008601B8">
        <w:rPr>
          <w:rFonts w:cs="Arial"/>
        </w:rPr>
        <w:t>07</w:t>
      </w:r>
      <w:r w:rsidRPr="00CE68E9">
        <w:rPr>
          <w:rFonts w:cs="Arial"/>
        </w:rPr>
        <w:t xml:space="preserve"> mg/m</w:t>
      </w:r>
      <w:r w:rsidRPr="00CE68E9">
        <w:rPr>
          <w:rFonts w:cs="Arial"/>
          <w:vertAlign w:val="superscript"/>
        </w:rPr>
        <w:t>3</w:t>
      </w:r>
      <w:r w:rsidRPr="00CE68E9">
        <w:rPr>
          <w:rFonts w:cs="Arial"/>
        </w:rPr>
        <w:t>) is recommended to protect for</w:t>
      </w:r>
      <w:r>
        <w:rPr>
          <w:rFonts w:cs="Arial"/>
        </w:rPr>
        <w:t xml:space="preserve"> </w:t>
      </w:r>
      <w:r w:rsidRPr="00CE68E9">
        <w:rPr>
          <w:rFonts w:cs="Arial"/>
        </w:rPr>
        <w:t xml:space="preserve">irritant effects </w:t>
      </w:r>
      <w:r w:rsidR="003F6B52" w:rsidRPr="00CE68E9">
        <w:rPr>
          <w:rFonts w:cs="Arial"/>
        </w:rPr>
        <w:t>in exposed workers</w:t>
      </w:r>
      <w:r w:rsidR="003F6B52">
        <w:rPr>
          <w:rFonts w:cs="Arial"/>
        </w:rPr>
        <w:t xml:space="preserve"> </w:t>
      </w:r>
      <w:r w:rsidR="0045742F">
        <w:rPr>
          <w:rFonts w:cs="Arial"/>
        </w:rPr>
        <w:t>and potential for methaemoglobinaemia</w:t>
      </w:r>
      <w:r>
        <w:rPr>
          <w:rFonts w:cs="Arial"/>
        </w:rPr>
        <w:t>.</w:t>
      </w:r>
    </w:p>
    <w:p w14:paraId="1748409E" w14:textId="487D398D" w:rsidR="003F6B52" w:rsidRPr="004C23F4" w:rsidRDefault="00C96189" w:rsidP="000C139A">
      <w:pPr>
        <w:rPr>
          <w:rFonts w:cs="Arial"/>
        </w:rPr>
      </w:pPr>
      <w:r w:rsidRPr="00C96189">
        <w:t xml:space="preserve">Given the limited data available </w:t>
      </w:r>
      <w:r>
        <w:t>in the primary sources to determine if there is a threshold for MetHb formation in humans</w:t>
      </w:r>
      <w:r w:rsidRPr="00C96189">
        <w:t>, it is recommended that a review of additional sources be conducted at the next scheduled review</w:t>
      </w:r>
      <w:r w:rsidR="003F6B52" w:rsidRPr="00EA5D54">
        <w:t>.</w:t>
      </w:r>
    </w:p>
    <w:p w14:paraId="5BE332CF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63524FC" w14:textId="77777777" w:rsidR="00933720" w:rsidRDefault="007A3ACB" w:rsidP="006639B4">
      <w:pPr>
        <w:rPr>
          <w:rFonts w:cs="Arial"/>
        </w:rPr>
      </w:pPr>
      <w:r>
        <w:rPr>
          <w:rFonts w:cs="Arial"/>
        </w:rPr>
        <w:t>Nitroethane is used as a solvent</w:t>
      </w:r>
      <w:r w:rsidR="00CE68E9">
        <w:rPr>
          <w:rFonts w:cs="Arial"/>
        </w:rPr>
        <w:t xml:space="preserve"> and propellant</w:t>
      </w:r>
      <w:r>
        <w:rPr>
          <w:rFonts w:cs="Arial"/>
        </w:rPr>
        <w:t xml:space="preserve">. </w:t>
      </w:r>
    </w:p>
    <w:p w14:paraId="2B9DB8BC" w14:textId="692AD277" w:rsidR="00113182" w:rsidRDefault="007A3ACB" w:rsidP="006639B4">
      <w:pPr>
        <w:rPr>
          <w:rFonts w:cs="Arial"/>
        </w:rPr>
      </w:pPr>
      <w:r>
        <w:rPr>
          <w:rFonts w:cs="Arial"/>
        </w:rPr>
        <w:t xml:space="preserve">Critical effects </w:t>
      </w:r>
      <w:r w:rsidR="00933720">
        <w:rPr>
          <w:rFonts w:cs="Arial"/>
        </w:rPr>
        <w:t xml:space="preserve">of exposure </w:t>
      </w:r>
      <w:r>
        <w:rPr>
          <w:rFonts w:cs="Arial"/>
        </w:rPr>
        <w:t xml:space="preserve">are </w:t>
      </w:r>
      <w:r w:rsidR="00387C39">
        <w:rPr>
          <w:rFonts w:cs="Arial"/>
        </w:rPr>
        <w:t>local irritation at higher concentrations</w:t>
      </w:r>
      <w:r w:rsidR="003F6B52" w:rsidRPr="003F6B52">
        <w:rPr>
          <w:rFonts w:cs="Arial"/>
        </w:rPr>
        <w:t xml:space="preserve"> </w:t>
      </w:r>
      <w:r w:rsidR="003F6B52">
        <w:rPr>
          <w:rFonts w:cs="Arial"/>
        </w:rPr>
        <w:t xml:space="preserve">and potential </w:t>
      </w:r>
      <w:r w:rsidR="00F10856">
        <w:rPr>
          <w:rFonts w:cs="Arial"/>
        </w:rPr>
        <w:t>methaemoglobinaemia</w:t>
      </w:r>
      <w:r w:rsidR="00F10856" w:rsidDel="00C96189">
        <w:rPr>
          <w:rFonts w:cs="Arial"/>
        </w:rPr>
        <w:t xml:space="preserve"> </w:t>
      </w:r>
      <w:r w:rsidR="003F6B52">
        <w:rPr>
          <w:rFonts w:cs="Arial"/>
        </w:rPr>
        <w:t>as observed in animals</w:t>
      </w:r>
      <w:r w:rsidR="00387C39">
        <w:rPr>
          <w:rFonts w:cs="Arial"/>
        </w:rPr>
        <w:t>.</w:t>
      </w:r>
      <w:r w:rsidR="00F5509A">
        <w:rPr>
          <w:rFonts w:cs="Arial"/>
        </w:rPr>
        <w:t xml:space="preserve"> </w:t>
      </w:r>
    </w:p>
    <w:p w14:paraId="2F1F16E1" w14:textId="3EABBFA8" w:rsidR="003D2762" w:rsidRDefault="007A3ACB" w:rsidP="006639B4">
      <w:pPr>
        <w:rPr>
          <w:rFonts w:cs="Arial"/>
        </w:rPr>
      </w:pPr>
      <w:r>
        <w:rPr>
          <w:rFonts w:cs="Arial"/>
        </w:rPr>
        <w:t xml:space="preserve">Human inhalational toxicity </w:t>
      </w:r>
      <w:r w:rsidR="00387C39">
        <w:rPr>
          <w:rFonts w:cs="Arial"/>
        </w:rPr>
        <w:t>information is</w:t>
      </w:r>
      <w:r>
        <w:rPr>
          <w:rFonts w:cs="Arial"/>
        </w:rPr>
        <w:t xml:space="preserve"> limited to a poorly documen</w:t>
      </w:r>
      <w:r w:rsidR="00387C39">
        <w:rPr>
          <w:rFonts w:cs="Arial"/>
        </w:rPr>
        <w:t xml:space="preserve">ted irritation threshold </w:t>
      </w:r>
      <w:r w:rsidR="00C96189">
        <w:rPr>
          <w:rFonts w:cs="Arial"/>
        </w:rPr>
        <w:t xml:space="preserve">at </w:t>
      </w:r>
      <w:r w:rsidR="00387C39">
        <w:rPr>
          <w:rFonts w:cs="Arial"/>
        </w:rPr>
        <w:t>100 </w:t>
      </w:r>
      <w:r w:rsidR="008601B8">
        <w:rPr>
          <w:rFonts w:cs="Arial"/>
        </w:rPr>
        <w:t>ppm</w:t>
      </w:r>
      <w:r w:rsidR="00C96189">
        <w:rPr>
          <w:rFonts w:cs="Arial"/>
        </w:rPr>
        <w:t xml:space="preserve">; </w:t>
      </w:r>
      <w:r w:rsidR="008601B8">
        <w:rPr>
          <w:rFonts w:cs="Arial"/>
        </w:rPr>
        <w:t xml:space="preserve">no further details are available </w:t>
      </w:r>
      <w:r w:rsidR="00E001BE">
        <w:rPr>
          <w:rFonts w:cs="Arial"/>
        </w:rPr>
        <w:t xml:space="preserve">about this </w:t>
      </w:r>
      <w:r>
        <w:rPr>
          <w:rFonts w:cs="Arial"/>
        </w:rPr>
        <w:t xml:space="preserve">(DFG, 2017; SCOEL, 2012). </w:t>
      </w:r>
      <w:r w:rsidR="00F10856">
        <w:rPr>
          <w:rFonts w:cs="Arial"/>
        </w:rPr>
        <w:t>Methaemoglobinaemia</w:t>
      </w:r>
      <w:r w:rsidR="00F10856" w:rsidDel="00C96189">
        <w:rPr>
          <w:rFonts w:cs="Arial"/>
        </w:rPr>
        <w:t xml:space="preserve"> </w:t>
      </w:r>
      <w:r w:rsidR="00964CAB">
        <w:rPr>
          <w:rFonts w:cs="Arial"/>
        </w:rPr>
        <w:t xml:space="preserve">is </w:t>
      </w:r>
      <w:r w:rsidR="007D550F">
        <w:rPr>
          <w:rFonts w:cs="Arial"/>
        </w:rPr>
        <w:t xml:space="preserve">unequivocally regarded as </w:t>
      </w:r>
      <w:r w:rsidR="00964CAB">
        <w:rPr>
          <w:rFonts w:cs="Arial"/>
        </w:rPr>
        <w:t>the most sensitive toxic endpoint</w:t>
      </w:r>
      <w:r w:rsidR="00CE68E9">
        <w:rPr>
          <w:rFonts w:cs="Arial"/>
        </w:rPr>
        <w:t xml:space="preserve"> </w:t>
      </w:r>
      <w:r w:rsidR="007D550F">
        <w:rPr>
          <w:rFonts w:cs="Arial"/>
        </w:rPr>
        <w:t xml:space="preserve">in the available source material </w:t>
      </w:r>
      <w:r w:rsidR="00887D98">
        <w:rPr>
          <w:rFonts w:cs="Arial"/>
        </w:rPr>
        <w:t xml:space="preserve">based </w:t>
      </w:r>
      <w:r w:rsidR="00113182">
        <w:rPr>
          <w:rFonts w:cs="Arial"/>
        </w:rPr>
        <w:t xml:space="preserve">on </w:t>
      </w:r>
      <w:r>
        <w:rPr>
          <w:rFonts w:cs="Arial"/>
        </w:rPr>
        <w:t>a LOAE</w:t>
      </w:r>
      <w:r w:rsidR="00933720">
        <w:rPr>
          <w:rFonts w:cs="Arial"/>
        </w:rPr>
        <w:t>C</w:t>
      </w:r>
      <w:r>
        <w:rPr>
          <w:rFonts w:cs="Arial"/>
        </w:rPr>
        <w:t xml:space="preserve"> of 100 ppm</w:t>
      </w:r>
      <w:r w:rsidR="00887D98">
        <w:rPr>
          <w:rFonts w:cs="Arial"/>
        </w:rPr>
        <w:t xml:space="preserve"> </w:t>
      </w:r>
      <w:r>
        <w:rPr>
          <w:rFonts w:cs="Arial"/>
        </w:rPr>
        <w:t>in rats (DFG, 2017</w:t>
      </w:r>
      <w:r w:rsidR="007A0794">
        <w:rPr>
          <w:rFonts w:cs="Arial"/>
        </w:rPr>
        <w:t>; SCOEL, 2012; HCOTN, 2004</w:t>
      </w:r>
      <w:r>
        <w:rPr>
          <w:rFonts w:cs="Arial"/>
        </w:rPr>
        <w:t>).</w:t>
      </w:r>
      <w:r w:rsidR="00887D98">
        <w:rPr>
          <w:rFonts w:cs="Arial"/>
        </w:rPr>
        <w:t xml:space="preserve"> </w:t>
      </w:r>
      <w:r w:rsidR="00FF0C86">
        <w:rPr>
          <w:rFonts w:cs="Arial"/>
        </w:rPr>
        <w:t xml:space="preserve">A </w:t>
      </w:r>
      <w:r w:rsidR="00D50819">
        <w:rPr>
          <w:rFonts w:cs="Arial"/>
        </w:rPr>
        <w:t xml:space="preserve">LOAEC </w:t>
      </w:r>
      <w:r w:rsidR="00FF0C86">
        <w:rPr>
          <w:rFonts w:cs="Arial"/>
        </w:rPr>
        <w:t>of 100</w:t>
      </w:r>
      <w:r w:rsidR="00D50819">
        <w:rPr>
          <w:rFonts w:cs="Arial"/>
        </w:rPr>
        <w:t xml:space="preserve"> to 350</w:t>
      </w:r>
      <w:r w:rsidR="007D550F">
        <w:rPr>
          <w:rFonts w:cs="Arial"/>
        </w:rPr>
        <w:t> </w:t>
      </w:r>
      <w:r w:rsidR="00FF0C86">
        <w:rPr>
          <w:rFonts w:cs="Arial"/>
        </w:rPr>
        <w:t xml:space="preserve">ppm </w:t>
      </w:r>
      <w:r w:rsidR="00D50819">
        <w:rPr>
          <w:rFonts w:cs="Arial"/>
        </w:rPr>
        <w:t xml:space="preserve">for evidence of transient local irritation in rats reported in </w:t>
      </w:r>
      <w:r w:rsidR="007D550F">
        <w:rPr>
          <w:rFonts w:cs="Arial"/>
        </w:rPr>
        <w:t>a</w:t>
      </w:r>
      <w:r w:rsidR="00D50819">
        <w:rPr>
          <w:rFonts w:cs="Arial"/>
        </w:rPr>
        <w:t xml:space="preserve"> sub</w:t>
      </w:r>
      <w:r w:rsidR="00113182">
        <w:rPr>
          <w:rFonts w:cs="Arial"/>
        </w:rPr>
        <w:t>-</w:t>
      </w:r>
      <w:r w:rsidR="00D50819">
        <w:rPr>
          <w:rFonts w:cs="Arial"/>
        </w:rPr>
        <w:t xml:space="preserve">chronic inhalation study is disputed in the </w:t>
      </w:r>
      <w:r w:rsidR="00C96189">
        <w:rPr>
          <w:rFonts w:cs="Arial"/>
        </w:rPr>
        <w:t>sources</w:t>
      </w:r>
      <w:r w:rsidR="00D50819">
        <w:rPr>
          <w:rFonts w:cs="Arial"/>
        </w:rPr>
        <w:t xml:space="preserve"> </w:t>
      </w:r>
      <w:r w:rsidR="00FF0C86">
        <w:rPr>
          <w:rFonts w:cs="Arial"/>
        </w:rPr>
        <w:t>(DFG, 2017; SCOEL 2012).</w:t>
      </w:r>
      <w:r w:rsidR="00216594">
        <w:rPr>
          <w:rFonts w:cs="Arial"/>
        </w:rPr>
        <w:t xml:space="preserve"> A threshold for </w:t>
      </w:r>
      <w:r w:rsidR="00F10856">
        <w:rPr>
          <w:rFonts w:cs="Arial"/>
        </w:rPr>
        <w:t>methaemoglobinaemia</w:t>
      </w:r>
      <w:r w:rsidR="00F10856" w:rsidDel="00C96189">
        <w:rPr>
          <w:rFonts w:cs="Arial"/>
        </w:rPr>
        <w:t xml:space="preserve"> </w:t>
      </w:r>
      <w:r w:rsidR="00216594">
        <w:rPr>
          <w:rFonts w:cs="Arial"/>
        </w:rPr>
        <w:t xml:space="preserve">in humans is not available. </w:t>
      </w:r>
      <w:r w:rsidR="00FE3403">
        <w:rPr>
          <w:rFonts w:cs="Arial"/>
        </w:rPr>
        <w:t xml:space="preserve">In the absence of further information, </w:t>
      </w:r>
      <w:r w:rsidR="00216594">
        <w:rPr>
          <w:rFonts w:cs="Arial"/>
        </w:rPr>
        <w:t xml:space="preserve">DFG (2017) and SCOEL </w:t>
      </w:r>
      <w:r w:rsidR="00FE3403">
        <w:rPr>
          <w:rFonts w:cs="Arial"/>
        </w:rPr>
        <w:t>(</w:t>
      </w:r>
      <w:r w:rsidR="00216594">
        <w:rPr>
          <w:rFonts w:cs="Arial"/>
        </w:rPr>
        <w:t>201</w:t>
      </w:r>
      <w:r w:rsidR="00FE3403">
        <w:rPr>
          <w:rFonts w:cs="Arial"/>
        </w:rPr>
        <w:t>2) consider 100 ppm as</w:t>
      </w:r>
      <w:r w:rsidR="00216594">
        <w:rPr>
          <w:rFonts w:cs="Arial"/>
        </w:rPr>
        <w:t xml:space="preserve"> </w:t>
      </w:r>
      <w:r w:rsidR="00C96189">
        <w:rPr>
          <w:rFonts w:cs="Arial"/>
        </w:rPr>
        <w:t>the</w:t>
      </w:r>
      <w:r w:rsidR="00FE3403">
        <w:rPr>
          <w:rFonts w:cs="Arial"/>
        </w:rPr>
        <w:t xml:space="preserve"> LOAEC due to slight </w:t>
      </w:r>
      <w:r w:rsidR="00F10856">
        <w:rPr>
          <w:rFonts w:cs="Arial"/>
        </w:rPr>
        <w:t>methaemoglobinaemia</w:t>
      </w:r>
      <w:r w:rsidR="00F10856" w:rsidDel="00C96189">
        <w:rPr>
          <w:rFonts w:cs="Arial"/>
        </w:rPr>
        <w:t xml:space="preserve"> </w:t>
      </w:r>
      <w:r w:rsidR="00FE3403">
        <w:rPr>
          <w:rFonts w:cs="Arial"/>
        </w:rPr>
        <w:t>observed at this dose.</w:t>
      </w:r>
    </w:p>
    <w:p w14:paraId="0B222A2D" w14:textId="4D4D74BC" w:rsidR="008601B8" w:rsidRDefault="0082759D">
      <w:pPr>
        <w:rPr>
          <w:rFonts w:cs="Arial"/>
        </w:rPr>
      </w:pPr>
      <w:r>
        <w:rPr>
          <w:rFonts w:cs="Arial"/>
        </w:rPr>
        <w:t xml:space="preserve">The </w:t>
      </w:r>
      <w:r w:rsidR="007A0794">
        <w:rPr>
          <w:rFonts w:cs="Arial"/>
        </w:rPr>
        <w:t xml:space="preserve">recommendation by ACGIH (2018) </w:t>
      </w:r>
      <w:r w:rsidR="007D550F">
        <w:rPr>
          <w:rFonts w:cs="Arial"/>
        </w:rPr>
        <w:t xml:space="preserve">is </w:t>
      </w:r>
      <w:r w:rsidR="00FE3403">
        <w:rPr>
          <w:rFonts w:cs="Arial"/>
        </w:rPr>
        <w:t xml:space="preserve">preliminarily based </w:t>
      </w:r>
      <w:r w:rsidR="007A0794">
        <w:rPr>
          <w:rFonts w:cs="Arial"/>
        </w:rPr>
        <w:t xml:space="preserve">on a maximal tolerated dose of </w:t>
      </w:r>
      <w:r w:rsidR="00C96189">
        <w:rPr>
          <w:rFonts w:cs="Arial"/>
        </w:rPr>
        <w:t>500 </w:t>
      </w:r>
      <w:r w:rsidR="007A0794">
        <w:rPr>
          <w:rFonts w:cs="Arial"/>
        </w:rPr>
        <w:t>ppm</w:t>
      </w:r>
      <w:r w:rsidR="00FE3403">
        <w:rPr>
          <w:rFonts w:cs="Arial"/>
        </w:rPr>
        <w:t xml:space="preserve"> for</w:t>
      </w:r>
      <w:r w:rsidR="007A0794">
        <w:rPr>
          <w:rFonts w:cs="Arial"/>
        </w:rPr>
        <w:t xml:space="preserve"> systemic toxicity in acute and sub</w:t>
      </w:r>
      <w:r w:rsidR="00ED06A9">
        <w:rPr>
          <w:rFonts w:cs="Arial"/>
        </w:rPr>
        <w:t>-</w:t>
      </w:r>
      <w:r w:rsidR="007A0794">
        <w:rPr>
          <w:rFonts w:cs="Arial"/>
        </w:rPr>
        <w:t xml:space="preserve">chronic inhalation studies with several </w:t>
      </w:r>
      <w:r w:rsidR="0016311F">
        <w:rPr>
          <w:rFonts w:cs="Arial"/>
        </w:rPr>
        <w:t xml:space="preserve">animal </w:t>
      </w:r>
      <w:r w:rsidR="007A0794">
        <w:rPr>
          <w:rFonts w:cs="Arial"/>
        </w:rPr>
        <w:t xml:space="preserve">model species. However, no further justification for this limit value </w:t>
      </w:r>
      <w:r w:rsidR="007D550F">
        <w:rPr>
          <w:rFonts w:cs="Arial"/>
        </w:rPr>
        <w:t>is provided</w:t>
      </w:r>
      <w:r w:rsidR="007A0794">
        <w:rPr>
          <w:rFonts w:cs="Arial"/>
        </w:rPr>
        <w:t xml:space="preserve"> (ACGIH, 2018). </w:t>
      </w:r>
      <w:r>
        <w:rPr>
          <w:rFonts w:cs="Arial"/>
        </w:rPr>
        <w:t xml:space="preserve">The evaluations by </w:t>
      </w:r>
      <w:r w:rsidR="007A0794">
        <w:rPr>
          <w:rFonts w:cs="Arial"/>
        </w:rPr>
        <w:t>DFG (2017), SCOEL</w:t>
      </w:r>
      <w:r w:rsidR="003D2762">
        <w:rPr>
          <w:rFonts w:cs="Arial"/>
        </w:rPr>
        <w:t xml:space="preserve"> </w:t>
      </w:r>
      <w:r w:rsidR="007A0794">
        <w:rPr>
          <w:rFonts w:cs="Arial"/>
        </w:rPr>
        <w:t xml:space="preserve">(2012) and HCOTN (2004) uniformly use the LOAEC of 100 ppm for </w:t>
      </w:r>
      <w:r w:rsidR="00F10856">
        <w:rPr>
          <w:rFonts w:cs="Arial"/>
        </w:rPr>
        <w:t>methaemoglobinaemia</w:t>
      </w:r>
      <w:r w:rsidR="00F10856" w:rsidDel="00C96189">
        <w:rPr>
          <w:rFonts w:cs="Arial"/>
        </w:rPr>
        <w:t xml:space="preserve"> </w:t>
      </w:r>
      <w:r w:rsidR="007A0794">
        <w:rPr>
          <w:rFonts w:cs="Arial"/>
        </w:rPr>
        <w:t>as a point of departure</w:t>
      </w:r>
      <w:r w:rsidR="00982AE0">
        <w:rPr>
          <w:rFonts w:cs="Arial"/>
        </w:rPr>
        <w:t>. SCOEL (2012)</w:t>
      </w:r>
      <w:r w:rsidR="00582B58">
        <w:rPr>
          <w:rFonts w:cs="Arial"/>
        </w:rPr>
        <w:t xml:space="preserve"> applies an uncertainty factor of </w:t>
      </w:r>
      <w:r w:rsidR="007C2BE3">
        <w:rPr>
          <w:rFonts w:cs="Arial"/>
        </w:rPr>
        <w:t>four</w:t>
      </w:r>
      <w:r w:rsidR="00582B58">
        <w:rPr>
          <w:rFonts w:cs="Arial"/>
        </w:rPr>
        <w:t xml:space="preserve"> to account for experimentally determined NOAEC and inter- and intraspecies differences</w:t>
      </w:r>
      <w:r w:rsidR="00FE3403">
        <w:rPr>
          <w:rFonts w:cs="Arial"/>
        </w:rPr>
        <w:t xml:space="preserve">. </w:t>
      </w:r>
      <w:r w:rsidR="00582B58">
        <w:rPr>
          <w:rFonts w:cs="Arial"/>
        </w:rPr>
        <w:t xml:space="preserve">HCOTN </w:t>
      </w:r>
      <w:r w:rsidR="00582B58">
        <w:rPr>
          <w:rFonts w:cs="Arial"/>
        </w:rPr>
        <w:lastRenderedPageBreak/>
        <w:t>(2004) applies a factor of 18 to account for these uncertainties</w:t>
      </w:r>
      <w:r w:rsidR="000F42E3">
        <w:rPr>
          <w:rFonts w:cs="Arial"/>
        </w:rPr>
        <w:t xml:space="preserve"> and considers the current administrative OEL of 20 ppm potentially unprotective</w:t>
      </w:r>
      <w:r w:rsidR="00582B58">
        <w:rPr>
          <w:rFonts w:cs="Arial"/>
        </w:rPr>
        <w:t xml:space="preserve">. Neither </w:t>
      </w:r>
      <w:r w:rsidR="00A53AC3">
        <w:rPr>
          <w:rFonts w:cs="Arial"/>
        </w:rPr>
        <w:t>source</w:t>
      </w:r>
      <w:r w:rsidR="00582B58">
        <w:rPr>
          <w:rFonts w:cs="Arial"/>
        </w:rPr>
        <w:t xml:space="preserve"> provides further justification for the selection of these factors.</w:t>
      </w:r>
      <w:r w:rsidR="00982AE0">
        <w:rPr>
          <w:rFonts w:cs="Arial"/>
        </w:rPr>
        <w:t xml:space="preserve"> </w:t>
      </w:r>
      <w:r w:rsidR="00582B58">
        <w:rPr>
          <w:rFonts w:cs="Arial"/>
        </w:rPr>
        <w:t xml:space="preserve">DFG (2017) applies uncertainty factors of </w:t>
      </w:r>
      <w:r w:rsidR="007C2BE3">
        <w:rPr>
          <w:rFonts w:cs="Arial"/>
        </w:rPr>
        <w:t>three</w:t>
      </w:r>
      <w:r w:rsidR="00582B58">
        <w:rPr>
          <w:rFonts w:cs="Arial"/>
        </w:rPr>
        <w:t xml:space="preserve"> and </w:t>
      </w:r>
      <w:r w:rsidR="007C2BE3">
        <w:rPr>
          <w:rFonts w:cs="Arial"/>
        </w:rPr>
        <w:t>two</w:t>
      </w:r>
      <w:r w:rsidR="00582B58">
        <w:rPr>
          <w:rFonts w:cs="Arial"/>
        </w:rPr>
        <w:t xml:space="preserve"> respectively </w:t>
      </w:r>
      <w:r w:rsidR="003D3421">
        <w:rPr>
          <w:rFonts w:cs="Arial"/>
        </w:rPr>
        <w:t xml:space="preserve">to </w:t>
      </w:r>
      <w:r w:rsidR="00582B58">
        <w:rPr>
          <w:rFonts w:cs="Arial"/>
        </w:rPr>
        <w:t xml:space="preserve">account for the absence of a NOAEC and </w:t>
      </w:r>
      <w:r w:rsidR="00000995">
        <w:rPr>
          <w:rFonts w:cs="Arial"/>
        </w:rPr>
        <w:t xml:space="preserve">potential increase in </w:t>
      </w:r>
      <w:r w:rsidR="00582B58">
        <w:rPr>
          <w:rFonts w:cs="Arial"/>
        </w:rPr>
        <w:t xml:space="preserve">severity of </w:t>
      </w:r>
      <w:r w:rsidR="00000995">
        <w:rPr>
          <w:rFonts w:cs="Arial"/>
        </w:rPr>
        <w:t xml:space="preserve">methaemoglobinaemia from chronic exposure to </w:t>
      </w:r>
      <w:r w:rsidR="0016311F">
        <w:rPr>
          <w:rFonts w:cs="Arial"/>
        </w:rPr>
        <w:t>extrapolate</w:t>
      </w:r>
      <w:r w:rsidR="00000995">
        <w:rPr>
          <w:rFonts w:cs="Arial"/>
        </w:rPr>
        <w:t xml:space="preserve"> a human NOAEC of 20 ppm</w:t>
      </w:r>
      <w:r w:rsidR="0016311F">
        <w:rPr>
          <w:rFonts w:cs="Arial"/>
        </w:rPr>
        <w:t xml:space="preserve">. This </w:t>
      </w:r>
      <w:r w:rsidR="00000995">
        <w:rPr>
          <w:rFonts w:cs="Arial"/>
        </w:rPr>
        <w:t xml:space="preserve">is halved </w:t>
      </w:r>
      <w:r w:rsidR="0016311F">
        <w:rPr>
          <w:rFonts w:cs="Arial"/>
        </w:rPr>
        <w:t xml:space="preserve">to a MAK of 10 ppm </w:t>
      </w:r>
      <w:r w:rsidR="00000995">
        <w:rPr>
          <w:rFonts w:cs="Arial"/>
        </w:rPr>
        <w:t>to account for increased respiratory volume in the workplace.</w:t>
      </w:r>
      <w:r w:rsidR="000F42E3">
        <w:rPr>
          <w:rFonts w:cs="Arial"/>
        </w:rPr>
        <w:t xml:space="preserve"> </w:t>
      </w:r>
    </w:p>
    <w:p w14:paraId="5E9E0189" w14:textId="3BF2A3ED" w:rsidR="003F6B52" w:rsidRDefault="008601B8">
      <w:pPr>
        <w:rPr>
          <w:rFonts w:cs="Arial"/>
        </w:rPr>
      </w:pPr>
      <w:r>
        <w:rPr>
          <w:rFonts w:cs="Arial"/>
        </w:rPr>
        <w:t>Overall, t</w:t>
      </w:r>
      <w:r w:rsidR="00B21711">
        <w:rPr>
          <w:rFonts w:cs="Arial"/>
        </w:rPr>
        <w:t xml:space="preserve">he available evaluations indicate that the LOAEC of 100 ppm for </w:t>
      </w:r>
      <w:r w:rsidR="00F10856">
        <w:rPr>
          <w:rFonts w:cs="Arial"/>
        </w:rPr>
        <w:t>methaemoglobinaemia</w:t>
      </w:r>
      <w:r w:rsidR="00F10856" w:rsidDel="00C96189">
        <w:rPr>
          <w:rFonts w:cs="Arial"/>
        </w:rPr>
        <w:t xml:space="preserve"> </w:t>
      </w:r>
      <w:r w:rsidR="00B21711">
        <w:rPr>
          <w:rFonts w:cs="Arial"/>
        </w:rPr>
        <w:t xml:space="preserve">in rats is the most relevant point of departure for the derivation of a TWA. However, the derivations </w:t>
      </w:r>
      <w:r w:rsidR="00A53AC3">
        <w:rPr>
          <w:rFonts w:cs="Arial"/>
        </w:rPr>
        <w:t>reported</w:t>
      </w:r>
      <w:r w:rsidR="00B21711">
        <w:rPr>
          <w:rFonts w:cs="Arial"/>
        </w:rPr>
        <w:t xml:space="preserve"> in the primary source evaluations are inconsistent and the available secondary source information favours neither of these approaches.</w:t>
      </w:r>
      <w:r w:rsidR="00191077">
        <w:rPr>
          <w:rFonts w:cs="Arial"/>
        </w:rPr>
        <w:t xml:space="preserve"> </w:t>
      </w:r>
    </w:p>
    <w:p w14:paraId="2A687291" w14:textId="79EDF26B" w:rsidR="008601B8" w:rsidRDefault="0045742F">
      <w:pPr>
        <w:rPr>
          <w:rFonts w:cs="Arial"/>
        </w:rPr>
      </w:pPr>
      <w:r>
        <w:rPr>
          <w:rFonts w:cs="Arial"/>
        </w:rPr>
        <w:t>Due to</w:t>
      </w:r>
      <w:r w:rsidR="00191077">
        <w:rPr>
          <w:rFonts w:cs="Arial"/>
        </w:rPr>
        <w:t xml:space="preserve"> </w:t>
      </w:r>
      <w:r w:rsidR="004E55BA">
        <w:rPr>
          <w:rFonts w:cs="Arial"/>
        </w:rPr>
        <w:t>the uncertainty in the database</w:t>
      </w:r>
      <w:r w:rsidR="00191077">
        <w:rPr>
          <w:rFonts w:cs="Arial"/>
        </w:rPr>
        <w:t xml:space="preserve">, </w:t>
      </w:r>
      <w:r w:rsidR="004E55BA">
        <w:rPr>
          <w:rFonts w:cs="Arial"/>
        </w:rPr>
        <w:t xml:space="preserve">the </w:t>
      </w:r>
      <w:r>
        <w:rPr>
          <w:rFonts w:cs="Arial"/>
        </w:rPr>
        <w:t>current SWA</w:t>
      </w:r>
      <w:r w:rsidR="004E55BA">
        <w:rPr>
          <w:rFonts w:cs="Arial"/>
        </w:rPr>
        <w:t xml:space="preserve"> TWA of 100 ppm </w:t>
      </w:r>
      <w:r>
        <w:rPr>
          <w:rFonts w:cs="Arial"/>
        </w:rPr>
        <w:t xml:space="preserve">by ACGIH (2001) </w:t>
      </w:r>
      <w:r w:rsidR="004E55BA">
        <w:rPr>
          <w:rFonts w:cs="Arial"/>
        </w:rPr>
        <w:t>is</w:t>
      </w:r>
      <w:r>
        <w:rPr>
          <w:rFonts w:cs="Arial"/>
        </w:rPr>
        <w:t xml:space="preserve"> recommended to be retained to protect for </w:t>
      </w:r>
      <w:r w:rsidR="008601B8">
        <w:rPr>
          <w:rFonts w:cs="Arial"/>
        </w:rPr>
        <w:t xml:space="preserve">potential </w:t>
      </w:r>
      <w:r>
        <w:rPr>
          <w:rFonts w:cs="Arial"/>
        </w:rPr>
        <w:t>adverse effects in</w:t>
      </w:r>
      <w:r w:rsidRPr="0045742F">
        <w:rPr>
          <w:rFonts w:cs="Arial"/>
        </w:rPr>
        <w:t xml:space="preserve"> </w:t>
      </w:r>
      <w:r>
        <w:rPr>
          <w:rFonts w:cs="Arial"/>
        </w:rPr>
        <w:t xml:space="preserve">exposed workers. </w:t>
      </w:r>
      <w:r w:rsidR="003F6B52">
        <w:rPr>
          <w:rFonts w:cs="Arial"/>
        </w:rPr>
        <w:t xml:space="preserve">No suitable data are available to amend the current TWA. </w:t>
      </w:r>
    </w:p>
    <w:p w14:paraId="1C322892" w14:textId="0AC160C7" w:rsidR="00A62073" w:rsidRDefault="00F10856">
      <w:pPr>
        <w:rPr>
          <w:rFonts w:cs="Arial"/>
        </w:rPr>
      </w:pPr>
      <w:r>
        <w:rPr>
          <w:rFonts w:cs="Arial"/>
        </w:rPr>
        <w:t>Methaemoglobinaemia</w:t>
      </w:r>
      <w:r w:rsidDel="00C96189">
        <w:rPr>
          <w:rFonts w:cs="Arial"/>
        </w:rPr>
        <w:t xml:space="preserve"> </w:t>
      </w:r>
      <w:r w:rsidR="0045742F">
        <w:rPr>
          <w:rFonts w:cs="Arial"/>
        </w:rPr>
        <w:t xml:space="preserve">is reported to be </w:t>
      </w:r>
      <w:r w:rsidR="00C96189">
        <w:rPr>
          <w:rFonts w:cs="Arial"/>
        </w:rPr>
        <w:t xml:space="preserve">the </w:t>
      </w:r>
      <w:r w:rsidR="0045742F">
        <w:rPr>
          <w:rFonts w:cs="Arial"/>
        </w:rPr>
        <w:t xml:space="preserve">more sensitive endpoint based on slight </w:t>
      </w:r>
      <w:r>
        <w:rPr>
          <w:rFonts w:cs="Arial"/>
        </w:rPr>
        <w:t>methaemoglobinaemia</w:t>
      </w:r>
      <w:r w:rsidDel="00C96189">
        <w:rPr>
          <w:rFonts w:cs="Arial"/>
        </w:rPr>
        <w:t xml:space="preserve"> </w:t>
      </w:r>
      <w:r w:rsidR="0045742F">
        <w:rPr>
          <w:rFonts w:cs="Arial"/>
        </w:rPr>
        <w:t xml:space="preserve">observed in animals </w:t>
      </w:r>
      <w:r w:rsidR="00C96189">
        <w:rPr>
          <w:rFonts w:cs="Arial"/>
        </w:rPr>
        <w:t xml:space="preserve">and </w:t>
      </w:r>
      <w:r w:rsidR="0045742F">
        <w:rPr>
          <w:rFonts w:cs="Arial"/>
        </w:rPr>
        <w:t xml:space="preserve">a threshold for </w:t>
      </w:r>
      <w:r w:rsidR="008601B8">
        <w:rPr>
          <w:rFonts w:cs="Arial"/>
        </w:rPr>
        <w:t xml:space="preserve">this endpoint </w:t>
      </w:r>
      <w:r w:rsidR="0045742F">
        <w:rPr>
          <w:rFonts w:cs="Arial"/>
        </w:rPr>
        <w:t>is not available</w:t>
      </w:r>
      <w:r w:rsidR="008601B8" w:rsidRPr="008601B8">
        <w:rPr>
          <w:rFonts w:cs="Arial"/>
        </w:rPr>
        <w:t xml:space="preserve"> </w:t>
      </w:r>
      <w:r w:rsidR="008601B8">
        <w:rPr>
          <w:rFonts w:cs="Arial"/>
        </w:rPr>
        <w:t>in humans</w:t>
      </w:r>
      <w:r w:rsidR="0045742F">
        <w:rPr>
          <w:rFonts w:cs="Arial"/>
        </w:rPr>
        <w:t xml:space="preserve">. </w:t>
      </w:r>
      <w:r w:rsidR="00C96189">
        <w:rPr>
          <w:rFonts w:cs="Arial"/>
        </w:rPr>
        <w:t>An</w:t>
      </w:r>
      <w:r w:rsidR="004D2CFB">
        <w:rPr>
          <w:rFonts w:cs="Arial"/>
        </w:rPr>
        <w:t xml:space="preserve"> </w:t>
      </w:r>
      <w:r w:rsidR="00191077">
        <w:rPr>
          <w:rFonts w:cs="Arial"/>
        </w:rPr>
        <w:t xml:space="preserve">assessment of additional source material is recommended </w:t>
      </w:r>
      <w:r w:rsidR="004D2CFB">
        <w:rPr>
          <w:rFonts w:cs="Arial"/>
        </w:rPr>
        <w:t xml:space="preserve">during </w:t>
      </w:r>
      <w:r w:rsidR="00C96189">
        <w:rPr>
          <w:rFonts w:cs="Arial"/>
        </w:rPr>
        <w:t>s</w:t>
      </w:r>
      <w:r w:rsidR="00191077">
        <w:rPr>
          <w:rFonts w:cs="Arial"/>
        </w:rPr>
        <w:t xml:space="preserve">ubsequent reviews </w:t>
      </w:r>
      <w:r w:rsidR="008601B8">
        <w:rPr>
          <w:rFonts w:cs="Arial"/>
        </w:rPr>
        <w:t xml:space="preserve">to determine a threshold for </w:t>
      </w:r>
      <w:r>
        <w:rPr>
          <w:rFonts w:cs="Arial"/>
        </w:rPr>
        <w:t>methaemoglobinaemia</w:t>
      </w:r>
      <w:r w:rsidDel="00C96189">
        <w:rPr>
          <w:rFonts w:cs="Arial"/>
        </w:rPr>
        <w:t xml:space="preserve"> </w:t>
      </w:r>
      <w:r w:rsidR="008601B8">
        <w:rPr>
          <w:rFonts w:cs="Arial"/>
        </w:rPr>
        <w:t>in humans</w:t>
      </w:r>
      <w:r w:rsidR="00191077">
        <w:rPr>
          <w:rFonts w:cs="Arial"/>
        </w:rPr>
        <w:t>.</w:t>
      </w:r>
    </w:p>
    <w:p w14:paraId="40905A11" w14:textId="77777777" w:rsidR="004529F0" w:rsidRPr="004C23F4" w:rsidRDefault="004529F0" w:rsidP="007C2BE3">
      <w:pPr>
        <w:pStyle w:val="Heading2"/>
      </w:pPr>
      <w:r>
        <w:t>Recommendation for notations</w:t>
      </w:r>
    </w:p>
    <w:p w14:paraId="7CDC2486" w14:textId="77777777" w:rsidR="009917AC" w:rsidRPr="00CE68E9" w:rsidRDefault="009917AC" w:rsidP="009917AC">
      <w:pPr>
        <w:rPr>
          <w:rFonts w:cs="Arial"/>
        </w:rPr>
      </w:pPr>
      <w:r w:rsidRPr="00CE68E9">
        <w:rPr>
          <w:rFonts w:cs="Arial"/>
        </w:rPr>
        <w:t>Not classified as a carcinogen according to the Globally Harmonized System of Classification and Labelling o</w:t>
      </w:r>
      <w:r w:rsidR="00466651">
        <w:rPr>
          <w:rFonts w:cs="Arial"/>
        </w:rPr>
        <w:t>f</w:t>
      </w:r>
      <w:r w:rsidRPr="00CE68E9">
        <w:rPr>
          <w:rFonts w:cs="Arial"/>
        </w:rPr>
        <w:t xml:space="preserve"> Chemicals (GHS). </w:t>
      </w:r>
    </w:p>
    <w:p w14:paraId="24722D88" w14:textId="77777777" w:rsidR="009917AC" w:rsidRPr="00CE68E9" w:rsidRDefault="009917AC" w:rsidP="009917AC">
      <w:pPr>
        <w:rPr>
          <w:rFonts w:cs="Arial"/>
        </w:rPr>
      </w:pPr>
      <w:r w:rsidRPr="00CE68E9">
        <w:rPr>
          <w:rFonts w:cs="Arial"/>
        </w:rPr>
        <w:t xml:space="preserve">Not classified as a skin </w:t>
      </w:r>
      <w:r w:rsidR="00466651" w:rsidRPr="00CE68E9">
        <w:rPr>
          <w:rFonts w:cs="Arial"/>
        </w:rPr>
        <w:t xml:space="preserve">sensitiser </w:t>
      </w:r>
      <w:r w:rsidRPr="00CE68E9">
        <w:rPr>
          <w:rFonts w:cs="Arial"/>
        </w:rPr>
        <w:t>or respiratory sensitiser according to the GHS.</w:t>
      </w:r>
    </w:p>
    <w:p w14:paraId="4B496FD4" w14:textId="4264C31C" w:rsidR="005E6979" w:rsidRPr="004C23F4" w:rsidRDefault="00B04D60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>
        <w:rPr>
          <w:rFonts w:cs="Arial"/>
        </w:rPr>
        <w:t>There are i</w:t>
      </w:r>
      <w:r w:rsidR="009917AC" w:rsidRPr="00CE68E9">
        <w:rPr>
          <w:rFonts w:cs="Arial"/>
        </w:rPr>
        <w:t xml:space="preserve">nsufficient </w:t>
      </w:r>
      <w:r>
        <w:rPr>
          <w:rFonts w:cs="Arial"/>
        </w:rPr>
        <w:t>data</w:t>
      </w:r>
      <w:r w:rsidR="002A7BA7">
        <w:rPr>
          <w:rFonts w:cs="Arial"/>
        </w:rPr>
        <w:t xml:space="preserve"> to recommend a skin notation</w:t>
      </w:r>
      <w:r w:rsidR="00933720">
        <w:rPr>
          <w:rFonts w:cs="Arial"/>
        </w:rPr>
        <w:t>.</w:t>
      </w:r>
      <w:r w:rsidR="00D53DA1">
        <w:rPr>
          <w:rFonts w:cs="Arial"/>
        </w:rPr>
        <w:t xml:space="preserve"> </w:t>
      </w:r>
      <w:r w:rsidR="00933720">
        <w:rPr>
          <w:rFonts w:cs="Arial"/>
        </w:rPr>
        <w:t>H</w:t>
      </w:r>
      <w:r w:rsidR="00D53DA1">
        <w:rPr>
          <w:rFonts w:cs="Arial"/>
        </w:rPr>
        <w:t>owever</w:t>
      </w:r>
      <w:r w:rsidR="0068339A">
        <w:rPr>
          <w:rFonts w:cs="Arial"/>
        </w:rPr>
        <w:t>,</w:t>
      </w:r>
      <w:r w:rsidR="00D53DA1">
        <w:rPr>
          <w:rFonts w:cs="Arial"/>
        </w:rPr>
        <w:t xml:space="preserve"> it is noted that, b</w:t>
      </w:r>
      <w:r w:rsidR="002A7BA7">
        <w:rPr>
          <w:rFonts w:cs="Arial"/>
        </w:rPr>
        <w:t>ased on</w:t>
      </w:r>
      <w:r w:rsidR="00D53DA1">
        <w:rPr>
          <w:rFonts w:cs="Arial"/>
        </w:rPr>
        <w:t xml:space="preserve"> modelled skin permeation data </w:t>
      </w:r>
      <w:r w:rsidR="002A7BA7">
        <w:rPr>
          <w:rFonts w:cs="Arial"/>
        </w:rPr>
        <w:t xml:space="preserve">and </w:t>
      </w:r>
      <w:r w:rsidR="00D53DA1">
        <w:rPr>
          <w:rFonts w:cs="Arial"/>
        </w:rPr>
        <w:t>analogy to nitroalkanes</w:t>
      </w:r>
      <w:r w:rsidR="00933720">
        <w:rPr>
          <w:rFonts w:cs="Arial"/>
        </w:rPr>
        <w:t>,</w:t>
      </w:r>
      <w:r w:rsidR="00D53DA1">
        <w:rPr>
          <w:rFonts w:cs="Arial"/>
        </w:rPr>
        <w:t xml:space="preserve"> the DFG (2017) and </w:t>
      </w:r>
      <w:r w:rsidR="002A7BA7">
        <w:rPr>
          <w:rFonts w:cs="Arial"/>
        </w:rPr>
        <w:t xml:space="preserve">SCOEL </w:t>
      </w:r>
      <w:r w:rsidR="00D53DA1">
        <w:rPr>
          <w:rFonts w:cs="Arial"/>
        </w:rPr>
        <w:t>(</w:t>
      </w:r>
      <w:r w:rsidR="002A7BA7">
        <w:rPr>
          <w:rFonts w:cs="Arial"/>
        </w:rPr>
        <w:t>2012) currently assign skin notation</w:t>
      </w:r>
      <w:r w:rsidR="00D53DA1">
        <w:rPr>
          <w:rFonts w:cs="Arial"/>
        </w:rPr>
        <w:t>s</w:t>
      </w:r>
      <w:r w:rsidR="002A7BA7">
        <w:rPr>
          <w:rFonts w:cs="Arial"/>
        </w:rPr>
        <w:t>.</w:t>
      </w:r>
      <w:r w:rsidR="00D53DA1">
        <w:rPr>
          <w:rFonts w:cs="Arial"/>
        </w:rPr>
        <w:t xml:space="preserve"> As such</w:t>
      </w:r>
      <w:r w:rsidR="00D630D1">
        <w:rPr>
          <w:rFonts w:cs="Arial"/>
        </w:rPr>
        <w:t xml:space="preserve">, </w:t>
      </w:r>
      <w:r w:rsidR="0068339A">
        <w:rPr>
          <w:rFonts w:cs="Arial"/>
        </w:rPr>
        <w:t xml:space="preserve">a </w:t>
      </w:r>
      <w:r w:rsidR="00D53DA1">
        <w:rPr>
          <w:rFonts w:cs="Arial"/>
        </w:rPr>
        <w:t xml:space="preserve">further literature review is recommended. </w:t>
      </w:r>
    </w:p>
    <w:p w14:paraId="5B540569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41606E7A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4953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8921"/>
      </w:tblGrid>
      <w:tr w:rsidR="00C978F0" w:rsidRPr="00DA352E" w14:paraId="2C12D1CD" w14:textId="77777777" w:rsidTr="00756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B7B164A" w14:textId="77777777" w:rsidR="00C978F0" w:rsidRPr="00DA352E" w:rsidRDefault="00C978F0" w:rsidP="00466651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DCBE755" w14:textId="77777777" w:rsidTr="0075683A">
        <w:tc>
          <w:tcPr>
            <w:tcW w:w="5000" w:type="pct"/>
            <w:shd w:val="clear" w:color="auto" w:fill="F2F2F2" w:themeFill="background1" w:themeFillShade="F2"/>
          </w:tcPr>
          <w:p w14:paraId="690772CC" w14:textId="77777777" w:rsidR="00DE26E8" w:rsidRPr="003365A5" w:rsidRDefault="00DE26E8" w:rsidP="00B04D60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9917AC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9917AC">
                  <w:t>TWA: 100 ppm (307 mg/m</w:t>
                </w:r>
                <w:r w:rsidR="009917AC" w:rsidRPr="009917AC">
                  <w:rPr>
                    <w:vertAlign w:val="superscript"/>
                  </w:rPr>
                  <w:t>3</w:t>
                </w:r>
                <w:r w:rsidR="009917AC">
                  <w:t>)</w:t>
                </w:r>
              </w:sdtContent>
            </w:sdt>
          </w:p>
        </w:tc>
      </w:tr>
      <w:tr w:rsidR="00C978F0" w:rsidRPr="00DA352E" w14:paraId="46F0E64D" w14:textId="77777777" w:rsidTr="0075683A">
        <w:tc>
          <w:tcPr>
            <w:tcW w:w="5000" w:type="pct"/>
          </w:tcPr>
          <w:p w14:paraId="72767EF1" w14:textId="77777777" w:rsidR="00C978F0" w:rsidRPr="00DA352E" w:rsidRDefault="00C978F0" w:rsidP="00466651">
            <w:pPr>
              <w:pStyle w:val="Tabletextprimarysource"/>
            </w:pPr>
          </w:p>
        </w:tc>
      </w:tr>
      <w:tr w:rsidR="00C978F0" w:rsidRPr="00DA352E" w14:paraId="3878CC90" w14:textId="77777777" w:rsidTr="0075683A">
        <w:tc>
          <w:tcPr>
            <w:tcW w:w="5000" w:type="pct"/>
            <w:shd w:val="clear" w:color="auto" w:fill="F2F2F2" w:themeFill="background1" w:themeFillShade="F2"/>
          </w:tcPr>
          <w:p w14:paraId="22BFF077" w14:textId="77777777" w:rsidR="00C978F0" w:rsidRPr="00DA352E" w:rsidRDefault="00DA352E" w:rsidP="00B04D60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9917AC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1904786053"/>
                    <w:placeholder>
                      <w:docPart w:val="015FC67285254AFD816F7C56BCC77232"/>
                    </w:placeholder>
                  </w:sdtPr>
                  <w:sdtEndPr/>
                  <w:sdtContent>
                    <w:r w:rsidR="009917AC">
                      <w:t>TLV-TWA: 100 ppm (307 mg/m</w:t>
                    </w:r>
                    <w:r w:rsidR="009917AC" w:rsidRPr="009917AC">
                      <w:rPr>
                        <w:vertAlign w:val="superscript"/>
                      </w:rPr>
                      <w:t>3</w:t>
                    </w:r>
                    <w:r w:rsidR="009917AC">
                      <w:t>)</w:t>
                    </w:r>
                  </w:sdtContent>
                </w:sdt>
              </w:sdtContent>
            </w:sdt>
          </w:p>
        </w:tc>
      </w:tr>
      <w:tr w:rsidR="00C978F0" w:rsidRPr="00DA352E" w14:paraId="134D8E18" w14:textId="77777777" w:rsidTr="0075683A">
        <w:tc>
          <w:tcPr>
            <w:tcW w:w="5000" w:type="pct"/>
          </w:tcPr>
          <w:p w14:paraId="0D4C8728" w14:textId="5D74B5F9" w:rsidR="00C978F0" w:rsidRDefault="00395171" w:rsidP="00466651">
            <w:pPr>
              <w:pStyle w:val="Tabletextprimarysource"/>
            </w:pPr>
            <w:r>
              <w:t>TLV-TWA intended to protect for irritation of mucous membranes, skin and upper respiratory tract and potential liver damage and narcosis at higher concentrations.</w:t>
            </w:r>
          </w:p>
          <w:p w14:paraId="02731ECD" w14:textId="222D103F" w:rsidR="00526452" w:rsidRDefault="00395171" w:rsidP="00466651">
            <w:pPr>
              <w:pStyle w:val="Tabletextprimarysource"/>
            </w:pPr>
            <w:r>
              <w:t>Summary of data</w:t>
            </w:r>
            <w:r w:rsidR="00FE69E3">
              <w:t>:</w:t>
            </w:r>
          </w:p>
          <w:p w14:paraId="640444DE" w14:textId="615E1E92" w:rsidR="00395171" w:rsidRDefault="00395171" w:rsidP="00466651">
            <w:pPr>
              <w:pStyle w:val="Tabletextprimarysource"/>
            </w:pPr>
            <w:r>
              <w:t xml:space="preserve">Human and animal exposure database is very limited. TLV-TWA based on toleration at 500 ppm </w:t>
            </w:r>
            <w:r w:rsidR="00933720">
              <w:t xml:space="preserve">in animals </w:t>
            </w:r>
            <w:r>
              <w:t xml:space="preserve">without observable adverse effects at </w:t>
            </w:r>
            <w:r w:rsidR="008C0E4E">
              <w:t xml:space="preserve">brief or </w:t>
            </w:r>
            <w:r>
              <w:t>prolonged exposures</w:t>
            </w:r>
            <w:r w:rsidR="0068339A">
              <w:t xml:space="preserve">; it appears this refers to acute and </w:t>
            </w:r>
            <w:r w:rsidR="0068339A" w:rsidRPr="0068339A">
              <w:t>sub</w:t>
            </w:r>
            <w:r w:rsidR="008E70C1">
              <w:t>-</w:t>
            </w:r>
            <w:r w:rsidR="0068339A" w:rsidRPr="0068339A">
              <w:t>chronic inhalation study with rabbits, guinea pigs and monkeys</w:t>
            </w:r>
            <w:r>
              <w:t xml:space="preserve">. In the absence of further information, TLV-TWA is recommended </w:t>
            </w:r>
            <w:r w:rsidR="00E001BE">
              <w:t>cautiously,</w:t>
            </w:r>
            <w:r>
              <w:t xml:space="preserve"> and it is noted that the TLV</w:t>
            </w:r>
            <w:r w:rsidR="008E70C1">
              <w:noBreakHyphen/>
            </w:r>
            <w:r>
              <w:t xml:space="preserve">TWA values of related compounds </w:t>
            </w:r>
            <w:r w:rsidR="00E001BE">
              <w:t>(</w:t>
            </w:r>
            <w:r>
              <w:t>e.g. 1 and 2-nitropropane and nitromethane</w:t>
            </w:r>
            <w:r w:rsidR="00E001BE">
              <w:t>)</w:t>
            </w:r>
            <w:r>
              <w:t xml:space="preserve"> are lower and assigned with an A3 carcinogenicity notation.</w:t>
            </w:r>
          </w:p>
          <w:p w14:paraId="377A0919" w14:textId="497AF9BF" w:rsidR="00526452" w:rsidRDefault="00395171" w:rsidP="00466651">
            <w:pPr>
              <w:pStyle w:val="Tabletextprimarysource"/>
            </w:pPr>
            <w:r>
              <w:t>Human data</w:t>
            </w:r>
            <w:r w:rsidR="00FE69E3">
              <w:t>:</w:t>
            </w:r>
          </w:p>
          <w:p w14:paraId="3EA522C7" w14:textId="77777777" w:rsidR="00395171" w:rsidRDefault="00395171" w:rsidP="00466651">
            <w:pPr>
              <w:pStyle w:val="Tabletextprimarysource"/>
              <w:numPr>
                <w:ilvl w:val="0"/>
                <w:numId w:val="2"/>
              </w:numPr>
            </w:pPr>
            <w:r>
              <w:t>Odour threshold 2.1 ppm</w:t>
            </w:r>
            <w:r w:rsidR="00466651">
              <w:t>.</w:t>
            </w:r>
          </w:p>
          <w:p w14:paraId="71AE119C" w14:textId="0DCBE1F1" w:rsidR="00526452" w:rsidRDefault="00395171" w:rsidP="00466651">
            <w:pPr>
              <w:pStyle w:val="Tabletextprimarysource"/>
            </w:pPr>
            <w:r>
              <w:t>Animal data</w:t>
            </w:r>
            <w:r w:rsidR="00FE69E3">
              <w:t>:</w:t>
            </w:r>
          </w:p>
          <w:p w14:paraId="7B2CB7E2" w14:textId="61A78DF3" w:rsidR="00526452" w:rsidRDefault="00395171" w:rsidP="00466651">
            <w:pPr>
              <w:pStyle w:val="Tabletextprimarysource"/>
              <w:numPr>
                <w:ilvl w:val="0"/>
                <w:numId w:val="2"/>
              </w:numPr>
            </w:pPr>
            <w:r>
              <w:t>Mortality at 13,000 ppm</w:t>
            </w:r>
            <w:r w:rsidR="00D630D1">
              <w:t xml:space="preserve"> in acute inhalation study</w:t>
            </w:r>
            <w:r>
              <w:t xml:space="preserve"> (rats</w:t>
            </w:r>
            <w:r w:rsidR="00D630D1">
              <w:t xml:space="preserve">, </w:t>
            </w:r>
            <w:r>
              <w:t xml:space="preserve">6–7 h); no </w:t>
            </w:r>
            <w:r w:rsidR="00A46498">
              <w:t>overt signs of toxicity at 2,200 ppm (rats, 6 h)</w:t>
            </w:r>
            <w:r w:rsidR="00FE69E3">
              <w:t>:</w:t>
            </w:r>
          </w:p>
          <w:p w14:paraId="27E686AF" w14:textId="12C1313C" w:rsidR="00A46498" w:rsidRDefault="00A46498" w:rsidP="002B6ACA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r>
              <w:t>respiratory irritation, narcosis and liver damage observed at high concentrations (no further information provided)</w:t>
            </w:r>
          </w:p>
          <w:p w14:paraId="51C9A70A" w14:textId="73FD9457" w:rsidR="00A46498" w:rsidRDefault="00A46498" w:rsidP="00466651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Mortality at 1,000–30,000 ppm and no toxic effects reported at 500 ppm </w:t>
            </w:r>
            <w:r w:rsidR="002F059E">
              <w:t xml:space="preserve">in acute inhalation study </w:t>
            </w:r>
            <w:r>
              <w:t>(rabbits, guinea pigs, monkeys, 0.5–140 total h, no further details)</w:t>
            </w:r>
            <w:r w:rsidR="00FE69E3">
              <w:t>:</w:t>
            </w:r>
            <w:r>
              <w:t xml:space="preserve"> </w:t>
            </w:r>
          </w:p>
          <w:p w14:paraId="4019FEB4" w14:textId="15ECC027" w:rsidR="00A46498" w:rsidRDefault="00A46498" w:rsidP="002B6ACA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r>
              <w:t>liver damage observed in all dead animals</w:t>
            </w:r>
          </w:p>
          <w:p w14:paraId="404D1196" w14:textId="6914BFFE" w:rsidR="00A46498" w:rsidRDefault="00A46498" w:rsidP="002B6ACA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r>
              <w:t xml:space="preserve">no evidence </w:t>
            </w:r>
            <w:r w:rsidR="00933720">
              <w:t>of</w:t>
            </w:r>
            <w:r>
              <w:t xml:space="preserve"> dose-related </w:t>
            </w:r>
            <w:r w:rsidR="008E70C1">
              <w:t>methaemoglobinaemia</w:t>
            </w:r>
          </w:p>
          <w:p w14:paraId="67A88B4B" w14:textId="26B3F124" w:rsidR="00A46498" w:rsidRDefault="002F059E" w:rsidP="00466651">
            <w:pPr>
              <w:pStyle w:val="Tabletextprimarysource"/>
              <w:numPr>
                <w:ilvl w:val="0"/>
                <w:numId w:val="2"/>
              </w:numPr>
            </w:pPr>
            <w:r>
              <w:t>Rapidly metabolised and e</w:t>
            </w:r>
            <w:r w:rsidR="00A46498">
              <w:t xml:space="preserve">liminated within 30 h; excreted </w:t>
            </w:r>
            <w:r w:rsidR="00A46498" w:rsidRPr="002B6ACA">
              <w:rPr>
                <w:i/>
              </w:rPr>
              <w:t>via</w:t>
            </w:r>
            <w:r w:rsidR="00A46498">
              <w:t xml:space="preserve"> lungs</w:t>
            </w:r>
            <w:r>
              <w:t xml:space="preserve"> (no further details)</w:t>
            </w:r>
          </w:p>
          <w:p w14:paraId="47F4BA5A" w14:textId="3018DB94" w:rsidR="002F059E" w:rsidRDefault="002F059E" w:rsidP="00466651">
            <w:pPr>
              <w:pStyle w:val="Tabletextprimarysource"/>
              <w:numPr>
                <w:ilvl w:val="0"/>
                <w:numId w:val="2"/>
              </w:numPr>
            </w:pPr>
            <w:r>
              <w:t>No sub</w:t>
            </w:r>
            <w:r w:rsidR="008E70C1">
              <w:t>-</w:t>
            </w:r>
            <w:r>
              <w:t>chronic or chronic exposure data</w:t>
            </w:r>
            <w:r w:rsidR="00B95342">
              <w:t xml:space="preserve"> rep</w:t>
            </w:r>
            <w:r w:rsidR="00F73E8F">
              <w:t>o</w:t>
            </w:r>
            <w:r w:rsidR="00B95342">
              <w:t>rted</w:t>
            </w:r>
            <w:r>
              <w:t xml:space="preserve"> </w:t>
            </w:r>
          </w:p>
          <w:p w14:paraId="129DDD13" w14:textId="44AC7EC7" w:rsidR="002F059E" w:rsidRDefault="002F059E" w:rsidP="00466651">
            <w:pPr>
              <w:pStyle w:val="Tabletextprimarysource"/>
              <w:numPr>
                <w:ilvl w:val="0"/>
                <w:numId w:val="2"/>
              </w:numPr>
            </w:pPr>
            <w:r>
              <w:t>No mutagenicity data</w:t>
            </w:r>
            <w:r w:rsidR="00466651">
              <w:t>.</w:t>
            </w:r>
          </w:p>
          <w:p w14:paraId="4D36D53A" w14:textId="77777777" w:rsidR="00061091" w:rsidRDefault="00061091" w:rsidP="00466651">
            <w:pPr>
              <w:pStyle w:val="Tabletextprimarysource"/>
              <w:contextualSpacing/>
            </w:pPr>
          </w:p>
          <w:p w14:paraId="4B9EFC2B" w14:textId="0FBBD9A0" w:rsidR="00395171" w:rsidRDefault="00395171" w:rsidP="00466651">
            <w:pPr>
              <w:pStyle w:val="Tabletextprimarysource"/>
              <w:contextualSpacing/>
            </w:pPr>
            <w:r>
              <w:t>Insufficient data to assign a TLV-STEL or notations for carcinogenicity, skin absorption or sensitisation.</w:t>
            </w:r>
          </w:p>
          <w:p w14:paraId="2D3CDF41" w14:textId="77777777" w:rsidR="00061091" w:rsidRPr="00DA352E" w:rsidRDefault="00061091" w:rsidP="00466651">
            <w:pPr>
              <w:pStyle w:val="Tabletextprimarysource"/>
            </w:pPr>
          </w:p>
        </w:tc>
      </w:tr>
      <w:tr w:rsidR="00C978F0" w:rsidRPr="00DA352E" w14:paraId="35F435FE" w14:textId="77777777" w:rsidTr="0075683A">
        <w:tc>
          <w:tcPr>
            <w:tcW w:w="5000" w:type="pct"/>
            <w:shd w:val="clear" w:color="auto" w:fill="F2F2F2" w:themeFill="background1" w:themeFillShade="F2"/>
          </w:tcPr>
          <w:p w14:paraId="2150DB27" w14:textId="77777777" w:rsidR="00C978F0" w:rsidRPr="00DA352E" w:rsidRDefault="00DA352E" w:rsidP="00B04D60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302FA3">
                  <w:t>2017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302FA3">
                  <w:t>MAK: 10 ppm (31 mg/m</w:t>
                </w:r>
                <w:r w:rsidR="00302FA3" w:rsidRPr="00302FA3">
                  <w:rPr>
                    <w:vertAlign w:val="superscript"/>
                  </w:rPr>
                  <w:t>3</w:t>
                </w:r>
                <w:r w:rsidR="00302FA3">
                  <w:t>)</w:t>
                </w:r>
              </w:sdtContent>
            </w:sdt>
          </w:p>
        </w:tc>
      </w:tr>
      <w:tr w:rsidR="00C978F0" w:rsidRPr="00DA352E" w14:paraId="3B0690CB" w14:textId="77777777" w:rsidTr="0075683A">
        <w:tc>
          <w:tcPr>
            <w:tcW w:w="5000" w:type="pct"/>
          </w:tcPr>
          <w:p w14:paraId="4CE442DD" w14:textId="6230D17A" w:rsidR="00526452" w:rsidRDefault="002F059E" w:rsidP="00466651">
            <w:pPr>
              <w:pStyle w:val="Tabletextprimarysource"/>
            </w:pPr>
            <w:r>
              <w:t>Summary of additional information</w:t>
            </w:r>
            <w:r w:rsidR="00FE69E3">
              <w:t>:</w:t>
            </w:r>
          </w:p>
          <w:p w14:paraId="686329FA" w14:textId="46561006" w:rsidR="00C86961" w:rsidRDefault="002F059E" w:rsidP="00C86961">
            <w:pPr>
              <w:pStyle w:val="Tabletextprimarysource"/>
            </w:pPr>
            <w:r>
              <w:t xml:space="preserve">Inadequate human exposure data available to derive a MAK. Therefore, MAK derived from </w:t>
            </w:r>
            <w:r w:rsidR="000C5614">
              <w:t xml:space="preserve">a </w:t>
            </w:r>
            <w:r>
              <w:t>LOAE</w:t>
            </w:r>
            <w:r w:rsidR="00933720">
              <w:t>C</w:t>
            </w:r>
            <w:r>
              <w:t xml:space="preserve"> of 100 ppm for </w:t>
            </w:r>
            <w:r w:rsidR="00276280">
              <w:t xml:space="preserve">methaemoglobin formation and </w:t>
            </w:r>
            <w:r>
              <w:t>adverse spleen effects</w:t>
            </w:r>
            <w:r w:rsidR="00276280">
              <w:t xml:space="preserve"> </w:t>
            </w:r>
            <w:r>
              <w:t>from a sub</w:t>
            </w:r>
            <w:r w:rsidR="00526452">
              <w:noBreakHyphen/>
            </w:r>
            <w:r>
              <w:t xml:space="preserve">chronic inhalation study </w:t>
            </w:r>
            <w:r w:rsidR="00933720">
              <w:t>in</w:t>
            </w:r>
            <w:r>
              <w:t xml:space="preserve"> rats</w:t>
            </w:r>
            <w:r w:rsidR="00964CAB">
              <w:t xml:space="preserve">. </w:t>
            </w:r>
            <w:r w:rsidR="00191077">
              <w:t>Previous MAK of 100 ppm withdrawn.</w:t>
            </w:r>
          </w:p>
          <w:p w14:paraId="41136F32" w14:textId="68F3500E" w:rsidR="00526452" w:rsidRDefault="000C6031" w:rsidP="00C86961">
            <w:pPr>
              <w:pStyle w:val="Tabletextprimarysource"/>
            </w:pPr>
            <w:r>
              <w:t>Derivation of MAK</w:t>
            </w:r>
            <w:r w:rsidR="00FE69E3">
              <w:t>:</w:t>
            </w:r>
          </w:p>
          <w:p w14:paraId="6F114A4F" w14:textId="32092327" w:rsidR="00C86961" w:rsidRDefault="007B24BF" w:rsidP="002B6ACA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A NOAEC of </w:t>
            </w:r>
            <w:r>
              <w:rPr>
                <w:rFonts w:cs="Arial"/>
              </w:rPr>
              <w:t>≈</w:t>
            </w:r>
            <w:r>
              <w:t xml:space="preserve">20 ppm calculated using the LOAEC by dividing by </w:t>
            </w:r>
            <w:r w:rsidR="002A7BA7">
              <w:t>UF</w:t>
            </w:r>
            <w:r w:rsidR="000C5614">
              <w:t xml:space="preserve"> of 3 and 2 to account for the absence of an experimentally determined </w:t>
            </w:r>
            <w:r w:rsidR="007A34D1">
              <w:t xml:space="preserve">NOAEC </w:t>
            </w:r>
            <w:r w:rsidR="000C5614">
              <w:t xml:space="preserve">and increasing severity of effects with chronic exposure, respectively </w:t>
            </w:r>
          </w:p>
          <w:p w14:paraId="3201C743" w14:textId="61B13428" w:rsidR="00C86961" w:rsidRDefault="007B24BF" w:rsidP="002B6ACA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A MAK of 10 ppm derived by dividing the </w:t>
            </w:r>
            <w:r w:rsidR="000C5614">
              <w:t>NOAEC to account for increased respiratory volume at the workplace</w:t>
            </w:r>
          </w:p>
          <w:p w14:paraId="3EA94384" w14:textId="5A8FF35A" w:rsidR="002F059E" w:rsidRDefault="000C6914" w:rsidP="00C86961">
            <w:pPr>
              <w:pStyle w:val="Tabletextprimarysource"/>
            </w:pPr>
            <w:r>
              <w:lastRenderedPageBreak/>
              <w:t xml:space="preserve">MAK is considered protective of excess methaemoglobin formation in humans by analogy to other </w:t>
            </w:r>
            <w:r w:rsidR="00F10856">
              <w:rPr>
                <w:rFonts w:cs="Arial"/>
              </w:rPr>
              <w:t>methaemoglobinaemia</w:t>
            </w:r>
            <w:r w:rsidR="00F10856" w:rsidDel="00C96189">
              <w:t xml:space="preserve"> </w:t>
            </w:r>
            <w:r>
              <w:t>producers e.g. nitromethane and aniline</w:t>
            </w:r>
            <w:r w:rsidR="00AE7551">
              <w:t xml:space="preserve"> </w:t>
            </w:r>
            <w:r w:rsidR="00C96189">
              <w:t>and</w:t>
            </w:r>
            <w:r w:rsidR="00AE7551">
              <w:t xml:space="preserve"> </w:t>
            </w:r>
            <w:r w:rsidR="00191077">
              <w:t xml:space="preserve">due its distance from a NAEC derived from the LOAEC of 84 ppm for decreased </w:t>
            </w:r>
            <w:proofErr w:type="spellStart"/>
            <w:r w:rsidR="00C96189">
              <w:t>bw</w:t>
            </w:r>
            <w:proofErr w:type="spellEnd"/>
            <w:r w:rsidR="00191077">
              <w:t xml:space="preserve"> gains in chronically fed rats.</w:t>
            </w:r>
          </w:p>
          <w:p w14:paraId="7E9002FB" w14:textId="2E8FAF48" w:rsidR="000C6914" w:rsidRDefault="000C6914" w:rsidP="00466651">
            <w:pPr>
              <w:pStyle w:val="Tabletextprimarysource"/>
            </w:pPr>
            <w:r>
              <w:t xml:space="preserve">Not considered carcinogenic based on lack of tumorigenicity in chronic inhalation study </w:t>
            </w:r>
            <w:r w:rsidR="00933720">
              <w:t>in</w:t>
            </w:r>
            <w:r>
              <w:t xml:space="preserve"> rats.</w:t>
            </w:r>
          </w:p>
          <w:p w14:paraId="75CF43D4" w14:textId="77777777" w:rsidR="000C6914" w:rsidRDefault="000C6914" w:rsidP="00466651">
            <w:pPr>
              <w:pStyle w:val="Tabletextprimarysource"/>
            </w:pPr>
            <w:r>
              <w:t xml:space="preserve">A skin notation is warranted based on </w:t>
            </w:r>
            <w:r w:rsidR="008359E5">
              <w:t>modelled</w:t>
            </w:r>
            <w:r>
              <w:t xml:space="preserve"> dermal uptake from a saturated aqueous solution that contributes significantly to the overall burden </w:t>
            </w:r>
            <w:r w:rsidR="008359E5">
              <w:t>relative to inhalational exposure at the MAK.</w:t>
            </w:r>
          </w:p>
          <w:p w14:paraId="2B6A048B" w14:textId="77777777" w:rsidR="000C6914" w:rsidRDefault="000C6914" w:rsidP="00466651">
            <w:pPr>
              <w:pStyle w:val="Tabletextprimarysource"/>
            </w:pPr>
            <w:r>
              <w:t xml:space="preserve">No evidence for </w:t>
            </w:r>
            <w:r w:rsidR="00894687">
              <w:t>skin or respiratory sensitisation reported in humans and animals.</w:t>
            </w:r>
          </w:p>
          <w:p w14:paraId="4C1F78EA" w14:textId="19F3E18A" w:rsidR="00526452" w:rsidRDefault="00894687" w:rsidP="00B04D60">
            <w:pPr>
              <w:pStyle w:val="Tabletextprimarysource"/>
              <w:keepNext/>
            </w:pPr>
            <w:r>
              <w:t>Human data</w:t>
            </w:r>
            <w:r w:rsidR="00FC67B1">
              <w:t>:</w:t>
            </w:r>
          </w:p>
          <w:p w14:paraId="49DA3743" w14:textId="1982E9BD" w:rsidR="00BE32BE" w:rsidRPr="00BE32BE" w:rsidRDefault="008F4D74" w:rsidP="00B04D60">
            <w:pPr>
              <w:pStyle w:val="Tabletextprimarysource"/>
              <w:keepNext/>
              <w:numPr>
                <w:ilvl w:val="0"/>
                <w:numId w:val="2"/>
              </w:numPr>
            </w:pPr>
            <w:r>
              <w:t>A</w:t>
            </w:r>
            <w:r w:rsidR="00BE32BE">
              <w:t>ccidental ingestion (&lt;90 mL) in children led to vomiting, cyanosis</w:t>
            </w:r>
            <w:r w:rsidR="00C252DB">
              <w:t>,</w:t>
            </w:r>
            <w:r w:rsidR="00BE32BE">
              <w:t xml:space="preserve"> and hypoxia</w:t>
            </w:r>
          </w:p>
          <w:p w14:paraId="5386F282" w14:textId="71815011" w:rsidR="00894687" w:rsidRPr="00BE32BE" w:rsidRDefault="00BE32BE" w:rsidP="00B04D60">
            <w:pPr>
              <w:pStyle w:val="Tabletextprimarysource"/>
              <w:keepNext/>
              <w:numPr>
                <w:ilvl w:val="0"/>
                <w:numId w:val="2"/>
              </w:numPr>
            </w:pPr>
            <w:r>
              <w:rPr>
                <w:rFonts w:cs="Arial"/>
                <w:color w:val="1C1D1E"/>
                <w:shd w:val="clear" w:color="auto" w:fill="FFFFFF"/>
              </w:rPr>
              <w:t>Sensory irritation threshold</w:t>
            </w:r>
            <w:r w:rsidR="00C252DB">
              <w:rPr>
                <w:rFonts w:cs="Arial"/>
                <w:color w:val="1C1D1E"/>
                <w:shd w:val="clear" w:color="auto" w:fill="FFFFFF"/>
              </w:rPr>
              <w:t xml:space="preserve"> of </w:t>
            </w:r>
            <w:r>
              <w:rPr>
                <w:rFonts w:cs="Arial"/>
                <w:color w:val="1C1D1E"/>
                <w:shd w:val="clear" w:color="auto" w:fill="FFFFFF"/>
              </w:rPr>
              <w:t>100 ppm (no further information provided)</w:t>
            </w:r>
          </w:p>
          <w:p w14:paraId="7B125803" w14:textId="1ABF243E" w:rsidR="00BE32BE" w:rsidRDefault="00BE32BE" w:rsidP="00466651">
            <w:pPr>
              <w:pStyle w:val="Tabletextprimarysource"/>
              <w:numPr>
                <w:ilvl w:val="0"/>
                <w:numId w:val="2"/>
              </w:numPr>
            </w:pPr>
            <w:r>
              <w:t>Modelled dermal flux from 3 studies: 39, 81 and 250 µg/cm</w:t>
            </w:r>
            <w:r>
              <w:rPr>
                <w:vertAlign w:val="superscript"/>
              </w:rPr>
              <w:t>2</w:t>
            </w:r>
            <w:r>
              <w:t>/h</w:t>
            </w:r>
            <w:r w:rsidR="000F43CB">
              <w:t>, respectively</w:t>
            </w:r>
            <w:r w:rsidR="00466651">
              <w:t>.</w:t>
            </w:r>
          </w:p>
          <w:p w14:paraId="6377009F" w14:textId="01DC8C8C" w:rsidR="00526452" w:rsidRDefault="00894687" w:rsidP="00466651">
            <w:pPr>
              <w:pStyle w:val="Tabletextprimarysource"/>
            </w:pPr>
            <w:r>
              <w:t>Animal data</w:t>
            </w:r>
          </w:p>
          <w:p w14:paraId="202E9E58" w14:textId="301B2A8B" w:rsidR="00526452" w:rsidRDefault="00A9785E">
            <w:pPr>
              <w:pStyle w:val="Tabletextprimarysource"/>
              <w:numPr>
                <w:ilvl w:val="0"/>
                <w:numId w:val="2"/>
              </w:numPr>
            </w:pPr>
            <w:r>
              <w:t>Sub</w:t>
            </w:r>
            <w:r w:rsidR="007B24BF">
              <w:t>-</w:t>
            </w:r>
            <w:r>
              <w:t>chronic inhalation studies</w:t>
            </w:r>
            <w:r w:rsidR="000F43CB">
              <w:t xml:space="preserve"> indicate histopathological changes to spleen and </w:t>
            </w:r>
            <w:r w:rsidR="007B24BF" w:rsidRPr="00F10856">
              <w:t>methaemoglobinaemia</w:t>
            </w:r>
            <w:r w:rsidR="009E6DEB">
              <w:t>; agency considers these effects</w:t>
            </w:r>
            <w:r w:rsidR="000F43CB">
              <w:t xml:space="preserve"> </w:t>
            </w:r>
            <w:r>
              <w:t>more sensitive endpoints than irritation of olfactory epithelia</w:t>
            </w:r>
            <w:r w:rsidR="00C252DB">
              <w:t>;</w:t>
            </w:r>
            <w:r>
              <w:t xml:space="preserve"> </w:t>
            </w:r>
            <w:r w:rsidR="000F43CB">
              <w:t>treatment range</w:t>
            </w:r>
            <w:r w:rsidR="00C252DB">
              <w:t xml:space="preserve"> of </w:t>
            </w:r>
            <w:r w:rsidR="000F43CB">
              <w:t xml:space="preserve">100–1,000 ppm (mice, rats, 6 h/d, 5 d/wk, </w:t>
            </w:r>
            <w:r>
              <w:t>4–</w:t>
            </w:r>
            <w:r w:rsidR="000F43CB">
              <w:t>13 wk</w:t>
            </w:r>
            <w:r w:rsidR="007B24BF">
              <w:t>)</w:t>
            </w:r>
            <w:r w:rsidR="009E6DEB">
              <w:t>:</w:t>
            </w:r>
          </w:p>
          <w:p w14:paraId="1430C4DA" w14:textId="3D428D62" w:rsidR="00D630D1" w:rsidRPr="00F10856" w:rsidRDefault="000F43CB" w:rsidP="00B04D60">
            <w:pPr>
              <w:pStyle w:val="Tabletextprimarysource"/>
              <w:numPr>
                <w:ilvl w:val="1"/>
                <w:numId w:val="2"/>
              </w:numPr>
              <w:ind w:left="1017" w:hanging="283"/>
            </w:pPr>
            <w:r w:rsidRPr="00F10856">
              <w:t>LOAE</w:t>
            </w:r>
            <w:r w:rsidR="00933720" w:rsidRPr="00F10856">
              <w:t>C</w:t>
            </w:r>
            <w:r w:rsidRPr="00F10856">
              <w:t>: 100 ppm (rats</w:t>
            </w:r>
            <w:r w:rsidR="00964CAB" w:rsidRPr="00F10856">
              <w:t xml:space="preserve">) for </w:t>
            </w:r>
            <w:r w:rsidR="007B24BF" w:rsidRPr="00F10856">
              <w:t>methaemoglobinaemia</w:t>
            </w:r>
            <w:r w:rsidR="00A9785E" w:rsidRPr="00F10856">
              <w:t xml:space="preserve"> </w:t>
            </w:r>
          </w:p>
          <w:p w14:paraId="1017F254" w14:textId="3D36B195" w:rsidR="000F43CB" w:rsidRDefault="000F43CB" w:rsidP="00B04D60">
            <w:pPr>
              <w:pStyle w:val="Tabletextprimarysource"/>
              <w:numPr>
                <w:ilvl w:val="1"/>
                <w:numId w:val="2"/>
              </w:numPr>
              <w:ind w:left="1017" w:hanging="283"/>
            </w:pPr>
            <w:r w:rsidRPr="00D86147">
              <w:t>NOAE</w:t>
            </w:r>
            <w:r w:rsidR="00933720" w:rsidRPr="00D86147">
              <w:t>C</w:t>
            </w:r>
            <w:r w:rsidRPr="00D86147">
              <w:t>: 100 ppm (mice)</w:t>
            </w:r>
            <w:r w:rsidR="00D630D1" w:rsidRPr="00D86147">
              <w:t xml:space="preserve"> for </w:t>
            </w:r>
            <w:r w:rsidR="007B24BF" w:rsidRPr="00D86147">
              <w:t>methaemoglobinaemia</w:t>
            </w:r>
            <w:r>
              <w:t>, LOAE</w:t>
            </w:r>
            <w:r w:rsidR="00933720">
              <w:t>C</w:t>
            </w:r>
            <w:r>
              <w:t>: 350 ppm (mice)</w:t>
            </w:r>
          </w:p>
          <w:p w14:paraId="01B83259" w14:textId="6FB937D7" w:rsidR="00A9785E" w:rsidRDefault="00964CAB" w:rsidP="00B04D60">
            <w:pPr>
              <w:pStyle w:val="Tabletextprimarysource"/>
              <w:numPr>
                <w:ilvl w:val="1"/>
                <w:numId w:val="2"/>
              </w:numPr>
              <w:ind w:left="1017" w:hanging="283"/>
            </w:pPr>
            <w:r>
              <w:t>NOAE</w:t>
            </w:r>
            <w:r w:rsidR="00933720">
              <w:t>C</w:t>
            </w:r>
            <w:r>
              <w:t xml:space="preserve">: 100 ppm (rats, mice) for irritation of olfactory epithelia; </w:t>
            </w:r>
            <w:r w:rsidR="007A34D1">
              <w:t>LOAEC</w:t>
            </w:r>
            <w:r>
              <w:t>: 350 ppm, but severity did not increase with exposure duration</w:t>
            </w:r>
          </w:p>
          <w:p w14:paraId="12702BCB" w14:textId="1D3BE77F" w:rsidR="00894687" w:rsidRDefault="00894687" w:rsidP="00466651">
            <w:pPr>
              <w:pStyle w:val="Tabletextprimarysource"/>
              <w:numPr>
                <w:ilvl w:val="0"/>
                <w:numId w:val="2"/>
              </w:numPr>
            </w:pPr>
            <w:r>
              <w:t>Considered non-carcinogenic based on chronic inhalation studies of the pure substance and mixtures; increased tumorigenicity from mixtures not caused by nitroethane exposure</w:t>
            </w:r>
            <w:r w:rsidR="009E6DEB">
              <w:t>:</w:t>
            </w:r>
          </w:p>
          <w:p w14:paraId="744CCBB5" w14:textId="77777777" w:rsidR="006474BC" w:rsidRDefault="00894687" w:rsidP="00B04D60">
            <w:pPr>
              <w:pStyle w:val="Tabletextprimarysource"/>
              <w:numPr>
                <w:ilvl w:val="1"/>
                <w:numId w:val="2"/>
              </w:numPr>
              <w:ind w:left="1017" w:hanging="283"/>
            </w:pPr>
            <w:r>
              <w:t>no increased tumour incidence at 84 or 168 ppm (rats, 7 h/d, 5 d/wk, 2 yr)</w:t>
            </w:r>
          </w:p>
          <w:p w14:paraId="45637480" w14:textId="30E73973" w:rsidR="00231067" w:rsidRDefault="006474BC" w:rsidP="00B04D60">
            <w:pPr>
              <w:pStyle w:val="Tabletextprimarysource"/>
              <w:numPr>
                <w:ilvl w:val="1"/>
                <w:numId w:val="2"/>
              </w:numPr>
              <w:ind w:left="1017" w:hanging="283"/>
            </w:pPr>
            <w:r>
              <w:t xml:space="preserve">slight decreased </w:t>
            </w:r>
            <w:proofErr w:type="spellStart"/>
            <w:r w:rsidR="00C96189">
              <w:t>bw</w:t>
            </w:r>
            <w:proofErr w:type="spellEnd"/>
            <w:r>
              <w:t xml:space="preserve"> gain</w:t>
            </w:r>
            <w:r w:rsidR="00231067">
              <w:t xml:space="preserve"> (&lt;10%)</w:t>
            </w:r>
            <w:r>
              <w:t xml:space="preserve"> observed at 84 ppm</w:t>
            </w:r>
            <w:r w:rsidR="00231067">
              <w:t>; &gt;10% decrease at 168 ppm in females only</w:t>
            </w:r>
          </w:p>
          <w:p w14:paraId="412FE21A" w14:textId="73E7B565" w:rsidR="000F43CB" w:rsidRDefault="00231067" w:rsidP="00B04D60">
            <w:pPr>
              <w:pStyle w:val="Tabletextprimarysource"/>
              <w:numPr>
                <w:ilvl w:val="1"/>
                <w:numId w:val="2"/>
              </w:numPr>
              <w:ind w:left="1017" w:hanging="283"/>
            </w:pPr>
            <w:r w:rsidRPr="00F10856">
              <w:t xml:space="preserve">methaemoglobin </w:t>
            </w:r>
            <w:r w:rsidR="00F10856" w:rsidRPr="00F10856">
              <w:t>(</w:t>
            </w:r>
            <w:proofErr w:type="spellStart"/>
            <w:r w:rsidR="00F10856" w:rsidRPr="00F10856">
              <w:t>MetHb</w:t>
            </w:r>
            <w:proofErr w:type="spellEnd"/>
            <w:r w:rsidR="00F10856" w:rsidRPr="00F10856">
              <w:t xml:space="preserve">) </w:t>
            </w:r>
            <w:r w:rsidRPr="00F10856">
              <w:t>formation</w:t>
            </w:r>
            <w:r>
              <w:t xml:space="preserve"> was not measured </w:t>
            </w:r>
          </w:p>
          <w:p w14:paraId="6501E951" w14:textId="77777777" w:rsidR="00894687" w:rsidRDefault="000F43CB" w:rsidP="00466651">
            <w:pPr>
              <w:pStyle w:val="Tabletextprimarysource"/>
              <w:numPr>
                <w:ilvl w:val="0"/>
                <w:numId w:val="2"/>
              </w:numPr>
            </w:pPr>
            <w:r>
              <w:t>Non-sensitising when induced with 10% in saline intradermal injection and challenged with 1% solution after 2 wk (guinea pigs)</w:t>
            </w:r>
          </w:p>
          <w:p w14:paraId="01E7EF77" w14:textId="77777777" w:rsidR="00894687" w:rsidRDefault="00894687" w:rsidP="00466651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Non-mutagenic </w:t>
            </w:r>
            <w:r>
              <w:rPr>
                <w:i/>
              </w:rPr>
              <w:t>in vitro</w:t>
            </w:r>
            <w:r>
              <w:t xml:space="preserve"> in bacterial or mammalian cells or </w:t>
            </w:r>
            <w:r>
              <w:rPr>
                <w:i/>
              </w:rPr>
              <w:t>in vivo</w:t>
            </w:r>
            <w:r>
              <w:t xml:space="preserve"> in mice</w:t>
            </w:r>
            <w:r w:rsidR="000F43CB">
              <w:t>.</w:t>
            </w:r>
          </w:p>
          <w:p w14:paraId="1560BB85" w14:textId="739A4F7A" w:rsidR="00933720" w:rsidRPr="00DA352E" w:rsidRDefault="00933720" w:rsidP="00933720">
            <w:pPr>
              <w:pStyle w:val="Tabletextprimarysource"/>
            </w:pPr>
          </w:p>
        </w:tc>
      </w:tr>
      <w:tr w:rsidR="00C978F0" w:rsidRPr="00DA352E" w14:paraId="05571B44" w14:textId="77777777" w:rsidTr="0075683A">
        <w:tc>
          <w:tcPr>
            <w:tcW w:w="5000" w:type="pct"/>
            <w:shd w:val="clear" w:color="auto" w:fill="F2F2F2" w:themeFill="background1" w:themeFillShade="F2"/>
          </w:tcPr>
          <w:p w14:paraId="05ED8D6C" w14:textId="77777777" w:rsidR="00C978F0" w:rsidRPr="00DA352E" w:rsidRDefault="00DA352E" w:rsidP="002A7BA7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  <w:ind w:left="2857" w:hanging="2857"/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0F56E7">
                  <w:t>2012</w:t>
                </w:r>
              </w:sdtContent>
            </w:sdt>
            <w:r w:rsidR="00466651">
              <w:t xml:space="preserve"> </w:t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2A7BA7">
                  <w:t xml:space="preserve">             </w:t>
                </w:r>
                <w:r w:rsidR="000F56E7" w:rsidRPr="000F56E7">
                  <w:t>TWA</w:t>
                </w:r>
                <w:r w:rsidR="000F56E7">
                  <w:t>: 20 ppm (62 mg/m</w:t>
                </w:r>
                <w:r w:rsidR="000F56E7" w:rsidRPr="000F56E7">
                  <w:rPr>
                    <w:vertAlign w:val="superscript"/>
                  </w:rPr>
                  <w:t>3</w:t>
                </w:r>
                <w:r w:rsidR="000F56E7">
                  <w:t xml:space="preserve">); </w:t>
                </w:r>
                <w:r w:rsidR="00B93DE6">
                  <w:t>STEL</w:t>
                </w:r>
                <w:r w:rsidR="000F56E7">
                  <w:t>: 100 ppm (312 mg/m</w:t>
                </w:r>
                <w:r w:rsidR="000F56E7" w:rsidRPr="000F56E7">
                  <w:rPr>
                    <w:vertAlign w:val="superscript"/>
                  </w:rPr>
                  <w:t>3</w:t>
                </w:r>
                <w:r w:rsidR="000F56E7">
                  <w:t>)</w:t>
                </w:r>
              </w:sdtContent>
            </w:sdt>
          </w:p>
        </w:tc>
      </w:tr>
      <w:tr w:rsidR="00C978F0" w:rsidRPr="00DA352E" w14:paraId="45E51188" w14:textId="77777777" w:rsidTr="0075683A">
        <w:tc>
          <w:tcPr>
            <w:tcW w:w="5000" w:type="pct"/>
          </w:tcPr>
          <w:p w14:paraId="3906B69A" w14:textId="1E2CB42D" w:rsidR="00526452" w:rsidRDefault="008A0630" w:rsidP="00466651">
            <w:pPr>
              <w:pStyle w:val="Tabletextprimarysource"/>
            </w:pPr>
            <w:r>
              <w:t>Summary of additional data</w:t>
            </w:r>
            <w:r w:rsidR="009E6DEB">
              <w:t>:</w:t>
            </w:r>
          </w:p>
          <w:p w14:paraId="7BD2316D" w14:textId="5B4EBDB6" w:rsidR="002A7BA7" w:rsidRDefault="006474BC" w:rsidP="00466651">
            <w:pPr>
              <w:pStyle w:val="Tabletextprimarysource"/>
            </w:pPr>
            <w:r>
              <w:t>TWA derived from LOAE</w:t>
            </w:r>
            <w:r w:rsidR="00933720">
              <w:t>C</w:t>
            </w:r>
            <w:r>
              <w:t xml:space="preserve"> of 84 ppm </w:t>
            </w:r>
            <w:r w:rsidR="008F0091">
              <w:t xml:space="preserve">for </w:t>
            </w:r>
            <w:proofErr w:type="spellStart"/>
            <w:r w:rsidR="00C96189">
              <w:t>bw</w:t>
            </w:r>
            <w:proofErr w:type="spellEnd"/>
            <w:r w:rsidR="007B24BF">
              <w:t xml:space="preserve"> </w:t>
            </w:r>
            <w:r w:rsidR="008F0091">
              <w:t xml:space="preserve">gain delay </w:t>
            </w:r>
            <w:r>
              <w:t xml:space="preserve">in </w:t>
            </w:r>
            <w:r w:rsidR="008F0091">
              <w:t xml:space="preserve">a </w:t>
            </w:r>
            <w:r>
              <w:t xml:space="preserve">chronic inhalation study </w:t>
            </w:r>
            <w:r w:rsidR="006471AD">
              <w:t xml:space="preserve">in </w:t>
            </w:r>
            <w:r>
              <w:t xml:space="preserve">rats and supported by a </w:t>
            </w:r>
            <w:r w:rsidR="00D630D1">
              <w:t xml:space="preserve">LOAEC </w:t>
            </w:r>
            <w:r>
              <w:t xml:space="preserve">for </w:t>
            </w:r>
            <w:r w:rsidR="00F12C5E">
              <w:t>transient</w:t>
            </w:r>
            <w:r w:rsidR="009E6DEB">
              <w:t>,</w:t>
            </w:r>
            <w:r w:rsidR="00F12C5E">
              <w:t xml:space="preserve"> </w:t>
            </w:r>
            <w:r>
              <w:t xml:space="preserve">slightly </w:t>
            </w:r>
            <w:r w:rsidR="00692C4C">
              <w:t>elevated</w:t>
            </w:r>
            <w:r w:rsidR="00F12C5E">
              <w:t xml:space="preserve"> </w:t>
            </w:r>
            <w:proofErr w:type="spellStart"/>
            <w:r w:rsidR="00F10856">
              <w:t>MetHb</w:t>
            </w:r>
            <w:proofErr w:type="spellEnd"/>
            <w:r w:rsidR="00F10856">
              <w:t xml:space="preserve"> </w:t>
            </w:r>
            <w:r w:rsidR="00692C4C">
              <w:t xml:space="preserve">levels </w:t>
            </w:r>
            <w:r w:rsidR="008F0091">
              <w:t>and signs of nasal irritation/inflammation at 100 ppm in rats</w:t>
            </w:r>
            <w:r w:rsidR="00F12C5E">
              <w:t xml:space="preserve"> (non-significant at terminal necropsy, only significant at interim necropsy), which </w:t>
            </w:r>
            <w:r w:rsidR="00536EC4">
              <w:t>SCOEL</w:t>
            </w:r>
            <w:r w:rsidR="00F12C5E">
              <w:t xml:space="preserve"> presumes to be close to the NOAEC</w:t>
            </w:r>
            <w:r w:rsidR="008F0091">
              <w:t>.</w:t>
            </w:r>
            <w:r w:rsidR="00F12C5E">
              <w:t xml:space="preserve"> </w:t>
            </w:r>
            <w:r w:rsidR="007B24BF">
              <w:t xml:space="preserve">An OEL </w:t>
            </w:r>
            <w:r w:rsidR="003812CC">
              <w:t>of</w:t>
            </w:r>
            <w:r w:rsidR="007B24BF">
              <w:t xml:space="preserve"> 20</w:t>
            </w:r>
            <w:r w:rsidR="00260371">
              <w:t> </w:t>
            </w:r>
            <w:r w:rsidR="007B24BF">
              <w:t>ppm</w:t>
            </w:r>
            <w:r w:rsidR="00F12C5E">
              <w:t xml:space="preserve"> recommended </w:t>
            </w:r>
            <w:r w:rsidR="003812CC">
              <w:t xml:space="preserve">by dividing the LOAEC by </w:t>
            </w:r>
            <w:r w:rsidR="008F0091">
              <w:t xml:space="preserve">overall </w:t>
            </w:r>
            <w:r w:rsidR="007B24BF">
              <w:t xml:space="preserve">UF </w:t>
            </w:r>
            <w:r w:rsidR="008F0091">
              <w:t xml:space="preserve">of </w:t>
            </w:r>
            <w:r w:rsidR="00182E54">
              <w:t xml:space="preserve">4 </w:t>
            </w:r>
            <w:r w:rsidR="008F0091">
              <w:t xml:space="preserve">to account for the absence </w:t>
            </w:r>
            <w:r w:rsidR="007B24BF">
              <w:t xml:space="preserve">of a </w:t>
            </w:r>
            <w:r w:rsidR="00D630D1">
              <w:t>NOAEC</w:t>
            </w:r>
            <w:r w:rsidR="00260371">
              <w:t xml:space="preserve"> and uncertainty in the database</w:t>
            </w:r>
            <w:r w:rsidR="003812CC">
              <w:t>.</w:t>
            </w:r>
            <w:r w:rsidR="002A7BA7">
              <w:t xml:space="preserve"> </w:t>
            </w:r>
          </w:p>
          <w:p w14:paraId="49BF1503" w14:textId="33BD8E50" w:rsidR="008F0091" w:rsidRDefault="008F0091" w:rsidP="00466651">
            <w:pPr>
              <w:pStyle w:val="Tabletextprimarysource"/>
            </w:pPr>
            <w:r>
              <w:t xml:space="preserve">STEL derived from a reported sensory irritation threshold of 100 ppm in humans, which is </w:t>
            </w:r>
            <w:r w:rsidR="00A41A01">
              <w:t xml:space="preserve">presumably </w:t>
            </w:r>
            <w:r w:rsidR="00D5287B">
              <w:t xml:space="preserve">treated as </w:t>
            </w:r>
            <w:r w:rsidR="00A41A01">
              <w:t xml:space="preserve">a LOAEC for this endpoint and </w:t>
            </w:r>
            <w:r>
              <w:t>supported by the calculated median respiratory depression (RD</w:t>
            </w:r>
            <w:r>
              <w:rPr>
                <w:vertAlign w:val="subscript"/>
              </w:rPr>
              <w:t>50</w:t>
            </w:r>
            <w:r>
              <w:t>)</w:t>
            </w:r>
            <w:r w:rsidR="00466651">
              <w:t>.</w:t>
            </w:r>
          </w:p>
          <w:p w14:paraId="4295FC04" w14:textId="77777777" w:rsidR="008359E5" w:rsidRDefault="008359E5" w:rsidP="00466651">
            <w:pPr>
              <w:pStyle w:val="Tabletextprimarysource"/>
            </w:pPr>
            <w:r>
              <w:t>Not considered carcinogenic based on chronic inhalational studies in animals.</w:t>
            </w:r>
          </w:p>
          <w:p w14:paraId="0EF1FCD3" w14:textId="77777777" w:rsidR="008359E5" w:rsidRPr="008F0091" w:rsidRDefault="008359E5" w:rsidP="00466651">
            <w:pPr>
              <w:pStyle w:val="Tabletextprimarysource"/>
            </w:pPr>
            <w:r>
              <w:t>Skin notation recommended based on modelled data</w:t>
            </w:r>
            <w:r w:rsidR="00387C39">
              <w:t xml:space="preserve"> and by analogy to other nitroalkanes, which suggest</w:t>
            </w:r>
            <w:r>
              <w:t xml:space="preserve"> dermal uptake contributes to overall burden re</w:t>
            </w:r>
            <w:r w:rsidR="00387C39">
              <w:t>lative to inhalational exposure.</w:t>
            </w:r>
          </w:p>
          <w:p w14:paraId="5BF66BC5" w14:textId="130B332B" w:rsidR="00526452" w:rsidRDefault="008A0630" w:rsidP="00466651">
            <w:pPr>
              <w:pStyle w:val="Tabletextprimarysource"/>
            </w:pPr>
            <w:r>
              <w:t>Human data</w:t>
            </w:r>
            <w:r w:rsidR="009915B8">
              <w:t>:</w:t>
            </w:r>
          </w:p>
          <w:p w14:paraId="113F5746" w14:textId="34394680" w:rsidR="00F827C1" w:rsidRPr="00F10856" w:rsidRDefault="008A0630" w:rsidP="00466651">
            <w:pPr>
              <w:pStyle w:val="Tabletextprimarysource"/>
              <w:numPr>
                <w:ilvl w:val="0"/>
                <w:numId w:val="2"/>
              </w:numPr>
            </w:pPr>
            <w:r>
              <w:t>Sensory irritation threshold</w:t>
            </w:r>
            <w:r w:rsidR="00F6300A">
              <w:t xml:space="preserve"> of </w:t>
            </w:r>
            <w:r>
              <w:t>100 ppm (also cited in DFG, 2017</w:t>
            </w:r>
            <w:r w:rsidR="009915B8">
              <w:t>)</w:t>
            </w:r>
            <w:r>
              <w:t xml:space="preserve">; no further </w:t>
            </w:r>
            <w:r w:rsidR="00D5287B">
              <w:t xml:space="preserve">details on this study </w:t>
            </w:r>
            <w:r w:rsidR="009915B8">
              <w:t xml:space="preserve">are </w:t>
            </w:r>
            <w:r>
              <w:t>provided</w:t>
            </w:r>
            <w:r w:rsidR="00F10856">
              <w:t>:</w:t>
            </w:r>
          </w:p>
          <w:p w14:paraId="7431B75E" w14:textId="3ABAF778" w:rsidR="008A0630" w:rsidRPr="00387C39" w:rsidRDefault="00D5287B" w:rsidP="00F10856">
            <w:pPr>
              <w:pStyle w:val="Tabletextprimarysource"/>
              <w:numPr>
                <w:ilvl w:val="1"/>
                <w:numId w:val="2"/>
              </w:numPr>
            </w:pPr>
            <w:r>
              <w:rPr>
                <w:rFonts w:cs="Arial"/>
              </w:rPr>
              <w:lastRenderedPageBreak/>
              <w:t>SCOEL acknowledges the ambiguity</w:t>
            </w:r>
            <w:r w:rsidR="008A0630">
              <w:t xml:space="preserve"> </w:t>
            </w:r>
            <w:r>
              <w:t xml:space="preserve">of this reported threshold but supports the derivation of STEL </w:t>
            </w:r>
            <w:r w:rsidR="008A0630">
              <w:t xml:space="preserve">by the relation of TLV </w:t>
            </w:r>
            <w:r w:rsidR="008A0630">
              <w:rPr>
                <w:rFonts w:cs="Arial"/>
              </w:rPr>
              <w:t>≈</w:t>
            </w:r>
            <w:r w:rsidR="008A0630">
              <w:t>0.</w:t>
            </w:r>
            <w:r>
              <w:t>0</w:t>
            </w:r>
            <w:r w:rsidR="008A0630">
              <w:t xml:space="preserve">3 </w:t>
            </w:r>
            <w:r w:rsidR="008A0630">
              <w:rPr>
                <w:rFonts w:cs="Arial"/>
              </w:rPr>
              <w:t>× RD</w:t>
            </w:r>
            <w:r w:rsidR="008A0630">
              <w:rPr>
                <w:rFonts w:cs="Arial"/>
                <w:vertAlign w:val="subscript"/>
              </w:rPr>
              <w:t>50</w:t>
            </w:r>
            <w:r w:rsidR="008A063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≈153</w:t>
            </w:r>
            <w:r w:rsidR="009915B8">
              <w:rPr>
                <w:rFonts w:cs="Arial"/>
              </w:rPr>
              <w:t> </w:t>
            </w:r>
            <w:r>
              <w:rPr>
                <w:rFonts w:cs="Arial"/>
              </w:rPr>
              <w:t xml:space="preserve">ppm </w:t>
            </w:r>
            <w:r w:rsidR="008A0630">
              <w:rPr>
                <w:rFonts w:cs="Arial"/>
              </w:rPr>
              <w:t>(where RD</w:t>
            </w:r>
            <w:r w:rsidR="008A0630">
              <w:rPr>
                <w:rFonts w:cs="Arial"/>
                <w:vertAlign w:val="subscript"/>
              </w:rPr>
              <w:t>50</w:t>
            </w:r>
            <w:r w:rsidR="008A0630">
              <w:rPr>
                <w:rFonts w:cs="Arial"/>
              </w:rPr>
              <w:t xml:space="preserve"> </w:t>
            </w:r>
            <w:r w:rsidR="008F0091">
              <w:rPr>
                <w:rFonts w:cs="Arial"/>
              </w:rPr>
              <w:t xml:space="preserve">is 5,085 ppm, which </w:t>
            </w:r>
            <w:r>
              <w:rPr>
                <w:rFonts w:cs="Arial"/>
              </w:rPr>
              <w:t xml:space="preserve">SCOEL </w:t>
            </w:r>
            <w:r w:rsidR="008A0630">
              <w:rPr>
                <w:rFonts w:cs="Arial"/>
              </w:rPr>
              <w:t>calculated from physicochemical parameters)</w:t>
            </w:r>
            <w:r>
              <w:rPr>
                <w:rFonts w:cs="Arial"/>
              </w:rPr>
              <w:t xml:space="preserve"> </w:t>
            </w:r>
          </w:p>
          <w:p w14:paraId="32547960" w14:textId="741EE623" w:rsidR="00387C39" w:rsidRPr="008A0630" w:rsidRDefault="00387C39" w:rsidP="00466651">
            <w:pPr>
              <w:pStyle w:val="Tabletextprimarysource"/>
              <w:numPr>
                <w:ilvl w:val="0"/>
                <w:numId w:val="2"/>
              </w:numPr>
            </w:pPr>
            <w:r>
              <w:rPr>
                <w:rFonts w:cs="Arial"/>
              </w:rPr>
              <w:t>Modelled dermal penetration rate based on QSAR</w:t>
            </w:r>
            <w:r w:rsidR="00CE68E9">
              <w:rPr>
                <w:rFonts w:cs="Arial"/>
              </w:rPr>
              <w:t>: 0.6 mg/cm</w:t>
            </w:r>
            <w:r w:rsidR="00CE68E9">
              <w:rPr>
                <w:rFonts w:cs="Arial"/>
                <w:vertAlign w:val="superscript"/>
              </w:rPr>
              <w:t>2</w:t>
            </w:r>
            <w:r w:rsidR="00CE68E9">
              <w:rPr>
                <w:rFonts w:cs="Arial"/>
              </w:rPr>
              <w:t>/h</w:t>
            </w:r>
            <w:r w:rsidR="00466651">
              <w:rPr>
                <w:rFonts w:cs="Arial"/>
              </w:rPr>
              <w:t>.</w:t>
            </w:r>
          </w:p>
          <w:p w14:paraId="47E3AFEB" w14:textId="7E47B43B" w:rsidR="00526452" w:rsidRDefault="008A0630" w:rsidP="00F10856">
            <w:pPr>
              <w:pStyle w:val="Tabletextprimarysource"/>
              <w:keepNext/>
              <w:rPr>
                <w:rFonts w:cs="Arial"/>
              </w:rPr>
            </w:pPr>
            <w:r>
              <w:rPr>
                <w:rFonts w:cs="Arial"/>
              </w:rPr>
              <w:t>Animal data</w:t>
            </w:r>
            <w:r w:rsidR="009915B8">
              <w:rPr>
                <w:rFonts w:cs="Arial"/>
              </w:rPr>
              <w:t>:</w:t>
            </w:r>
          </w:p>
          <w:p w14:paraId="25AEA166" w14:textId="77777777" w:rsidR="008A0630" w:rsidRDefault="008A0630" w:rsidP="00466651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Acute inhalation study (also cited in ACGIH, 2018) reported increased mortality in rabbits at 28,850 ppm (0.5 h), 4,800 ppm (3 h), </w:t>
            </w:r>
            <w:r w:rsidR="006474BC">
              <w:t>960 ppm (12 h)</w:t>
            </w:r>
          </w:p>
          <w:p w14:paraId="780310B2" w14:textId="748DA21C" w:rsidR="0068339A" w:rsidRDefault="00692C4C">
            <w:pPr>
              <w:pStyle w:val="Tabletextprimarysource"/>
              <w:numPr>
                <w:ilvl w:val="0"/>
                <w:numId w:val="2"/>
              </w:numPr>
            </w:pPr>
            <w:r>
              <w:t>Sub</w:t>
            </w:r>
            <w:r w:rsidR="00182E54">
              <w:t>-</w:t>
            </w:r>
            <w:r>
              <w:t>chronic inhalation studies (also cited in DFG, 2017) reported LOAE</w:t>
            </w:r>
            <w:r w:rsidR="00933720">
              <w:t>C</w:t>
            </w:r>
            <w:r>
              <w:t xml:space="preserve"> of 100 ppm for</w:t>
            </w:r>
            <w:r w:rsidR="00B97ACE">
              <w:t xml:space="preserve"> nasal irritation and</w:t>
            </w:r>
            <w:r>
              <w:t xml:space="preserve"> inflammation </w:t>
            </w:r>
            <w:r w:rsidR="00B97ACE">
              <w:t xml:space="preserve">of olfactory epithelium </w:t>
            </w:r>
            <w:r>
              <w:t>(</w:t>
            </w:r>
            <w:r w:rsidR="00A8595E">
              <w:t xml:space="preserve">mice, rats, </w:t>
            </w:r>
            <w:r w:rsidR="00933720">
              <w:t>6 </w:t>
            </w:r>
            <w:r>
              <w:t>h/d, 5 d/wk, 13 wk)</w:t>
            </w:r>
            <w:r w:rsidR="00B97ACE">
              <w:t xml:space="preserve"> </w:t>
            </w:r>
          </w:p>
          <w:p w14:paraId="405F090A" w14:textId="5985ADC5" w:rsidR="006474BC" w:rsidRDefault="006474BC">
            <w:pPr>
              <w:pStyle w:val="Tabletextprimarysource"/>
              <w:numPr>
                <w:ilvl w:val="0"/>
                <w:numId w:val="2"/>
              </w:numPr>
            </w:pPr>
            <w:r>
              <w:t>Chronic inhalation study (rats, 7 h/d, 5 d/wk, 2 yr, also cited in DFG, 2017) reported LOAE</w:t>
            </w:r>
            <w:r w:rsidR="00933720">
              <w:t>C</w:t>
            </w:r>
            <w:r>
              <w:t xml:space="preserve"> of 84 ppm for delayed </w:t>
            </w:r>
            <w:r w:rsidR="00526452">
              <w:t>body weight</w:t>
            </w:r>
            <w:r>
              <w:t xml:space="preserve"> gain</w:t>
            </w:r>
          </w:p>
          <w:p w14:paraId="18EAA66B" w14:textId="77777777" w:rsidR="008359E5" w:rsidRPr="009915B8" w:rsidRDefault="008359E5">
            <w:pPr>
              <w:pStyle w:val="Tabletextprimarysource"/>
              <w:numPr>
                <w:ilvl w:val="0"/>
                <w:numId w:val="2"/>
              </w:numPr>
              <w:rPr>
                <w:lang w:val="it-IT"/>
              </w:rPr>
            </w:pPr>
            <w:r w:rsidRPr="009915B8">
              <w:rPr>
                <w:lang w:val="it-IT"/>
              </w:rPr>
              <w:t xml:space="preserve">Non-mutagenic </w:t>
            </w:r>
            <w:r w:rsidRPr="009915B8">
              <w:rPr>
                <w:i/>
                <w:lang w:val="it-IT"/>
              </w:rPr>
              <w:t>in vitro</w:t>
            </w:r>
            <w:r w:rsidRPr="009915B8">
              <w:rPr>
                <w:lang w:val="it-IT"/>
              </w:rPr>
              <w:t xml:space="preserve"> or </w:t>
            </w:r>
            <w:r w:rsidRPr="009915B8">
              <w:rPr>
                <w:i/>
                <w:lang w:val="it-IT"/>
              </w:rPr>
              <w:t>in vivo</w:t>
            </w:r>
            <w:r w:rsidR="00466651" w:rsidRPr="009915B8">
              <w:rPr>
                <w:lang w:val="it-IT"/>
              </w:rPr>
              <w:t>.</w:t>
            </w:r>
          </w:p>
          <w:p w14:paraId="7CFF0BEB" w14:textId="77777777" w:rsidR="00061091" w:rsidRPr="009915B8" w:rsidRDefault="00061091">
            <w:pPr>
              <w:pStyle w:val="Tabletextprimarysource"/>
              <w:rPr>
                <w:lang w:val="it-IT"/>
              </w:rPr>
            </w:pPr>
          </w:p>
          <w:p w14:paraId="33B6AC4A" w14:textId="77777777" w:rsidR="00061091" w:rsidRDefault="008359E5">
            <w:pPr>
              <w:pStyle w:val="Tabletextprimarysource"/>
            </w:pPr>
            <w:r>
              <w:t>Insufficient data to assign a sensitiser notation.</w:t>
            </w:r>
          </w:p>
          <w:p w14:paraId="5F792749" w14:textId="56451800" w:rsidR="009915B8" w:rsidRPr="00DA352E" w:rsidRDefault="009915B8">
            <w:pPr>
              <w:pStyle w:val="Tabletextprimarysource"/>
            </w:pPr>
          </w:p>
        </w:tc>
      </w:tr>
      <w:tr w:rsidR="00DA352E" w:rsidRPr="00DA352E" w14:paraId="12CDA500" w14:textId="77777777" w:rsidTr="0075683A">
        <w:tc>
          <w:tcPr>
            <w:tcW w:w="5000" w:type="pct"/>
            <w:shd w:val="clear" w:color="auto" w:fill="F2F2F2" w:themeFill="background1" w:themeFillShade="F2"/>
          </w:tcPr>
          <w:p w14:paraId="7FDE6B77" w14:textId="77777777" w:rsidR="00DA352E" w:rsidRPr="00DA352E" w:rsidRDefault="00DA352E" w:rsidP="00B04D60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lastRenderedPageBreak/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8E676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8E6761">
                  <w:t>NA</w:t>
                </w:r>
              </w:sdtContent>
            </w:sdt>
          </w:p>
        </w:tc>
      </w:tr>
      <w:tr w:rsidR="00DA352E" w:rsidRPr="00DA352E" w14:paraId="04B7D56D" w14:textId="77777777" w:rsidTr="0075683A">
        <w:tc>
          <w:tcPr>
            <w:tcW w:w="5000" w:type="pct"/>
          </w:tcPr>
          <w:p w14:paraId="763FB2B6" w14:textId="77777777" w:rsidR="00DA352E" w:rsidRPr="00DA352E" w:rsidRDefault="008E6761" w:rsidP="00466651">
            <w:pPr>
              <w:pStyle w:val="Tabletextprimarysource"/>
            </w:pPr>
            <w:r>
              <w:t>No report</w:t>
            </w:r>
            <w:r w:rsidR="00466651">
              <w:t>.</w:t>
            </w:r>
          </w:p>
        </w:tc>
      </w:tr>
      <w:tr w:rsidR="00DA352E" w:rsidRPr="00DA352E" w14:paraId="191C4883" w14:textId="77777777" w:rsidTr="0075683A">
        <w:tc>
          <w:tcPr>
            <w:tcW w:w="5000" w:type="pct"/>
            <w:shd w:val="clear" w:color="auto" w:fill="F2F2F2" w:themeFill="background1" w:themeFillShade="F2"/>
          </w:tcPr>
          <w:p w14:paraId="1B8359E4" w14:textId="77777777" w:rsidR="00DA352E" w:rsidRPr="00DA352E" w:rsidRDefault="00DA352E" w:rsidP="00B04D60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8E6761">
                  <w:t>2004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8E6761" w:rsidRPr="008E6761">
                  <w:t>TWA</w:t>
                </w:r>
                <w:r w:rsidR="008E6761">
                  <w:t>: 60 mg/m</w:t>
                </w:r>
                <w:r w:rsidR="008E6761" w:rsidRPr="008E6761">
                  <w:rPr>
                    <w:vertAlign w:val="superscript"/>
                  </w:rPr>
                  <w:t>3</w:t>
                </w:r>
                <w:r w:rsidR="008E6761">
                  <w:t xml:space="preserve"> (20 ppm)</w:t>
                </w:r>
              </w:sdtContent>
            </w:sdt>
          </w:p>
        </w:tc>
      </w:tr>
      <w:tr w:rsidR="00DA352E" w:rsidRPr="00DA352E" w14:paraId="68BF9650" w14:textId="77777777" w:rsidTr="0075683A">
        <w:tc>
          <w:tcPr>
            <w:tcW w:w="5000" w:type="pct"/>
          </w:tcPr>
          <w:p w14:paraId="78AFE0D8" w14:textId="60119751" w:rsidR="00526452" w:rsidRDefault="008359E5" w:rsidP="00466651">
            <w:pPr>
              <w:pStyle w:val="Tabletextprimarysource"/>
            </w:pPr>
            <w:r>
              <w:t>Summary of additional data</w:t>
            </w:r>
            <w:r w:rsidR="009915B8">
              <w:t>:</w:t>
            </w:r>
          </w:p>
          <w:p w14:paraId="13E27A2D" w14:textId="5AA78A83" w:rsidR="008359E5" w:rsidRDefault="008359E5" w:rsidP="00466651">
            <w:pPr>
              <w:pStyle w:val="Tabletextprimarysource"/>
            </w:pPr>
            <w:r>
              <w:t xml:space="preserve">Current administrative OEL of 20 ppm considered too high to be protective of </w:t>
            </w:r>
            <w:r w:rsidR="00182E54" w:rsidRPr="00F10856">
              <w:t>methaemoglobinaemia</w:t>
            </w:r>
            <w:r w:rsidR="001332D2" w:rsidRPr="00F10856">
              <w:t>, which is</w:t>
            </w:r>
            <w:r w:rsidRPr="00F10856">
              <w:t xml:space="preserve"> considered the critical effect based on sub</w:t>
            </w:r>
            <w:r w:rsidR="00182E54" w:rsidRPr="00F10856">
              <w:t>-</w:t>
            </w:r>
            <w:r w:rsidRPr="00F10856">
              <w:t xml:space="preserve">chronic inhalation studies </w:t>
            </w:r>
            <w:r w:rsidR="009915B8" w:rsidRPr="00F10856">
              <w:t xml:space="preserve">in </w:t>
            </w:r>
            <w:r w:rsidRPr="00F10856">
              <w:t>rats and mice. LOAE</w:t>
            </w:r>
            <w:r w:rsidR="00933720" w:rsidRPr="00F10856">
              <w:t>C</w:t>
            </w:r>
            <w:r w:rsidRPr="00F10856">
              <w:t xml:space="preserve"> of 100 ppm for slight increase in </w:t>
            </w:r>
            <w:proofErr w:type="spellStart"/>
            <w:r w:rsidR="00F10856" w:rsidRPr="00F10856">
              <w:t>MetHb</w:t>
            </w:r>
            <w:proofErr w:type="spellEnd"/>
            <w:r w:rsidR="001332D2" w:rsidRPr="00F10856">
              <w:t xml:space="preserve"> levels</w:t>
            </w:r>
            <w:r w:rsidRPr="00F10856">
              <w:t xml:space="preserve"> from sub</w:t>
            </w:r>
            <w:r w:rsidR="00182E54" w:rsidRPr="00F10856">
              <w:t>-</w:t>
            </w:r>
            <w:r w:rsidRPr="00F10856">
              <w:t xml:space="preserve">chronic inhalation study with rats and mice </w:t>
            </w:r>
            <w:r w:rsidR="00270549" w:rsidRPr="00F10856">
              <w:t xml:space="preserve">(also cited in DFG, 2017 and SCOEL, 2012) </w:t>
            </w:r>
            <w:r w:rsidR="001332D2" w:rsidRPr="00F10856">
              <w:t>chosen</w:t>
            </w:r>
            <w:r w:rsidRPr="00F10856">
              <w:t xml:space="preserve"> as starting point for </w:t>
            </w:r>
            <w:r w:rsidR="001332D2" w:rsidRPr="00AD45D5">
              <w:t>HBROEL derivation. An overall factor of 18 is applied</w:t>
            </w:r>
            <w:r w:rsidR="001332D2">
              <w:t xml:space="preserve"> to account for the absence of a </w:t>
            </w:r>
            <w:r w:rsidR="00182E54">
              <w:t xml:space="preserve">NOAEC </w:t>
            </w:r>
            <w:r w:rsidR="001332D2">
              <w:t xml:space="preserve">and inter- and intraspecies differences to </w:t>
            </w:r>
            <w:r w:rsidR="00182E54">
              <w:t xml:space="preserve">produce </w:t>
            </w:r>
            <w:r w:rsidR="001332D2">
              <w:t>the proposed HBROEL of 6 ppm.</w:t>
            </w:r>
          </w:p>
          <w:p w14:paraId="012B27ED" w14:textId="1DE6E933" w:rsidR="00526452" w:rsidRDefault="00270549" w:rsidP="00466651">
            <w:pPr>
              <w:pStyle w:val="Tabletextprimarysource"/>
            </w:pPr>
            <w:r>
              <w:t>Animal data</w:t>
            </w:r>
            <w:r w:rsidR="009915B8">
              <w:t>:</w:t>
            </w:r>
          </w:p>
          <w:p w14:paraId="7AAA64CD" w14:textId="47520A6F" w:rsidR="00270549" w:rsidRDefault="00270549" w:rsidP="007C2BE3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Slight transient increase in </w:t>
            </w:r>
            <w:proofErr w:type="spellStart"/>
            <w:r w:rsidR="00F10856">
              <w:t>MetHb</w:t>
            </w:r>
            <w:proofErr w:type="spellEnd"/>
            <w:r>
              <w:t xml:space="preserve"> levels (statistical significance not specified) in nasal turbinates (females only) and salivary glands at 100 ppm in sub</w:t>
            </w:r>
            <w:r w:rsidR="00C252DB">
              <w:t>-</w:t>
            </w:r>
            <w:r>
              <w:t xml:space="preserve">chronic inhalation study (mice, 6 h/d, 5 d/wk, 90 d, also cited in DFG, 2017, and SCOEL, 2012); 100 ppm regarded as LOAEC by the </w:t>
            </w:r>
            <w:r w:rsidR="00C252DB">
              <w:t>HCOTN</w:t>
            </w:r>
          </w:p>
          <w:p w14:paraId="2D8CA8CE" w14:textId="67471AB2" w:rsidR="008359E5" w:rsidRDefault="008359E5" w:rsidP="007C2BE3">
            <w:pPr>
              <w:pStyle w:val="Tabletextprimarysource"/>
              <w:numPr>
                <w:ilvl w:val="0"/>
                <w:numId w:val="2"/>
              </w:numPr>
            </w:pPr>
            <w:r>
              <w:t>Not considered carcinogenic based on chronic inhalational studies in animals. Non</w:t>
            </w:r>
            <w:r w:rsidR="00C252DB">
              <w:noBreakHyphen/>
            </w:r>
            <w:r>
              <w:t xml:space="preserve">mutagenic </w:t>
            </w:r>
            <w:r>
              <w:rPr>
                <w:i/>
              </w:rPr>
              <w:t xml:space="preserve">in vitro </w:t>
            </w:r>
            <w:r>
              <w:t xml:space="preserve">or </w:t>
            </w:r>
            <w:r>
              <w:rPr>
                <w:i/>
              </w:rPr>
              <w:t>in vivo</w:t>
            </w:r>
            <w:r>
              <w:t>.</w:t>
            </w:r>
          </w:p>
          <w:p w14:paraId="0834B2E4" w14:textId="77777777" w:rsidR="00061091" w:rsidRPr="00DA352E" w:rsidRDefault="00061091" w:rsidP="00466651">
            <w:pPr>
              <w:pStyle w:val="Tabletextprimarysource"/>
            </w:pPr>
          </w:p>
        </w:tc>
      </w:tr>
    </w:tbl>
    <w:p w14:paraId="18F671D4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3"/>
        <w:gridCol w:w="423"/>
        <w:gridCol w:w="661"/>
        <w:gridCol w:w="6449"/>
      </w:tblGrid>
      <w:tr w:rsidR="004966BF" w:rsidRPr="00263255" w14:paraId="65FAD47C" w14:textId="77777777" w:rsidTr="00756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3" w:type="dxa"/>
            <w:shd w:val="clear" w:color="auto" w:fill="BFBFBF" w:themeFill="background1" w:themeFillShade="BF"/>
            <w:vAlign w:val="center"/>
          </w:tcPr>
          <w:p w14:paraId="417981AC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6D706B0A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0CC74A6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9" w:type="dxa"/>
            <w:shd w:val="clear" w:color="auto" w:fill="BFBFBF" w:themeFill="background1" w:themeFillShade="BF"/>
            <w:vAlign w:val="center"/>
          </w:tcPr>
          <w:p w14:paraId="547D4CDE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B65627" w:rsidRPr="004C23F4" w14:paraId="08011744" w14:textId="77777777" w:rsidTr="0075683A">
        <w:trPr>
          <w:cantSplit/>
        </w:trPr>
        <w:tc>
          <w:tcPr>
            <w:tcW w:w="1493" w:type="dxa"/>
          </w:tcPr>
          <w:p w14:paraId="62B69234" w14:textId="77777777" w:rsidR="00B65627" w:rsidRPr="004C23F4" w:rsidRDefault="00B65627" w:rsidP="00B65627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1113CA15" w14:textId="77777777" w:rsidR="00B65627" w:rsidRPr="00CE617F" w:rsidRDefault="0075683A" w:rsidP="00B65627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ADB8B2FFBBC041AC8B37E3EA4D13B94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B65627">
                  <w:rPr>
                    <w:rStyle w:val="checkbox"/>
                  </w:rPr>
                  <w:t></w:t>
                </w:r>
              </w:sdtContent>
            </w:sdt>
          </w:p>
        </w:tc>
        <w:tc>
          <w:tcPr>
            <w:tcW w:w="661" w:type="dxa"/>
          </w:tcPr>
          <w:p w14:paraId="3F3C3E67" w14:textId="77777777" w:rsidR="00B65627" w:rsidRPr="004C23F4" w:rsidRDefault="00B65627" w:rsidP="00B65627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2018</w:t>
            </w:r>
          </w:p>
        </w:tc>
        <w:tc>
          <w:tcPr>
            <w:tcW w:w="6449" w:type="dxa"/>
          </w:tcPr>
          <w:p w14:paraId="0532C6CB" w14:textId="77777777" w:rsidR="00B65627" w:rsidRPr="004C23F4" w:rsidRDefault="00B65627" w:rsidP="00933720">
            <w:pPr>
              <w:pStyle w:val="Tablefont"/>
              <w:numPr>
                <w:ilvl w:val="0"/>
                <w:numId w:val="3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Tier I: not assessed (no further information provided)</w:t>
            </w:r>
            <w:r w:rsidR="00061091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B65627" w:rsidRPr="004C23F4" w14:paraId="28BBA937" w14:textId="77777777" w:rsidTr="0075683A">
        <w:trPr>
          <w:cantSplit/>
        </w:trPr>
        <w:tc>
          <w:tcPr>
            <w:tcW w:w="1493" w:type="dxa"/>
          </w:tcPr>
          <w:p w14:paraId="2CE6440D" w14:textId="77777777" w:rsidR="00B65627" w:rsidRPr="004C23F4" w:rsidRDefault="00B65627" w:rsidP="00B65627">
            <w:pPr>
              <w:pStyle w:val="Tablefont"/>
            </w:pPr>
            <w:r>
              <w:lastRenderedPageBreak/>
              <w:t>ECHA</w:t>
            </w:r>
          </w:p>
        </w:tc>
        <w:tc>
          <w:tcPr>
            <w:tcW w:w="423" w:type="dxa"/>
          </w:tcPr>
          <w:p w14:paraId="18CD70FB" w14:textId="77777777" w:rsidR="00B65627" w:rsidRPr="00CE617F" w:rsidRDefault="0075683A" w:rsidP="00B65627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F0E764F0451A4AF4B225FECC8F283B06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635472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1C7400E3" w14:textId="77777777" w:rsidR="00B65627" w:rsidRPr="004C23F4" w:rsidRDefault="00B65627" w:rsidP="00B65627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49" w:type="dxa"/>
          </w:tcPr>
          <w:p w14:paraId="2952C4AE" w14:textId="10EB8366" w:rsidR="00387C39" w:rsidRDefault="00387C39" w:rsidP="00933720">
            <w:pPr>
              <w:pStyle w:val="Tablefont"/>
              <w:numPr>
                <w:ilvl w:val="0"/>
                <w:numId w:val="2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LD</w:t>
            </w:r>
            <w:r>
              <w:rPr>
                <w:rStyle w:val="checkbox"/>
                <w:rFonts w:ascii="Arial" w:hAnsi="Arial" w:cs="Arial"/>
                <w:vertAlign w:val="subscript"/>
              </w:rPr>
              <w:t>50</w:t>
            </w:r>
            <w:r>
              <w:rPr>
                <w:rStyle w:val="checkbox"/>
                <w:rFonts w:ascii="Arial" w:hAnsi="Arial" w:cs="Arial"/>
              </w:rPr>
              <w:t xml:space="preserve"> &gt;2,000 mg/kg (rabbits</w:t>
            </w:r>
            <w:r w:rsidR="007C2BE3">
              <w:rPr>
                <w:rStyle w:val="checkbox"/>
                <w:rFonts w:ascii="Arial" w:hAnsi="Arial" w:cs="Arial"/>
              </w:rPr>
              <w:t>, dermal</w:t>
            </w:r>
            <w:r>
              <w:rPr>
                <w:rStyle w:val="checkbox"/>
                <w:rFonts w:ascii="Arial" w:hAnsi="Arial" w:cs="Arial"/>
              </w:rPr>
              <w:t>)</w:t>
            </w:r>
          </w:p>
          <w:p w14:paraId="6750143C" w14:textId="77777777" w:rsidR="00B65627" w:rsidRDefault="00B65627" w:rsidP="00933720">
            <w:pPr>
              <w:pStyle w:val="Tablefont"/>
              <w:numPr>
                <w:ilvl w:val="0"/>
                <w:numId w:val="2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Chronic systemic effects more sensitive than chronic local irritational effects</w:t>
            </w:r>
          </w:p>
          <w:p w14:paraId="70879D27" w14:textId="3C8DACDB" w:rsidR="00526452" w:rsidRDefault="00B65627" w:rsidP="00933720">
            <w:pPr>
              <w:pStyle w:val="Tablefont"/>
              <w:numPr>
                <w:ilvl w:val="0"/>
                <w:numId w:val="2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Long-term systemic DNEL based on LOAE</w:t>
            </w:r>
            <w:r w:rsidR="00933720">
              <w:rPr>
                <w:rStyle w:val="checkbox"/>
                <w:rFonts w:ascii="Arial" w:hAnsi="Arial" w:cs="Arial"/>
              </w:rPr>
              <w:t>C</w:t>
            </w:r>
            <w:r>
              <w:rPr>
                <w:rStyle w:val="checkbox"/>
                <w:rFonts w:ascii="Arial" w:hAnsi="Arial" w:cs="Arial"/>
              </w:rPr>
              <w:t xml:space="preserve"> of 100 ppm for </w:t>
            </w:r>
            <w:r w:rsidR="00F551CA">
              <w:rPr>
                <w:rStyle w:val="checkbox"/>
                <w:rFonts w:ascii="Arial" w:hAnsi="Arial" w:cs="Arial"/>
              </w:rPr>
              <w:t>methaemoglobinaemia</w:t>
            </w:r>
            <w:r>
              <w:rPr>
                <w:rStyle w:val="checkbox"/>
                <w:rFonts w:ascii="Arial" w:hAnsi="Arial" w:cs="Arial"/>
              </w:rPr>
              <w:t xml:space="preserve"> from 13</w:t>
            </w:r>
            <w:r w:rsidR="00933720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 xml:space="preserve">wk inhalation study </w:t>
            </w:r>
            <w:r w:rsidR="00933720">
              <w:rPr>
                <w:rStyle w:val="checkbox"/>
                <w:rFonts w:ascii="Arial" w:hAnsi="Arial" w:cs="Arial"/>
              </w:rPr>
              <w:t>in</w:t>
            </w:r>
            <w:r>
              <w:rPr>
                <w:rStyle w:val="checkbox"/>
                <w:rFonts w:ascii="Arial" w:hAnsi="Arial" w:cs="Arial"/>
              </w:rPr>
              <w:t xml:space="preserve"> rats (also cited in DFG,2017; SCOEL, 2012; and HCOTN, 2004)</w:t>
            </w:r>
            <w:r w:rsidR="00FE69E3">
              <w:rPr>
                <w:rStyle w:val="checkbox"/>
                <w:rFonts w:ascii="Arial" w:hAnsi="Arial" w:cs="Arial"/>
              </w:rPr>
              <w:t>:</w:t>
            </w:r>
          </w:p>
          <w:p w14:paraId="5CCF5DC7" w14:textId="6C888D19" w:rsidR="00C53497" w:rsidRDefault="00C53497" w:rsidP="00933720">
            <w:pPr>
              <w:pStyle w:val="Tablefont"/>
              <w:numPr>
                <w:ilvl w:val="1"/>
                <w:numId w:val="2"/>
              </w:numPr>
              <w:spacing w:before="60" w:after="60"/>
              <w:ind w:left="109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factors of 8/6 and 10/6.7 applied to LOAE</w:t>
            </w:r>
            <w:r w:rsidR="00933720">
              <w:rPr>
                <w:rStyle w:val="checkbox"/>
                <w:rFonts w:ascii="Arial" w:hAnsi="Arial" w:cs="Arial"/>
              </w:rPr>
              <w:t>C</w:t>
            </w:r>
            <w:r>
              <w:rPr>
                <w:rStyle w:val="checkbox"/>
                <w:rFonts w:ascii="Arial" w:hAnsi="Arial" w:cs="Arial"/>
              </w:rPr>
              <w:t xml:space="preserve"> to account for exposure duration and increased respiratory volume in workers, respectively</w:t>
            </w:r>
          </w:p>
          <w:p w14:paraId="1A4D762F" w14:textId="0EE818E7" w:rsidR="00B65627" w:rsidRPr="005076F5" w:rsidRDefault="00B00E77" w:rsidP="00933720">
            <w:pPr>
              <w:pStyle w:val="Tablefont"/>
              <w:numPr>
                <w:ilvl w:val="1"/>
                <w:numId w:val="2"/>
              </w:numPr>
              <w:spacing w:before="60" w:after="60"/>
              <w:ind w:left="1094" w:hanging="357"/>
              <w:rPr>
                <w:rStyle w:val="checkbox"/>
                <w:rFonts w:ascii="Arial" w:hAnsi="Arial" w:cs="Arial"/>
              </w:rPr>
            </w:pPr>
            <w:r w:rsidRPr="00B00E77">
              <w:rPr>
                <w:rFonts w:cs="Arial"/>
              </w:rPr>
              <w:t>overall assessment factor of 18 applied to adjusted LOAEC to account for absence of a NOAEL, translation from sub</w:t>
            </w:r>
            <w:r w:rsidR="00216C42">
              <w:rPr>
                <w:rFonts w:cs="Arial"/>
              </w:rPr>
              <w:t>-</w:t>
            </w:r>
            <w:r w:rsidRPr="00B00E77">
              <w:rPr>
                <w:rFonts w:cs="Arial"/>
              </w:rPr>
              <w:t xml:space="preserve">chronic to chronic effects and intraspecies variation to </w:t>
            </w:r>
            <w:r>
              <w:rPr>
                <w:rFonts w:cs="Arial"/>
              </w:rPr>
              <w:t>produce the DNEL of ≈3 ppm (8.4 </w:t>
            </w:r>
            <w:r w:rsidRPr="00B00E77">
              <w:rPr>
                <w:rFonts w:cs="Arial"/>
              </w:rPr>
              <w:t>mg/m</w:t>
            </w:r>
            <w:r w:rsidRPr="00B00E77">
              <w:rPr>
                <w:rFonts w:cs="Arial"/>
                <w:vertAlign w:val="superscript"/>
              </w:rPr>
              <w:t>3</w:t>
            </w:r>
            <w:r w:rsidRPr="00B00E77">
              <w:rPr>
                <w:rFonts w:cs="Arial"/>
              </w:rPr>
              <w:t>).</w:t>
            </w:r>
          </w:p>
        </w:tc>
      </w:tr>
      <w:tr w:rsidR="00B65627" w:rsidRPr="004C23F4" w14:paraId="5A5B9ABA" w14:textId="77777777" w:rsidTr="0075683A">
        <w:trPr>
          <w:cantSplit/>
        </w:trPr>
        <w:tc>
          <w:tcPr>
            <w:tcW w:w="1493" w:type="dxa"/>
          </w:tcPr>
          <w:p w14:paraId="4257690A" w14:textId="77777777" w:rsidR="00B65627" w:rsidRPr="004C23F4" w:rsidRDefault="00B65627" w:rsidP="00B65627">
            <w:pPr>
              <w:pStyle w:val="Tablefont"/>
            </w:pPr>
            <w:r>
              <w:t>OECD</w:t>
            </w:r>
          </w:p>
        </w:tc>
        <w:tc>
          <w:tcPr>
            <w:tcW w:w="423" w:type="dxa"/>
          </w:tcPr>
          <w:p w14:paraId="2E65781B" w14:textId="77777777" w:rsidR="00B65627" w:rsidRPr="00CE617F" w:rsidRDefault="0075683A" w:rsidP="00B65627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491947220"/>
                <w:placeholder>
                  <w:docPart w:val="0A979CB5C71741FE9B41118A1CA874F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B65627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5BD64A0" w14:textId="77777777" w:rsidR="00B65627" w:rsidRPr="004C23F4" w:rsidRDefault="00B65627" w:rsidP="00B65627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2010</w:t>
            </w:r>
          </w:p>
        </w:tc>
        <w:tc>
          <w:tcPr>
            <w:tcW w:w="6449" w:type="dxa"/>
          </w:tcPr>
          <w:p w14:paraId="4DCA062C" w14:textId="77777777" w:rsidR="00B65627" w:rsidRPr="00B65627" w:rsidRDefault="00B65627" w:rsidP="00933720">
            <w:pPr>
              <w:pStyle w:val="Tablefont"/>
              <w:numPr>
                <w:ilvl w:val="0"/>
                <w:numId w:val="2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Grouped with nitromethane and 1-nitropropane due to similarities in chemical structure and toxicological behaviour</w:t>
            </w:r>
            <w:r w:rsidR="00061091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B65627" w:rsidRPr="004C23F4" w14:paraId="46CE19C8" w14:textId="77777777" w:rsidTr="0075683A">
        <w:trPr>
          <w:cantSplit/>
        </w:trPr>
        <w:tc>
          <w:tcPr>
            <w:tcW w:w="1493" w:type="dxa"/>
          </w:tcPr>
          <w:p w14:paraId="074BBC1F" w14:textId="77777777" w:rsidR="00B65627" w:rsidRDefault="00B65627" w:rsidP="00B65627">
            <w:pPr>
              <w:pStyle w:val="Tablefont"/>
            </w:pPr>
            <w:r>
              <w:t>US NIOSH</w:t>
            </w:r>
          </w:p>
        </w:tc>
        <w:tc>
          <w:tcPr>
            <w:tcW w:w="423" w:type="dxa"/>
          </w:tcPr>
          <w:p w14:paraId="7F7CAFF9" w14:textId="77777777" w:rsidR="00B65627" w:rsidRDefault="0075683A" w:rsidP="00B65627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C3019F7DD87244F28010D780F556C0B2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B65627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D77E4EE" w14:textId="77777777" w:rsidR="00B65627" w:rsidRPr="004C23F4" w:rsidRDefault="00B65627" w:rsidP="00B65627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49" w:type="dxa"/>
          </w:tcPr>
          <w:p w14:paraId="2B9679DF" w14:textId="77777777" w:rsidR="00B65627" w:rsidRPr="004C23F4" w:rsidRDefault="00B65627" w:rsidP="00933720">
            <w:pPr>
              <w:pStyle w:val="Tablefont"/>
              <w:numPr>
                <w:ilvl w:val="0"/>
                <w:numId w:val="2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</w:rPr>
              <w:t>IDLH b</w:t>
            </w:r>
            <w:r w:rsidRPr="00B65627">
              <w:rPr>
                <w:rFonts w:cs="Arial"/>
              </w:rPr>
              <w:t>ased on acute inha</w:t>
            </w:r>
            <w:r>
              <w:rPr>
                <w:rFonts w:cs="Arial"/>
              </w:rPr>
              <w:t>lation toxicity data in animals.</w:t>
            </w:r>
          </w:p>
        </w:tc>
      </w:tr>
    </w:tbl>
    <w:bookmarkEnd w:id="0"/>
    <w:p w14:paraId="6BBFE937" w14:textId="77777777" w:rsidR="007E2A4B" w:rsidRDefault="007E2A4B" w:rsidP="0068339A">
      <w:pPr>
        <w:pStyle w:val="Heading3"/>
        <w:keepNext w:val="0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6B530D9D" w14:textId="77777777" w:rsidTr="008359E5">
        <w:trPr>
          <w:trHeight w:val="454"/>
          <w:tblHeader/>
        </w:trPr>
        <w:tc>
          <w:tcPr>
            <w:tcW w:w="6603" w:type="dxa"/>
            <w:vAlign w:val="center"/>
          </w:tcPr>
          <w:p w14:paraId="3C62E1D6" w14:textId="77777777" w:rsidR="002E0D61" w:rsidRDefault="00B1422A" w:rsidP="0068339A">
            <w:pPr>
              <w:pStyle w:val="Tablefont"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387E9626" w14:textId="77777777" w:rsidR="002E0D61" w:rsidRDefault="008359E5" w:rsidP="0068339A">
                <w:pPr>
                  <w:pStyle w:val="Tablefont"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2C23CE84" w14:textId="77777777" w:rsidTr="008359E5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6C3E29C2" w14:textId="77777777" w:rsidR="008A36CF" w:rsidRPr="006901A2" w:rsidRDefault="008359E5" w:rsidP="0068339A">
                <w:pPr>
                  <w:pStyle w:val="Tablefont"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27D4DCB5" w14:textId="77777777" w:rsidR="008A36CF" w:rsidRDefault="008A36CF" w:rsidP="0068339A">
            <w:pPr>
              <w:pStyle w:val="Tablefont"/>
              <w:spacing w:before="40" w:after="40"/>
            </w:pPr>
          </w:p>
        </w:tc>
      </w:tr>
    </w:tbl>
    <w:bookmarkEnd w:id="1"/>
    <w:p w14:paraId="74B671B8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082AA03" w14:textId="77777777" w:rsidTr="00756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1635A2E5" w14:textId="77777777" w:rsidR="00687890" w:rsidRPr="004C23F4" w:rsidRDefault="00687890" w:rsidP="00263255">
            <w:pPr>
              <w:pStyle w:val="Tableheader"/>
            </w:pPr>
            <w:bookmarkStart w:id="2" w:name="Notations"/>
            <w:bookmarkStart w:id="3" w:name="_GoBack" w:colFirst="0" w:colLast="2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22B6F932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bookmarkEnd w:id="3"/>
      <w:tr w:rsidR="00687890" w:rsidRPr="004C23F4" w14:paraId="6880B5ED" w14:textId="77777777" w:rsidTr="0075683A">
        <w:trPr>
          <w:cantSplit/>
        </w:trPr>
        <w:tc>
          <w:tcPr>
            <w:tcW w:w="3227" w:type="dxa"/>
          </w:tcPr>
          <w:p w14:paraId="0FC10D6F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7C2D14B7" w14:textId="77777777" w:rsidR="00687890" w:rsidRPr="00DD2F9B" w:rsidRDefault="00707EDC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141ABF1B" w14:textId="77777777" w:rsidTr="0075683A">
        <w:trPr>
          <w:cantSplit/>
        </w:trPr>
        <w:tc>
          <w:tcPr>
            <w:tcW w:w="3227" w:type="dxa"/>
          </w:tcPr>
          <w:p w14:paraId="2CD03245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A254D7E" w14:textId="77777777" w:rsidR="007925F0" w:rsidRPr="00DD2F9B" w:rsidRDefault="001332D2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1EF0470E" w14:textId="77777777" w:rsidTr="0075683A">
        <w:trPr>
          <w:cantSplit/>
        </w:trPr>
        <w:tc>
          <w:tcPr>
            <w:tcW w:w="3227" w:type="dxa"/>
          </w:tcPr>
          <w:p w14:paraId="61222A9A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76C92DD5" w14:textId="77777777" w:rsidR="00AF483F" w:rsidRPr="00DD2F9B" w:rsidRDefault="00610B6A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16185135" w14:textId="77777777" w:rsidTr="0075683A">
        <w:trPr>
          <w:cantSplit/>
        </w:trPr>
        <w:tc>
          <w:tcPr>
            <w:tcW w:w="3227" w:type="dxa"/>
          </w:tcPr>
          <w:p w14:paraId="02E2B589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4E5B0D41" w14:textId="77777777" w:rsidR="00687890" w:rsidRPr="00DD2F9B" w:rsidRDefault="001332D2" w:rsidP="00DD2F9B">
            <w:pPr>
              <w:pStyle w:val="Tablefont"/>
            </w:pPr>
            <w:r>
              <w:t>—</w:t>
            </w:r>
          </w:p>
        </w:tc>
      </w:tr>
      <w:tr w:rsidR="00E41A26" w:rsidRPr="004C23F4" w14:paraId="62898C53" w14:textId="77777777" w:rsidTr="0075683A">
        <w:trPr>
          <w:cantSplit/>
        </w:trPr>
        <w:tc>
          <w:tcPr>
            <w:tcW w:w="3227" w:type="dxa"/>
          </w:tcPr>
          <w:p w14:paraId="3DF01986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3F0FF728" w14:textId="77777777" w:rsidR="00E41A26" w:rsidRPr="00DD2F9B" w:rsidRDefault="00610B6A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346E165" w14:textId="77777777" w:rsidTr="0075683A">
        <w:trPr>
          <w:cantSplit/>
        </w:trPr>
        <w:tc>
          <w:tcPr>
            <w:tcW w:w="3227" w:type="dxa"/>
          </w:tcPr>
          <w:p w14:paraId="51D94157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16AC83BF" w14:textId="77777777" w:rsidR="002E0D61" w:rsidRPr="00DD2F9B" w:rsidRDefault="00707EDC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25BEEDE1" w14:textId="77777777" w:rsidTr="0075683A">
        <w:trPr>
          <w:cantSplit/>
        </w:trPr>
        <w:tc>
          <w:tcPr>
            <w:tcW w:w="3227" w:type="dxa"/>
          </w:tcPr>
          <w:p w14:paraId="0141C393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52F896D3" w14:textId="77777777" w:rsidR="002E0D61" w:rsidRPr="00DD2F9B" w:rsidRDefault="00302FA3" w:rsidP="00DD2F9B">
            <w:pPr>
              <w:pStyle w:val="Tablefont"/>
            </w:pPr>
            <w:r>
              <w:t>H (skin)</w:t>
            </w:r>
          </w:p>
        </w:tc>
      </w:tr>
      <w:tr w:rsidR="002E0D61" w:rsidRPr="004C23F4" w14:paraId="4221BE04" w14:textId="77777777" w:rsidTr="0075683A">
        <w:trPr>
          <w:cantSplit/>
        </w:trPr>
        <w:tc>
          <w:tcPr>
            <w:tcW w:w="3227" w:type="dxa"/>
          </w:tcPr>
          <w:p w14:paraId="28B88BC9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4AD75697" w14:textId="77777777" w:rsidR="002E0D61" w:rsidRPr="00DD2F9B" w:rsidRDefault="000F56E7" w:rsidP="00DD2F9B">
            <w:pPr>
              <w:pStyle w:val="Tablefont"/>
            </w:pPr>
            <w:r>
              <w:t>Skin</w:t>
            </w:r>
          </w:p>
        </w:tc>
      </w:tr>
      <w:tr w:rsidR="002E0D61" w:rsidRPr="004C23F4" w14:paraId="76012578" w14:textId="77777777" w:rsidTr="0075683A">
        <w:trPr>
          <w:cantSplit/>
        </w:trPr>
        <w:tc>
          <w:tcPr>
            <w:tcW w:w="3227" w:type="dxa"/>
          </w:tcPr>
          <w:p w14:paraId="23836D28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03FF58DF" w14:textId="77777777" w:rsidR="002E0D61" w:rsidRPr="00DD2F9B" w:rsidRDefault="00CE68E9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766FBC55" w14:textId="77777777" w:rsidTr="0075683A">
        <w:trPr>
          <w:cantSplit/>
        </w:trPr>
        <w:tc>
          <w:tcPr>
            <w:tcW w:w="3227" w:type="dxa"/>
          </w:tcPr>
          <w:p w14:paraId="25077138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298F384D" w14:textId="77777777" w:rsidR="00386093" w:rsidRPr="00DD2F9B" w:rsidRDefault="00610B6A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49F77F5" w14:textId="77777777" w:rsidTr="0075683A">
        <w:trPr>
          <w:cantSplit/>
        </w:trPr>
        <w:tc>
          <w:tcPr>
            <w:tcW w:w="3227" w:type="dxa"/>
          </w:tcPr>
          <w:p w14:paraId="37990B54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05547880" w14:textId="77777777" w:rsidR="00386093" w:rsidRPr="00DD2F9B" w:rsidRDefault="00610B6A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44C9A0FC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0631B91E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9E3C2D7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C97780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0BE393EE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139" w:type="dxa"/>
              <w:tblLook w:val="04A0" w:firstRow="1" w:lastRow="0" w:firstColumn="1" w:lastColumn="0" w:noHBand="0" w:noVBand="1"/>
            </w:tblPr>
            <w:tblGrid>
              <w:gridCol w:w="3840"/>
              <w:gridCol w:w="479"/>
              <w:gridCol w:w="552"/>
              <w:gridCol w:w="3939"/>
            </w:tblGrid>
            <w:tr w:rsidR="00387C39" w:rsidRPr="00387C39" w14:paraId="0B78C2EA" w14:textId="77777777" w:rsidTr="00387C39">
              <w:trPr>
                <w:trHeight w:val="229"/>
              </w:trPr>
              <w:tc>
                <w:tcPr>
                  <w:tcW w:w="3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B66AFA" w14:textId="77777777" w:rsidR="00387C39" w:rsidRPr="00387C39" w:rsidRDefault="00387C39" w:rsidP="00387C3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87C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32CD7D" w14:textId="77777777" w:rsidR="00387C39" w:rsidRPr="00387C39" w:rsidRDefault="00387C39" w:rsidP="00387C3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87C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0217FD" w14:textId="77777777" w:rsidR="00387C39" w:rsidRPr="00387C39" w:rsidRDefault="00387C39" w:rsidP="00387C3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87C3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15F2E1D" w14:textId="77777777" w:rsidR="00387C39" w:rsidRPr="00387C39" w:rsidRDefault="00387C39" w:rsidP="00387C3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87C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87C39" w:rsidRPr="00387C39" w14:paraId="3076E8A9" w14:textId="77777777" w:rsidTr="00387C39">
              <w:trPr>
                <w:trHeight w:val="229"/>
              </w:trPr>
              <w:tc>
                <w:tcPr>
                  <w:tcW w:w="3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2DA3D36" w14:textId="77777777" w:rsidR="00387C39" w:rsidRPr="00387C39" w:rsidRDefault="00387C39" w:rsidP="00387C3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87C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87C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87C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6B0EEA" w14:textId="77777777" w:rsidR="00387C39" w:rsidRPr="00387C39" w:rsidRDefault="00387C39" w:rsidP="00387C3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87C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282018" w14:textId="77777777" w:rsidR="00387C39" w:rsidRPr="00387C39" w:rsidRDefault="00387C39" w:rsidP="00387C3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87C3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D640093" w14:textId="77777777" w:rsidR="00387C39" w:rsidRPr="00387C39" w:rsidRDefault="00387C39" w:rsidP="00387C3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87C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87C39" w:rsidRPr="00387C39" w14:paraId="6BC591E0" w14:textId="77777777" w:rsidTr="00387C39">
              <w:trPr>
                <w:trHeight w:val="229"/>
              </w:trPr>
              <w:tc>
                <w:tcPr>
                  <w:tcW w:w="3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C86C8A" w14:textId="77777777" w:rsidR="00387C39" w:rsidRPr="00387C39" w:rsidRDefault="00387C39" w:rsidP="00387C3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87C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FF8DF79" w14:textId="77777777" w:rsidR="00387C39" w:rsidRPr="00387C39" w:rsidRDefault="00387C39" w:rsidP="00387C3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87C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A1E9AA" w14:textId="77777777" w:rsidR="00387C39" w:rsidRPr="00387C39" w:rsidRDefault="00387C39" w:rsidP="00387C3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87C3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8E0E41" w14:textId="77777777" w:rsidR="00387C39" w:rsidRPr="00387C39" w:rsidRDefault="00387C39" w:rsidP="00387C3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87C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87C39" w:rsidRPr="00387C39" w14:paraId="1B2F2C3C" w14:textId="77777777" w:rsidTr="00387C39">
              <w:trPr>
                <w:trHeight w:val="229"/>
              </w:trPr>
              <w:tc>
                <w:tcPr>
                  <w:tcW w:w="3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7A3C68" w14:textId="77777777" w:rsidR="00387C39" w:rsidRPr="00387C39" w:rsidRDefault="00387C39" w:rsidP="00387C3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87C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87C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87C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387C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87C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D6C2957" w14:textId="77777777" w:rsidR="00387C39" w:rsidRPr="00387C39" w:rsidRDefault="00387C39" w:rsidP="00387C3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87C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7AB3FE" w14:textId="77777777" w:rsidR="00387C39" w:rsidRPr="00387C39" w:rsidRDefault="00387C39" w:rsidP="00387C3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87C3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57D264" w14:textId="77777777" w:rsidR="00387C39" w:rsidRPr="00387C39" w:rsidRDefault="00387C39" w:rsidP="00387C3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87C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87C39" w:rsidRPr="00387C39" w14:paraId="50B33888" w14:textId="77777777" w:rsidTr="00387C39">
              <w:trPr>
                <w:trHeight w:val="229"/>
              </w:trPr>
              <w:tc>
                <w:tcPr>
                  <w:tcW w:w="3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C0AE78" w14:textId="77777777" w:rsidR="00387C39" w:rsidRPr="00387C39" w:rsidRDefault="00387C39" w:rsidP="00387C3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87C39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387C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9F22609" w14:textId="77777777" w:rsidR="00387C39" w:rsidRPr="00387C39" w:rsidRDefault="00387C39" w:rsidP="00387C3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87C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A9E53C" w14:textId="77777777" w:rsidR="00387C39" w:rsidRPr="00387C39" w:rsidRDefault="00387C39" w:rsidP="00387C3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87C3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CC10F5" w14:textId="77777777" w:rsidR="00387C39" w:rsidRPr="00387C39" w:rsidRDefault="00387C39" w:rsidP="00387C3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87C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87C39" w:rsidRPr="00387C39" w14:paraId="5272A14F" w14:textId="77777777" w:rsidTr="00387C39">
              <w:trPr>
                <w:trHeight w:val="229"/>
              </w:trPr>
              <w:tc>
                <w:tcPr>
                  <w:tcW w:w="3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68C95B9" w14:textId="77777777" w:rsidR="00387C39" w:rsidRPr="00387C39" w:rsidRDefault="00387C39" w:rsidP="00387C3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87C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5A58854A" w14:textId="77777777" w:rsidR="00387C39" w:rsidRPr="00387C39" w:rsidRDefault="00387C39" w:rsidP="00387C3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387C39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FE52BC" w14:textId="77777777" w:rsidR="00387C39" w:rsidRPr="00387C39" w:rsidRDefault="00387C39" w:rsidP="00387C3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87C3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2.00</w:t>
                  </w:r>
                </w:p>
              </w:tc>
              <w:tc>
                <w:tcPr>
                  <w:tcW w:w="4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7B8AA87" w14:textId="77777777" w:rsidR="00387C39" w:rsidRPr="00387C39" w:rsidRDefault="00387C39" w:rsidP="00387C3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87C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87C39" w:rsidRPr="00387C39" w14:paraId="4179FE20" w14:textId="77777777" w:rsidTr="00387C39">
              <w:trPr>
                <w:trHeight w:val="229"/>
              </w:trPr>
              <w:tc>
                <w:tcPr>
                  <w:tcW w:w="3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A32A3F" w14:textId="77777777" w:rsidR="00387C39" w:rsidRPr="00387C39" w:rsidRDefault="00387C39" w:rsidP="00387C3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87C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8985E7F" w14:textId="77777777" w:rsidR="00387C39" w:rsidRPr="00387C39" w:rsidRDefault="00387C39" w:rsidP="00387C3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87C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6DFD0A" w14:textId="77777777" w:rsidR="00387C39" w:rsidRPr="00387C39" w:rsidRDefault="00387C39" w:rsidP="00387C3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87C3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2</w:t>
                  </w:r>
                </w:p>
              </w:tc>
              <w:tc>
                <w:tcPr>
                  <w:tcW w:w="4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912660" w14:textId="77777777" w:rsidR="00387C39" w:rsidRPr="00387C39" w:rsidRDefault="00387C39" w:rsidP="00387C39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87C39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insufficient data to assign a skin notation</w:t>
                  </w:r>
                </w:p>
              </w:tc>
            </w:tr>
          </w:tbl>
          <w:p w14:paraId="0016F5E2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34AEC71D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5A87D4C6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301966C4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9883C8D" w14:textId="77777777" w:rsidR="00EB3D1B" w:rsidRDefault="00610B6A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27FA8AD2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513F374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1AC5A6D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5C15F404" w14:textId="77777777" w:rsidR="001B79E5" w:rsidRDefault="000F56E7" w:rsidP="001B79E5">
                <w:pPr>
                  <w:pStyle w:val="Tablefont"/>
                </w:pPr>
                <w:r>
                  <w:t>75.07</w:t>
                </w:r>
              </w:p>
            </w:tc>
          </w:sdtContent>
        </w:sdt>
      </w:tr>
      <w:tr w:rsidR="00A31D99" w:rsidRPr="004C23F4" w14:paraId="6DB60EA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138D2B3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7BF7D512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CE68E9">
                  <w:t>3.1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sdt>
                  <w:sdtPr>
                    <w:id w:val="228660089"/>
                    <w:placeholder>
                      <w:docPart w:val="03112DA00BE24D29BEBC274039834CDE"/>
                    </w:placeholder>
                  </w:sdtPr>
                  <w:sdtEndPr/>
                  <w:sdtContent>
                    <w:r w:rsidR="00CE68E9">
                      <w:t>0.32</w:t>
                    </w:r>
                  </w:sdtContent>
                </w:sdt>
              </w:sdtContent>
            </w:sdt>
            <w:r>
              <w:t xml:space="preserve"> ppm</w:t>
            </w:r>
          </w:p>
        </w:tc>
      </w:tr>
      <w:tr w:rsidR="00687890" w:rsidRPr="004C23F4" w14:paraId="4C21BD8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C5CC61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E28BE85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AAFF55E" w14:textId="77777777" w:rsidTr="00EA6243">
        <w:trPr>
          <w:cantSplit/>
        </w:trPr>
        <w:tc>
          <w:tcPr>
            <w:tcW w:w="4077" w:type="dxa"/>
            <w:vAlign w:val="center"/>
          </w:tcPr>
          <w:p w14:paraId="457082EA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85B1E8E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16A07DD" w14:textId="77777777" w:rsidTr="00EA6243">
        <w:trPr>
          <w:cantSplit/>
        </w:trPr>
        <w:tc>
          <w:tcPr>
            <w:tcW w:w="4077" w:type="dxa"/>
            <w:vAlign w:val="center"/>
          </w:tcPr>
          <w:p w14:paraId="3B64F170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A8F2ACF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36246CBE" w14:textId="77777777" w:rsidTr="00EA6243">
        <w:trPr>
          <w:cantSplit/>
        </w:trPr>
        <w:tc>
          <w:tcPr>
            <w:tcW w:w="4077" w:type="dxa"/>
            <w:vAlign w:val="center"/>
          </w:tcPr>
          <w:p w14:paraId="6BBC79C1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3897E477" w14:textId="77777777" w:rsidR="00E06F40" w:rsidRPr="00A006A0" w:rsidRDefault="0075683A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2E6C81C0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68E4DA6E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13BA7C98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744A7E86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8689AB1" w14:textId="77777777" w:rsidTr="00F053FA">
        <w:trPr>
          <w:tblHeader/>
        </w:trPr>
        <w:sdt>
          <w:sdtPr>
            <w:id w:val="-25557549"/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2E9CA2A0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4A17A6D8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30033332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5CFD62A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1157CA4C" w14:textId="77777777" w:rsidR="00EA2E50" w:rsidRDefault="00EA2E50" w:rsidP="00EA2E50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(2017) </w:t>
      </w:r>
      <w:proofErr w:type="spellStart"/>
      <w:r>
        <w:t>Nitroethan</w:t>
      </w:r>
      <w:proofErr w:type="spellEnd"/>
      <w:r>
        <w:t xml:space="preserve"> – MAK value documentation</w:t>
      </w:r>
      <w:r w:rsidR="00894687">
        <w:t>, German language edition</w:t>
      </w:r>
      <w:r>
        <w:t>.</w:t>
      </w:r>
    </w:p>
    <w:p w14:paraId="6FF8928F" w14:textId="77777777" w:rsidR="00894687" w:rsidRDefault="00894687" w:rsidP="00EA2E50">
      <w:pPr>
        <w:rPr>
          <w:b/>
        </w:rPr>
      </w:pPr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(2000) </w:t>
      </w:r>
      <w:proofErr w:type="spellStart"/>
      <w:r>
        <w:t>Nitroethan</w:t>
      </w:r>
      <w:proofErr w:type="spellEnd"/>
      <w:r>
        <w:t xml:space="preserve"> – MAK value documentation, German language edition.</w:t>
      </w:r>
    </w:p>
    <w:p w14:paraId="2E1B66B2" w14:textId="77777777" w:rsidR="00635472" w:rsidRDefault="00635472" w:rsidP="00635472">
      <w:pPr>
        <w:rPr>
          <w:b/>
        </w:rPr>
      </w:pPr>
      <w:r w:rsidRPr="002022B6">
        <w:t>EU Scientific Committee on Occupational Exposure Limits (SCOEL)</w:t>
      </w:r>
      <w:r>
        <w:t xml:space="preserve"> (2012) Recommendation from the Scientific Committee on Occupational Exposure Limits for Nitroethane. SCOEL/SUM/183.</w:t>
      </w:r>
    </w:p>
    <w:p w14:paraId="6C3F801F" w14:textId="77777777" w:rsidR="00635472" w:rsidRDefault="00635472" w:rsidP="00EA2E50">
      <w:pPr>
        <w:rPr>
          <w:color w:val="000000"/>
        </w:rPr>
      </w:pPr>
      <w:r w:rsidRPr="00635472">
        <w:rPr>
          <w:color w:val="000000"/>
        </w:rPr>
        <w:t>European Chemicals Agency (ECHA) (2019) Nitroethane</w:t>
      </w:r>
      <w:r>
        <w:rPr>
          <w:color w:val="000000"/>
        </w:rPr>
        <w:t xml:space="preserve"> </w:t>
      </w:r>
      <w:r w:rsidRPr="00635472">
        <w:rPr>
          <w:color w:val="000000"/>
        </w:rPr>
        <w:t>– REACH assessment.</w:t>
      </w:r>
    </w:p>
    <w:p w14:paraId="5B230DB6" w14:textId="77777777" w:rsidR="00EA2E50" w:rsidRDefault="00EA2E50" w:rsidP="00EA2E50">
      <w:pPr>
        <w:rPr>
          <w:b/>
        </w:rPr>
      </w:pPr>
      <w:r w:rsidRPr="002022B6">
        <w:lastRenderedPageBreak/>
        <w:t>Health Council of the Netherlands</w:t>
      </w:r>
      <w:r>
        <w:t xml:space="preserve"> (HCOTN) (2004) Nitroethane</w:t>
      </w:r>
      <w:r w:rsidRPr="005F7416">
        <w:t xml:space="preserve">. </w:t>
      </w:r>
      <w:r w:rsidRPr="00EA2E50">
        <w:t>Health-based Reassessment of Administrative Occupational Exposure Limits</w:t>
      </w:r>
      <w:r w:rsidRPr="005F7416">
        <w:t xml:space="preserve">. The Hague: Health Council of the Netherlands; publication no. </w:t>
      </w:r>
      <w:r>
        <w:t>2000/15OSH/124.</w:t>
      </w:r>
    </w:p>
    <w:p w14:paraId="6AD1E10C" w14:textId="77777777" w:rsidR="002A7BA7" w:rsidRPr="002A7BA7" w:rsidRDefault="002A7BA7" w:rsidP="00466651">
      <w:r w:rsidRPr="00E819F5">
        <w:t>Organisation for Economic Coop</w:t>
      </w:r>
      <w:r>
        <w:t>eration and Development (OECD) (2010</w:t>
      </w:r>
      <w:r w:rsidRPr="00E819F5">
        <w:t xml:space="preserve">) SIDS initial assessment profile – </w:t>
      </w:r>
      <w:r>
        <w:t>Nitroethane.</w:t>
      </w:r>
    </w:p>
    <w:p w14:paraId="10B372B6" w14:textId="77777777" w:rsidR="00466651" w:rsidRDefault="00466651" w:rsidP="00466651">
      <w:r w:rsidRPr="00E461B8">
        <w:rPr>
          <w:color w:val="000000"/>
        </w:rPr>
        <w:t>Tenth Adaptation to Technical Progress Commission Regulation (EU Annex)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4F447294" w14:textId="77777777" w:rsidR="00EA2E50" w:rsidRDefault="00EA2E50" w:rsidP="00EA2E50">
      <w:pPr>
        <w:rPr>
          <w:b/>
        </w:rPr>
      </w:pPr>
      <w:r w:rsidRPr="00D86E03">
        <w:t>US National Institute for Occupational Safety and Health (NIOSH)</w:t>
      </w:r>
      <w:r>
        <w:t xml:space="preserve"> (</w:t>
      </w:r>
      <w:sdt>
        <w:sdtPr>
          <w:id w:val="-1194999823"/>
          <w:temporary/>
          <w:showingPlcHdr/>
        </w:sdtPr>
        <w:sdtEndPr/>
        <w:sdtContent>
          <w:r w:rsidRPr="00136730">
            <w:t>1994</w:t>
          </w:r>
        </w:sdtContent>
      </w:sdt>
      <w:r>
        <w:t xml:space="preserve">) Immediately dangerous to life or health concentrations – </w:t>
      </w:r>
      <w:r w:rsidR="00136730">
        <w:t>n</w:t>
      </w:r>
      <w:r w:rsidR="00136730" w:rsidRPr="00136730">
        <w:t>itroethane</w:t>
      </w:r>
      <w:r>
        <w:t>.</w:t>
      </w:r>
    </w:p>
    <w:p w14:paraId="0FEC7607" w14:textId="77777777" w:rsidR="00EA2E50" w:rsidRPr="00351FE0" w:rsidRDefault="00EA2E50" w:rsidP="00084859"/>
    <w:sectPr w:rsidR="00EA2E50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B6CBB" w14:textId="77777777" w:rsidR="0053263A" w:rsidRDefault="0053263A" w:rsidP="00F43AD5">
      <w:pPr>
        <w:spacing w:after="0" w:line="240" w:lineRule="auto"/>
      </w:pPr>
      <w:r>
        <w:separator/>
      </w:r>
    </w:p>
  </w:endnote>
  <w:endnote w:type="continuationSeparator" w:id="0">
    <w:p w14:paraId="554D128D" w14:textId="77777777" w:rsidR="0053263A" w:rsidRDefault="0053263A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4D75E" w14:textId="77777777" w:rsidR="0075683A" w:rsidRDefault="007568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9044995" w14:textId="77777777" w:rsidR="006958E6" w:rsidRDefault="006958E6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Nitroethane (79-24-3)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</w:t>
        </w:r>
        <w:r>
          <w:rPr>
            <w:sz w:val="18"/>
            <w:szCs w:val="18"/>
          </w:rPr>
          <w:t>20</w:t>
        </w:r>
      </w:p>
      <w:p w14:paraId="3487D549" w14:textId="27903291" w:rsidR="006958E6" w:rsidRPr="00F43AD5" w:rsidRDefault="006958E6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F81DDA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5DC39" w14:textId="77777777" w:rsidR="0075683A" w:rsidRDefault="00756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8209D" w14:textId="77777777" w:rsidR="0053263A" w:rsidRDefault="0053263A" w:rsidP="00F43AD5">
      <w:pPr>
        <w:spacing w:after="0" w:line="240" w:lineRule="auto"/>
      </w:pPr>
      <w:r>
        <w:separator/>
      </w:r>
    </w:p>
  </w:footnote>
  <w:footnote w:type="continuationSeparator" w:id="0">
    <w:p w14:paraId="25EEEDDB" w14:textId="77777777" w:rsidR="0053263A" w:rsidRDefault="0053263A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8664C" w14:textId="77777777" w:rsidR="0075683A" w:rsidRDefault="007568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9CAD7" w14:textId="01FBF0FC" w:rsidR="006958E6" w:rsidRPr="0075683A" w:rsidRDefault="0075683A" w:rsidP="0075683A">
    <w:pPr>
      <w:pStyle w:val="Header"/>
      <w:jc w:val="right"/>
    </w:pPr>
    <w:r>
      <w:pict w14:anchorId="03BC09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12289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5FCE2692" wp14:editId="0A6B3046">
          <wp:extent cx="2948305" cy="583565"/>
          <wp:effectExtent l="0" t="0" r="0" b="6985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D9DE5" w14:textId="77777777" w:rsidR="0075683A" w:rsidRDefault="007568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0523A" w14:textId="016531A8" w:rsidR="0075683A" w:rsidRDefault="0075683A" w:rsidP="0075683A">
    <w:pPr>
      <w:pStyle w:val="Header"/>
      <w:jc w:val="right"/>
    </w:pPr>
    <w:r>
      <w:pict w14:anchorId="69EFCD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2290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2FA99044" wp14:editId="4A38D58C">
          <wp:extent cx="2948305" cy="583565"/>
          <wp:effectExtent l="0" t="0" r="0" b="6985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2F4685" w14:textId="77777777" w:rsidR="0075683A" w:rsidRDefault="0075683A" w:rsidP="0075683A">
    <w:pPr>
      <w:pStyle w:val="Header"/>
    </w:pPr>
  </w:p>
  <w:p w14:paraId="6C857B62" w14:textId="77777777" w:rsidR="006958E6" w:rsidRDefault="006958E6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A756F"/>
    <w:multiLevelType w:val="hybridMultilevel"/>
    <w:tmpl w:val="0380B39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71450A"/>
    <w:multiLevelType w:val="hybridMultilevel"/>
    <w:tmpl w:val="C9A0A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47228"/>
    <w:multiLevelType w:val="hybridMultilevel"/>
    <w:tmpl w:val="536826F2"/>
    <w:lvl w:ilvl="0" w:tplc="EDE4E1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57595"/>
    <w:multiLevelType w:val="hybridMultilevel"/>
    <w:tmpl w:val="6FB01474"/>
    <w:lvl w:ilvl="0" w:tplc="3C9A2A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proofState w:spelling="clean" w:grammar="clean"/>
  <w:defaultTabStop w:val="720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0995"/>
    <w:rsid w:val="00000FDF"/>
    <w:rsid w:val="00007B80"/>
    <w:rsid w:val="00013A22"/>
    <w:rsid w:val="00014C3F"/>
    <w:rsid w:val="00014E0A"/>
    <w:rsid w:val="00017C82"/>
    <w:rsid w:val="00032B88"/>
    <w:rsid w:val="00046DF5"/>
    <w:rsid w:val="00052060"/>
    <w:rsid w:val="0005574A"/>
    <w:rsid w:val="00055FE1"/>
    <w:rsid w:val="00056EC2"/>
    <w:rsid w:val="00060B48"/>
    <w:rsid w:val="00061091"/>
    <w:rsid w:val="00067F32"/>
    <w:rsid w:val="00071807"/>
    <w:rsid w:val="00071FF2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C5614"/>
    <w:rsid w:val="000C6031"/>
    <w:rsid w:val="000C6914"/>
    <w:rsid w:val="000D291C"/>
    <w:rsid w:val="000E43AE"/>
    <w:rsid w:val="000E5A54"/>
    <w:rsid w:val="000E63D3"/>
    <w:rsid w:val="000E67CF"/>
    <w:rsid w:val="000E688E"/>
    <w:rsid w:val="000F42E3"/>
    <w:rsid w:val="000F43CB"/>
    <w:rsid w:val="000F56E7"/>
    <w:rsid w:val="0010461E"/>
    <w:rsid w:val="00106FAA"/>
    <w:rsid w:val="00113182"/>
    <w:rsid w:val="00113443"/>
    <w:rsid w:val="00124050"/>
    <w:rsid w:val="001269A7"/>
    <w:rsid w:val="00131092"/>
    <w:rsid w:val="001332D2"/>
    <w:rsid w:val="00136730"/>
    <w:rsid w:val="00140E6A"/>
    <w:rsid w:val="00146545"/>
    <w:rsid w:val="00146B75"/>
    <w:rsid w:val="0015266D"/>
    <w:rsid w:val="0015288A"/>
    <w:rsid w:val="00160396"/>
    <w:rsid w:val="00160F47"/>
    <w:rsid w:val="0016311F"/>
    <w:rsid w:val="0017299D"/>
    <w:rsid w:val="00177CA1"/>
    <w:rsid w:val="00182E54"/>
    <w:rsid w:val="00183823"/>
    <w:rsid w:val="00183942"/>
    <w:rsid w:val="00191077"/>
    <w:rsid w:val="001A009E"/>
    <w:rsid w:val="001A1287"/>
    <w:rsid w:val="001A3859"/>
    <w:rsid w:val="001A3C9D"/>
    <w:rsid w:val="001A43F8"/>
    <w:rsid w:val="001B4690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16594"/>
    <w:rsid w:val="00216C42"/>
    <w:rsid w:val="00217CAA"/>
    <w:rsid w:val="00221547"/>
    <w:rsid w:val="002216FC"/>
    <w:rsid w:val="00222533"/>
    <w:rsid w:val="00222F30"/>
    <w:rsid w:val="00224EE2"/>
    <w:rsid w:val="00227EC7"/>
    <w:rsid w:val="00231067"/>
    <w:rsid w:val="00232F54"/>
    <w:rsid w:val="00237593"/>
    <w:rsid w:val="00244AD1"/>
    <w:rsid w:val="002463BC"/>
    <w:rsid w:val="002465CE"/>
    <w:rsid w:val="0025734A"/>
    <w:rsid w:val="00260371"/>
    <w:rsid w:val="00263255"/>
    <w:rsid w:val="00270549"/>
    <w:rsid w:val="00276280"/>
    <w:rsid w:val="00276494"/>
    <w:rsid w:val="00277B0C"/>
    <w:rsid w:val="002A7BA7"/>
    <w:rsid w:val="002B1A2C"/>
    <w:rsid w:val="002B6ACA"/>
    <w:rsid w:val="002C34F2"/>
    <w:rsid w:val="002C58FF"/>
    <w:rsid w:val="002C5E44"/>
    <w:rsid w:val="002C7AFE"/>
    <w:rsid w:val="002D05D2"/>
    <w:rsid w:val="002E0D61"/>
    <w:rsid w:val="002E4C7B"/>
    <w:rsid w:val="002E7460"/>
    <w:rsid w:val="002F059E"/>
    <w:rsid w:val="002F186E"/>
    <w:rsid w:val="00302FA3"/>
    <w:rsid w:val="0030740C"/>
    <w:rsid w:val="003110A8"/>
    <w:rsid w:val="00315833"/>
    <w:rsid w:val="003215EE"/>
    <w:rsid w:val="003224BF"/>
    <w:rsid w:val="003241A8"/>
    <w:rsid w:val="00324781"/>
    <w:rsid w:val="003253F0"/>
    <w:rsid w:val="003337DA"/>
    <w:rsid w:val="00334EFB"/>
    <w:rsid w:val="00335CDE"/>
    <w:rsid w:val="003365A5"/>
    <w:rsid w:val="003403C3"/>
    <w:rsid w:val="00347192"/>
    <w:rsid w:val="0034744C"/>
    <w:rsid w:val="00351FE0"/>
    <w:rsid w:val="00352615"/>
    <w:rsid w:val="0035412B"/>
    <w:rsid w:val="003567A8"/>
    <w:rsid w:val="00362895"/>
    <w:rsid w:val="00370CBE"/>
    <w:rsid w:val="00370DBF"/>
    <w:rsid w:val="003812CC"/>
    <w:rsid w:val="00386093"/>
    <w:rsid w:val="00387C39"/>
    <w:rsid w:val="003904A4"/>
    <w:rsid w:val="00391841"/>
    <w:rsid w:val="00391B6D"/>
    <w:rsid w:val="00394922"/>
    <w:rsid w:val="00395171"/>
    <w:rsid w:val="003A0E32"/>
    <w:rsid w:val="003A2B94"/>
    <w:rsid w:val="003B2BF6"/>
    <w:rsid w:val="003B387D"/>
    <w:rsid w:val="003B7C11"/>
    <w:rsid w:val="003C0D58"/>
    <w:rsid w:val="003C1629"/>
    <w:rsid w:val="003D2762"/>
    <w:rsid w:val="003D3421"/>
    <w:rsid w:val="003D4FA3"/>
    <w:rsid w:val="003E0807"/>
    <w:rsid w:val="003E51FB"/>
    <w:rsid w:val="003E6B39"/>
    <w:rsid w:val="003F07E1"/>
    <w:rsid w:val="003F6B52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5742F"/>
    <w:rsid w:val="00460A03"/>
    <w:rsid w:val="00466651"/>
    <w:rsid w:val="00472A11"/>
    <w:rsid w:val="00472AAD"/>
    <w:rsid w:val="00474E33"/>
    <w:rsid w:val="00476803"/>
    <w:rsid w:val="00480022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0E1C"/>
    <w:rsid w:val="004C1E3F"/>
    <w:rsid w:val="004C23F4"/>
    <w:rsid w:val="004C3475"/>
    <w:rsid w:val="004C58B6"/>
    <w:rsid w:val="004D16A3"/>
    <w:rsid w:val="004D2CFB"/>
    <w:rsid w:val="004D4AA1"/>
    <w:rsid w:val="004D6D68"/>
    <w:rsid w:val="004E55BA"/>
    <w:rsid w:val="004E5EDD"/>
    <w:rsid w:val="004E73EA"/>
    <w:rsid w:val="004F448A"/>
    <w:rsid w:val="004F493D"/>
    <w:rsid w:val="004F65E8"/>
    <w:rsid w:val="0050005E"/>
    <w:rsid w:val="00502B88"/>
    <w:rsid w:val="005076F5"/>
    <w:rsid w:val="005101A0"/>
    <w:rsid w:val="005142C4"/>
    <w:rsid w:val="0051509C"/>
    <w:rsid w:val="00526452"/>
    <w:rsid w:val="005272E2"/>
    <w:rsid w:val="0053108F"/>
    <w:rsid w:val="0053263A"/>
    <w:rsid w:val="00532B56"/>
    <w:rsid w:val="00534B10"/>
    <w:rsid w:val="00536EC4"/>
    <w:rsid w:val="005446A2"/>
    <w:rsid w:val="00544D2F"/>
    <w:rsid w:val="00551BD8"/>
    <w:rsid w:val="0056343B"/>
    <w:rsid w:val="00581055"/>
    <w:rsid w:val="00582B58"/>
    <w:rsid w:val="00585E76"/>
    <w:rsid w:val="00591E38"/>
    <w:rsid w:val="00597787"/>
    <w:rsid w:val="005A19C5"/>
    <w:rsid w:val="005A3034"/>
    <w:rsid w:val="005A462D"/>
    <w:rsid w:val="005A6E1F"/>
    <w:rsid w:val="005B19DA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B6A"/>
    <w:rsid w:val="00610F2E"/>
    <w:rsid w:val="00611399"/>
    <w:rsid w:val="00624C4E"/>
    <w:rsid w:val="00625200"/>
    <w:rsid w:val="00635472"/>
    <w:rsid w:val="006363A8"/>
    <w:rsid w:val="00636DB7"/>
    <w:rsid w:val="006471AD"/>
    <w:rsid w:val="006474BC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6A0A"/>
    <w:rsid w:val="00677D9B"/>
    <w:rsid w:val="0068339A"/>
    <w:rsid w:val="006867F3"/>
    <w:rsid w:val="00687890"/>
    <w:rsid w:val="006901A2"/>
    <w:rsid w:val="00690368"/>
    <w:rsid w:val="0069079C"/>
    <w:rsid w:val="00690B53"/>
    <w:rsid w:val="0069159B"/>
    <w:rsid w:val="00692C4C"/>
    <w:rsid w:val="006958E6"/>
    <w:rsid w:val="00695B72"/>
    <w:rsid w:val="006A1677"/>
    <w:rsid w:val="006A78EF"/>
    <w:rsid w:val="006B160A"/>
    <w:rsid w:val="006B4E6C"/>
    <w:rsid w:val="006B50B6"/>
    <w:rsid w:val="006C6DF9"/>
    <w:rsid w:val="006D79EA"/>
    <w:rsid w:val="006E5D05"/>
    <w:rsid w:val="006F2733"/>
    <w:rsid w:val="006F3C91"/>
    <w:rsid w:val="00701053"/>
    <w:rsid w:val="00701507"/>
    <w:rsid w:val="00707EDC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683A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A0794"/>
    <w:rsid w:val="007A34D1"/>
    <w:rsid w:val="007A3ACB"/>
    <w:rsid w:val="007B1B42"/>
    <w:rsid w:val="007B24BF"/>
    <w:rsid w:val="007B5E12"/>
    <w:rsid w:val="007C2BE3"/>
    <w:rsid w:val="007C30EB"/>
    <w:rsid w:val="007D550F"/>
    <w:rsid w:val="007E063C"/>
    <w:rsid w:val="007E1E3D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1717F"/>
    <w:rsid w:val="0082183A"/>
    <w:rsid w:val="00826F21"/>
    <w:rsid w:val="0082759D"/>
    <w:rsid w:val="00834CC8"/>
    <w:rsid w:val="008359E5"/>
    <w:rsid w:val="00835E00"/>
    <w:rsid w:val="0083633D"/>
    <w:rsid w:val="00837113"/>
    <w:rsid w:val="008414E4"/>
    <w:rsid w:val="00843E21"/>
    <w:rsid w:val="0084508E"/>
    <w:rsid w:val="00857A8A"/>
    <w:rsid w:val="008601B8"/>
    <w:rsid w:val="008630EE"/>
    <w:rsid w:val="00864D13"/>
    <w:rsid w:val="00871CD5"/>
    <w:rsid w:val="008745A2"/>
    <w:rsid w:val="00875347"/>
    <w:rsid w:val="008768A8"/>
    <w:rsid w:val="00885926"/>
    <w:rsid w:val="0088798F"/>
    <w:rsid w:val="00887D98"/>
    <w:rsid w:val="00887E4B"/>
    <w:rsid w:val="008915C8"/>
    <w:rsid w:val="00894687"/>
    <w:rsid w:val="008976E1"/>
    <w:rsid w:val="008A0630"/>
    <w:rsid w:val="008A36CF"/>
    <w:rsid w:val="008A3BC4"/>
    <w:rsid w:val="008A5D3B"/>
    <w:rsid w:val="008B403C"/>
    <w:rsid w:val="008B4D43"/>
    <w:rsid w:val="008B7983"/>
    <w:rsid w:val="008C0E4E"/>
    <w:rsid w:val="008C2511"/>
    <w:rsid w:val="008D026D"/>
    <w:rsid w:val="008D23AB"/>
    <w:rsid w:val="008D4B8B"/>
    <w:rsid w:val="008D5A78"/>
    <w:rsid w:val="008E4761"/>
    <w:rsid w:val="008E6761"/>
    <w:rsid w:val="008E70C1"/>
    <w:rsid w:val="008E7B64"/>
    <w:rsid w:val="008F0091"/>
    <w:rsid w:val="008F4D74"/>
    <w:rsid w:val="008F5DCD"/>
    <w:rsid w:val="00900951"/>
    <w:rsid w:val="009118A6"/>
    <w:rsid w:val="00914844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3720"/>
    <w:rsid w:val="00934028"/>
    <w:rsid w:val="0093760E"/>
    <w:rsid w:val="00941749"/>
    <w:rsid w:val="00946044"/>
    <w:rsid w:val="0094660B"/>
    <w:rsid w:val="00946A33"/>
    <w:rsid w:val="0095260E"/>
    <w:rsid w:val="0095301E"/>
    <w:rsid w:val="009578DD"/>
    <w:rsid w:val="00961124"/>
    <w:rsid w:val="009621B6"/>
    <w:rsid w:val="00964CAB"/>
    <w:rsid w:val="00974F2D"/>
    <w:rsid w:val="00977524"/>
    <w:rsid w:val="00977E88"/>
    <w:rsid w:val="00982AE0"/>
    <w:rsid w:val="00984920"/>
    <w:rsid w:val="009915B8"/>
    <w:rsid w:val="009917AC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153F"/>
    <w:rsid w:val="009D3B5A"/>
    <w:rsid w:val="009E0C05"/>
    <w:rsid w:val="009E0D1C"/>
    <w:rsid w:val="009E2214"/>
    <w:rsid w:val="009E355A"/>
    <w:rsid w:val="009E63E2"/>
    <w:rsid w:val="009E6DEB"/>
    <w:rsid w:val="009F04D2"/>
    <w:rsid w:val="009F05CF"/>
    <w:rsid w:val="009F0F3A"/>
    <w:rsid w:val="00A01D0C"/>
    <w:rsid w:val="00A03C9B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1FF2"/>
    <w:rsid w:val="00A357BA"/>
    <w:rsid w:val="00A35ADC"/>
    <w:rsid w:val="00A402A3"/>
    <w:rsid w:val="00A41A01"/>
    <w:rsid w:val="00A45C3B"/>
    <w:rsid w:val="00A46498"/>
    <w:rsid w:val="00A53681"/>
    <w:rsid w:val="00A53AC3"/>
    <w:rsid w:val="00A600DD"/>
    <w:rsid w:val="00A62073"/>
    <w:rsid w:val="00A633D4"/>
    <w:rsid w:val="00A6461A"/>
    <w:rsid w:val="00A84504"/>
    <w:rsid w:val="00A8595E"/>
    <w:rsid w:val="00A865CA"/>
    <w:rsid w:val="00A8672F"/>
    <w:rsid w:val="00A90519"/>
    <w:rsid w:val="00A93057"/>
    <w:rsid w:val="00A934C0"/>
    <w:rsid w:val="00A968B0"/>
    <w:rsid w:val="00A9785E"/>
    <w:rsid w:val="00AB2672"/>
    <w:rsid w:val="00AB2817"/>
    <w:rsid w:val="00AB43C4"/>
    <w:rsid w:val="00AC32E7"/>
    <w:rsid w:val="00AC3A9F"/>
    <w:rsid w:val="00AC6D2F"/>
    <w:rsid w:val="00AD45D5"/>
    <w:rsid w:val="00AD618C"/>
    <w:rsid w:val="00AE2745"/>
    <w:rsid w:val="00AE2F64"/>
    <w:rsid w:val="00AE6352"/>
    <w:rsid w:val="00AE7551"/>
    <w:rsid w:val="00AF42CB"/>
    <w:rsid w:val="00AF483F"/>
    <w:rsid w:val="00AF5E07"/>
    <w:rsid w:val="00AF5F06"/>
    <w:rsid w:val="00AF66EB"/>
    <w:rsid w:val="00B00A25"/>
    <w:rsid w:val="00B00E77"/>
    <w:rsid w:val="00B04D60"/>
    <w:rsid w:val="00B1422A"/>
    <w:rsid w:val="00B1765C"/>
    <w:rsid w:val="00B213C4"/>
    <w:rsid w:val="00B21711"/>
    <w:rsid w:val="00B3262C"/>
    <w:rsid w:val="00B36A58"/>
    <w:rsid w:val="00B40C60"/>
    <w:rsid w:val="00B479A9"/>
    <w:rsid w:val="00B47BA2"/>
    <w:rsid w:val="00B52EDF"/>
    <w:rsid w:val="00B65627"/>
    <w:rsid w:val="00B71188"/>
    <w:rsid w:val="00B76A41"/>
    <w:rsid w:val="00B87D4C"/>
    <w:rsid w:val="00B93646"/>
    <w:rsid w:val="00B93DE6"/>
    <w:rsid w:val="00B95342"/>
    <w:rsid w:val="00B97ACE"/>
    <w:rsid w:val="00BA0B38"/>
    <w:rsid w:val="00BA1DBB"/>
    <w:rsid w:val="00BA4510"/>
    <w:rsid w:val="00BA529A"/>
    <w:rsid w:val="00BB612A"/>
    <w:rsid w:val="00BB7002"/>
    <w:rsid w:val="00BD499F"/>
    <w:rsid w:val="00BD56DE"/>
    <w:rsid w:val="00BE32BE"/>
    <w:rsid w:val="00BF2406"/>
    <w:rsid w:val="00C06E43"/>
    <w:rsid w:val="00C16315"/>
    <w:rsid w:val="00C252DB"/>
    <w:rsid w:val="00C275C5"/>
    <w:rsid w:val="00C3091E"/>
    <w:rsid w:val="00C33C73"/>
    <w:rsid w:val="00C40FF1"/>
    <w:rsid w:val="00C419E2"/>
    <w:rsid w:val="00C5020E"/>
    <w:rsid w:val="00C53497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86961"/>
    <w:rsid w:val="00C90033"/>
    <w:rsid w:val="00C95C85"/>
    <w:rsid w:val="00C96189"/>
    <w:rsid w:val="00C978F0"/>
    <w:rsid w:val="00CA58FE"/>
    <w:rsid w:val="00CB1CB1"/>
    <w:rsid w:val="00CB6BC1"/>
    <w:rsid w:val="00CB6CB8"/>
    <w:rsid w:val="00CC1A68"/>
    <w:rsid w:val="00CC2123"/>
    <w:rsid w:val="00CD1FCC"/>
    <w:rsid w:val="00CD2BFD"/>
    <w:rsid w:val="00CE5AD6"/>
    <w:rsid w:val="00CE617F"/>
    <w:rsid w:val="00CE68E9"/>
    <w:rsid w:val="00CE78EF"/>
    <w:rsid w:val="00CF5561"/>
    <w:rsid w:val="00D048F7"/>
    <w:rsid w:val="00D0517E"/>
    <w:rsid w:val="00D140FC"/>
    <w:rsid w:val="00D21D8C"/>
    <w:rsid w:val="00D31357"/>
    <w:rsid w:val="00D32BC8"/>
    <w:rsid w:val="00D33220"/>
    <w:rsid w:val="00D334D1"/>
    <w:rsid w:val="00D370C3"/>
    <w:rsid w:val="00D44C89"/>
    <w:rsid w:val="00D50819"/>
    <w:rsid w:val="00D516CD"/>
    <w:rsid w:val="00D5285C"/>
    <w:rsid w:val="00D5287B"/>
    <w:rsid w:val="00D53DA1"/>
    <w:rsid w:val="00D55D31"/>
    <w:rsid w:val="00D630D1"/>
    <w:rsid w:val="00D668E6"/>
    <w:rsid w:val="00D70670"/>
    <w:rsid w:val="00D74D80"/>
    <w:rsid w:val="00D76624"/>
    <w:rsid w:val="00D810B8"/>
    <w:rsid w:val="00D84620"/>
    <w:rsid w:val="00D86147"/>
    <w:rsid w:val="00D87570"/>
    <w:rsid w:val="00D91CB9"/>
    <w:rsid w:val="00D97989"/>
    <w:rsid w:val="00D97D8D"/>
    <w:rsid w:val="00DA056D"/>
    <w:rsid w:val="00DA26A3"/>
    <w:rsid w:val="00DA352E"/>
    <w:rsid w:val="00DC7694"/>
    <w:rsid w:val="00DD1BF6"/>
    <w:rsid w:val="00DD2F9B"/>
    <w:rsid w:val="00DE2513"/>
    <w:rsid w:val="00DE26E8"/>
    <w:rsid w:val="00DF44C5"/>
    <w:rsid w:val="00DF6F36"/>
    <w:rsid w:val="00E001BE"/>
    <w:rsid w:val="00E0084C"/>
    <w:rsid w:val="00E025AB"/>
    <w:rsid w:val="00E02B23"/>
    <w:rsid w:val="00E06F40"/>
    <w:rsid w:val="00E07CE8"/>
    <w:rsid w:val="00E212C5"/>
    <w:rsid w:val="00E26A07"/>
    <w:rsid w:val="00E303E1"/>
    <w:rsid w:val="00E32595"/>
    <w:rsid w:val="00E37CFD"/>
    <w:rsid w:val="00E41A26"/>
    <w:rsid w:val="00E46BCB"/>
    <w:rsid w:val="00E51CAF"/>
    <w:rsid w:val="00E60351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2E50"/>
    <w:rsid w:val="00EA6243"/>
    <w:rsid w:val="00EA74AB"/>
    <w:rsid w:val="00EB1279"/>
    <w:rsid w:val="00EB2A6D"/>
    <w:rsid w:val="00EB3D1B"/>
    <w:rsid w:val="00EB727D"/>
    <w:rsid w:val="00ED06A9"/>
    <w:rsid w:val="00ED1D89"/>
    <w:rsid w:val="00ED66BC"/>
    <w:rsid w:val="00EF233A"/>
    <w:rsid w:val="00EF303E"/>
    <w:rsid w:val="00EF3A40"/>
    <w:rsid w:val="00EF72EE"/>
    <w:rsid w:val="00EF7F78"/>
    <w:rsid w:val="00F01B08"/>
    <w:rsid w:val="00F01C4D"/>
    <w:rsid w:val="00F053FA"/>
    <w:rsid w:val="00F10856"/>
    <w:rsid w:val="00F10C97"/>
    <w:rsid w:val="00F11C71"/>
    <w:rsid w:val="00F12C5E"/>
    <w:rsid w:val="00F16019"/>
    <w:rsid w:val="00F20E68"/>
    <w:rsid w:val="00F22093"/>
    <w:rsid w:val="00F236DF"/>
    <w:rsid w:val="00F43AD5"/>
    <w:rsid w:val="00F4402E"/>
    <w:rsid w:val="00F5509A"/>
    <w:rsid w:val="00F551CA"/>
    <w:rsid w:val="00F56DD0"/>
    <w:rsid w:val="00F6300A"/>
    <w:rsid w:val="00F6491C"/>
    <w:rsid w:val="00F67BBB"/>
    <w:rsid w:val="00F73E8F"/>
    <w:rsid w:val="00F81DDA"/>
    <w:rsid w:val="00F827C1"/>
    <w:rsid w:val="00F82DF3"/>
    <w:rsid w:val="00F87D92"/>
    <w:rsid w:val="00F90AA7"/>
    <w:rsid w:val="00F92498"/>
    <w:rsid w:val="00F9496B"/>
    <w:rsid w:val="00F96B5B"/>
    <w:rsid w:val="00F970C9"/>
    <w:rsid w:val="00F972A1"/>
    <w:rsid w:val="00FA06A8"/>
    <w:rsid w:val="00FA3DF5"/>
    <w:rsid w:val="00FA741F"/>
    <w:rsid w:val="00FB4E07"/>
    <w:rsid w:val="00FB755A"/>
    <w:rsid w:val="00FC3CEE"/>
    <w:rsid w:val="00FC60A2"/>
    <w:rsid w:val="00FC67B1"/>
    <w:rsid w:val="00FD1871"/>
    <w:rsid w:val="00FD3110"/>
    <w:rsid w:val="00FE3403"/>
    <w:rsid w:val="00FE69E3"/>
    <w:rsid w:val="00FF04A4"/>
    <w:rsid w:val="00FF0C86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."/>
  <w:listSeparator w:val=","/>
  <w14:docId w14:val="0C580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EA2E50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E6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8E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8E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091"/>
    <w:rPr>
      <w:b/>
      <w:bCs/>
      <w:szCs w:val="20"/>
    </w:rPr>
  </w:style>
  <w:style w:type="paragraph" w:styleId="Revision">
    <w:name w:val="Revision"/>
    <w:hidden/>
    <w:uiPriority w:val="99"/>
    <w:semiHidden/>
    <w:rsid w:val="002B6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5FC67285254AFD816F7C56BCC77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67097-DD96-4233-9C49-F89B32CC2D3E}"/>
      </w:docPartPr>
      <w:docPartBody>
        <w:p w:rsidR="003C172D" w:rsidRDefault="00F92E45" w:rsidP="00F92E45">
          <w:pPr>
            <w:pStyle w:val="015FC67285254AFD816F7C56BCC7723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ADB8B2FFBBC041AC8B37E3EA4D13B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D1AD9-369F-4BE1-95AF-A16742431888}"/>
      </w:docPartPr>
      <w:docPartBody>
        <w:p w:rsidR="006F1D93" w:rsidRDefault="00B412C0" w:rsidP="00B412C0">
          <w:pPr>
            <w:pStyle w:val="ADB8B2FFBBC041AC8B37E3EA4D13B94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F0E764F0451A4AF4B225FECC8F283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AB0D0-AF12-4CCD-9F3E-0F454C8E75D1}"/>
      </w:docPartPr>
      <w:docPartBody>
        <w:p w:rsidR="006F1D93" w:rsidRDefault="00B412C0" w:rsidP="00B412C0">
          <w:pPr>
            <w:pStyle w:val="F0E764F0451A4AF4B225FECC8F283B06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A979CB5C71741FE9B41118A1CA87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303A2-70D4-46C5-AFA6-1373DF67CA5B}"/>
      </w:docPartPr>
      <w:docPartBody>
        <w:p w:rsidR="006F1D93" w:rsidRDefault="00B412C0" w:rsidP="00B412C0">
          <w:pPr>
            <w:pStyle w:val="0A979CB5C71741FE9B41118A1CA874F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3019F7DD87244F28010D780F556C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3652F-4B74-4A5F-B17F-1D062954B0EB}"/>
      </w:docPartPr>
      <w:docPartBody>
        <w:p w:rsidR="006F1D93" w:rsidRDefault="00B412C0" w:rsidP="00B412C0">
          <w:pPr>
            <w:pStyle w:val="C3019F7DD87244F28010D780F556C0B2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3112DA00BE24D29BEBC274039834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06F22-EA72-42C6-B48C-B471ACABD404}"/>
      </w:docPartPr>
      <w:docPartBody>
        <w:p w:rsidR="004F1917" w:rsidRDefault="006F1D93" w:rsidP="006F1D93">
          <w:pPr>
            <w:pStyle w:val="03112DA00BE24D29BEBC274039834CDE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89545EC6EE7C4740AA7C307CD6320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3510D-23C6-4CAF-8980-83A13A00C793}"/>
      </w:docPartPr>
      <w:docPartBody>
        <w:p w:rsidR="004F1917" w:rsidRDefault="006F1D93" w:rsidP="006F1D93">
          <w:pPr>
            <w:pStyle w:val="89545EC6EE7C4740AA7C307CD6320E9B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064B1F"/>
    <w:rsid w:val="00076BD6"/>
    <w:rsid w:val="000E0F77"/>
    <w:rsid w:val="003C172D"/>
    <w:rsid w:val="004F1917"/>
    <w:rsid w:val="0059423F"/>
    <w:rsid w:val="006F1D93"/>
    <w:rsid w:val="00772D2F"/>
    <w:rsid w:val="00815584"/>
    <w:rsid w:val="00A6512F"/>
    <w:rsid w:val="00B412C0"/>
    <w:rsid w:val="00B66A1B"/>
    <w:rsid w:val="00D21A9F"/>
    <w:rsid w:val="00F92E45"/>
    <w:rsid w:val="00FD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2D2F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015FC67285254AFD816F7C56BCC77232">
    <w:name w:val="015FC67285254AFD816F7C56BCC77232"/>
    <w:rsid w:val="00F92E45"/>
    <w:rPr>
      <w:lang w:val="en-US" w:eastAsia="en-US"/>
    </w:rPr>
  </w:style>
  <w:style w:type="paragraph" w:customStyle="1" w:styleId="EB2AAC6DE8DE40BDA791F34AEEB902D0">
    <w:name w:val="EB2AAC6DE8DE40BDA791F34AEEB902D0"/>
    <w:rsid w:val="00F92E45"/>
    <w:rPr>
      <w:lang w:val="en-US" w:eastAsia="en-US"/>
    </w:rPr>
  </w:style>
  <w:style w:type="paragraph" w:customStyle="1" w:styleId="7D5CFB31F0054ADE9F9B18439CAF1329">
    <w:name w:val="7D5CFB31F0054ADE9F9B18439CAF1329"/>
    <w:rsid w:val="00F92E45"/>
    <w:rPr>
      <w:lang w:val="en-US" w:eastAsia="en-US"/>
    </w:rPr>
  </w:style>
  <w:style w:type="paragraph" w:customStyle="1" w:styleId="4A73AFD30D92472BA68BADB26AF53A90">
    <w:name w:val="4A73AFD30D92472BA68BADB26AF53A90"/>
    <w:rsid w:val="00F92E45"/>
    <w:rPr>
      <w:lang w:val="en-US" w:eastAsia="en-US"/>
    </w:rPr>
  </w:style>
  <w:style w:type="paragraph" w:customStyle="1" w:styleId="18F2258F48B7414B8BC740F3D5828C04">
    <w:name w:val="18F2258F48B7414B8BC740F3D5828C04"/>
    <w:rsid w:val="00F92E45"/>
    <w:rPr>
      <w:lang w:val="en-US" w:eastAsia="en-US"/>
    </w:rPr>
  </w:style>
  <w:style w:type="paragraph" w:customStyle="1" w:styleId="83816B5CB05A4DE4B755FB234CC76894">
    <w:name w:val="83816B5CB05A4DE4B755FB234CC76894"/>
    <w:rsid w:val="00F92E45"/>
    <w:rPr>
      <w:lang w:val="en-US" w:eastAsia="en-US"/>
    </w:rPr>
  </w:style>
  <w:style w:type="paragraph" w:customStyle="1" w:styleId="C546B0A11ED14CC69ACCE6022BD475B3">
    <w:name w:val="C546B0A11ED14CC69ACCE6022BD475B3"/>
    <w:rsid w:val="00F92E45"/>
    <w:rPr>
      <w:lang w:val="en-US" w:eastAsia="en-US"/>
    </w:rPr>
  </w:style>
  <w:style w:type="paragraph" w:customStyle="1" w:styleId="CF5C199AEF8E4CFFB08D7C349251F090">
    <w:name w:val="CF5C199AEF8E4CFFB08D7C349251F090"/>
    <w:rsid w:val="00F92E45"/>
    <w:rPr>
      <w:lang w:val="en-US" w:eastAsia="en-US"/>
    </w:rPr>
  </w:style>
  <w:style w:type="paragraph" w:customStyle="1" w:styleId="C6E804EDA3F24CB685DF148B4F915823">
    <w:name w:val="C6E804EDA3F24CB685DF148B4F915823"/>
    <w:rsid w:val="00F92E45"/>
    <w:rPr>
      <w:lang w:val="en-US" w:eastAsia="en-US"/>
    </w:rPr>
  </w:style>
  <w:style w:type="paragraph" w:customStyle="1" w:styleId="BC81AFF4293048B68FB9AA4A4C878BF0">
    <w:name w:val="BC81AFF4293048B68FB9AA4A4C878BF0"/>
    <w:rsid w:val="00F92E45"/>
    <w:rPr>
      <w:lang w:val="en-US" w:eastAsia="en-US"/>
    </w:rPr>
  </w:style>
  <w:style w:type="paragraph" w:customStyle="1" w:styleId="01810BA9AD5D49B58F352A4862493837">
    <w:name w:val="01810BA9AD5D49B58F352A4862493837"/>
    <w:rsid w:val="00F92E45"/>
    <w:rPr>
      <w:lang w:val="en-US" w:eastAsia="en-US"/>
    </w:rPr>
  </w:style>
  <w:style w:type="paragraph" w:customStyle="1" w:styleId="C1E49C525BDD4B61ABD65F9925676ECB">
    <w:name w:val="C1E49C525BDD4B61ABD65F9925676ECB"/>
    <w:rsid w:val="00F92E45"/>
    <w:rPr>
      <w:lang w:val="en-US" w:eastAsia="en-US"/>
    </w:rPr>
  </w:style>
  <w:style w:type="paragraph" w:customStyle="1" w:styleId="27714D1FDC6249EEB8028419251AF152">
    <w:name w:val="27714D1FDC6249EEB8028419251AF152"/>
    <w:rsid w:val="00F92E45"/>
    <w:rPr>
      <w:lang w:val="en-US" w:eastAsia="en-US"/>
    </w:rPr>
  </w:style>
  <w:style w:type="paragraph" w:customStyle="1" w:styleId="72501FB3A828483C966DA2C0B6F54A2C">
    <w:name w:val="72501FB3A828483C966DA2C0B6F54A2C"/>
    <w:rsid w:val="00F92E45"/>
    <w:rPr>
      <w:lang w:val="en-US" w:eastAsia="en-US"/>
    </w:rPr>
  </w:style>
  <w:style w:type="paragraph" w:customStyle="1" w:styleId="5573568437AB4A12958B271583FE6666">
    <w:name w:val="5573568437AB4A12958B271583FE6666"/>
    <w:rsid w:val="00F92E45"/>
    <w:rPr>
      <w:lang w:val="en-US" w:eastAsia="en-US"/>
    </w:rPr>
  </w:style>
  <w:style w:type="paragraph" w:customStyle="1" w:styleId="75202A73514D43808229D57E48A1E84D">
    <w:name w:val="75202A73514D43808229D57E48A1E84D"/>
    <w:rsid w:val="00F92E45"/>
    <w:rPr>
      <w:lang w:val="en-US" w:eastAsia="en-US"/>
    </w:rPr>
  </w:style>
  <w:style w:type="paragraph" w:customStyle="1" w:styleId="CED3FEF8093C49359E2E533ED39446DF">
    <w:name w:val="CED3FEF8093C49359E2E533ED39446DF"/>
    <w:rsid w:val="00F92E45"/>
    <w:rPr>
      <w:lang w:val="en-US" w:eastAsia="en-US"/>
    </w:rPr>
  </w:style>
  <w:style w:type="paragraph" w:customStyle="1" w:styleId="6317C76B405446F0A9A9E7BE17723A8C">
    <w:name w:val="6317C76B405446F0A9A9E7BE17723A8C"/>
    <w:rsid w:val="00F92E45"/>
    <w:rPr>
      <w:lang w:val="en-US" w:eastAsia="en-US"/>
    </w:rPr>
  </w:style>
  <w:style w:type="paragraph" w:customStyle="1" w:styleId="68D2A41FEB5547849954A51E06BD6C7F">
    <w:name w:val="68D2A41FEB5547849954A51E06BD6C7F"/>
    <w:rsid w:val="00F92E45"/>
    <w:rPr>
      <w:lang w:val="en-US" w:eastAsia="en-US"/>
    </w:rPr>
  </w:style>
  <w:style w:type="paragraph" w:customStyle="1" w:styleId="A8AF55E1EF07433CABE2DE7DBE2F2368">
    <w:name w:val="A8AF55E1EF07433CABE2DE7DBE2F2368"/>
    <w:rsid w:val="00F92E45"/>
    <w:rPr>
      <w:lang w:val="en-US" w:eastAsia="en-US"/>
    </w:rPr>
  </w:style>
  <w:style w:type="paragraph" w:customStyle="1" w:styleId="1984412797D047FDAA87591CFA597BBB">
    <w:name w:val="1984412797D047FDAA87591CFA597BBB"/>
    <w:rsid w:val="00F92E45"/>
    <w:rPr>
      <w:lang w:val="en-US" w:eastAsia="en-US"/>
    </w:rPr>
  </w:style>
  <w:style w:type="paragraph" w:customStyle="1" w:styleId="ADB8B2FFBBC041AC8B37E3EA4D13B945">
    <w:name w:val="ADB8B2FFBBC041AC8B37E3EA4D13B945"/>
    <w:rsid w:val="00B412C0"/>
  </w:style>
  <w:style w:type="paragraph" w:customStyle="1" w:styleId="DF3D8AC28B0D48C1B2BD9784FB8BA48A">
    <w:name w:val="DF3D8AC28B0D48C1B2BD9784FB8BA48A"/>
    <w:rsid w:val="00B412C0"/>
  </w:style>
  <w:style w:type="paragraph" w:customStyle="1" w:styleId="A1BE4EC57D6649FF95DFE6DFCFDC259C">
    <w:name w:val="A1BE4EC57D6649FF95DFE6DFCFDC259C"/>
    <w:rsid w:val="00B412C0"/>
  </w:style>
  <w:style w:type="paragraph" w:customStyle="1" w:styleId="5E3E1E5440AE4A988448C6E7E2E60E2B">
    <w:name w:val="5E3E1E5440AE4A988448C6E7E2E60E2B"/>
    <w:rsid w:val="00B412C0"/>
  </w:style>
  <w:style w:type="paragraph" w:customStyle="1" w:styleId="C7446CF990554D3CB1AFCD787CB72707">
    <w:name w:val="C7446CF990554D3CB1AFCD787CB72707"/>
    <w:rsid w:val="00B412C0"/>
  </w:style>
  <w:style w:type="paragraph" w:customStyle="1" w:styleId="312E01986E2F4638A4657B8CEB8CB0CD">
    <w:name w:val="312E01986E2F4638A4657B8CEB8CB0CD"/>
    <w:rsid w:val="00B412C0"/>
  </w:style>
  <w:style w:type="paragraph" w:customStyle="1" w:styleId="F0E764F0451A4AF4B225FECC8F283B06">
    <w:name w:val="F0E764F0451A4AF4B225FECC8F283B06"/>
    <w:rsid w:val="00B412C0"/>
  </w:style>
  <w:style w:type="paragraph" w:customStyle="1" w:styleId="0A979CB5C71741FE9B41118A1CA874F5">
    <w:name w:val="0A979CB5C71741FE9B41118A1CA874F5"/>
    <w:rsid w:val="00B412C0"/>
  </w:style>
  <w:style w:type="paragraph" w:customStyle="1" w:styleId="C3019F7DD87244F28010D780F556C0B2">
    <w:name w:val="C3019F7DD87244F28010D780F556C0B2"/>
    <w:rsid w:val="00B412C0"/>
  </w:style>
  <w:style w:type="paragraph" w:customStyle="1" w:styleId="03112DA00BE24D29BEBC274039834CDE">
    <w:name w:val="03112DA00BE24D29BEBC274039834CDE"/>
    <w:rsid w:val="006F1D93"/>
  </w:style>
  <w:style w:type="paragraph" w:customStyle="1" w:styleId="89545EC6EE7C4740AA7C307CD6320E9B">
    <w:name w:val="89545EC6EE7C4740AA7C307CD6320E9B"/>
    <w:rsid w:val="006F1D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865FB-4461-4E51-A5D3-9D387853517A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bf54d604-3e62-4e70-ba33-9e9084b96a6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F72E08-3F92-4E09-81C0-4CF2BC81A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B02B3-E071-42E8-BA2E-4107BF99DF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5FCA14-524E-4A1D-A212-9CED638E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2020-07-10T02:13:00Z</dcterms:created>
  <dcterms:modified xsi:type="dcterms:W3CDTF">2020-07-21T00:15:00Z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