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853027D" w14:textId="77777777" w:rsidR="00BD499F" w:rsidRPr="004C23F4" w:rsidRDefault="00FE528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o-phenyledediamine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3B430612" w14:textId="77777777" w:rsidTr="00B76A41">
        <w:trPr>
          <w:cantSplit/>
          <w:tblHeader/>
        </w:trPr>
        <w:tc>
          <w:tcPr>
            <w:tcW w:w="4077" w:type="dxa"/>
          </w:tcPr>
          <w:p w14:paraId="33935FB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7CC7F79" w14:textId="77777777" w:rsidR="00F43AD5" w:rsidRPr="00717D45" w:rsidRDefault="00FE528A" w:rsidP="00B76A41">
            <w:pPr>
              <w:pStyle w:val="Tablefont"/>
            </w:pPr>
            <w:r>
              <w:t>95-54-5</w:t>
            </w:r>
          </w:p>
        </w:tc>
      </w:tr>
      <w:tr w:rsidR="00F43AD5" w:rsidRPr="00F5732D" w14:paraId="2050D2AD" w14:textId="77777777" w:rsidTr="00B76A41">
        <w:trPr>
          <w:cantSplit/>
        </w:trPr>
        <w:tc>
          <w:tcPr>
            <w:tcW w:w="4077" w:type="dxa"/>
          </w:tcPr>
          <w:p w14:paraId="154CB47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AB3D721" w14:textId="77777777" w:rsidR="00F43AD5" w:rsidRPr="00F5732D" w:rsidRDefault="00FE528A" w:rsidP="00B76A41">
            <w:pPr>
              <w:pStyle w:val="Tablefont"/>
              <w:rPr>
                <w:lang w:val="it-IT"/>
              </w:rPr>
            </w:pPr>
            <w:r w:rsidRPr="00F5732D">
              <w:rPr>
                <w:lang w:val="it-IT"/>
              </w:rPr>
              <w:t>1,2-Benzenediamine, o-diaminobenzene, diolene, orthamine</w:t>
            </w:r>
          </w:p>
        </w:tc>
      </w:tr>
      <w:tr w:rsidR="00F43AD5" w:rsidRPr="004C23F4" w14:paraId="65A31732" w14:textId="77777777" w:rsidTr="00B76A41">
        <w:trPr>
          <w:cantSplit/>
        </w:trPr>
        <w:tc>
          <w:tcPr>
            <w:tcW w:w="4077" w:type="dxa"/>
          </w:tcPr>
          <w:p w14:paraId="57AEE77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BF308BC" w14:textId="77777777" w:rsidR="00F43AD5" w:rsidRPr="00717D45" w:rsidRDefault="00FE528A" w:rsidP="00B76A41">
            <w:pPr>
              <w:pStyle w:val="Tablefont"/>
            </w:pPr>
            <w:r>
              <w:t>C</w:t>
            </w:r>
            <w:r w:rsidRPr="00FE528A">
              <w:rPr>
                <w:vertAlign w:val="subscript"/>
              </w:rPr>
              <w:t>6</w:t>
            </w:r>
            <w:r>
              <w:t>H</w:t>
            </w:r>
            <w:r w:rsidRPr="00FE528A">
              <w:rPr>
                <w:vertAlign w:val="subscript"/>
              </w:rPr>
              <w:t>8</w:t>
            </w:r>
            <w:r>
              <w:t>N</w:t>
            </w:r>
            <w:r w:rsidRPr="00FE528A">
              <w:rPr>
                <w:vertAlign w:val="subscript"/>
              </w:rPr>
              <w:t>2</w:t>
            </w:r>
          </w:p>
        </w:tc>
      </w:tr>
      <w:tr w:rsidR="00F43AD5" w:rsidRPr="004C23F4" w14:paraId="04E2534B" w14:textId="77777777" w:rsidTr="00B76A41">
        <w:trPr>
          <w:cantSplit/>
        </w:trPr>
        <w:tc>
          <w:tcPr>
            <w:tcW w:w="4077" w:type="dxa"/>
          </w:tcPr>
          <w:p w14:paraId="3CBDBF9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66BE94F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9A224AE" w14:textId="0CF1B9F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C2B68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CF04D2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5C662F8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7395149" w14:textId="6CACB5A9" w:rsidR="002C7AFE" w:rsidRPr="008B27CC" w:rsidRDefault="008B27CC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32B15B67" w14:textId="77777777" w:rsidTr="00037E52">
        <w:trPr>
          <w:cantSplit/>
        </w:trPr>
        <w:tc>
          <w:tcPr>
            <w:tcW w:w="4010" w:type="dxa"/>
            <w:vAlign w:val="center"/>
          </w:tcPr>
          <w:p w14:paraId="39CD1076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0AFD4E4B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7A59D2D" w14:textId="77777777" w:rsidTr="00037E52">
        <w:trPr>
          <w:cantSplit/>
        </w:trPr>
        <w:tc>
          <w:tcPr>
            <w:tcW w:w="4010" w:type="dxa"/>
            <w:vAlign w:val="center"/>
          </w:tcPr>
          <w:p w14:paraId="590C552F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492CD2F3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5156AF2" w14:textId="77777777" w:rsidTr="00037E52">
        <w:trPr>
          <w:cantSplit/>
        </w:trPr>
        <w:tc>
          <w:tcPr>
            <w:tcW w:w="4010" w:type="dxa"/>
          </w:tcPr>
          <w:p w14:paraId="078BAC94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4686C74" w14:textId="0716077E" w:rsidR="00037E52" w:rsidRPr="00EB3D1B" w:rsidRDefault="00211681" w:rsidP="00037E52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 xml:space="preserve"> 2</w:t>
            </w:r>
            <w:r w:rsidR="00AD372C">
              <w:rPr>
                <w:b/>
              </w:rPr>
              <w:t xml:space="preserve">., </w:t>
            </w:r>
            <w:r w:rsidR="008B27CC">
              <w:rPr>
                <w:b/>
              </w:rPr>
              <w:t>DSEN</w:t>
            </w:r>
          </w:p>
        </w:tc>
      </w:tr>
      <w:tr w:rsidR="00037E52" w:rsidRPr="004C23F4" w14:paraId="1F572839" w14:textId="77777777" w:rsidTr="00037E52">
        <w:trPr>
          <w:cantSplit/>
        </w:trPr>
        <w:tc>
          <w:tcPr>
            <w:tcW w:w="4010" w:type="dxa"/>
            <w:vAlign w:val="center"/>
          </w:tcPr>
          <w:p w14:paraId="21B4805C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4AD16F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D31F7C" w:rsidRPr="004C23F4" w14:paraId="4DB414E2" w14:textId="77777777" w:rsidTr="008703B2">
        <w:trPr>
          <w:cantSplit/>
        </w:trPr>
        <w:tc>
          <w:tcPr>
            <w:tcW w:w="9026" w:type="dxa"/>
            <w:gridSpan w:val="2"/>
            <w:vAlign w:val="center"/>
          </w:tcPr>
          <w:p w14:paraId="6870E2A7" w14:textId="04153AF2" w:rsidR="00D31F7C" w:rsidRPr="00EB3D1B" w:rsidRDefault="00D31F7C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1720B2B1866419FBC0C4442D4CA5C3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1611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091F16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80823B2" w14:textId="49EDD213" w:rsidR="008B27CC" w:rsidRDefault="008B27CC" w:rsidP="008B27CC">
      <w:r>
        <w:t>A</w:t>
      </w:r>
      <w:r w:rsidRPr="00086A46">
        <w:t xml:space="preserve"> TWA of </w:t>
      </w:r>
      <w:r>
        <w:t>0.1 mg/m</w:t>
      </w:r>
      <w:r>
        <w:rPr>
          <w:vertAlign w:val="superscript"/>
        </w:rPr>
        <w:t>3</w:t>
      </w:r>
      <w:r w:rsidRPr="00086A46">
        <w:t xml:space="preserve"> is recommended to </w:t>
      </w:r>
      <w:r>
        <w:t xml:space="preserve">protect for potential eye and skin irritation and </w:t>
      </w:r>
      <w:r w:rsidR="005C3245">
        <w:t xml:space="preserve">blood dyscrasia </w:t>
      </w:r>
      <w:r>
        <w:t>in exposed workers.</w:t>
      </w:r>
    </w:p>
    <w:p w14:paraId="686D71CF" w14:textId="26880CA6" w:rsidR="00E26154" w:rsidRPr="004C23F4" w:rsidRDefault="00DC2B68" w:rsidP="008B27CC">
      <w:pPr>
        <w:rPr>
          <w:rFonts w:cs="Arial"/>
        </w:rPr>
      </w:pPr>
      <w:r w:rsidRPr="00DC2B68">
        <w:t>Given the limited data available from the primary sources, it is recommended that a review of additional sources be conducted at the next scheduled review</w:t>
      </w:r>
      <w:r w:rsidR="00E26154">
        <w:t>.</w:t>
      </w:r>
    </w:p>
    <w:p w14:paraId="107AF78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0EC4B30" w14:textId="6038C15D" w:rsidR="00DD4202" w:rsidRDefault="006D10BF" w:rsidP="006D10BF">
      <w:pPr>
        <w:rPr>
          <w:rFonts w:cs="Arial"/>
        </w:rPr>
      </w:pPr>
      <w:r w:rsidRPr="00AD372C">
        <w:rPr>
          <w:i/>
        </w:rPr>
        <w:t>o</w:t>
      </w:r>
      <w:r>
        <w:t>-Phenylenediamine is used</w:t>
      </w:r>
      <w:r w:rsidRPr="006D10BF">
        <w:t xml:space="preserve"> </w:t>
      </w:r>
      <w:r w:rsidRPr="006D10BF">
        <w:rPr>
          <w:rFonts w:cs="Arial"/>
        </w:rPr>
        <w:t xml:space="preserve">in manufacturing </w:t>
      </w:r>
      <w:r w:rsidR="00AD372C">
        <w:rPr>
          <w:rFonts w:cs="Arial"/>
        </w:rPr>
        <w:t xml:space="preserve">of </w:t>
      </w:r>
      <w:r w:rsidRPr="006D10BF">
        <w:rPr>
          <w:rFonts w:cs="Arial"/>
        </w:rPr>
        <w:t>chemical substances such as dyes and photographic developing agents (as an intermediate that will be consumed during synthesis) and</w:t>
      </w:r>
      <w:r>
        <w:rPr>
          <w:rFonts w:cs="Arial"/>
        </w:rPr>
        <w:t xml:space="preserve"> </w:t>
      </w:r>
      <w:r w:rsidRPr="006D10BF">
        <w:rPr>
          <w:rFonts w:cs="Arial"/>
        </w:rPr>
        <w:t>in manufacturing lubr</w:t>
      </w:r>
      <w:r w:rsidR="00211F4F">
        <w:rPr>
          <w:rFonts w:cs="Arial"/>
        </w:rPr>
        <w:t xml:space="preserve">icants and corrosion inhibitors. </w:t>
      </w:r>
    </w:p>
    <w:p w14:paraId="7C9FAA07" w14:textId="77777777" w:rsidR="00F5732D" w:rsidRDefault="00211F4F" w:rsidP="008B27CC">
      <w:r>
        <w:rPr>
          <w:rFonts w:cs="Arial"/>
        </w:rPr>
        <w:t xml:space="preserve">Critical effects </w:t>
      </w:r>
      <w:r w:rsidR="00DD4202">
        <w:rPr>
          <w:rFonts w:cs="Arial"/>
        </w:rPr>
        <w:t xml:space="preserve">of </w:t>
      </w:r>
      <w:r>
        <w:rPr>
          <w:rFonts w:cs="Arial"/>
        </w:rPr>
        <w:t xml:space="preserve">exposure are eye and skin irritation and possible </w:t>
      </w:r>
      <w:r w:rsidR="005C3245">
        <w:t>blood dyscrasia</w:t>
      </w:r>
      <w:r>
        <w:t>.</w:t>
      </w:r>
      <w:r w:rsidR="00DD4202">
        <w:t xml:space="preserve"> </w:t>
      </w:r>
    </w:p>
    <w:p w14:paraId="5285F39B" w14:textId="485F7589" w:rsidR="00211F4F" w:rsidRDefault="00211F4F" w:rsidP="008B27CC">
      <w:r>
        <w:t xml:space="preserve">Limited toxicological data </w:t>
      </w:r>
      <w:r w:rsidR="00F5732D">
        <w:t xml:space="preserve">available </w:t>
      </w:r>
      <w:r>
        <w:t xml:space="preserve">with no human data available. </w:t>
      </w:r>
      <w:r w:rsidR="008B27CC">
        <w:t xml:space="preserve">Slight irritation </w:t>
      </w:r>
      <w:r w:rsidR="009B6E50">
        <w:t xml:space="preserve">of </w:t>
      </w:r>
      <w:r w:rsidR="008B27CC">
        <w:t>the nose is reported in rats following acute inhalation. Slight skin irritation and moderate eye irritation is reported in rabbits following topical application. A single intraperitoneal injection in rats and oral dosing in cats resulted in meth</w:t>
      </w:r>
      <w:r w:rsidR="00AD372C">
        <w:t>a</w:t>
      </w:r>
      <w:r w:rsidR="008B27CC">
        <w:t xml:space="preserve">emoglobin formation. </w:t>
      </w:r>
      <w:r w:rsidR="008B27CC" w:rsidRPr="008B27CC">
        <w:t>A decrease in the number of erythrocytes and increased serum activities of the alkaline phosphatase</w:t>
      </w:r>
      <w:r w:rsidR="002A69AF">
        <w:t xml:space="preserve"> (ALP)</w:t>
      </w:r>
      <w:r w:rsidR="008B27CC" w:rsidRPr="008B27CC">
        <w:t xml:space="preserve">, aldolase and alanine </w:t>
      </w:r>
      <w:r w:rsidR="002A69AF">
        <w:t xml:space="preserve">(ALA) </w:t>
      </w:r>
      <w:r w:rsidR="008B27CC" w:rsidRPr="008B27CC">
        <w:t>and aspartate aminotransferase</w:t>
      </w:r>
      <w:r w:rsidR="008B27CC">
        <w:t xml:space="preserve"> </w:t>
      </w:r>
      <w:r w:rsidR="002A69AF">
        <w:t xml:space="preserve">(AAT) </w:t>
      </w:r>
      <w:r w:rsidR="00F5732D">
        <w:t>reported</w:t>
      </w:r>
      <w:r w:rsidR="008B27CC" w:rsidRPr="008B27CC">
        <w:t xml:space="preserve"> in rat</w:t>
      </w:r>
      <w:r w:rsidR="008B27CC">
        <w:t xml:space="preserve">s following </w:t>
      </w:r>
      <w:r w:rsidR="00F5732D">
        <w:t xml:space="preserve">oral </w:t>
      </w:r>
      <w:r w:rsidR="008B27CC">
        <w:t>dosing</w:t>
      </w:r>
      <w:r w:rsidR="00F5732D">
        <w:t xml:space="preserve"> at</w:t>
      </w:r>
      <w:r w:rsidR="008B27CC">
        <w:t xml:space="preserve"> 0.8 mg/kg/d</w:t>
      </w:r>
      <w:r w:rsidR="002A69AF">
        <w:t>ay</w:t>
      </w:r>
      <w:r w:rsidR="008B27CC">
        <w:t xml:space="preserve"> for </w:t>
      </w:r>
      <w:r w:rsidR="00D31F7C">
        <w:t>eight</w:t>
      </w:r>
      <w:r w:rsidR="008B27CC">
        <w:t xml:space="preserve"> weeks</w:t>
      </w:r>
      <w:r w:rsidR="005D39C1">
        <w:t>. However</w:t>
      </w:r>
      <w:r w:rsidR="00F5732D">
        <w:t>,</w:t>
      </w:r>
      <w:r w:rsidR="008B27CC">
        <w:t xml:space="preserve"> no further details are available (ACGIH, 2018).</w:t>
      </w:r>
      <w:r w:rsidR="00E26154">
        <w:t xml:space="preserve"> </w:t>
      </w:r>
      <w:r w:rsidR="00F5732D">
        <w:t>C</w:t>
      </w:r>
      <w:r w:rsidR="00E26154">
        <w:t xml:space="preserve">arcinogenicity </w:t>
      </w:r>
      <w:r w:rsidR="00E72BF1">
        <w:t xml:space="preserve">reported </w:t>
      </w:r>
      <w:r w:rsidR="00E26154">
        <w:t xml:space="preserve">in animals </w:t>
      </w:r>
      <w:r w:rsidR="00F5732D">
        <w:t xml:space="preserve">by </w:t>
      </w:r>
      <w:r w:rsidR="00E26154">
        <w:t>the oral route</w:t>
      </w:r>
      <w:r w:rsidR="005D39C1">
        <w:t>. H</w:t>
      </w:r>
      <w:r w:rsidR="00E26154">
        <w:t xml:space="preserve">owever, </w:t>
      </w:r>
      <w:r w:rsidR="005D39C1">
        <w:t>carcinogenicity</w:t>
      </w:r>
      <w:r w:rsidR="00E26154">
        <w:t xml:space="preserve"> is not considered</w:t>
      </w:r>
      <w:r w:rsidR="00395158">
        <w:t xml:space="preserve"> relevant to humans (DFG,1999).</w:t>
      </w:r>
    </w:p>
    <w:p w14:paraId="33FBAD71" w14:textId="29CABF83" w:rsidR="006C4832" w:rsidRDefault="00E26154" w:rsidP="008B27CC">
      <w:r>
        <w:t xml:space="preserve">The available data are limited to derive </w:t>
      </w:r>
      <w:r w:rsidR="00DC2B68">
        <w:t>a standard</w:t>
      </w:r>
      <w:r w:rsidR="006C4832">
        <w:t xml:space="preserve"> </w:t>
      </w:r>
      <w:r w:rsidR="006C4832" w:rsidRPr="00D70C97">
        <w:rPr>
          <w:i/>
          <w:iCs/>
        </w:rPr>
        <w:t>de novo</w:t>
      </w:r>
      <w:r w:rsidR="006C4832">
        <w:rPr>
          <w:i/>
          <w:iCs/>
        </w:rPr>
        <w:t>.</w:t>
      </w:r>
      <w:r>
        <w:t xml:space="preserve"> </w:t>
      </w:r>
      <w:r w:rsidR="006C4832">
        <w:t>T</w:t>
      </w:r>
      <w:r>
        <w:t xml:space="preserve">he </w:t>
      </w:r>
      <w:r w:rsidR="00D70C97">
        <w:t xml:space="preserve">SWA </w:t>
      </w:r>
      <w:r w:rsidR="006C4832" w:rsidRPr="00086A46">
        <w:t xml:space="preserve">TWA of </w:t>
      </w:r>
      <w:r w:rsidR="006C4832">
        <w:t>0.1 mg/m</w:t>
      </w:r>
      <w:r w:rsidR="006C4832">
        <w:rPr>
          <w:vertAlign w:val="superscript"/>
        </w:rPr>
        <w:t xml:space="preserve">3 </w:t>
      </w:r>
      <w:r w:rsidR="00D70C97">
        <w:t>by</w:t>
      </w:r>
      <w:r w:rsidR="00D70C97" w:rsidDel="006C4832">
        <w:t xml:space="preserve"> </w:t>
      </w:r>
      <w:r>
        <w:t>ACGIH</w:t>
      </w:r>
      <w:r w:rsidR="00D70C97">
        <w:t xml:space="preserve"> </w:t>
      </w:r>
      <w:r w:rsidR="006C4832">
        <w:t>(2018)</w:t>
      </w:r>
      <w:r>
        <w:t xml:space="preserve"> </w:t>
      </w:r>
      <w:r w:rsidR="008B27CC" w:rsidRPr="00086A46">
        <w:t>is recommended</w:t>
      </w:r>
      <w:r>
        <w:t xml:space="preserve"> to be retained</w:t>
      </w:r>
      <w:r w:rsidR="008B27CC" w:rsidRPr="00086A46">
        <w:t xml:space="preserve"> to limit</w:t>
      </w:r>
      <w:r w:rsidR="008B27CC">
        <w:t xml:space="preserve"> any </w:t>
      </w:r>
      <w:r w:rsidR="008B27CC" w:rsidRPr="00086A46">
        <w:t xml:space="preserve">irritant effects </w:t>
      </w:r>
      <w:r w:rsidR="008B27CC">
        <w:t xml:space="preserve">and </w:t>
      </w:r>
      <w:r w:rsidR="005C3245">
        <w:t>blood dyscrasia</w:t>
      </w:r>
      <w:r w:rsidR="008B27CC">
        <w:t>.</w:t>
      </w:r>
      <w:r>
        <w:t xml:space="preserve"> </w:t>
      </w:r>
    </w:p>
    <w:p w14:paraId="198B858C" w14:textId="6AFB4D59" w:rsidR="008B27CC" w:rsidRPr="004C23F4" w:rsidRDefault="00E26154" w:rsidP="008B27CC">
      <w:pPr>
        <w:rPr>
          <w:rFonts w:cs="Arial"/>
        </w:rPr>
      </w:pPr>
      <w:r>
        <w:t xml:space="preserve">A </w:t>
      </w:r>
      <w:r w:rsidR="00D70C97">
        <w:t>review</w:t>
      </w:r>
      <w:r>
        <w:t xml:space="preserve"> of the </w:t>
      </w:r>
      <w:r w:rsidR="00D70C97">
        <w:t xml:space="preserve">additional data sources </w:t>
      </w:r>
      <w:r>
        <w:t>is recommended at the next scheduled review to attempt to address the data gap.</w:t>
      </w:r>
    </w:p>
    <w:p w14:paraId="4BEA566C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7802554F" w14:textId="6B6AC656" w:rsidR="008E4F1F" w:rsidRPr="008B27CC" w:rsidRDefault="008B27CC" w:rsidP="008E4F1F">
      <w:pPr>
        <w:rPr>
          <w:rFonts w:cs="Arial"/>
        </w:rPr>
      </w:pPr>
      <w:r>
        <w:rPr>
          <w:rFonts w:cs="Arial"/>
        </w:rPr>
        <w:t>C</w:t>
      </w:r>
      <w:r w:rsidR="008E4F1F" w:rsidRPr="008B27CC">
        <w:rPr>
          <w:rFonts w:cs="Arial"/>
        </w:rPr>
        <w:t xml:space="preserve">lassified as a </w:t>
      </w:r>
      <w:r w:rsidR="00211681">
        <w:rPr>
          <w:rFonts w:cs="Arial"/>
        </w:rPr>
        <w:t>category 2</w:t>
      </w:r>
      <w:r w:rsidR="0021611F" w:rsidRPr="008B27CC">
        <w:rPr>
          <w:rFonts w:cs="Arial"/>
        </w:rPr>
        <w:t xml:space="preserve"> </w:t>
      </w:r>
      <w:r w:rsidR="008E4F1F" w:rsidRPr="008B27CC">
        <w:rPr>
          <w:rFonts w:cs="Arial"/>
        </w:rPr>
        <w:t>carcinogen</w:t>
      </w:r>
      <w:r>
        <w:rPr>
          <w:rFonts w:cs="Arial"/>
        </w:rPr>
        <w:t xml:space="preserve"> </w:t>
      </w:r>
      <w:r w:rsidR="008E4F1F" w:rsidRPr="008B27CC">
        <w:rPr>
          <w:rFonts w:cs="Arial"/>
        </w:rPr>
        <w:t>according to the Globally Harmonized System of Classification and Labelling o</w:t>
      </w:r>
      <w:r w:rsidR="00D31F7C">
        <w:rPr>
          <w:rFonts w:cs="Arial"/>
        </w:rPr>
        <w:t>f</w:t>
      </w:r>
      <w:r w:rsidR="008E4F1F" w:rsidRPr="008B27CC">
        <w:rPr>
          <w:rFonts w:cs="Arial"/>
        </w:rPr>
        <w:t xml:space="preserve"> Chemicals (GHS). </w:t>
      </w:r>
    </w:p>
    <w:p w14:paraId="0C8F9D01" w14:textId="439903EF" w:rsidR="008E4F1F" w:rsidRPr="008B27CC" w:rsidRDefault="008B27CC" w:rsidP="008E4F1F">
      <w:pPr>
        <w:rPr>
          <w:rFonts w:cs="Arial"/>
        </w:rPr>
      </w:pPr>
      <w:r>
        <w:rPr>
          <w:rFonts w:cs="Arial"/>
        </w:rPr>
        <w:t>C</w:t>
      </w:r>
      <w:r w:rsidR="008E4F1F" w:rsidRPr="008B27CC">
        <w:rPr>
          <w:rFonts w:cs="Arial"/>
        </w:rPr>
        <w:t>lassified as a skin</w:t>
      </w:r>
      <w:r>
        <w:rPr>
          <w:rFonts w:cs="Arial"/>
        </w:rPr>
        <w:t xml:space="preserve"> </w:t>
      </w:r>
      <w:r w:rsidRPr="008B27CC">
        <w:rPr>
          <w:rFonts w:cs="Arial"/>
        </w:rPr>
        <w:t>sensitiser</w:t>
      </w:r>
      <w:r w:rsidR="008E4F1F" w:rsidRPr="008B27CC">
        <w:rPr>
          <w:rFonts w:cs="Arial"/>
        </w:rPr>
        <w:t xml:space="preserve"> </w:t>
      </w:r>
      <w:r w:rsidR="00506887">
        <w:rPr>
          <w:rFonts w:cs="Arial"/>
        </w:rPr>
        <w:t xml:space="preserve">and </w:t>
      </w:r>
      <w:r>
        <w:rPr>
          <w:rFonts w:cs="Arial"/>
        </w:rPr>
        <w:t xml:space="preserve">not a </w:t>
      </w:r>
      <w:r w:rsidR="008E4F1F" w:rsidRPr="008B27CC">
        <w:rPr>
          <w:rFonts w:cs="Arial"/>
        </w:rPr>
        <w:t>respiratory sensitiser according to the GHS.</w:t>
      </w:r>
    </w:p>
    <w:p w14:paraId="610BFD7F" w14:textId="565E7644" w:rsidR="0025734A" w:rsidRPr="004C23F4" w:rsidRDefault="00AD372C">
      <w:pPr>
        <w:rPr>
          <w:rFonts w:cs="Arial"/>
        </w:rPr>
      </w:pPr>
      <w:r>
        <w:rPr>
          <w:rFonts w:cs="Arial"/>
        </w:rPr>
        <w:t>There are i</w:t>
      </w:r>
      <w:r w:rsidR="008E4F1F" w:rsidRPr="008B27CC">
        <w:rPr>
          <w:rFonts w:cs="Arial"/>
        </w:rPr>
        <w:t xml:space="preserve">nsufficient </w:t>
      </w:r>
      <w:r>
        <w:rPr>
          <w:rFonts w:cs="Arial"/>
        </w:rPr>
        <w:t>data</w:t>
      </w:r>
      <w:r w:rsidRPr="008B27CC">
        <w:rPr>
          <w:rFonts w:cs="Arial"/>
        </w:rPr>
        <w:t xml:space="preserve"> </w:t>
      </w:r>
      <w:r w:rsidR="008E4F1F" w:rsidRPr="008B27CC">
        <w:rPr>
          <w:rFonts w:cs="Arial"/>
        </w:rPr>
        <w:t>to recommend a skin notation.</w:t>
      </w:r>
    </w:p>
    <w:p w14:paraId="2408D27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17F1D9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49DDA3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840C731" w14:textId="77777777" w:rsidTr="004234B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6C9D6C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DEC07AA" w14:textId="77777777" w:rsidTr="004234B0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826A74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725D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725D4">
                  <w:t>TWA: 0.1 mg/m</w:t>
                </w:r>
                <w:r w:rsidR="005725D4" w:rsidRPr="005725D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0180E2E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52EED96D" w14:textId="5216540D" w:rsidR="00C978F0" w:rsidRPr="00DA352E" w:rsidRDefault="00E26154" w:rsidP="003365A5">
            <w:pPr>
              <w:pStyle w:val="Tabletextprimarysource"/>
            </w:pPr>
            <w:r>
              <w:t>TWA adopted from ACGIH.</w:t>
            </w:r>
          </w:p>
        </w:tc>
      </w:tr>
      <w:tr w:rsidR="00C978F0" w:rsidRPr="00DA352E" w14:paraId="53487E99" w14:textId="77777777" w:rsidTr="004234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5E4BD8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725D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725D4">
                  <w:t>TLV-</w:t>
                </w:r>
                <w:r w:rsidR="005725D4" w:rsidRPr="005725D4">
                  <w:t>TWA: 0.1 mg/m</w:t>
                </w:r>
                <w:r w:rsidR="005725D4" w:rsidRPr="003B0DB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1665C1B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74D5BDCD" w14:textId="7C5EFFF2" w:rsidR="00C978F0" w:rsidRDefault="006D10BF" w:rsidP="00D31F7C">
            <w:pPr>
              <w:pStyle w:val="Tabletextprimarysource"/>
            </w:pPr>
            <w:r>
              <w:t xml:space="preserve">TLV-TWA recommended to minimise the potential for possible blood dyscrasia, e.g., reduction of </w:t>
            </w:r>
            <w:r w:rsidR="00AD372C">
              <w:t>RBC</w:t>
            </w:r>
            <w:r>
              <w:t>, a</w:t>
            </w:r>
            <w:r w:rsidR="002A69AF">
              <w:t>nd</w:t>
            </w:r>
            <w:r>
              <w:t xml:space="preserve"> eye and skin irritation</w:t>
            </w:r>
          </w:p>
          <w:p w14:paraId="5DF96C37" w14:textId="77777777" w:rsidR="006D10BF" w:rsidRDefault="006D10BF" w:rsidP="00D31F7C">
            <w:pPr>
              <w:pStyle w:val="Tabletextprimarysource"/>
            </w:pPr>
            <w:r>
              <w:t>Summary of data:</w:t>
            </w:r>
          </w:p>
          <w:p w14:paraId="7F14C599" w14:textId="0012B436" w:rsidR="002A69AF" w:rsidRDefault="008054D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Toxicity comparable to </w:t>
            </w:r>
            <w:r w:rsidRPr="00AD372C">
              <w:rPr>
                <w:i/>
              </w:rPr>
              <w:t>p</w:t>
            </w:r>
            <w:r>
              <w:t>-phenylenediamine</w:t>
            </w:r>
            <w:r w:rsidR="008B5B0B">
              <w:t>:</w:t>
            </w:r>
          </w:p>
          <w:p w14:paraId="2D953673" w14:textId="689822F4" w:rsidR="002A69AF" w:rsidRDefault="000063D5" w:rsidP="002A69AF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>TLV-TWA of 0.1 mg/m</w:t>
            </w:r>
            <w:r>
              <w:rPr>
                <w:vertAlign w:val="superscript"/>
              </w:rPr>
              <w:t>3</w:t>
            </w:r>
            <w:r>
              <w:t xml:space="preserve"> to minimise potential for respiratory and skin sensitisation </w:t>
            </w:r>
          </w:p>
          <w:p w14:paraId="4C01C18B" w14:textId="56F38F8B" w:rsidR="006D10BF" w:rsidRDefault="000063D5" w:rsidP="002A69AF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>protection from eye and skin irritation, dermatitis and blood dyscrasia</w:t>
            </w:r>
          </w:p>
          <w:p w14:paraId="2A7B6B1B" w14:textId="7EDA851B" w:rsidR="00A06A35" w:rsidRDefault="00A06A35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Derivation of TLV-TWA not provided</w:t>
            </w:r>
            <w:r w:rsidR="00D31F7C">
              <w:t>.</w:t>
            </w:r>
          </w:p>
          <w:p w14:paraId="5A66A439" w14:textId="77777777" w:rsidR="008054DC" w:rsidRDefault="008054DC" w:rsidP="00D31F7C">
            <w:pPr>
              <w:pStyle w:val="Tabletextprimarysource"/>
            </w:pPr>
            <w:r>
              <w:t>Human data:</w:t>
            </w:r>
          </w:p>
          <w:p w14:paraId="1A295EA3" w14:textId="0B64A331" w:rsidR="008054DC" w:rsidRDefault="000063D5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No human data provided</w:t>
            </w:r>
            <w:r w:rsidR="00D31F7C">
              <w:t>.</w:t>
            </w:r>
          </w:p>
          <w:p w14:paraId="4348F235" w14:textId="77777777" w:rsidR="000063D5" w:rsidRDefault="000063D5" w:rsidP="00D31F7C">
            <w:pPr>
              <w:pStyle w:val="Tabletextprimarysource"/>
            </w:pPr>
            <w:r>
              <w:t>Animal data:</w:t>
            </w:r>
          </w:p>
          <w:p w14:paraId="364A26D7" w14:textId="2C72E6C4" w:rsidR="000063D5" w:rsidRDefault="007B6285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male rats and male mice &gt;56 mg/m</w:t>
            </w:r>
            <w:r>
              <w:rPr>
                <w:vertAlign w:val="superscript"/>
              </w:rPr>
              <w:t>3</w:t>
            </w:r>
            <w:r>
              <w:t xml:space="preserve"> (1 h), &gt;91 </w:t>
            </w:r>
            <w:r w:rsidR="00AD372C">
              <w:t>mg/m</w:t>
            </w:r>
            <w:r w:rsidR="00AD372C">
              <w:rPr>
                <w:vertAlign w:val="superscript"/>
              </w:rPr>
              <w:t>3</w:t>
            </w:r>
            <w:r w:rsidR="00AD372C">
              <w:t xml:space="preserve"> </w:t>
            </w:r>
            <w:r>
              <w:t>(4 h)</w:t>
            </w:r>
          </w:p>
          <w:p w14:paraId="5AC1C07E" w14:textId="10265FA1" w:rsidR="007B6285" w:rsidRDefault="007B6285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AD372C">
              <w:t>:</w:t>
            </w:r>
            <w:r>
              <w:t xml:space="preserve"> &gt;5,000 mg/kg </w:t>
            </w:r>
            <w:r w:rsidR="00AD372C">
              <w:t>(</w:t>
            </w:r>
            <w:r>
              <w:t>rats and rabbits</w:t>
            </w:r>
            <w:r w:rsidR="00AD372C">
              <w:t>, dermal)</w:t>
            </w:r>
          </w:p>
          <w:p w14:paraId="2C923944" w14:textId="58D6A142" w:rsidR="007B6285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Acute poisoning symptoms include</w:t>
            </w:r>
            <w:r w:rsidR="00AD372C">
              <w:t xml:space="preserve"> </w:t>
            </w:r>
            <w:r>
              <w:t>disturbances in respiration, tremor, convulsions, excess salivation and increased excitability</w:t>
            </w:r>
          </w:p>
          <w:p w14:paraId="220531A0" w14:textId="3CF5520B" w:rsidR="00BC6E2C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Slight </w:t>
            </w:r>
            <w:r w:rsidR="002A69AF">
              <w:t xml:space="preserve">nose </w:t>
            </w:r>
            <w:r>
              <w:t>irritation in rats following acute inhalation; no further details</w:t>
            </w:r>
          </w:p>
          <w:p w14:paraId="4C1F818C" w14:textId="498D53CA" w:rsidR="00BC6E2C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Slight skin irritation and moderate eye irritation in rabbits</w:t>
            </w:r>
          </w:p>
          <w:p w14:paraId="6FAFD159" w14:textId="49635CAA" w:rsidR="00BC6E2C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Single </w:t>
            </w:r>
            <w:r w:rsidR="00AD372C">
              <w:t>IP</w:t>
            </w:r>
            <w:r>
              <w:t xml:space="preserve"> injection (10.814 mg/kg) to male</w:t>
            </w:r>
            <w:r w:rsidR="008B27CC">
              <w:t xml:space="preserve"> rat</w:t>
            </w:r>
            <w:r>
              <w:t>s induced 10.8% methemoglobin; no further details</w:t>
            </w:r>
          </w:p>
          <w:p w14:paraId="28AC72F9" w14:textId="0C6EFFF0" w:rsidR="00BC6E2C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In cats, meth</w:t>
            </w:r>
            <w:r w:rsidR="00AD372C">
              <w:t>a</w:t>
            </w:r>
            <w:r>
              <w:t>emoglobin formation was weak with non</w:t>
            </w:r>
            <w:r w:rsidR="00D31F7C">
              <w:t>-</w:t>
            </w:r>
            <w:r>
              <w:t>lethal oral doses of 25–50 mg/kg</w:t>
            </w:r>
          </w:p>
          <w:p w14:paraId="0B29CD32" w14:textId="709836B6" w:rsidR="00BC6E2C" w:rsidRDefault="00BC6E2C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 decrease in the number of </w:t>
            </w:r>
            <w:r w:rsidR="002A69AF">
              <w:t xml:space="preserve">RBC </w:t>
            </w:r>
            <w:r>
              <w:t xml:space="preserve">and increased serum activities of the </w:t>
            </w:r>
            <w:r w:rsidR="002A69AF">
              <w:t>ALP,</w:t>
            </w:r>
            <w:r>
              <w:t xml:space="preserve"> aldolase and </w:t>
            </w:r>
            <w:r w:rsidR="002A69AF">
              <w:t>ALA and AAT</w:t>
            </w:r>
            <w:r>
              <w:t xml:space="preserve"> in rats following 0.8</w:t>
            </w:r>
            <w:r w:rsidR="00D31F7C">
              <w:t> </w:t>
            </w:r>
            <w:r>
              <w:t xml:space="preserve">mg/kg/d for 8 </w:t>
            </w:r>
            <w:proofErr w:type="spellStart"/>
            <w:r>
              <w:t>wk</w:t>
            </w:r>
            <w:proofErr w:type="spellEnd"/>
            <w:r>
              <w:t>; no further details provided</w:t>
            </w:r>
          </w:p>
          <w:p w14:paraId="77695C2B" w14:textId="286EE6D3" w:rsidR="00BC6E2C" w:rsidRDefault="00A06A35" w:rsidP="00AD372C">
            <w:pPr>
              <w:pStyle w:val="ListBullet"/>
              <w:spacing w:before="60" w:after="60"/>
              <w:ind w:left="720"/>
            </w:pPr>
            <w:r>
              <w:t xml:space="preserve">Carcinogenic effects in liver of male rats and mice of both </w:t>
            </w:r>
            <w:proofErr w:type="gramStart"/>
            <w:r>
              <w:t>sex</w:t>
            </w:r>
            <w:proofErr w:type="gramEnd"/>
            <w:r>
              <w:t xml:space="preserve"> </w:t>
            </w:r>
            <w:r w:rsidR="00906982">
              <w:t xml:space="preserve">noted </w:t>
            </w:r>
            <w:r>
              <w:t xml:space="preserve">in limited </w:t>
            </w:r>
            <w:r w:rsidR="008B5B0B">
              <w:t xml:space="preserve">available </w:t>
            </w:r>
            <w:r>
              <w:t>studies; unknown relevance to humans</w:t>
            </w:r>
            <w:r w:rsidR="00D31F7C">
              <w:t>.</w:t>
            </w:r>
          </w:p>
          <w:p w14:paraId="342EC26C" w14:textId="77777777" w:rsidR="002A69AF" w:rsidRDefault="002A69AF" w:rsidP="00D31F7C">
            <w:pPr>
              <w:pStyle w:val="Tabletextprimarysource"/>
              <w:contextualSpacing/>
            </w:pPr>
          </w:p>
          <w:p w14:paraId="06D8FC4D" w14:textId="039CDF4A" w:rsidR="00A06A35" w:rsidRDefault="00A06A35" w:rsidP="00D31F7C">
            <w:pPr>
              <w:pStyle w:val="Tabletextprimarysource"/>
              <w:contextualSpacing/>
            </w:pPr>
            <w:r>
              <w:t>Insufficient data to recommend a sensitiser or skin notation or TLV-STEL.</w:t>
            </w:r>
          </w:p>
          <w:p w14:paraId="1F2D8C26" w14:textId="1A95FB5E" w:rsidR="00506887" w:rsidRPr="00DA352E" w:rsidRDefault="00506887" w:rsidP="00D31F7C">
            <w:pPr>
              <w:pStyle w:val="Tabletextprimarysource"/>
            </w:pPr>
          </w:p>
        </w:tc>
      </w:tr>
      <w:tr w:rsidR="00C978F0" w:rsidRPr="00DA352E" w14:paraId="70800B43" w14:textId="77777777" w:rsidTr="004234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E84A88" w14:textId="6B9938F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66C74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66C74">
                  <w:t>Not assigned</w:t>
                </w:r>
              </w:sdtContent>
            </w:sdt>
          </w:p>
        </w:tc>
      </w:tr>
      <w:tr w:rsidR="00C978F0" w:rsidRPr="00DA352E" w14:paraId="6B00C0BA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5EEB8EC8" w14:textId="6CE72855" w:rsidR="00C978F0" w:rsidRDefault="00A06A35" w:rsidP="003365A5">
            <w:pPr>
              <w:pStyle w:val="Tabletextprimarysource"/>
            </w:pPr>
            <w:r>
              <w:t>MAK not recommended due to evidence of carcinogenicity in the form of liver tumours in rats and mice</w:t>
            </w:r>
            <w:r w:rsidR="00D31F7C">
              <w:t>.</w:t>
            </w:r>
          </w:p>
          <w:p w14:paraId="2E82759B" w14:textId="77777777" w:rsidR="00A06A35" w:rsidRDefault="00A06A35" w:rsidP="003365A5">
            <w:pPr>
              <w:pStyle w:val="Tabletextprimarysource"/>
            </w:pPr>
            <w:r>
              <w:t>Summary of additional data:</w:t>
            </w:r>
          </w:p>
          <w:p w14:paraId="1FDD8D75" w14:textId="21689C73" w:rsidR="00A06A35" w:rsidRDefault="006B53CE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Eye irritation observed in animal experiments</w:t>
            </w:r>
          </w:p>
          <w:p w14:paraId="084452D1" w14:textId="45469DCD" w:rsidR="006B53CE" w:rsidRDefault="006B53CE" w:rsidP="00AD372C">
            <w:pPr>
              <w:pStyle w:val="ListBullet"/>
              <w:spacing w:before="60" w:after="60"/>
              <w:ind w:left="720"/>
              <w:contextualSpacing w:val="0"/>
            </w:pPr>
            <w:r>
              <w:t>Oral diet studies in rats and mice; significant increase in liver tumours in male rats in the high dose group (5/16, controls: 0/16), in male mice in the low dose group (5/17, controls: 0/14) and in female mice in both dose groups (6/18, 6/15; controls: 1/15)</w:t>
            </w:r>
            <w:r w:rsidR="00D31F7C">
              <w:t>.</w:t>
            </w:r>
          </w:p>
          <w:p w14:paraId="7B3CEA98" w14:textId="214FAA48" w:rsidR="006F43DA" w:rsidRPr="00DA352E" w:rsidRDefault="006F43DA" w:rsidP="002A69AF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</w:pPr>
          </w:p>
        </w:tc>
      </w:tr>
      <w:tr w:rsidR="00C978F0" w:rsidRPr="00DA352E" w14:paraId="59D6534C" w14:textId="77777777" w:rsidTr="004234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EE94FC" w14:textId="62C2350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459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45990">
                  <w:t>NA</w:t>
                </w:r>
              </w:sdtContent>
            </w:sdt>
          </w:p>
        </w:tc>
      </w:tr>
      <w:tr w:rsidR="00C978F0" w:rsidRPr="00DA352E" w14:paraId="41345729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0E467CF4" w14:textId="42A7200A" w:rsidR="00C978F0" w:rsidRPr="00DA352E" w:rsidRDefault="00145990" w:rsidP="003365A5">
            <w:pPr>
              <w:pStyle w:val="Tabletextprimarysource"/>
            </w:pPr>
            <w:r>
              <w:t>No report</w:t>
            </w:r>
            <w:r w:rsidR="00D31F7C">
              <w:t>.</w:t>
            </w:r>
          </w:p>
        </w:tc>
      </w:tr>
      <w:tr w:rsidR="00DA352E" w:rsidRPr="00DA352E" w14:paraId="014A7C28" w14:textId="77777777" w:rsidTr="004234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00946B" w14:textId="6B8949C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459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145990">
                  <w:t>NA</w:t>
                </w:r>
              </w:sdtContent>
            </w:sdt>
          </w:p>
        </w:tc>
      </w:tr>
      <w:tr w:rsidR="00DA352E" w:rsidRPr="00DA352E" w14:paraId="3A14DDE1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2189AF40" w14:textId="20850490" w:rsidR="00DA352E" w:rsidRPr="00DA352E" w:rsidRDefault="00145990" w:rsidP="003365A5">
            <w:pPr>
              <w:pStyle w:val="Tabletextprimarysource"/>
            </w:pPr>
            <w:r>
              <w:t>No report</w:t>
            </w:r>
            <w:r w:rsidR="00D31F7C">
              <w:t>.</w:t>
            </w:r>
          </w:p>
        </w:tc>
      </w:tr>
      <w:tr w:rsidR="00DA352E" w:rsidRPr="00DA352E" w14:paraId="45F505CE" w14:textId="77777777" w:rsidTr="004234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D90C57C" w14:textId="6DB2219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6403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6403C">
                  <w:t>NA</w:t>
                </w:r>
              </w:sdtContent>
            </w:sdt>
          </w:p>
        </w:tc>
      </w:tr>
      <w:tr w:rsidR="00DA352E" w:rsidRPr="00DA352E" w14:paraId="0533BA78" w14:textId="77777777" w:rsidTr="004234B0">
        <w:trPr>
          <w:gridAfter w:val="1"/>
          <w:wAfter w:w="8" w:type="pct"/>
          <w:cantSplit/>
        </w:trPr>
        <w:tc>
          <w:tcPr>
            <w:tcW w:w="4992" w:type="pct"/>
          </w:tcPr>
          <w:p w14:paraId="63EC8EEB" w14:textId="35E8FFED" w:rsidR="00DA352E" w:rsidRPr="00DA352E" w:rsidRDefault="00B6403C" w:rsidP="003365A5">
            <w:pPr>
              <w:pStyle w:val="Tabletextprimarysource"/>
            </w:pPr>
            <w:r>
              <w:t>No report</w:t>
            </w:r>
            <w:r w:rsidR="00D31F7C">
              <w:t>.</w:t>
            </w:r>
          </w:p>
        </w:tc>
      </w:tr>
    </w:tbl>
    <w:p w14:paraId="2C85530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2"/>
        <w:gridCol w:w="423"/>
        <w:gridCol w:w="661"/>
        <w:gridCol w:w="6460"/>
      </w:tblGrid>
      <w:tr w:rsidR="004966BF" w:rsidRPr="00263255" w14:paraId="1C9D2438" w14:textId="77777777" w:rsidTr="0042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2" w:type="dxa"/>
            <w:shd w:val="clear" w:color="auto" w:fill="BFBFBF" w:themeFill="background1" w:themeFillShade="BF"/>
            <w:vAlign w:val="center"/>
          </w:tcPr>
          <w:p w14:paraId="11D0022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3F033C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0FEC19D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60" w:type="dxa"/>
            <w:shd w:val="clear" w:color="auto" w:fill="BFBFBF" w:themeFill="background1" w:themeFillShade="BF"/>
            <w:vAlign w:val="center"/>
          </w:tcPr>
          <w:p w14:paraId="285694F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6F4335A" w14:textId="77777777" w:rsidTr="004234B0">
        <w:trPr>
          <w:cantSplit/>
        </w:trPr>
        <w:tc>
          <w:tcPr>
            <w:tcW w:w="1482" w:type="dxa"/>
          </w:tcPr>
          <w:p w14:paraId="4E187E1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CAADA08" w14:textId="3D602B17" w:rsidR="004966BF" w:rsidRPr="00CE617F" w:rsidRDefault="004234B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B53C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17B20EC" w14:textId="031B3904" w:rsidR="004966BF" w:rsidRPr="004C23F4" w:rsidRDefault="006B53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60" w:type="dxa"/>
          </w:tcPr>
          <w:p w14:paraId="6942C02B" w14:textId="742ED0E8" w:rsidR="004966BF" w:rsidRDefault="008515D1" w:rsidP="00AD372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Oral</w:t>
            </w:r>
            <w:r w:rsidRPr="008515D1">
              <w:rPr>
                <w:rStyle w:val="checkbox"/>
                <w:rFonts w:ascii="Arial" w:hAnsi="Arial" w:cs="Arial"/>
              </w:rPr>
              <w:t xml:space="preserve"> LD</w:t>
            </w:r>
            <w:r w:rsidRPr="008515D1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Pr="008515D1">
              <w:rPr>
                <w:rStyle w:val="checkbox"/>
                <w:rFonts w:ascii="Arial" w:hAnsi="Arial" w:cs="Arial"/>
              </w:rPr>
              <w:t xml:space="preserve"> in cats </w:t>
            </w:r>
            <w:r>
              <w:rPr>
                <w:rStyle w:val="checkbox"/>
                <w:rFonts w:ascii="Arial" w:hAnsi="Arial" w:cs="Arial"/>
              </w:rPr>
              <w:t xml:space="preserve">reported as &gt;50 and &lt;250 mg/kg; </w:t>
            </w:r>
            <w:r w:rsidRPr="008515D1">
              <w:rPr>
                <w:rStyle w:val="checkbox"/>
                <w:rFonts w:ascii="Arial" w:hAnsi="Arial" w:cs="Arial"/>
              </w:rPr>
              <w:t xml:space="preserve">symptoms </w:t>
            </w:r>
            <w:r w:rsidRPr="00AD372C">
              <w:t>including</w:t>
            </w:r>
            <w:r w:rsidRPr="008515D1">
              <w:rPr>
                <w:rStyle w:val="checkbox"/>
                <w:rFonts w:ascii="Arial" w:hAnsi="Arial" w:cs="Arial"/>
              </w:rPr>
              <w:t xml:space="preserve"> respiratory disturbance, agitation, methaemoglobinaemia</w:t>
            </w:r>
            <w:r>
              <w:rPr>
                <w:rStyle w:val="checkbox"/>
                <w:rFonts w:ascii="Arial" w:hAnsi="Arial" w:cs="Arial"/>
              </w:rPr>
              <w:t xml:space="preserve">, </w:t>
            </w:r>
            <w:r>
              <w:rPr>
                <w:rFonts w:cs="Arial"/>
                <w:color w:val="262626"/>
              </w:rPr>
              <w:t>saltatory spasms and mottled livers </w:t>
            </w:r>
          </w:p>
          <w:p w14:paraId="325A27BE" w14:textId="6596532B" w:rsidR="008515D1" w:rsidRDefault="008515D1" w:rsidP="00AD372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4</w:t>
            </w:r>
            <w:r w:rsidR="00D31F7C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h 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AD372C">
              <w:rPr>
                <w:rStyle w:val="checkbox"/>
                <w:rFonts w:ascii="Arial" w:hAnsi="Arial" w:cs="Arial"/>
                <w:vertAlign w:val="subscript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1,873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in rats</w:t>
            </w:r>
            <w:r w:rsidR="00211F4F">
              <w:rPr>
                <w:rStyle w:val="checkbox"/>
                <w:rFonts w:ascii="Arial" w:hAnsi="Arial" w:cs="Arial"/>
              </w:rPr>
              <w:t>; &gt;91 mg/m</w:t>
            </w:r>
            <w:r w:rsidR="00211F4F">
              <w:rPr>
                <w:rStyle w:val="checkbox"/>
                <w:rFonts w:ascii="Arial" w:hAnsi="Arial" w:cs="Arial"/>
                <w:vertAlign w:val="superscript"/>
              </w:rPr>
              <w:t xml:space="preserve">3 </w:t>
            </w:r>
            <w:r w:rsidR="00211F4F">
              <w:rPr>
                <w:rStyle w:val="checkbox"/>
                <w:rFonts w:ascii="Arial" w:hAnsi="Arial" w:cs="Arial"/>
              </w:rPr>
              <w:t>in mice</w:t>
            </w:r>
          </w:p>
          <w:p w14:paraId="4BAAEA88" w14:textId="2330BF4E" w:rsidR="00211F4F" w:rsidRPr="004C23F4" w:rsidRDefault="00211F4F" w:rsidP="00AD372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 xml:space="preserve">No reliable </w:t>
            </w:r>
            <w:r w:rsidRPr="00AD372C">
              <w:t>carcinogenicity</w:t>
            </w:r>
            <w:r>
              <w:rPr>
                <w:rFonts w:cs="Arial"/>
                <w:color w:val="262626"/>
              </w:rPr>
              <w:t xml:space="preserve"> data/studies available</w:t>
            </w:r>
            <w:r w:rsidR="00D31F7C">
              <w:rPr>
                <w:rFonts w:cs="Arial"/>
                <w:color w:val="262626"/>
              </w:rPr>
              <w:t>.</w:t>
            </w:r>
          </w:p>
        </w:tc>
      </w:tr>
    </w:tbl>
    <w:bookmarkEnd w:id="0"/>
    <w:p w14:paraId="5784BA0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14FC7D2" w14:textId="77777777" w:rsidTr="00211F4F">
        <w:trPr>
          <w:trHeight w:val="454"/>
          <w:tblHeader/>
        </w:trPr>
        <w:tc>
          <w:tcPr>
            <w:tcW w:w="6597" w:type="dxa"/>
            <w:vAlign w:val="center"/>
          </w:tcPr>
          <w:p w14:paraId="19E1611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656217E" w14:textId="7DCF1781" w:rsidR="002E0D61" w:rsidRDefault="00211F4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046DEB9D" w14:textId="77777777" w:rsidTr="00211F4F">
        <w:trPr>
          <w:trHeight w:val="454"/>
        </w:trPr>
        <w:tc>
          <w:tcPr>
            <w:tcW w:w="6597" w:type="dxa"/>
            <w:vAlign w:val="center"/>
          </w:tcPr>
          <w:p w14:paraId="4CB1B69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8B720B0" w14:textId="1439B3F2" w:rsidR="008A36CF" w:rsidRDefault="00211F4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26D84BF" w14:textId="77777777" w:rsidTr="00211F4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07F49A30" w14:textId="30C45107" w:rsidR="008A36CF" w:rsidRPr="006901A2" w:rsidRDefault="00211F4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4DCBE71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D4B28F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9A2B4A7" w14:textId="77777777" w:rsidTr="0042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76F87BD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CB728B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2DBDCC66" w14:textId="77777777" w:rsidTr="004234B0">
        <w:trPr>
          <w:cantSplit/>
        </w:trPr>
        <w:tc>
          <w:tcPr>
            <w:tcW w:w="3227" w:type="dxa"/>
          </w:tcPr>
          <w:p w14:paraId="11F923F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DE67907" w14:textId="77777777" w:rsidR="00687890" w:rsidRPr="00DD2F9B" w:rsidRDefault="005725D4" w:rsidP="00DD2F9B">
            <w:pPr>
              <w:pStyle w:val="Tablefont"/>
            </w:pPr>
            <w:r w:rsidRPr="00AD372C">
              <w:t>—</w:t>
            </w:r>
          </w:p>
        </w:tc>
      </w:tr>
      <w:tr w:rsidR="007925F0" w:rsidRPr="004C23F4" w14:paraId="646E6BF6" w14:textId="77777777" w:rsidTr="004234B0">
        <w:trPr>
          <w:cantSplit/>
        </w:trPr>
        <w:tc>
          <w:tcPr>
            <w:tcW w:w="3227" w:type="dxa"/>
          </w:tcPr>
          <w:p w14:paraId="65572A2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BF86CAF" w14:textId="23D34F22" w:rsidR="007925F0" w:rsidRPr="00DD2F9B" w:rsidRDefault="00B672CF" w:rsidP="00DD2F9B">
            <w:pPr>
              <w:pStyle w:val="Tablefont"/>
            </w:pPr>
            <w:r w:rsidRPr="00B672CF">
              <w:t>Carcinogenicity – category 2</w:t>
            </w:r>
            <w:r>
              <w:t xml:space="preserve">, </w:t>
            </w:r>
            <w:r w:rsidRPr="00B672CF">
              <w:t>Skin sensitisation – category 1</w:t>
            </w:r>
          </w:p>
        </w:tc>
      </w:tr>
      <w:tr w:rsidR="00AF483F" w:rsidRPr="004C23F4" w14:paraId="4F50F613" w14:textId="77777777" w:rsidTr="004234B0">
        <w:trPr>
          <w:cantSplit/>
        </w:trPr>
        <w:tc>
          <w:tcPr>
            <w:tcW w:w="3227" w:type="dxa"/>
          </w:tcPr>
          <w:p w14:paraId="7B3095E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1F3C172" w14:textId="5ECF5706" w:rsidR="00AF483F" w:rsidRPr="00DD2F9B" w:rsidRDefault="00C96C7D" w:rsidP="00DD2F9B">
            <w:pPr>
              <w:pStyle w:val="Tablefont"/>
            </w:pPr>
            <w:proofErr w:type="spellStart"/>
            <w:r w:rsidRPr="00C96C7D">
              <w:t>Carc</w:t>
            </w:r>
            <w:proofErr w:type="spellEnd"/>
            <w:r w:rsidRPr="00C96C7D">
              <w:t>. Cat</w:t>
            </w:r>
            <w:r>
              <w:t>.</w:t>
            </w:r>
            <w:r w:rsidRPr="00C96C7D">
              <w:t xml:space="preserve"> 3</w:t>
            </w:r>
          </w:p>
        </w:tc>
      </w:tr>
      <w:tr w:rsidR="00687890" w:rsidRPr="004C23F4" w14:paraId="09AB84EE" w14:textId="77777777" w:rsidTr="004234B0">
        <w:trPr>
          <w:cantSplit/>
        </w:trPr>
        <w:tc>
          <w:tcPr>
            <w:tcW w:w="3227" w:type="dxa"/>
          </w:tcPr>
          <w:p w14:paraId="6FFD119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A97B945" w14:textId="48DE0CB7" w:rsidR="00687890" w:rsidRPr="00DD2F9B" w:rsidRDefault="00000680" w:rsidP="00DD2F9B">
            <w:pPr>
              <w:pStyle w:val="Tablefont"/>
            </w:pPr>
            <w:r w:rsidRPr="00000680">
              <w:t>Carcinogenicity – category 2</w:t>
            </w:r>
            <w:r>
              <w:t xml:space="preserve">, </w:t>
            </w:r>
            <w:r w:rsidRPr="00000680">
              <w:t>Skin sensitisation – category 1</w:t>
            </w:r>
          </w:p>
        </w:tc>
      </w:tr>
      <w:tr w:rsidR="00E41A26" w:rsidRPr="004C23F4" w14:paraId="21C52D14" w14:textId="77777777" w:rsidTr="004234B0">
        <w:trPr>
          <w:cantSplit/>
        </w:trPr>
        <w:tc>
          <w:tcPr>
            <w:tcW w:w="3227" w:type="dxa"/>
          </w:tcPr>
          <w:p w14:paraId="1417516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D9B16C3" w14:textId="20E9F38F" w:rsidR="00E41A26" w:rsidRPr="00DD2F9B" w:rsidRDefault="00547D7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D733BD9" w14:textId="77777777" w:rsidTr="004234B0">
        <w:trPr>
          <w:cantSplit/>
        </w:trPr>
        <w:tc>
          <w:tcPr>
            <w:tcW w:w="3227" w:type="dxa"/>
          </w:tcPr>
          <w:p w14:paraId="245F23D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EFE00D" w14:textId="77777777" w:rsidR="002E0D61" w:rsidRPr="00DD2F9B" w:rsidRDefault="00D322FB" w:rsidP="00DD2F9B">
            <w:pPr>
              <w:pStyle w:val="Tablefont"/>
            </w:pPr>
            <w:r w:rsidRPr="00D322FB">
              <w:t>Carcinogenicity – A3</w:t>
            </w:r>
          </w:p>
        </w:tc>
      </w:tr>
      <w:tr w:rsidR="002E0D61" w:rsidRPr="004C23F4" w14:paraId="0E03EDAC" w14:textId="77777777" w:rsidTr="004234B0">
        <w:trPr>
          <w:cantSplit/>
        </w:trPr>
        <w:tc>
          <w:tcPr>
            <w:tcW w:w="3227" w:type="dxa"/>
          </w:tcPr>
          <w:p w14:paraId="08CBC7A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CB81B81" w14:textId="4A20F45C" w:rsidR="002E0D61" w:rsidRPr="00DD2F9B" w:rsidRDefault="00F66C74" w:rsidP="00DD2F9B">
            <w:pPr>
              <w:pStyle w:val="Tablefont"/>
            </w:pPr>
            <w:r w:rsidRPr="00F66C74">
              <w:t>Carcinogenicity – 3</w:t>
            </w:r>
            <w:r>
              <w:t xml:space="preserve">, </w:t>
            </w:r>
            <w:proofErr w:type="spellStart"/>
            <w:r w:rsidRPr="00F66C74">
              <w:t>Sh</w:t>
            </w:r>
            <w:proofErr w:type="spellEnd"/>
            <w:r w:rsidRPr="00F66C74">
              <w:t xml:space="preserve"> (dermal sensitiser)</w:t>
            </w:r>
          </w:p>
        </w:tc>
      </w:tr>
      <w:tr w:rsidR="002E0D61" w:rsidRPr="004C23F4" w14:paraId="0406C4BA" w14:textId="77777777" w:rsidTr="004234B0">
        <w:trPr>
          <w:cantSplit/>
        </w:trPr>
        <w:tc>
          <w:tcPr>
            <w:tcW w:w="3227" w:type="dxa"/>
          </w:tcPr>
          <w:p w14:paraId="47C18FB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B41E99" w14:textId="5CE0A2F1" w:rsidR="002E0D61" w:rsidRPr="00DD2F9B" w:rsidRDefault="00863520" w:rsidP="00863520">
            <w:pPr>
              <w:pStyle w:val="Tablefont"/>
            </w:pPr>
            <w:r>
              <w:t>NA</w:t>
            </w:r>
          </w:p>
        </w:tc>
      </w:tr>
      <w:tr w:rsidR="002E0D61" w:rsidRPr="004C23F4" w14:paraId="23846DC6" w14:textId="77777777" w:rsidTr="004234B0">
        <w:trPr>
          <w:cantSplit/>
        </w:trPr>
        <w:tc>
          <w:tcPr>
            <w:tcW w:w="3227" w:type="dxa"/>
          </w:tcPr>
          <w:p w14:paraId="12B5D1B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43A16AA" w14:textId="02EAA33C" w:rsidR="002E0D61" w:rsidRPr="00DD2F9B" w:rsidRDefault="0086352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CB327D5" w14:textId="77777777" w:rsidTr="004234B0">
        <w:trPr>
          <w:cantSplit/>
        </w:trPr>
        <w:tc>
          <w:tcPr>
            <w:tcW w:w="3227" w:type="dxa"/>
          </w:tcPr>
          <w:p w14:paraId="2A73FBA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E8919E4" w14:textId="2BFE3F3B" w:rsidR="00386093" w:rsidRPr="00DD2F9B" w:rsidRDefault="009B6C53" w:rsidP="00DD2F9B">
            <w:pPr>
              <w:pStyle w:val="Tablefont"/>
            </w:pPr>
            <w:r w:rsidRPr="009B6C53">
              <w:t>Carcinogenicity – Group 2B</w:t>
            </w:r>
          </w:p>
        </w:tc>
      </w:tr>
      <w:tr w:rsidR="00386093" w:rsidRPr="004C23F4" w14:paraId="3D028A6A" w14:textId="77777777" w:rsidTr="004234B0">
        <w:trPr>
          <w:cantSplit/>
        </w:trPr>
        <w:tc>
          <w:tcPr>
            <w:tcW w:w="3227" w:type="dxa"/>
          </w:tcPr>
          <w:p w14:paraId="700BCE5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FF82079" w14:textId="5FDB6B6D" w:rsidR="00386093" w:rsidRPr="00DD2F9B" w:rsidRDefault="009B6C5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584D0C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34A856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9E166A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CECF78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5D7DB7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572B5E92" w14:textId="76203C80" w:rsidR="00932DCE" w:rsidRPr="004C23F4" w:rsidRDefault="008B27CC" w:rsidP="00F9496B">
            <w:pPr>
              <w:pStyle w:val="Tablefont"/>
            </w:pPr>
            <w:r>
              <w:t xml:space="preserve">Insufficient data to </w:t>
            </w:r>
            <w:r w:rsidR="00D31F7C">
              <w:t xml:space="preserve">assign </w:t>
            </w:r>
            <w:r>
              <w:t>a skin notation</w:t>
            </w:r>
            <w:r w:rsidR="002A69AF">
              <w:t>.</w:t>
            </w:r>
          </w:p>
        </w:tc>
      </w:tr>
    </w:tbl>
    <w:bookmarkEnd w:id="4"/>
    <w:p w14:paraId="350BF2B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870DAD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66B726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310D966" w14:textId="082141DA" w:rsidR="00EB3D1B" w:rsidRDefault="0052267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C87900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21664E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7ADDA1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394E4B2" w14:textId="6731F561" w:rsidR="001B79E5" w:rsidRDefault="00145990" w:rsidP="001B79E5">
                <w:pPr>
                  <w:pStyle w:val="Tablefont"/>
                </w:pPr>
                <w:r>
                  <w:t>108.14</w:t>
                </w:r>
              </w:p>
            </w:tc>
          </w:sdtContent>
        </w:sdt>
      </w:tr>
      <w:tr w:rsidR="00A31D99" w:rsidRPr="004C23F4" w14:paraId="0614544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02A668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5AD57F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ED4044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F3094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B8CE6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E6B039E" w14:textId="77777777" w:rsidTr="00EA6243">
        <w:trPr>
          <w:cantSplit/>
        </w:trPr>
        <w:tc>
          <w:tcPr>
            <w:tcW w:w="4077" w:type="dxa"/>
            <w:vAlign w:val="center"/>
          </w:tcPr>
          <w:p w14:paraId="56B64D4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C04D87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68C253D" w14:textId="77777777" w:rsidTr="00EA6243">
        <w:trPr>
          <w:cantSplit/>
        </w:trPr>
        <w:tc>
          <w:tcPr>
            <w:tcW w:w="4077" w:type="dxa"/>
            <w:vAlign w:val="center"/>
          </w:tcPr>
          <w:p w14:paraId="5A769A7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11A24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FDE2E28" w14:textId="77777777" w:rsidTr="00EA6243">
        <w:trPr>
          <w:cantSplit/>
        </w:trPr>
        <w:tc>
          <w:tcPr>
            <w:tcW w:w="4077" w:type="dxa"/>
            <w:vAlign w:val="center"/>
          </w:tcPr>
          <w:p w14:paraId="697D50A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78BF90D" w14:textId="77777777" w:rsidR="00E06F40" w:rsidRPr="00A006A0" w:rsidRDefault="004234B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99D847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66EE0B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AF0354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C37DEE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48B0B4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6AEB68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79E074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53CC21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6EECCC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1237A83" w14:textId="5F435BAC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EF4712">
        <w:t>1999</w:t>
      </w:r>
      <w:r>
        <w:t xml:space="preserve">) </w:t>
      </w:r>
      <w:r w:rsidR="00EF4712">
        <w:t>o-</w:t>
      </w:r>
      <w:r w:rsidR="00EF4712" w:rsidRPr="00EF4712">
        <w:t>Phenylenediamine</w:t>
      </w:r>
      <w:r>
        <w:t xml:space="preserve"> – MAK value documentation.</w:t>
      </w:r>
    </w:p>
    <w:p w14:paraId="49BE5B10" w14:textId="12002641" w:rsidR="007F74B8" w:rsidRPr="007F74B8" w:rsidRDefault="008E4F1F" w:rsidP="008E4F1F">
      <w:r w:rsidRPr="007F74B8">
        <w:t>International Agency for Research on Cancer (IARC) (</w:t>
      </w:r>
      <w:r w:rsidR="007F74B8" w:rsidRPr="007F74B8">
        <w:t>in preparation</w:t>
      </w:r>
      <w:r w:rsidRPr="007F74B8">
        <w:t>). IARC Monographs on the evaluation of the carcinogenic risk to humans</w:t>
      </w:r>
      <w:r w:rsidR="007F74B8" w:rsidRPr="007F74B8">
        <w:t>, Volume 123</w:t>
      </w:r>
      <w:r w:rsidRPr="007F74B8">
        <w:t>.</w:t>
      </w:r>
    </w:p>
    <w:p w14:paraId="7D19290F" w14:textId="5329D7D6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4A085E">
        <w:t>2013</w:t>
      </w:r>
      <w:r>
        <w:t xml:space="preserve">) </w:t>
      </w:r>
      <w:r w:rsidR="004A085E" w:rsidRPr="004A085E">
        <w:t>1,2-Benzenediamine</w:t>
      </w:r>
      <w:r w:rsidRPr="0071660C">
        <w:t xml:space="preserve">: Human health </w:t>
      </w:r>
      <w:sdt>
        <w:sdtPr>
          <w:id w:val="-1295753243"/>
          <w:placeholder>
            <w:docPart w:val="A070BFA618804340AABDA79FF681FE29"/>
          </w:placeholder>
          <w:temporary/>
          <w:showingPlcHdr/>
        </w:sdtPr>
        <w:sdtEndPr/>
        <w:sdtContent>
          <w:r w:rsidRPr="004A085E">
            <w:rPr>
              <w:color w:val="000000" w:themeColor="text1"/>
            </w:rPr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3FF817FE" w14:textId="77777777" w:rsidR="00D31F7C" w:rsidRPr="00BC6B10" w:rsidRDefault="00D31F7C" w:rsidP="00D31F7C">
      <w:r w:rsidRPr="00BC6B10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13135A5C" w14:textId="77777777" w:rsidR="008E4F1F" w:rsidRPr="00351FE0" w:rsidRDefault="008E4F1F" w:rsidP="00084859"/>
    <w:sectPr w:rsidR="008E4F1F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07AC" w14:textId="77777777" w:rsidR="00E6661C" w:rsidRDefault="00E6661C" w:rsidP="00F43AD5">
      <w:pPr>
        <w:spacing w:after="0" w:line="240" w:lineRule="auto"/>
      </w:pPr>
      <w:r>
        <w:separator/>
      </w:r>
    </w:p>
  </w:endnote>
  <w:endnote w:type="continuationSeparator" w:id="0">
    <w:p w14:paraId="20E4149D" w14:textId="77777777" w:rsidR="00E6661C" w:rsidRDefault="00E6661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21D0383" w14:textId="63C534A8" w:rsidR="008A36CF" w:rsidRDefault="006F2258" w:rsidP="0034744C">
        <w:pPr>
          <w:pStyle w:val="Footer"/>
          <w:rPr>
            <w:sz w:val="18"/>
            <w:szCs w:val="18"/>
          </w:rPr>
        </w:pPr>
        <w:r w:rsidRPr="00AD372C">
          <w:rPr>
            <w:b/>
            <w:i/>
            <w:sz w:val="18"/>
            <w:szCs w:val="18"/>
          </w:rPr>
          <w:t>o</w:t>
        </w:r>
        <w:r>
          <w:rPr>
            <w:b/>
            <w:sz w:val="18"/>
            <w:szCs w:val="18"/>
          </w:rPr>
          <w:t>-</w:t>
        </w:r>
        <w:proofErr w:type="spellStart"/>
        <w:r>
          <w:rPr>
            <w:b/>
            <w:sz w:val="18"/>
            <w:szCs w:val="18"/>
          </w:rPr>
          <w:t>Phenyledediamine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95-54-5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AD372C">
          <w:rPr>
            <w:sz w:val="18"/>
            <w:szCs w:val="18"/>
          </w:rPr>
          <w:t>20</w:t>
        </w:r>
      </w:p>
      <w:p w14:paraId="2E1C5870" w14:textId="7C14D2D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C2B68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23F8" w14:textId="77777777" w:rsidR="00E6661C" w:rsidRDefault="00E6661C" w:rsidP="00F43AD5">
      <w:pPr>
        <w:spacing w:after="0" w:line="240" w:lineRule="auto"/>
      </w:pPr>
      <w:r>
        <w:separator/>
      </w:r>
    </w:p>
  </w:footnote>
  <w:footnote w:type="continuationSeparator" w:id="0">
    <w:p w14:paraId="6F56537A" w14:textId="77777777" w:rsidR="00E6661C" w:rsidRDefault="00E6661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015E" w14:textId="37CFBC3E" w:rsidR="004234B0" w:rsidRDefault="004234B0" w:rsidP="004234B0">
    <w:pPr>
      <w:pStyle w:val="Header"/>
      <w:jc w:val="right"/>
    </w:pPr>
    <w:r>
      <w:pict w14:anchorId="56283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6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10CCDC2" wp14:editId="06365237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54A28" w14:textId="01AFF3CA" w:rsidR="008A36CF" w:rsidRPr="004234B0" w:rsidRDefault="008A36CF" w:rsidP="00423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AADF" w14:textId="38A70A95" w:rsidR="008A36CF" w:rsidRDefault="004234B0" w:rsidP="004234B0">
    <w:pPr>
      <w:pStyle w:val="Header"/>
      <w:jc w:val="right"/>
    </w:pPr>
    <w:r>
      <w:pict w14:anchorId="2F41DD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CE8988A" wp14:editId="256D5596">
          <wp:extent cx="2943225" cy="590550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1A9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F09D4"/>
    <w:multiLevelType w:val="hybridMultilevel"/>
    <w:tmpl w:val="6FF0E4F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0680"/>
    <w:rsid w:val="00001D5A"/>
    <w:rsid w:val="000063D5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5C58"/>
    <w:rsid w:val="00140E6A"/>
    <w:rsid w:val="00145990"/>
    <w:rsid w:val="00146545"/>
    <w:rsid w:val="00146B75"/>
    <w:rsid w:val="0015266D"/>
    <w:rsid w:val="0015288A"/>
    <w:rsid w:val="00160F47"/>
    <w:rsid w:val="00177CA1"/>
    <w:rsid w:val="00183823"/>
    <w:rsid w:val="00183942"/>
    <w:rsid w:val="00191006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681"/>
    <w:rsid w:val="00211F4F"/>
    <w:rsid w:val="00213640"/>
    <w:rsid w:val="0021611F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69AF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5158"/>
    <w:rsid w:val="00396F76"/>
    <w:rsid w:val="003A0E32"/>
    <w:rsid w:val="003A2B94"/>
    <w:rsid w:val="003B0DBE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696F"/>
    <w:rsid w:val="004079B4"/>
    <w:rsid w:val="00417A56"/>
    <w:rsid w:val="00420957"/>
    <w:rsid w:val="00422A10"/>
    <w:rsid w:val="004234B0"/>
    <w:rsid w:val="00430179"/>
    <w:rsid w:val="004414B5"/>
    <w:rsid w:val="004421A8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085E"/>
    <w:rsid w:val="004A5088"/>
    <w:rsid w:val="004B5E25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887"/>
    <w:rsid w:val="005142C4"/>
    <w:rsid w:val="0051509C"/>
    <w:rsid w:val="00522670"/>
    <w:rsid w:val="005272E2"/>
    <w:rsid w:val="0053108F"/>
    <w:rsid w:val="00532B56"/>
    <w:rsid w:val="00534B10"/>
    <w:rsid w:val="005446A2"/>
    <w:rsid w:val="00544D2F"/>
    <w:rsid w:val="00547D73"/>
    <w:rsid w:val="00551BD8"/>
    <w:rsid w:val="005725D4"/>
    <w:rsid w:val="00581055"/>
    <w:rsid w:val="00591E38"/>
    <w:rsid w:val="005A19C5"/>
    <w:rsid w:val="005A3034"/>
    <w:rsid w:val="005A462D"/>
    <w:rsid w:val="005B253B"/>
    <w:rsid w:val="005B771D"/>
    <w:rsid w:val="005C3245"/>
    <w:rsid w:val="005C5D16"/>
    <w:rsid w:val="005D3193"/>
    <w:rsid w:val="005D39C1"/>
    <w:rsid w:val="005D4A6E"/>
    <w:rsid w:val="005E6979"/>
    <w:rsid w:val="005E75CB"/>
    <w:rsid w:val="005F6EEE"/>
    <w:rsid w:val="006013C1"/>
    <w:rsid w:val="0060669E"/>
    <w:rsid w:val="00610F2E"/>
    <w:rsid w:val="00611399"/>
    <w:rsid w:val="00612371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53CE"/>
    <w:rsid w:val="006C4832"/>
    <w:rsid w:val="006D10BF"/>
    <w:rsid w:val="006D79EA"/>
    <w:rsid w:val="006E10FB"/>
    <w:rsid w:val="006E2620"/>
    <w:rsid w:val="006E5D05"/>
    <w:rsid w:val="006F2258"/>
    <w:rsid w:val="006F43D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6285"/>
    <w:rsid w:val="007C1540"/>
    <w:rsid w:val="007C30EB"/>
    <w:rsid w:val="007C7E6A"/>
    <w:rsid w:val="007E063C"/>
    <w:rsid w:val="007E2A4B"/>
    <w:rsid w:val="007E307D"/>
    <w:rsid w:val="007E6A4E"/>
    <w:rsid w:val="007E6C94"/>
    <w:rsid w:val="007F1005"/>
    <w:rsid w:val="007F25E0"/>
    <w:rsid w:val="007F5328"/>
    <w:rsid w:val="007F74B8"/>
    <w:rsid w:val="00804F5A"/>
    <w:rsid w:val="008054DC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15D1"/>
    <w:rsid w:val="00857A8A"/>
    <w:rsid w:val="0086058E"/>
    <w:rsid w:val="008630EE"/>
    <w:rsid w:val="00863520"/>
    <w:rsid w:val="00864D13"/>
    <w:rsid w:val="00871CD5"/>
    <w:rsid w:val="008745A2"/>
    <w:rsid w:val="008768A8"/>
    <w:rsid w:val="0088798F"/>
    <w:rsid w:val="00887E4B"/>
    <w:rsid w:val="008915C8"/>
    <w:rsid w:val="00897513"/>
    <w:rsid w:val="008A36CF"/>
    <w:rsid w:val="008A3BC4"/>
    <w:rsid w:val="008B27CC"/>
    <w:rsid w:val="008B403C"/>
    <w:rsid w:val="008B5B0B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06982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6C53"/>
    <w:rsid w:val="009B6E50"/>
    <w:rsid w:val="009C199D"/>
    <w:rsid w:val="009C278F"/>
    <w:rsid w:val="009C2B94"/>
    <w:rsid w:val="009C5874"/>
    <w:rsid w:val="009C73A5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686"/>
    <w:rsid w:val="00A067EE"/>
    <w:rsid w:val="00A06A35"/>
    <w:rsid w:val="00A10FCE"/>
    <w:rsid w:val="00A1157A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965"/>
    <w:rsid w:val="00A53681"/>
    <w:rsid w:val="00A633D4"/>
    <w:rsid w:val="00A6461A"/>
    <w:rsid w:val="00A812F9"/>
    <w:rsid w:val="00A84504"/>
    <w:rsid w:val="00A86470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372C"/>
    <w:rsid w:val="00AE2745"/>
    <w:rsid w:val="00AE2F64"/>
    <w:rsid w:val="00AF2B3F"/>
    <w:rsid w:val="00AF42CB"/>
    <w:rsid w:val="00AF483F"/>
    <w:rsid w:val="00AF5E07"/>
    <w:rsid w:val="00AF5F06"/>
    <w:rsid w:val="00B00A25"/>
    <w:rsid w:val="00B054D0"/>
    <w:rsid w:val="00B1422A"/>
    <w:rsid w:val="00B1765C"/>
    <w:rsid w:val="00B213C4"/>
    <w:rsid w:val="00B40C60"/>
    <w:rsid w:val="00B479A9"/>
    <w:rsid w:val="00B52EDF"/>
    <w:rsid w:val="00B54B6E"/>
    <w:rsid w:val="00B60860"/>
    <w:rsid w:val="00B6403C"/>
    <w:rsid w:val="00B672C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06EB"/>
    <w:rsid w:val="00BC6B10"/>
    <w:rsid w:val="00BC6E2C"/>
    <w:rsid w:val="00BD499F"/>
    <w:rsid w:val="00BD56DE"/>
    <w:rsid w:val="00BF2406"/>
    <w:rsid w:val="00C06E43"/>
    <w:rsid w:val="00C16315"/>
    <w:rsid w:val="00C3091E"/>
    <w:rsid w:val="00C3728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6C7D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3861"/>
    <w:rsid w:val="00D31357"/>
    <w:rsid w:val="00D31F7C"/>
    <w:rsid w:val="00D322FB"/>
    <w:rsid w:val="00D33220"/>
    <w:rsid w:val="00D334D1"/>
    <w:rsid w:val="00D44C89"/>
    <w:rsid w:val="00D516CD"/>
    <w:rsid w:val="00D668E6"/>
    <w:rsid w:val="00D70670"/>
    <w:rsid w:val="00D70C97"/>
    <w:rsid w:val="00D74D80"/>
    <w:rsid w:val="00D76624"/>
    <w:rsid w:val="00D87570"/>
    <w:rsid w:val="00D91CB9"/>
    <w:rsid w:val="00D97989"/>
    <w:rsid w:val="00D97D8D"/>
    <w:rsid w:val="00DA352E"/>
    <w:rsid w:val="00DB38EA"/>
    <w:rsid w:val="00DC2B68"/>
    <w:rsid w:val="00DC7694"/>
    <w:rsid w:val="00DD1BF6"/>
    <w:rsid w:val="00DD2F9B"/>
    <w:rsid w:val="00DD4202"/>
    <w:rsid w:val="00DE2513"/>
    <w:rsid w:val="00DE26E8"/>
    <w:rsid w:val="00DF6F36"/>
    <w:rsid w:val="00E0084C"/>
    <w:rsid w:val="00E025AB"/>
    <w:rsid w:val="00E02B23"/>
    <w:rsid w:val="00E06F40"/>
    <w:rsid w:val="00E07CE8"/>
    <w:rsid w:val="00E07E4B"/>
    <w:rsid w:val="00E26154"/>
    <w:rsid w:val="00E26A07"/>
    <w:rsid w:val="00E32595"/>
    <w:rsid w:val="00E37CFD"/>
    <w:rsid w:val="00E41A26"/>
    <w:rsid w:val="00E46BCB"/>
    <w:rsid w:val="00E51CAF"/>
    <w:rsid w:val="00E60F04"/>
    <w:rsid w:val="00E62AAC"/>
    <w:rsid w:val="00E6661C"/>
    <w:rsid w:val="00E67C2F"/>
    <w:rsid w:val="00E67EF5"/>
    <w:rsid w:val="00E72BF1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15A2"/>
    <w:rsid w:val="00EB3D1B"/>
    <w:rsid w:val="00ED1D89"/>
    <w:rsid w:val="00ED66BC"/>
    <w:rsid w:val="00EF233A"/>
    <w:rsid w:val="00EF303E"/>
    <w:rsid w:val="00EF3A40"/>
    <w:rsid w:val="00EF3BF0"/>
    <w:rsid w:val="00EF4712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5732D"/>
    <w:rsid w:val="00F61BD2"/>
    <w:rsid w:val="00F6491C"/>
    <w:rsid w:val="00F66C74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528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4D15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2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2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2F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2FB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8054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070BFA618804340AABDA79FF681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C806-D89B-43A1-9033-9237B76EF2C7}"/>
      </w:docPartPr>
      <w:docPartBody>
        <w:p w:rsidR="002322FD" w:rsidRDefault="00347D16" w:rsidP="00347D16">
          <w:pPr>
            <w:pStyle w:val="A070BFA618804340AABDA79FF681FE2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71720B2B1866419FBC0C4442D4CA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FFE1-C35F-4067-BF17-82BA29719E62}"/>
      </w:docPartPr>
      <w:docPartBody>
        <w:p w:rsidR="001B6C07" w:rsidRDefault="00BB7DA9" w:rsidP="00BB7DA9">
          <w:pPr>
            <w:pStyle w:val="71720B2B1866419FBC0C4442D4CA5C3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200F5"/>
    <w:rsid w:val="001B6C07"/>
    <w:rsid w:val="002322FD"/>
    <w:rsid w:val="002C64F9"/>
    <w:rsid w:val="00347D16"/>
    <w:rsid w:val="003E0149"/>
    <w:rsid w:val="00BB7DA9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0F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71720B2B1866419FBC0C4442D4CA5C30">
    <w:name w:val="71720B2B1866419FBC0C4442D4CA5C30"/>
    <w:rsid w:val="00BB7DA9"/>
  </w:style>
  <w:style w:type="paragraph" w:customStyle="1" w:styleId="E82D699ADCA04089A92D644525C021A4">
    <w:name w:val="E82D699ADCA04089A92D644525C021A4"/>
    <w:rsid w:val="000200F5"/>
  </w:style>
  <w:style w:type="paragraph" w:customStyle="1" w:styleId="ADFE85A36EE640C8B44CAF9889636384">
    <w:name w:val="ADFE85A36EE640C8B44CAF9889636384"/>
    <w:rsid w:val="00020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1F6C-E9F9-459E-A034-3DC537E9E49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86B43E-2EEB-4171-83D2-DEEC5C41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3051B-EDCB-45B1-9542-A9563C100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2C902-D2D6-40B0-8D1C-7610DE3D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2020-02-10T02:46:00Z</dcterms:created>
  <dcterms:modified xsi:type="dcterms:W3CDTF">2020-05-20T01:29:00Z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